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7D889217" w:rsidR="005A1BA3"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340E9A">
      <w:pPr>
        <w:overflowPunct/>
        <w:autoSpaceDE/>
        <w:autoSpaceDN/>
        <w:adjustRightInd/>
        <w:ind w:right="237"/>
        <w:textAlignment w:val="auto"/>
        <w:rPr>
          <w:b/>
          <w:color w:val="auto"/>
          <w:sz w:val="40"/>
        </w:rPr>
      </w:pPr>
    </w:p>
    <w:p w14:paraId="1D50358E" w14:textId="6E616362" w:rsidR="00DC08B3" w:rsidRPr="00DC08B3" w:rsidRDefault="00DC08B3" w:rsidP="00340E9A">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2FD450A" w:rsidR="7908378C" w:rsidRDefault="7908378C" w:rsidP="33572C6E">
            <w:pPr>
              <w:ind w:right="237"/>
              <w:rPr>
                <w:b/>
                <w:bCs/>
                <w:color w:val="auto"/>
                <w:sz w:val="32"/>
                <w:szCs w:val="32"/>
              </w:rPr>
            </w:pPr>
            <w:r w:rsidRPr="33572C6E">
              <w:rPr>
                <w:b/>
                <w:bCs/>
                <w:color w:val="auto"/>
                <w:sz w:val="32"/>
                <w:szCs w:val="32"/>
              </w:rPr>
              <w:t xml:space="preserve">Learner name: </w:t>
            </w:r>
            <w:r w:rsidR="00CF79E7" w:rsidRPr="00CF79E7">
              <w:rPr>
                <w:b/>
                <w:bCs/>
                <w:color w:val="auto"/>
                <w:sz w:val="32"/>
                <w:szCs w:val="32"/>
                <w:u w:val="single"/>
              </w:rPr>
              <w:t>Aida Hjerto</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30BDC89F" w:rsidR="7908378C" w:rsidRPr="00CF79E7" w:rsidRDefault="00CF79E7" w:rsidP="33572C6E">
            <w:pPr>
              <w:ind w:right="237"/>
              <w:rPr>
                <w:b/>
                <w:bCs/>
                <w:color w:val="auto"/>
                <w:sz w:val="32"/>
                <w:szCs w:val="32"/>
                <w:u w:val="single"/>
              </w:rPr>
            </w:pPr>
            <w:r w:rsidRPr="00CF79E7">
              <w:rPr>
                <w:b/>
                <w:bCs/>
                <w:color w:val="auto"/>
                <w:sz w:val="32"/>
                <w:szCs w:val="32"/>
                <w:u w:val="single"/>
              </w:rPr>
              <w:t>2236358</w:t>
            </w:r>
          </w:p>
          <w:p w14:paraId="1D86F74A" w14:textId="77777777" w:rsidR="33572C6E" w:rsidRPr="00CF79E7" w:rsidRDefault="33572C6E" w:rsidP="33572C6E">
            <w:pPr>
              <w:ind w:right="237"/>
              <w:rPr>
                <w:b/>
                <w:bCs/>
                <w:color w:val="auto"/>
                <w:sz w:val="32"/>
                <w:szCs w:val="32"/>
                <w:u w:val="single"/>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502641F" w14:textId="2216AA9D" w:rsidR="00190913" w:rsidRPr="00DC08B3" w:rsidRDefault="00190913" w:rsidP="00340E9A">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845376"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45B99DA0">
            <w:pPr>
              <w:ind w:right="237"/>
              <w:jc w:val="both"/>
              <w:rPr>
                <w:b/>
                <w:bCs/>
                <w:color w:val="auto"/>
                <w:sz w:val="24"/>
                <w:szCs w:val="24"/>
              </w:rPr>
            </w:pPr>
            <w:r>
              <w:rPr>
                <w:b/>
                <w:bCs/>
                <w:color w:val="auto"/>
                <w:sz w:val="24"/>
                <w:szCs w:val="24"/>
              </w:rPr>
              <w:t>Task</w:t>
            </w:r>
          </w:p>
          <w:p w14:paraId="0C25BFEF" w14:textId="37D8F8CB"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32933C98" w14:textId="452719C6" w:rsidR="00AA666E" w:rsidRDefault="00AA666E" w:rsidP="00340E9A">
      <w:pPr>
        <w:ind w:right="237"/>
        <w:rPr>
          <w:sz w:val="24"/>
          <w:szCs w:val="24"/>
        </w:rPr>
      </w:pPr>
    </w:p>
    <w:p w14:paraId="08149048" w14:textId="77777777" w:rsidR="006C3F19" w:rsidRPr="00E676F7" w:rsidRDefault="006C3F19" w:rsidP="00340E9A">
      <w:pPr>
        <w:ind w:right="237"/>
      </w:pP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49A0D391"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2D686BCB"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267561BA"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E676F7">
            <w:pPr>
              <w:rPr>
                <w:rFonts w:eastAsia="Arial"/>
                <w:color w:val="000000" w:themeColor="text1"/>
                <w:sz w:val="24"/>
                <w:szCs w:val="24"/>
              </w:rPr>
            </w:pPr>
          </w:p>
          <w:p w14:paraId="4954E81D" w14:textId="382C6D35"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0CA719B9" w:rsidR="5B843AF0" w:rsidRDefault="008C1C6A" w:rsidP="5B843AF0">
      <w:pPr>
        <w:ind w:right="237"/>
        <w:jc w:val="both"/>
        <w:rPr>
          <w:rFonts w:eastAsia="Arial"/>
          <w:color w:val="000000" w:themeColor="text1"/>
          <w:sz w:val="24"/>
          <w:szCs w:val="24"/>
        </w:rPr>
      </w:pPr>
      <w:r>
        <w:rPr>
          <w:rFonts w:eastAsia="Arial"/>
          <w:color w:val="000000" w:themeColor="text1"/>
          <w:sz w:val="24"/>
          <w:szCs w:val="24"/>
        </w:rPr>
        <w:t>In January 2024 I was made the officer in case for an investigation that put the rights of the victim, the right of the suspect and the complex nature of child protection very much in the forefront compared to previous investigations I had undertaken. At the time of writing the case has been sent to the crown prosecution service for them to make a charging decision on a file that has ended up being the size of a doctoral thesis with nearly 100.000 words written and 130 documents attached with evidence and statements detailing the allegation.</w:t>
      </w:r>
    </w:p>
    <w:p w14:paraId="6C4C6AD5" w14:textId="77777777" w:rsidR="008C1C6A" w:rsidRDefault="008C1C6A" w:rsidP="5B843AF0">
      <w:pPr>
        <w:ind w:right="237"/>
        <w:jc w:val="both"/>
        <w:rPr>
          <w:rFonts w:eastAsia="Arial"/>
          <w:color w:val="000000" w:themeColor="text1"/>
          <w:sz w:val="24"/>
          <w:szCs w:val="24"/>
        </w:rPr>
      </w:pPr>
    </w:p>
    <w:p w14:paraId="74038479" w14:textId="67A29BEA" w:rsidR="00690A50" w:rsidRDefault="00CC5C3A" w:rsidP="00690A50">
      <w:pPr>
        <w:ind w:right="237"/>
        <w:jc w:val="both"/>
        <w:rPr>
          <w:rFonts w:eastAsia="Arial"/>
          <w:color w:val="000000" w:themeColor="text1"/>
          <w:sz w:val="24"/>
          <w:szCs w:val="24"/>
        </w:rPr>
      </w:pPr>
      <w:r>
        <w:rPr>
          <w:rFonts w:eastAsia="Arial"/>
          <w:color w:val="000000" w:themeColor="text1"/>
          <w:sz w:val="24"/>
          <w:szCs w:val="24"/>
        </w:rPr>
        <w:t xml:space="preserve">The investigation </w:t>
      </w:r>
      <w:r w:rsidR="00CD0900">
        <w:rPr>
          <w:rFonts w:eastAsia="Arial"/>
          <w:color w:val="000000" w:themeColor="text1"/>
          <w:sz w:val="24"/>
          <w:szCs w:val="24"/>
        </w:rPr>
        <w:t xml:space="preserve">links to allegations of neglect and assault of a child. The investigation involved a multicultural family with parents from different countries with the children being born in Wales. Due to the type of allegation the risk level is high but there is also a massive involvement </w:t>
      </w:r>
      <w:r w:rsidR="00690A50">
        <w:rPr>
          <w:rFonts w:eastAsia="Arial"/>
          <w:color w:val="000000" w:themeColor="text1"/>
          <w:sz w:val="24"/>
          <w:szCs w:val="24"/>
        </w:rPr>
        <w:t>with</w:t>
      </w:r>
      <w:r w:rsidR="00CD0900">
        <w:rPr>
          <w:rFonts w:eastAsia="Arial"/>
          <w:color w:val="000000" w:themeColor="text1"/>
          <w:sz w:val="24"/>
          <w:szCs w:val="24"/>
        </w:rPr>
        <w:t xml:space="preserve"> social services, health and school to take into consideration as well as communication with the family being of different backgrounds and different languages. </w:t>
      </w:r>
    </w:p>
    <w:p w14:paraId="3DFE6794" w14:textId="77777777" w:rsidR="00690A50" w:rsidRDefault="00690A50" w:rsidP="00690A50">
      <w:pPr>
        <w:ind w:right="237"/>
        <w:jc w:val="both"/>
        <w:rPr>
          <w:rFonts w:eastAsia="Arial"/>
          <w:color w:val="000000" w:themeColor="text1"/>
          <w:sz w:val="24"/>
          <w:szCs w:val="24"/>
        </w:rPr>
      </w:pPr>
    </w:p>
    <w:p w14:paraId="09F05BE5" w14:textId="45FE0B25" w:rsidR="00690A50" w:rsidRPr="00690A50" w:rsidRDefault="00CD0900" w:rsidP="00690A50">
      <w:pPr>
        <w:ind w:right="237"/>
        <w:jc w:val="both"/>
        <w:rPr>
          <w:rFonts w:eastAsia="Arial"/>
          <w:i/>
          <w:iCs/>
          <w:color w:val="000000" w:themeColor="text1"/>
          <w:sz w:val="24"/>
          <w:szCs w:val="24"/>
        </w:rPr>
      </w:pPr>
      <w:r>
        <w:rPr>
          <w:rFonts w:eastAsia="Arial"/>
          <w:color w:val="000000" w:themeColor="text1"/>
          <w:sz w:val="24"/>
          <w:szCs w:val="24"/>
        </w:rPr>
        <w:t xml:space="preserve">The human rights act of 1998 states that </w:t>
      </w:r>
      <w:r w:rsidR="00690A50" w:rsidRPr="00690A50">
        <w:rPr>
          <w:rFonts w:eastAsia="Arial"/>
          <w:i/>
          <w:iCs/>
          <w:color w:val="000000" w:themeColor="text1"/>
          <w:sz w:val="24"/>
          <w:szCs w:val="24"/>
        </w:rPr>
        <w:t>‘Everyone charged with a criminal offence has the following minimum rights:</w:t>
      </w:r>
    </w:p>
    <w:p w14:paraId="48375D0B" w14:textId="77F5811D" w:rsidR="00690A50" w:rsidRDefault="00690A50" w:rsidP="00690A50">
      <w:pPr>
        <w:ind w:right="237"/>
        <w:jc w:val="both"/>
        <w:rPr>
          <w:rFonts w:eastAsia="Arial"/>
          <w:i/>
          <w:iCs/>
          <w:color w:val="000000" w:themeColor="text1"/>
          <w:sz w:val="24"/>
          <w:szCs w:val="24"/>
        </w:rPr>
      </w:pPr>
      <w:r w:rsidRPr="00690A50">
        <w:rPr>
          <w:rFonts w:eastAsia="Arial"/>
          <w:i/>
          <w:iCs/>
          <w:color w:val="000000" w:themeColor="text1"/>
          <w:sz w:val="24"/>
          <w:szCs w:val="24"/>
        </w:rPr>
        <w:t>(a)to be informed promptly, in a language which he understands and in detail, of the nature and cause of the accusation against him;</w:t>
      </w:r>
      <w:r>
        <w:rPr>
          <w:rFonts w:eastAsia="Arial"/>
          <w:i/>
          <w:iCs/>
          <w:color w:val="000000" w:themeColor="text1"/>
          <w:sz w:val="24"/>
          <w:szCs w:val="24"/>
        </w:rPr>
        <w:t>’ (</w:t>
      </w:r>
      <w:r w:rsidRPr="00690A50">
        <w:rPr>
          <w:rFonts w:eastAsia="Arial"/>
          <w:i/>
          <w:iCs/>
          <w:color w:val="000000" w:themeColor="text1"/>
          <w:sz w:val="24"/>
          <w:szCs w:val="24"/>
        </w:rPr>
        <w:t>UK Public General Acts1998</w:t>
      </w:r>
      <w:r>
        <w:rPr>
          <w:rFonts w:eastAsia="Arial"/>
          <w:i/>
          <w:iCs/>
          <w:color w:val="000000" w:themeColor="text1"/>
          <w:sz w:val="24"/>
          <w:szCs w:val="24"/>
        </w:rPr>
        <w:t>,</w:t>
      </w:r>
      <w:r w:rsidRPr="00690A50">
        <w:rPr>
          <w:rFonts w:eastAsia="Arial"/>
          <w:i/>
          <w:iCs/>
          <w:color w:val="000000" w:themeColor="text1"/>
          <w:sz w:val="24"/>
          <w:szCs w:val="24"/>
        </w:rPr>
        <w:t xml:space="preserve"> c. 42SCHEDULE </w:t>
      </w:r>
      <w:r>
        <w:rPr>
          <w:rFonts w:eastAsia="Arial"/>
          <w:i/>
          <w:iCs/>
          <w:color w:val="000000" w:themeColor="text1"/>
          <w:sz w:val="24"/>
          <w:szCs w:val="24"/>
        </w:rPr>
        <w:t>,</w:t>
      </w:r>
      <w:r w:rsidRPr="00690A50">
        <w:rPr>
          <w:rFonts w:eastAsia="Arial"/>
          <w:i/>
          <w:iCs/>
          <w:color w:val="000000" w:themeColor="text1"/>
          <w:sz w:val="24"/>
          <w:szCs w:val="24"/>
        </w:rPr>
        <w:t>1PART I Article 6</w:t>
      </w:r>
      <w:r>
        <w:rPr>
          <w:rFonts w:eastAsia="Arial"/>
          <w:i/>
          <w:iCs/>
          <w:color w:val="000000" w:themeColor="text1"/>
          <w:sz w:val="24"/>
          <w:szCs w:val="24"/>
        </w:rPr>
        <w:t>).</w:t>
      </w:r>
    </w:p>
    <w:p w14:paraId="006CA499" w14:textId="77777777" w:rsidR="00690A50" w:rsidRDefault="00690A50" w:rsidP="00690A50">
      <w:pPr>
        <w:ind w:right="237"/>
        <w:jc w:val="both"/>
        <w:rPr>
          <w:rFonts w:eastAsia="Arial"/>
          <w:i/>
          <w:iCs/>
          <w:color w:val="000000" w:themeColor="text1"/>
          <w:sz w:val="24"/>
          <w:szCs w:val="24"/>
        </w:rPr>
      </w:pPr>
    </w:p>
    <w:p w14:paraId="7BBAF481" w14:textId="31B7E5FB" w:rsidR="008C1C6A" w:rsidRPr="008C1C6A" w:rsidRDefault="008C1C6A" w:rsidP="00690A50">
      <w:pPr>
        <w:ind w:right="237"/>
        <w:jc w:val="both"/>
        <w:rPr>
          <w:rFonts w:eastAsia="Arial"/>
          <w:color w:val="000000" w:themeColor="text1"/>
          <w:sz w:val="24"/>
          <w:szCs w:val="24"/>
        </w:rPr>
      </w:pPr>
      <w:r w:rsidRPr="008C1C6A">
        <w:rPr>
          <w:rFonts w:eastAsia="Arial"/>
          <w:color w:val="000000" w:themeColor="text1"/>
          <w:sz w:val="24"/>
          <w:szCs w:val="24"/>
        </w:rPr>
        <w:t xml:space="preserve">It is the right of a suspect and of a victim of crime to be understood and this investigation put that square in the line with three different languages being utilised. </w:t>
      </w:r>
    </w:p>
    <w:p w14:paraId="280229B8" w14:textId="528B28A5" w:rsidR="00690A50" w:rsidRDefault="00690A50" w:rsidP="00690A50">
      <w:pPr>
        <w:ind w:right="237"/>
        <w:jc w:val="both"/>
        <w:rPr>
          <w:rFonts w:eastAsia="Arial"/>
          <w:color w:val="000000" w:themeColor="text1"/>
          <w:sz w:val="24"/>
          <w:szCs w:val="24"/>
        </w:rPr>
      </w:pPr>
      <w:r>
        <w:rPr>
          <w:rFonts w:eastAsia="Arial"/>
          <w:color w:val="000000" w:themeColor="text1"/>
          <w:sz w:val="24"/>
          <w:szCs w:val="24"/>
        </w:rPr>
        <w:t xml:space="preserve">During the investigation I have had to work with social services and health to maintain the safety of the children involved. Police protective powers were utilised to have the children removed from the family home due to the level of concern </w:t>
      </w:r>
      <w:r>
        <w:rPr>
          <w:rFonts w:eastAsia="Arial"/>
          <w:color w:val="000000" w:themeColor="text1"/>
          <w:sz w:val="24"/>
          <w:szCs w:val="24"/>
        </w:rPr>
        <w:lastRenderedPageBreak/>
        <w:t xml:space="preserve">raised. Social services then got involved to find a suitable place for the children to stay during their investigation as well. Police, health and social services has been conducting a joint investigation to make sure that the level of safeguarding is met. </w:t>
      </w:r>
    </w:p>
    <w:p w14:paraId="6E9EA2A3" w14:textId="77777777" w:rsidR="00690A50" w:rsidRDefault="00690A50" w:rsidP="00690A50">
      <w:pPr>
        <w:ind w:right="237"/>
        <w:jc w:val="both"/>
        <w:rPr>
          <w:rFonts w:eastAsia="Arial"/>
          <w:color w:val="000000" w:themeColor="text1"/>
          <w:sz w:val="24"/>
          <w:szCs w:val="24"/>
        </w:rPr>
      </w:pPr>
    </w:p>
    <w:p w14:paraId="67BCC501" w14:textId="77777777" w:rsidR="00690A50" w:rsidRPr="00690A50" w:rsidRDefault="00690A50" w:rsidP="00690A50">
      <w:pPr>
        <w:ind w:right="237"/>
        <w:jc w:val="both"/>
        <w:rPr>
          <w:rFonts w:eastAsia="Arial"/>
          <w:i/>
          <w:iCs/>
          <w:color w:val="000000" w:themeColor="text1"/>
          <w:sz w:val="24"/>
          <w:szCs w:val="24"/>
        </w:rPr>
      </w:pPr>
      <w:r>
        <w:rPr>
          <w:rFonts w:eastAsia="Arial"/>
          <w:color w:val="000000" w:themeColor="text1"/>
          <w:sz w:val="24"/>
          <w:szCs w:val="24"/>
        </w:rPr>
        <w:t>Section 46. of the children’s act 1989 states ‘</w:t>
      </w:r>
      <w:r w:rsidRPr="00690A50">
        <w:rPr>
          <w:rFonts w:eastAsia="Arial"/>
          <w:i/>
          <w:iCs/>
          <w:color w:val="000000" w:themeColor="text1"/>
          <w:sz w:val="24"/>
          <w:szCs w:val="24"/>
        </w:rPr>
        <w:t>Where a constable has reasonable cause to believe that a child would otherwise be likely to suffer significant harm, he may—</w:t>
      </w:r>
    </w:p>
    <w:p w14:paraId="4FDE9CE4" w14:textId="77777777" w:rsidR="00690A50" w:rsidRPr="00690A50" w:rsidRDefault="00690A50" w:rsidP="00690A50">
      <w:pPr>
        <w:ind w:right="237"/>
        <w:jc w:val="both"/>
        <w:rPr>
          <w:rFonts w:eastAsia="Arial"/>
          <w:i/>
          <w:iCs/>
          <w:color w:val="000000" w:themeColor="text1"/>
          <w:sz w:val="24"/>
          <w:szCs w:val="24"/>
        </w:rPr>
      </w:pPr>
      <w:r w:rsidRPr="00690A50">
        <w:rPr>
          <w:rFonts w:eastAsia="Arial"/>
          <w:i/>
          <w:iCs/>
          <w:color w:val="000000" w:themeColor="text1"/>
          <w:sz w:val="24"/>
          <w:szCs w:val="24"/>
        </w:rPr>
        <w:t>(a)remove the child to suitable accommodation and keep him there; or</w:t>
      </w:r>
    </w:p>
    <w:p w14:paraId="2A35B564" w14:textId="0DAB8213" w:rsidR="00690A50" w:rsidRPr="00690A50" w:rsidRDefault="00690A50" w:rsidP="00690A50">
      <w:pPr>
        <w:ind w:right="237"/>
        <w:jc w:val="both"/>
        <w:rPr>
          <w:rFonts w:eastAsia="Arial"/>
          <w:color w:val="000000" w:themeColor="text1"/>
          <w:sz w:val="24"/>
          <w:szCs w:val="24"/>
        </w:rPr>
      </w:pPr>
      <w:r w:rsidRPr="00690A50">
        <w:rPr>
          <w:rFonts w:eastAsia="Arial"/>
          <w:i/>
          <w:iCs/>
          <w:color w:val="000000" w:themeColor="text1"/>
          <w:sz w:val="24"/>
          <w:szCs w:val="24"/>
        </w:rPr>
        <w:t>(b)take such steps as are reasonable to ensure that the child’s removal from any hospital, or other place, in which he is then being accommodated is prevented.</w:t>
      </w:r>
      <w:r>
        <w:rPr>
          <w:rFonts w:eastAsia="Arial"/>
          <w:i/>
          <w:iCs/>
          <w:color w:val="000000" w:themeColor="text1"/>
          <w:sz w:val="24"/>
          <w:szCs w:val="24"/>
        </w:rPr>
        <w:t xml:space="preserve"> </w:t>
      </w:r>
      <w:r w:rsidRPr="00690A50">
        <w:rPr>
          <w:rFonts w:eastAsia="Arial"/>
          <w:color w:val="000000" w:themeColor="text1"/>
          <w:sz w:val="24"/>
          <w:szCs w:val="24"/>
        </w:rPr>
        <w:t>(UK Public General Acts1989 c. 41Part, Section 46).</w:t>
      </w:r>
    </w:p>
    <w:p w14:paraId="5A7277FB" w14:textId="697C79A5" w:rsidR="00690A50" w:rsidRPr="00690A50" w:rsidRDefault="00690A50" w:rsidP="00690A50">
      <w:pPr>
        <w:ind w:right="237"/>
        <w:jc w:val="both"/>
        <w:rPr>
          <w:rFonts w:eastAsia="Arial"/>
          <w:color w:val="000000" w:themeColor="text1"/>
          <w:sz w:val="24"/>
          <w:szCs w:val="24"/>
        </w:rPr>
      </w:pPr>
    </w:p>
    <w:p w14:paraId="38B59658" w14:textId="58679218" w:rsidR="00CD0900" w:rsidRDefault="00AE4264" w:rsidP="5B843AF0">
      <w:pPr>
        <w:ind w:right="237"/>
        <w:jc w:val="both"/>
        <w:rPr>
          <w:rFonts w:eastAsia="Arial"/>
          <w:color w:val="000000" w:themeColor="text1"/>
          <w:sz w:val="24"/>
          <w:szCs w:val="24"/>
        </w:rPr>
      </w:pPr>
      <w:r>
        <w:rPr>
          <w:rFonts w:eastAsia="Arial"/>
          <w:color w:val="000000" w:themeColor="text1"/>
          <w:sz w:val="24"/>
          <w:szCs w:val="24"/>
        </w:rPr>
        <w:t xml:space="preserve">My investigation was related to an ongoing concern in relation to emotional and physical neglect of three young children all under the age of 7. The concern was raised for the first time when the oldest child was only 3 weeks of age due to previous allegation of physical abuse by the father of the family towards two of his older children. </w:t>
      </w:r>
      <w:r w:rsidR="00017178">
        <w:rPr>
          <w:rFonts w:eastAsia="Arial"/>
          <w:color w:val="000000" w:themeColor="text1"/>
          <w:sz w:val="24"/>
          <w:szCs w:val="24"/>
        </w:rPr>
        <w:t xml:space="preserve">The family had had close social services involvement for years and concerns had been raised by school, and people in the community on multiple occasions. All the children have had multiple child protection medicals documenting injuries to all 3 over the span of just 10 months finally then ending with a section 46 being authorised for the children to be taken into care. The need for this was raised as there had been such an ongoing concern and repeat unexplained injuries to the children that it became necessary. The family was offered to sign a section 76 with children’s services which would have been a voluntary care order for the children to be placed into care but this was refused and a decision was made that for the general safety and wellbeing of all the children an police protection order was the only appropriate response. </w:t>
      </w:r>
    </w:p>
    <w:p w14:paraId="2F87E719" w14:textId="77777777" w:rsidR="00017178" w:rsidRDefault="00017178" w:rsidP="5B843AF0">
      <w:pPr>
        <w:ind w:right="237"/>
        <w:jc w:val="both"/>
        <w:rPr>
          <w:rFonts w:eastAsia="Arial"/>
          <w:color w:val="000000" w:themeColor="text1"/>
          <w:sz w:val="24"/>
          <w:szCs w:val="24"/>
        </w:rPr>
      </w:pPr>
    </w:p>
    <w:p w14:paraId="6297597D" w14:textId="479A7B9E" w:rsidR="00017178" w:rsidRPr="00AE4264" w:rsidRDefault="00017178" w:rsidP="5B843AF0">
      <w:pPr>
        <w:ind w:right="237"/>
        <w:jc w:val="both"/>
        <w:rPr>
          <w:rFonts w:eastAsia="Arial"/>
          <w:color w:val="000000" w:themeColor="text1"/>
          <w:sz w:val="24"/>
          <w:szCs w:val="24"/>
        </w:rPr>
      </w:pPr>
      <w:r>
        <w:rPr>
          <w:rFonts w:eastAsia="Arial"/>
          <w:color w:val="000000" w:themeColor="text1"/>
          <w:sz w:val="24"/>
          <w:szCs w:val="24"/>
        </w:rPr>
        <w:t xml:space="preserve">With child protection the victims are so vulnerable and it is difficult to know exactly what is going on as it is often the case that the children will not disclose anything to professionals as was the case in my investigation as well. In any police investigation the victims of crime does have a right to be heard but with this investigation this was not possible. The youngest child was not in a position to communicate her wishes and the older children did not disclose to officers what had happened to them. </w:t>
      </w:r>
    </w:p>
    <w:p w14:paraId="1E96D16A" w14:textId="302F013D" w:rsidR="5B843AF0" w:rsidRPr="00E676F7" w:rsidRDefault="5B843AF0" w:rsidP="5B843AF0">
      <w:pPr>
        <w:ind w:right="237"/>
        <w:jc w:val="center"/>
        <w:rPr>
          <w:b/>
          <w:bCs/>
          <w:sz w:val="24"/>
          <w:szCs w:val="24"/>
        </w:rPr>
      </w:pPr>
    </w:p>
    <w:p w14:paraId="39F004BF" w14:textId="4D91E2A2" w:rsidR="00211695" w:rsidRPr="0068416F" w:rsidRDefault="0068416F" w:rsidP="0068416F">
      <w:pPr>
        <w:tabs>
          <w:tab w:val="left" w:pos="3260"/>
        </w:tabs>
        <w:overflowPunct/>
        <w:autoSpaceDE/>
        <w:autoSpaceDN/>
        <w:adjustRightInd/>
        <w:textAlignment w:val="auto"/>
        <w:rPr>
          <w:sz w:val="24"/>
          <w:szCs w:val="24"/>
        </w:rPr>
      </w:pPr>
      <w:r>
        <w:rPr>
          <w:sz w:val="24"/>
          <w:szCs w:val="24"/>
        </w:rPr>
        <w:t xml:space="preserve">Heimer et.al (2018) wrote about the risk for the voice of the child to not be heard during child protection issues and that this runs the risk of infringing on the rights of the child in relation to children’s human rights convention. </w:t>
      </w:r>
    </w:p>
    <w:p w14:paraId="4EABAE6C" w14:textId="2B4F3C27" w:rsidR="00211695" w:rsidRDefault="00211695" w:rsidP="00211695">
      <w:pPr>
        <w:overflowPunct/>
        <w:autoSpaceDE/>
        <w:autoSpaceDN/>
        <w:adjustRightInd/>
        <w:textAlignment w:val="auto"/>
        <w:rPr>
          <w:b/>
          <w:bCs/>
          <w:sz w:val="24"/>
          <w:szCs w:val="24"/>
        </w:rPr>
      </w:pPr>
    </w:p>
    <w:p w14:paraId="32D13519" w14:textId="527C23AB" w:rsidR="0068416F" w:rsidRPr="00321595" w:rsidRDefault="0068416F" w:rsidP="00211695">
      <w:pPr>
        <w:overflowPunct/>
        <w:autoSpaceDE/>
        <w:autoSpaceDN/>
        <w:adjustRightInd/>
        <w:textAlignment w:val="auto"/>
        <w:rPr>
          <w:sz w:val="24"/>
          <w:szCs w:val="24"/>
        </w:rPr>
      </w:pPr>
      <w:r>
        <w:rPr>
          <w:sz w:val="24"/>
          <w:szCs w:val="24"/>
        </w:rPr>
        <w:t>Article 9 of the United Nation’s convention on the right of the child</w:t>
      </w:r>
      <w:r w:rsidR="00321595">
        <w:rPr>
          <w:sz w:val="24"/>
          <w:szCs w:val="24"/>
        </w:rPr>
        <w:t xml:space="preserve"> (1989)</w:t>
      </w:r>
      <w:r>
        <w:rPr>
          <w:sz w:val="24"/>
          <w:szCs w:val="24"/>
        </w:rPr>
        <w:t xml:space="preserve"> states that </w:t>
      </w:r>
      <w:r w:rsidRPr="0068416F">
        <w:rPr>
          <w:i/>
          <w:iCs/>
          <w:sz w:val="24"/>
          <w:szCs w:val="24"/>
        </w:rPr>
        <w:t>‘</w:t>
      </w:r>
      <w:r w:rsidRPr="0068416F">
        <w:rPr>
          <w:i/>
          <w:iCs/>
          <w:sz w:val="24"/>
          <w:szCs w:val="24"/>
        </w:rPr>
        <w:t>Children must not be separated from their parents against their will unless it is in their best interests (for example, if a parent is hurting or neglecting a child). Children whose parents have separated have the right to stay in contact with both parents, unless this could cause them harm.</w:t>
      </w:r>
      <w:r w:rsidRPr="0068416F">
        <w:rPr>
          <w:i/>
          <w:iCs/>
          <w:sz w:val="24"/>
          <w:szCs w:val="24"/>
        </w:rPr>
        <w:t>’</w:t>
      </w:r>
    </w:p>
    <w:p w14:paraId="19C3729F" w14:textId="7A10F80D" w:rsidR="00211695" w:rsidRDefault="00211695" w:rsidP="00211695">
      <w:pPr>
        <w:overflowPunct/>
        <w:autoSpaceDE/>
        <w:autoSpaceDN/>
        <w:adjustRightInd/>
        <w:textAlignment w:val="auto"/>
        <w:rPr>
          <w:b/>
          <w:bCs/>
          <w:sz w:val="24"/>
          <w:szCs w:val="24"/>
        </w:rPr>
      </w:pPr>
    </w:p>
    <w:p w14:paraId="5263FC30" w14:textId="00597EDF" w:rsidR="00211695" w:rsidRPr="00321595" w:rsidRDefault="00321595" w:rsidP="00211695">
      <w:pPr>
        <w:overflowPunct/>
        <w:autoSpaceDE/>
        <w:autoSpaceDN/>
        <w:adjustRightInd/>
        <w:textAlignment w:val="auto"/>
        <w:rPr>
          <w:sz w:val="24"/>
          <w:szCs w:val="24"/>
        </w:rPr>
      </w:pPr>
      <w:r w:rsidRPr="00321595">
        <w:rPr>
          <w:sz w:val="24"/>
          <w:szCs w:val="24"/>
        </w:rPr>
        <w:t>This becomes extremely relevant when working in child protection</w:t>
      </w:r>
      <w:r>
        <w:rPr>
          <w:sz w:val="24"/>
          <w:szCs w:val="24"/>
        </w:rPr>
        <w:t xml:space="preserve">. The question is raised as to what extent is it ethically correct for services to interfere in the right of a child to be with their parent. The thought on this will vary depending on who you ask and it becomes very clear that this is difficult especially in relation to investigations related to neglect. A child being a victim of neglect is not necessarily aware that this </w:t>
      </w:r>
      <w:r>
        <w:rPr>
          <w:sz w:val="24"/>
          <w:szCs w:val="24"/>
        </w:rPr>
        <w:lastRenderedPageBreak/>
        <w:t xml:space="preserve">is what is happening. The children in my investigation did not have the language or the understanding to explain to professionals what they were going through. As such it is then up to adults who have nothing to do with the family to decide if it is in the child’s best interest to be taken away form their parents even though the child itself does not express a wish to be separated from their parents. </w:t>
      </w:r>
    </w:p>
    <w:p w14:paraId="7296990E" w14:textId="167A9CD5" w:rsidR="00211695" w:rsidRDefault="00211695" w:rsidP="00211695">
      <w:pPr>
        <w:overflowPunct/>
        <w:autoSpaceDE/>
        <w:autoSpaceDN/>
        <w:adjustRightInd/>
        <w:textAlignment w:val="auto"/>
        <w:rPr>
          <w:b/>
          <w:bCs/>
          <w:sz w:val="24"/>
          <w:szCs w:val="24"/>
        </w:rPr>
      </w:pPr>
    </w:p>
    <w:p w14:paraId="78DF5CD6" w14:textId="2BF96632" w:rsidR="00211695" w:rsidRDefault="00211695" w:rsidP="00211695">
      <w:pPr>
        <w:overflowPunct/>
        <w:autoSpaceDE/>
        <w:autoSpaceDN/>
        <w:adjustRightInd/>
        <w:textAlignment w:val="auto"/>
        <w:rPr>
          <w:b/>
          <w:bCs/>
          <w:sz w:val="24"/>
          <w:szCs w:val="24"/>
        </w:rPr>
      </w:pPr>
    </w:p>
    <w:p w14:paraId="19D247BC" w14:textId="3A98AF8C" w:rsidR="00211695" w:rsidRDefault="00425A45" w:rsidP="00211695">
      <w:pPr>
        <w:overflowPunct/>
        <w:autoSpaceDE/>
        <w:autoSpaceDN/>
        <w:adjustRightInd/>
        <w:textAlignment w:val="auto"/>
        <w:rPr>
          <w:sz w:val="24"/>
          <w:szCs w:val="24"/>
        </w:rPr>
      </w:pPr>
      <w:r>
        <w:rPr>
          <w:sz w:val="24"/>
          <w:szCs w:val="24"/>
        </w:rPr>
        <w:t xml:space="preserve">These questions in relation to the rights of the child points out the difficulty in a investigation of this type. As an investigator it has to always be a part of my strategy what is reasonable and proportionate in dealing with such sensitive matters. For investigations into offences towards children the line between the right to private life and the needs for a thorough investigation into the alleged offences. </w:t>
      </w:r>
    </w:p>
    <w:p w14:paraId="487F69E1" w14:textId="77777777" w:rsidR="00425A45" w:rsidRDefault="00425A45" w:rsidP="00211695">
      <w:pPr>
        <w:overflowPunct/>
        <w:autoSpaceDE/>
        <w:autoSpaceDN/>
        <w:adjustRightInd/>
        <w:textAlignment w:val="auto"/>
        <w:rPr>
          <w:sz w:val="24"/>
          <w:szCs w:val="24"/>
        </w:rPr>
      </w:pPr>
    </w:p>
    <w:p w14:paraId="39053339" w14:textId="3C1F2DD0" w:rsidR="00425A45" w:rsidRDefault="00425A45" w:rsidP="00211695">
      <w:pPr>
        <w:overflowPunct/>
        <w:autoSpaceDE/>
        <w:autoSpaceDN/>
        <w:adjustRightInd/>
        <w:textAlignment w:val="auto"/>
        <w:rPr>
          <w:sz w:val="24"/>
          <w:szCs w:val="24"/>
        </w:rPr>
      </w:pPr>
      <w:r>
        <w:rPr>
          <w:sz w:val="24"/>
          <w:szCs w:val="24"/>
        </w:rPr>
        <w:t xml:space="preserve">Police policy dictates that all forms of investigations have to be proportionate and the necessity for the investigative measure has to be recorded with a rational as to what that necessity is. With child protection investigations a standard part of the investigation is to get material from social services, school and health to ascertain if any of the documentation held by these parties are relevant to the investigation. Requesting such material has to go through the proper channels as </w:t>
      </w:r>
      <w:r w:rsidR="003C5988">
        <w:rPr>
          <w:sz w:val="24"/>
          <w:szCs w:val="24"/>
        </w:rPr>
        <w:t xml:space="preserve">this type of documentation is protected both from a human rights perspective and with </w:t>
      </w:r>
      <w:r w:rsidR="008C1C6A" w:rsidRPr="008C1C6A">
        <w:rPr>
          <w:sz w:val="24"/>
          <w:szCs w:val="24"/>
        </w:rPr>
        <w:t>the General Data Protection Regulation</w:t>
      </w:r>
      <w:r w:rsidR="008C1C6A">
        <w:rPr>
          <w:sz w:val="24"/>
          <w:szCs w:val="24"/>
        </w:rPr>
        <w:t xml:space="preserve"> which in the united kingdom has been implemented through the data protection act 2018</w:t>
      </w:r>
      <w:r w:rsidR="003C5988">
        <w:rPr>
          <w:sz w:val="24"/>
          <w:szCs w:val="24"/>
        </w:rPr>
        <w:t xml:space="preserve">. </w:t>
      </w:r>
    </w:p>
    <w:p w14:paraId="2C881C2C" w14:textId="77777777" w:rsidR="00CC5C3A" w:rsidRDefault="00CC5C3A" w:rsidP="00211695">
      <w:pPr>
        <w:overflowPunct/>
        <w:autoSpaceDE/>
        <w:autoSpaceDN/>
        <w:adjustRightInd/>
        <w:textAlignment w:val="auto"/>
        <w:rPr>
          <w:sz w:val="24"/>
          <w:szCs w:val="24"/>
        </w:rPr>
      </w:pPr>
    </w:p>
    <w:p w14:paraId="29A98F0D" w14:textId="471DC64D" w:rsidR="00CC5C3A" w:rsidRDefault="00CC5C3A" w:rsidP="00211695">
      <w:pPr>
        <w:overflowPunct/>
        <w:autoSpaceDE/>
        <w:autoSpaceDN/>
        <w:adjustRightInd/>
        <w:textAlignment w:val="auto"/>
        <w:rPr>
          <w:sz w:val="24"/>
          <w:szCs w:val="24"/>
        </w:rPr>
      </w:pPr>
      <w:r>
        <w:rPr>
          <w:sz w:val="24"/>
          <w:szCs w:val="24"/>
        </w:rPr>
        <w:t xml:space="preserve">Data protection has become more and more important over the years a realisation into the level of access that in particular police had into personal data led to a change in how and why this documentation could be gathered and stored. With data protection it was also important that an understanding of the fact that from a policing perspective this type of documentation has to be obtainable for a fair investigation to be completed a solution had to be made to give persons more control over the documentation gathered about them. When it comes to child protection this can be even more complex as a child cannot consent to a disclosure of this level it is normally up to the parents to agree for this documentation to be shared with police. The question the becomes who makes that decision if the suspect in the offence is the person responsible for the child. From this perspective an argument has to be made as to the rational used for such documentation to be obtained without the consent of the victim or their parents. </w:t>
      </w:r>
    </w:p>
    <w:p w14:paraId="1DE962FF" w14:textId="77777777" w:rsidR="00CC5C3A" w:rsidRDefault="00CC5C3A" w:rsidP="00211695">
      <w:pPr>
        <w:overflowPunct/>
        <w:autoSpaceDE/>
        <w:autoSpaceDN/>
        <w:adjustRightInd/>
        <w:textAlignment w:val="auto"/>
        <w:rPr>
          <w:sz w:val="24"/>
          <w:szCs w:val="24"/>
        </w:rPr>
      </w:pPr>
    </w:p>
    <w:p w14:paraId="72BBE004" w14:textId="1C568313" w:rsidR="00CC5C3A" w:rsidRDefault="00CC5C3A" w:rsidP="00211695">
      <w:pPr>
        <w:overflowPunct/>
        <w:autoSpaceDE/>
        <w:autoSpaceDN/>
        <w:adjustRightInd/>
        <w:textAlignment w:val="auto"/>
        <w:rPr>
          <w:sz w:val="24"/>
          <w:szCs w:val="24"/>
        </w:rPr>
      </w:pPr>
      <w:r>
        <w:rPr>
          <w:sz w:val="24"/>
          <w:szCs w:val="24"/>
        </w:rPr>
        <w:t xml:space="preserve">In my investigation the majority of my evidence came from the type of material that is protected and for it to be authorised for me to obtain this I had to go to my inspector for him to sign the documents before sending these to the different services I was requesting the documentation from. A request for disclosure must be made to third parties who can then either agree of disagree to share this information based in the rational provided to them from the investigating officer. </w:t>
      </w:r>
      <w:r w:rsidR="00493BFC">
        <w:rPr>
          <w:sz w:val="24"/>
          <w:szCs w:val="24"/>
        </w:rPr>
        <w:t xml:space="preserve">This process is regulated via police guide lines and the data protection act, also human rights comes into play. </w:t>
      </w:r>
    </w:p>
    <w:p w14:paraId="1A582FF9" w14:textId="77777777" w:rsidR="00493BFC" w:rsidRDefault="00493BFC" w:rsidP="00211695">
      <w:pPr>
        <w:overflowPunct/>
        <w:autoSpaceDE/>
        <w:autoSpaceDN/>
        <w:adjustRightInd/>
        <w:textAlignment w:val="auto"/>
        <w:rPr>
          <w:sz w:val="24"/>
          <w:szCs w:val="24"/>
        </w:rPr>
      </w:pPr>
    </w:p>
    <w:p w14:paraId="5015DD7B" w14:textId="77777777" w:rsidR="008C1C6A" w:rsidRDefault="008C1C6A" w:rsidP="00211695">
      <w:pPr>
        <w:overflowPunct/>
        <w:autoSpaceDE/>
        <w:autoSpaceDN/>
        <w:adjustRightInd/>
        <w:textAlignment w:val="auto"/>
        <w:rPr>
          <w:sz w:val="24"/>
          <w:szCs w:val="24"/>
        </w:rPr>
      </w:pPr>
    </w:p>
    <w:p w14:paraId="04B4FA02" w14:textId="77777777" w:rsidR="008C1C6A" w:rsidRPr="00425A45" w:rsidRDefault="008C1C6A" w:rsidP="00211695">
      <w:pPr>
        <w:overflowPunct/>
        <w:autoSpaceDE/>
        <w:autoSpaceDN/>
        <w:adjustRightInd/>
        <w:textAlignment w:val="auto"/>
        <w:rPr>
          <w:sz w:val="24"/>
          <w:szCs w:val="24"/>
        </w:rPr>
      </w:pPr>
    </w:p>
    <w:p w14:paraId="09F544D6" w14:textId="717A9CB1" w:rsidR="00211695" w:rsidRPr="00493BFC" w:rsidRDefault="00233353" w:rsidP="00211695">
      <w:pPr>
        <w:overflowPunct/>
        <w:autoSpaceDE/>
        <w:autoSpaceDN/>
        <w:adjustRightInd/>
        <w:textAlignment w:val="auto"/>
        <w:rPr>
          <w:i/>
          <w:iCs/>
          <w:sz w:val="24"/>
          <w:szCs w:val="24"/>
        </w:rPr>
      </w:pPr>
      <w:r w:rsidRPr="00493BFC">
        <w:rPr>
          <w:sz w:val="24"/>
          <w:szCs w:val="24"/>
        </w:rPr>
        <w:t xml:space="preserve">Article 12 </w:t>
      </w:r>
      <w:r w:rsidR="00493BFC" w:rsidRPr="00493BFC">
        <w:rPr>
          <w:sz w:val="24"/>
          <w:szCs w:val="24"/>
        </w:rPr>
        <w:t xml:space="preserve">of the United Nations convention for the right of the child </w:t>
      </w:r>
      <w:r w:rsidR="00493BFC">
        <w:rPr>
          <w:sz w:val="24"/>
          <w:szCs w:val="24"/>
        </w:rPr>
        <w:t xml:space="preserve">(1989) </w:t>
      </w:r>
      <w:r w:rsidR="00493BFC" w:rsidRPr="00493BFC">
        <w:rPr>
          <w:sz w:val="24"/>
          <w:szCs w:val="24"/>
        </w:rPr>
        <w:t xml:space="preserve">states </w:t>
      </w:r>
      <w:r w:rsidR="00493BFC" w:rsidRPr="00493BFC">
        <w:rPr>
          <w:i/>
          <w:iCs/>
          <w:sz w:val="24"/>
          <w:szCs w:val="24"/>
        </w:rPr>
        <w:t>‘</w:t>
      </w:r>
      <w:r w:rsidRPr="00493BFC">
        <w:rPr>
          <w:i/>
          <w:iCs/>
          <w:sz w:val="24"/>
          <w:szCs w:val="24"/>
        </w:rPr>
        <w:t xml:space="preserve">Every child has the right to express their views, feelings and wishes in all matters affecting them, and to have their views considered and taken seriously. This right </w:t>
      </w:r>
      <w:r w:rsidRPr="00493BFC">
        <w:rPr>
          <w:i/>
          <w:iCs/>
          <w:sz w:val="24"/>
          <w:szCs w:val="24"/>
        </w:rPr>
        <w:lastRenderedPageBreak/>
        <w:t>applies at all times, for example during immigration proceedings, housing decisions or the child’s day-to-day home life.</w:t>
      </w:r>
      <w:r w:rsidR="00493BFC" w:rsidRPr="00493BFC">
        <w:rPr>
          <w:i/>
          <w:iCs/>
          <w:sz w:val="24"/>
          <w:szCs w:val="24"/>
        </w:rPr>
        <w:t>’</w:t>
      </w:r>
    </w:p>
    <w:p w14:paraId="3EF01B71" w14:textId="1C5989BB" w:rsidR="00211695" w:rsidRDefault="00211695" w:rsidP="00211695">
      <w:pPr>
        <w:overflowPunct/>
        <w:autoSpaceDE/>
        <w:autoSpaceDN/>
        <w:adjustRightInd/>
        <w:textAlignment w:val="auto"/>
        <w:rPr>
          <w:b/>
          <w:bCs/>
          <w:sz w:val="24"/>
          <w:szCs w:val="24"/>
        </w:rPr>
      </w:pPr>
    </w:p>
    <w:p w14:paraId="32058FF2" w14:textId="0685C1E7" w:rsidR="00211695" w:rsidRDefault="00493BFC" w:rsidP="00211695">
      <w:pPr>
        <w:overflowPunct/>
        <w:autoSpaceDE/>
        <w:autoSpaceDN/>
        <w:adjustRightInd/>
        <w:textAlignment w:val="auto"/>
        <w:rPr>
          <w:sz w:val="24"/>
          <w:szCs w:val="24"/>
        </w:rPr>
      </w:pPr>
      <w:r w:rsidRPr="00493BFC">
        <w:rPr>
          <w:sz w:val="24"/>
          <w:szCs w:val="24"/>
        </w:rPr>
        <w:t>However</w:t>
      </w:r>
      <w:r>
        <w:rPr>
          <w:sz w:val="24"/>
          <w:szCs w:val="24"/>
        </w:rPr>
        <w:t>,</w:t>
      </w:r>
      <w:r w:rsidRPr="00493BFC">
        <w:rPr>
          <w:sz w:val="24"/>
          <w:szCs w:val="24"/>
        </w:rPr>
        <w:t xml:space="preserve"> with policing and criminal investigations it can not be black and white. The children in my case although having never disclosed any abuse by their parent have without a doubt been subject to some form of neglect. The level of evidence to support the allegation is overwhelming and following the children having been taken into care the amount of injuries sustained to them have drastically decreased. </w:t>
      </w:r>
      <w:r>
        <w:rPr>
          <w:sz w:val="24"/>
          <w:szCs w:val="24"/>
        </w:rPr>
        <w:t>The argument can therefor be made that although technically the children’s rights have been infringed on it has been for the children’s own good.</w:t>
      </w:r>
    </w:p>
    <w:p w14:paraId="5DB4774B" w14:textId="77777777" w:rsidR="00493BFC" w:rsidRDefault="00493BFC" w:rsidP="00211695">
      <w:pPr>
        <w:overflowPunct/>
        <w:autoSpaceDE/>
        <w:autoSpaceDN/>
        <w:adjustRightInd/>
        <w:textAlignment w:val="auto"/>
        <w:rPr>
          <w:sz w:val="24"/>
          <w:szCs w:val="24"/>
        </w:rPr>
      </w:pPr>
    </w:p>
    <w:p w14:paraId="5D52AC3B" w14:textId="76C3ACE3" w:rsidR="00A62EE2" w:rsidRDefault="00493BFC" w:rsidP="00211695">
      <w:pPr>
        <w:overflowPunct/>
        <w:autoSpaceDE/>
        <w:autoSpaceDN/>
        <w:adjustRightInd/>
        <w:textAlignment w:val="auto"/>
        <w:rPr>
          <w:sz w:val="24"/>
          <w:szCs w:val="24"/>
        </w:rPr>
      </w:pPr>
      <w:r>
        <w:rPr>
          <w:sz w:val="24"/>
          <w:szCs w:val="24"/>
        </w:rPr>
        <w:t xml:space="preserve">In conclusion </w:t>
      </w:r>
      <w:r w:rsidR="00A62EE2">
        <w:rPr>
          <w:sz w:val="24"/>
          <w:szCs w:val="24"/>
        </w:rPr>
        <w:t xml:space="preserve">during a long winded and complex investigation related to child protection it there are so many questions that you need to ask yourself as an investigator to make sure that you do not infringe an any rights without due diligences and an explicit need for this. Child protection investigations </w:t>
      </w:r>
      <w:r w:rsidR="009A575E">
        <w:rPr>
          <w:sz w:val="24"/>
          <w:szCs w:val="24"/>
        </w:rPr>
        <w:t>carry</w:t>
      </w:r>
      <w:r w:rsidR="00A62EE2">
        <w:rPr>
          <w:sz w:val="24"/>
          <w:szCs w:val="24"/>
        </w:rPr>
        <w:t xml:space="preserve"> some of the highest risks for victims of crime out of any investigative branches in the police, our victims are often not in a position to speak for themselves and cannot protect themselves especially if the offender is their parents. It is very different to investigate an offence committed by an adult towards an adult as there is a level of understanding that an adult victim has that a child just does not.</w:t>
      </w:r>
    </w:p>
    <w:p w14:paraId="4E431B2B" w14:textId="77777777" w:rsidR="00A62EE2" w:rsidRDefault="00A62EE2" w:rsidP="00211695">
      <w:pPr>
        <w:overflowPunct/>
        <w:autoSpaceDE/>
        <w:autoSpaceDN/>
        <w:adjustRightInd/>
        <w:textAlignment w:val="auto"/>
        <w:rPr>
          <w:sz w:val="24"/>
          <w:szCs w:val="24"/>
        </w:rPr>
      </w:pPr>
    </w:p>
    <w:p w14:paraId="21F9F74C" w14:textId="2CAB46AD" w:rsidR="00493BFC" w:rsidRPr="00493BFC" w:rsidRDefault="00A62EE2" w:rsidP="00211695">
      <w:pPr>
        <w:overflowPunct/>
        <w:autoSpaceDE/>
        <w:autoSpaceDN/>
        <w:adjustRightInd/>
        <w:textAlignment w:val="auto"/>
        <w:rPr>
          <w:sz w:val="24"/>
          <w:szCs w:val="24"/>
        </w:rPr>
      </w:pPr>
      <w:r>
        <w:rPr>
          <w:sz w:val="24"/>
          <w:szCs w:val="24"/>
        </w:rPr>
        <w:t xml:space="preserve"> If a child has always lived under the same </w:t>
      </w:r>
      <w:r w:rsidR="009A575E">
        <w:rPr>
          <w:sz w:val="24"/>
          <w:szCs w:val="24"/>
        </w:rPr>
        <w:t>conditions,</w:t>
      </w:r>
      <w:r>
        <w:rPr>
          <w:sz w:val="24"/>
          <w:szCs w:val="24"/>
        </w:rPr>
        <w:t xml:space="preserve"> they will most likely not understand why we as police and other services have interfered in their life and we as officers and workers must expect the child to at some point see us as the enemy even though we are not. At the end of the day the most important thing is that my victim is safe from harm. Working in child protection gives you an understanding that it is not always the police and the criminal courts that is the best outcome. As an investigator I have had to adapt and understand and accept that </w:t>
      </w:r>
      <w:r w:rsidR="009A575E">
        <w:rPr>
          <w:sz w:val="24"/>
          <w:szCs w:val="24"/>
        </w:rPr>
        <w:t>sometimes</w:t>
      </w:r>
      <w:r>
        <w:rPr>
          <w:sz w:val="24"/>
          <w:szCs w:val="24"/>
        </w:rPr>
        <w:t xml:space="preserve"> even though my criminal investigation has not led to prosecution it has assisted other parties to be made aware and to step in and protect my victims from harm. </w:t>
      </w:r>
    </w:p>
    <w:p w14:paraId="542C1CBB" w14:textId="3B570B19" w:rsidR="00211695" w:rsidRPr="00493BFC" w:rsidRDefault="00211695" w:rsidP="00211695">
      <w:pPr>
        <w:overflowPunct/>
        <w:autoSpaceDE/>
        <w:autoSpaceDN/>
        <w:adjustRightInd/>
        <w:textAlignment w:val="auto"/>
        <w:rPr>
          <w:sz w:val="24"/>
          <w:szCs w:val="24"/>
        </w:rPr>
      </w:pPr>
    </w:p>
    <w:p w14:paraId="15519DC5" w14:textId="771E4051" w:rsidR="00211695" w:rsidRDefault="00211695" w:rsidP="00211695">
      <w:pPr>
        <w:overflowPunct/>
        <w:autoSpaceDE/>
        <w:autoSpaceDN/>
        <w:adjustRightInd/>
        <w:textAlignment w:val="auto"/>
        <w:rPr>
          <w:b/>
          <w:bCs/>
          <w:sz w:val="24"/>
          <w:szCs w:val="24"/>
        </w:rPr>
      </w:pPr>
    </w:p>
    <w:p w14:paraId="5E9654A4" w14:textId="483A031A" w:rsidR="00211695" w:rsidRDefault="00211695" w:rsidP="00211695">
      <w:pPr>
        <w:overflowPunct/>
        <w:autoSpaceDE/>
        <w:autoSpaceDN/>
        <w:adjustRightInd/>
        <w:textAlignment w:val="auto"/>
        <w:rPr>
          <w:b/>
          <w:bCs/>
          <w:sz w:val="24"/>
          <w:szCs w:val="24"/>
        </w:rPr>
      </w:pPr>
    </w:p>
    <w:p w14:paraId="7495C905" w14:textId="03318337" w:rsidR="00211695" w:rsidRPr="009A575E" w:rsidRDefault="009A575E" w:rsidP="00211695">
      <w:pPr>
        <w:overflowPunct/>
        <w:autoSpaceDE/>
        <w:autoSpaceDN/>
        <w:adjustRightInd/>
        <w:textAlignment w:val="auto"/>
        <w:rPr>
          <w:sz w:val="22"/>
          <w:szCs w:val="22"/>
        </w:rPr>
      </w:pPr>
      <w:r>
        <w:rPr>
          <w:sz w:val="22"/>
          <w:szCs w:val="22"/>
        </w:rPr>
        <w:t>(</w:t>
      </w:r>
      <w:r w:rsidRPr="009A575E">
        <w:rPr>
          <w:sz w:val="22"/>
          <w:szCs w:val="22"/>
        </w:rPr>
        <w:t>Word count 1848</w:t>
      </w:r>
      <w:r>
        <w:rPr>
          <w:sz w:val="22"/>
          <w:szCs w:val="22"/>
        </w:rPr>
        <w:t>)</w:t>
      </w:r>
    </w:p>
    <w:p w14:paraId="0D757A9F" w14:textId="6EEDDF01" w:rsidR="00211695" w:rsidRDefault="00211695" w:rsidP="00211695">
      <w:pPr>
        <w:overflowPunct/>
        <w:autoSpaceDE/>
        <w:autoSpaceDN/>
        <w:adjustRightInd/>
        <w:textAlignment w:val="auto"/>
        <w:rPr>
          <w:b/>
          <w:bCs/>
          <w:sz w:val="24"/>
          <w:szCs w:val="24"/>
        </w:rPr>
      </w:pPr>
    </w:p>
    <w:p w14:paraId="369120E0" w14:textId="78A7006C" w:rsidR="00211695" w:rsidRDefault="00211695" w:rsidP="00211695">
      <w:pPr>
        <w:overflowPunct/>
        <w:autoSpaceDE/>
        <w:autoSpaceDN/>
        <w:adjustRightInd/>
        <w:textAlignment w:val="auto"/>
        <w:rPr>
          <w:b/>
          <w:bCs/>
          <w:sz w:val="24"/>
          <w:szCs w:val="24"/>
        </w:rPr>
      </w:pPr>
    </w:p>
    <w:p w14:paraId="39C82147" w14:textId="4DB165F4" w:rsidR="00211695" w:rsidRDefault="00211695" w:rsidP="00211695">
      <w:pPr>
        <w:overflowPunct/>
        <w:autoSpaceDE/>
        <w:autoSpaceDN/>
        <w:adjustRightInd/>
        <w:textAlignment w:val="auto"/>
        <w:rPr>
          <w:b/>
          <w:bCs/>
          <w:sz w:val="24"/>
          <w:szCs w:val="24"/>
        </w:rPr>
      </w:pPr>
    </w:p>
    <w:p w14:paraId="29A10E38" w14:textId="77777777" w:rsidR="00211695" w:rsidRPr="00211695" w:rsidRDefault="00211695" w:rsidP="00211695">
      <w:pPr>
        <w:overflowPunct/>
        <w:autoSpaceDE/>
        <w:autoSpaceDN/>
        <w:adjustRightInd/>
        <w:textAlignment w:val="auto"/>
        <w:rPr>
          <w:b/>
          <w:bCs/>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386B9E52" w14:textId="71D07E3F" w:rsidR="02D63252" w:rsidRDefault="02D63252" w:rsidP="5CE196A1">
      <w:pPr>
        <w:ind w:right="237"/>
        <w:jc w:val="both"/>
        <w:rPr>
          <w:b/>
          <w:bCs/>
          <w:color w:val="000000" w:themeColor="text1"/>
          <w:sz w:val="24"/>
          <w:szCs w:val="24"/>
        </w:rPr>
      </w:pPr>
    </w:p>
    <w:p w14:paraId="58751063" w14:textId="56C51CE5" w:rsidR="13AD8C62" w:rsidRDefault="13AD8C62" w:rsidP="00211695">
      <w:pPr>
        <w:ind w:right="237"/>
        <w:jc w:val="center"/>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FF883D4">
      <w:pPr>
        <w:ind w:right="237"/>
        <w:jc w:val="both"/>
        <w:rPr>
          <w:rFonts w:eastAsia="Arial"/>
          <w:color w:val="000000" w:themeColor="text1"/>
          <w:sz w:val="24"/>
          <w:szCs w:val="24"/>
          <w:u w:val="single"/>
        </w:rPr>
      </w:pPr>
    </w:p>
    <w:p w14:paraId="059A243D" w14:textId="77777777" w:rsidR="00211695" w:rsidRDefault="00211695"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08F405AF"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lastRenderedPageBreak/>
        <w:t>You should choose an</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76B6FAAC" w14:textId="10D53C5C" w:rsidR="0FF883D4" w:rsidRDefault="13AD8C62" w:rsidP="009370AE">
      <w:pPr>
        <w:ind w:right="237"/>
        <w:jc w:val="both"/>
        <w:rPr>
          <w:b/>
          <w:bCs/>
          <w:color w:val="000000" w:themeColor="text1"/>
          <w:sz w:val="28"/>
          <w:szCs w:val="28"/>
        </w:rPr>
      </w:pPr>
      <w:r w:rsidRPr="0FF883D4">
        <w:rPr>
          <w:b/>
          <w:bCs/>
          <w:color w:val="000000" w:themeColor="text1"/>
          <w:sz w:val="28"/>
          <w:szCs w:val="28"/>
        </w:rPr>
        <w:t xml:space="preserve">Answer: </w:t>
      </w:r>
    </w:p>
    <w:p w14:paraId="15A8C6FD" w14:textId="77777777" w:rsidR="00396C38" w:rsidRDefault="00396C38" w:rsidP="009370AE">
      <w:pPr>
        <w:ind w:right="237"/>
        <w:jc w:val="both"/>
        <w:rPr>
          <w:b/>
          <w:bCs/>
          <w:color w:val="000000" w:themeColor="text1"/>
          <w:sz w:val="28"/>
          <w:szCs w:val="28"/>
        </w:rPr>
      </w:pPr>
    </w:p>
    <w:p w14:paraId="5F79612C" w14:textId="7A77C959" w:rsidR="009370AE" w:rsidRDefault="00332EEF" w:rsidP="009370AE">
      <w:pPr>
        <w:ind w:right="237"/>
        <w:jc w:val="both"/>
        <w:rPr>
          <w:color w:val="000000" w:themeColor="text1"/>
          <w:sz w:val="22"/>
          <w:szCs w:val="22"/>
        </w:rPr>
      </w:pPr>
      <w:r>
        <w:rPr>
          <w:color w:val="000000" w:themeColor="text1"/>
          <w:sz w:val="22"/>
          <w:szCs w:val="22"/>
        </w:rPr>
        <w:t>As a child protection investigator, the majority of our investigations gets started via either school, health or social services as concerns related to either disclosures made by the child or injuries noted to children. However, there are a few instances where I have been called to deal with fast track action related to live incidents and for this task I have chosen one of these. It is worth to note that the investigation is ongoing and as such there are still actions that has not been completed, I will however refer to these as well.</w:t>
      </w:r>
    </w:p>
    <w:p w14:paraId="26B2B9EF" w14:textId="77777777" w:rsidR="00332EEF" w:rsidRDefault="00332EEF" w:rsidP="009370AE">
      <w:pPr>
        <w:ind w:right="237"/>
        <w:jc w:val="both"/>
        <w:rPr>
          <w:color w:val="000000" w:themeColor="text1"/>
          <w:sz w:val="22"/>
          <w:szCs w:val="22"/>
        </w:rPr>
      </w:pPr>
    </w:p>
    <w:p w14:paraId="0F90FE99" w14:textId="5FD3D61A" w:rsidR="00332EEF" w:rsidRDefault="00332EEF" w:rsidP="009370AE">
      <w:pPr>
        <w:ind w:right="237"/>
        <w:jc w:val="both"/>
        <w:rPr>
          <w:color w:val="000000" w:themeColor="text1"/>
          <w:sz w:val="22"/>
          <w:szCs w:val="22"/>
        </w:rPr>
      </w:pPr>
      <w:r>
        <w:rPr>
          <w:color w:val="000000" w:themeColor="text1"/>
          <w:sz w:val="22"/>
          <w:szCs w:val="22"/>
        </w:rPr>
        <w:t xml:space="preserve">The investigation started with a call made to police. The report stated that a child had disclosed to her parent that she had been sexually abused by her uncle some years ago. The first steps for an investigation of this nature is safeguarding. Me as an investigator have to identify the risks and act upon those. The first question raised is to what level is the victim still at risk from the offender, then the next question is to what extent are other persons at risk from the offender. In this investigation it was noted that the victim was safe with her family and that as the offence was historic there were no forensic opportunities to consider, as such officers could go and talk to the victim without concerns of cross contamination and such. What did however become clear upon talking to the victim was that the suspect did have children of his own, due to this it was deemed necessary to arrest the suspect to protect his children and also protect the suspect himself from any further allegation. </w:t>
      </w:r>
    </w:p>
    <w:p w14:paraId="1CF5FD83" w14:textId="77777777" w:rsidR="0052305C" w:rsidRDefault="0052305C" w:rsidP="009370AE">
      <w:pPr>
        <w:ind w:right="237"/>
        <w:jc w:val="both"/>
        <w:rPr>
          <w:color w:val="000000" w:themeColor="text1"/>
          <w:sz w:val="22"/>
          <w:szCs w:val="22"/>
        </w:rPr>
      </w:pPr>
    </w:p>
    <w:p w14:paraId="61BCFCCA" w14:textId="75F4B8DE" w:rsidR="0052305C" w:rsidRDefault="004E71F1" w:rsidP="009370AE">
      <w:pPr>
        <w:ind w:right="237"/>
        <w:jc w:val="both"/>
        <w:rPr>
          <w:color w:val="000000" w:themeColor="text1"/>
          <w:sz w:val="22"/>
          <w:szCs w:val="22"/>
        </w:rPr>
      </w:pPr>
      <w:r>
        <w:rPr>
          <w:color w:val="000000" w:themeColor="text1"/>
          <w:sz w:val="22"/>
          <w:szCs w:val="22"/>
        </w:rPr>
        <w:t xml:space="preserve">As in any initial response to any investigation an officer must aske themselves what powers do they have at their disposal to be able to obtain and preserve evidence. Also important is what policies and legislations to be aware of for the protection of the rights of both the suspect and the victim. Section 32 of the Police and Criminal evidence act 1984 dictates what powers of arrest the police has and in what circumstances. While code G of the same dictates the necessity for arrest. In this investigation the necessity for arrest was to protect a child or vulnerable person from further harm and for officers to be able to conduct a prompt and effective investigation. </w:t>
      </w:r>
    </w:p>
    <w:p w14:paraId="66C685D6" w14:textId="77777777" w:rsidR="004E71F1" w:rsidRDefault="004E71F1" w:rsidP="009370AE">
      <w:pPr>
        <w:ind w:right="237"/>
        <w:jc w:val="both"/>
        <w:rPr>
          <w:color w:val="000000" w:themeColor="text1"/>
          <w:sz w:val="22"/>
          <w:szCs w:val="22"/>
        </w:rPr>
      </w:pPr>
    </w:p>
    <w:p w14:paraId="0C78B5A3" w14:textId="6C08EE14" w:rsidR="0052305C" w:rsidRDefault="004E71F1" w:rsidP="009370AE">
      <w:pPr>
        <w:ind w:right="237"/>
        <w:jc w:val="both"/>
        <w:rPr>
          <w:color w:val="000000" w:themeColor="text1"/>
          <w:sz w:val="22"/>
          <w:szCs w:val="22"/>
        </w:rPr>
      </w:pPr>
      <w:r>
        <w:rPr>
          <w:color w:val="000000" w:themeColor="text1"/>
          <w:sz w:val="22"/>
          <w:szCs w:val="22"/>
        </w:rPr>
        <w:t xml:space="preserve">Following the arrest of the suspect the right for the suspect to fair trial in the human rights act 1989 becomes important as the suspect has a right to give their side of the events. While in custody a video recorded interview following the rules of PACE was also obtained. All these actions are fast-track and in this type of investigation necessary. At the end a decision </w:t>
      </w:r>
      <w:r>
        <w:rPr>
          <w:color w:val="000000" w:themeColor="text1"/>
          <w:sz w:val="22"/>
          <w:szCs w:val="22"/>
        </w:rPr>
        <w:lastRenderedPageBreak/>
        <w:t xml:space="preserve">was made that bail would be afforded to the suspect while the investigation is conducted. The Bail Act 1976 provides the guidelines for bail. When I applied for bail for my suspect a rational for the bail had to be provided as to the level of conditions necessary to be put </w:t>
      </w:r>
      <w:r w:rsidR="00404795">
        <w:rPr>
          <w:color w:val="000000" w:themeColor="text1"/>
          <w:sz w:val="22"/>
          <w:szCs w:val="22"/>
        </w:rPr>
        <w:t>in place</w:t>
      </w:r>
      <w:r>
        <w:rPr>
          <w:color w:val="000000" w:themeColor="text1"/>
          <w:sz w:val="22"/>
          <w:szCs w:val="22"/>
        </w:rPr>
        <w:t xml:space="preserve"> to protect the suspect and the victim. This had to be documented an also should not infringe unnecessarily on the suspects human rights. </w:t>
      </w:r>
    </w:p>
    <w:p w14:paraId="318046B3" w14:textId="77777777" w:rsidR="004E71F1" w:rsidRDefault="004E71F1" w:rsidP="009370AE">
      <w:pPr>
        <w:ind w:right="237"/>
        <w:jc w:val="both"/>
        <w:rPr>
          <w:color w:val="000000" w:themeColor="text1"/>
          <w:sz w:val="22"/>
          <w:szCs w:val="22"/>
        </w:rPr>
      </w:pPr>
    </w:p>
    <w:p w14:paraId="5AA77ACC" w14:textId="77777777" w:rsidR="00404795" w:rsidRDefault="00404795" w:rsidP="009370AE">
      <w:pPr>
        <w:ind w:right="237"/>
        <w:jc w:val="both"/>
        <w:rPr>
          <w:color w:val="000000" w:themeColor="text1"/>
          <w:sz w:val="22"/>
          <w:szCs w:val="22"/>
        </w:rPr>
      </w:pPr>
      <w:r>
        <w:rPr>
          <w:color w:val="000000" w:themeColor="text1"/>
          <w:sz w:val="22"/>
          <w:szCs w:val="22"/>
        </w:rPr>
        <w:t>This specific investigation has raised further issues for me to consider than any of my previous. The victim and her family vs the suspect and his family and then the impact on the community. Following the allegation being made the suspects wife reacted very appropriately with first distancing herself from her husband with her children. However, as time went on she started to consider the allegation and could not find any opportunity for the suspect to have sexually abused the victim. Her children who love their father also provided no supporting evidence. This is very relevant as the bail conditions originally involved the suspect not having any contact with his family, however the necessity for this was negated following conversation with his family. As such I requested a change of bail conditions. The suspect still is not allowed to be around any child under the age of 16 unsupervised but there were no longer any grounds to keep him from seeing his family.</w:t>
      </w:r>
    </w:p>
    <w:p w14:paraId="4746E3F9" w14:textId="77777777" w:rsidR="00404795" w:rsidRDefault="00404795" w:rsidP="009370AE">
      <w:pPr>
        <w:ind w:right="237"/>
        <w:jc w:val="both"/>
        <w:rPr>
          <w:color w:val="000000" w:themeColor="text1"/>
          <w:sz w:val="22"/>
          <w:szCs w:val="22"/>
        </w:rPr>
      </w:pPr>
    </w:p>
    <w:p w14:paraId="4DA52E67" w14:textId="1AA6F94F" w:rsidR="00404795" w:rsidRDefault="00404795" w:rsidP="009370AE">
      <w:pPr>
        <w:ind w:right="237"/>
        <w:jc w:val="both"/>
        <w:rPr>
          <w:color w:val="000000" w:themeColor="text1"/>
          <w:sz w:val="22"/>
          <w:szCs w:val="22"/>
        </w:rPr>
      </w:pPr>
      <w:r>
        <w:rPr>
          <w:color w:val="000000" w:themeColor="text1"/>
          <w:sz w:val="22"/>
          <w:szCs w:val="22"/>
        </w:rPr>
        <w:t xml:space="preserve">On the other side you have the victim and her family. They understandably believe their daughter and support her trough the process. They also find it difficult to keep the allegation contained as they want to inform people that a person they deem to be a threat to children is living in the community.  When conversing with the family I have to be aware of how I fraise myself and what I put weight on as I understand their frustration and fear. </w:t>
      </w:r>
      <w:r w:rsidR="00845376">
        <w:rPr>
          <w:color w:val="000000" w:themeColor="text1"/>
          <w:sz w:val="22"/>
          <w:szCs w:val="22"/>
        </w:rPr>
        <w:t xml:space="preserve">I have had to contact third parties that have involved themselves in the investigation and explain that what they are doing is having a negative impact on the integrity of the investigation and that it will not benefit any of the parties involved to share with the public their own personal opinion of the circumstances. </w:t>
      </w:r>
    </w:p>
    <w:p w14:paraId="53C090C4" w14:textId="77777777" w:rsidR="00845376" w:rsidRDefault="00845376" w:rsidP="009370AE">
      <w:pPr>
        <w:ind w:right="237"/>
        <w:jc w:val="both"/>
        <w:rPr>
          <w:color w:val="000000" w:themeColor="text1"/>
          <w:sz w:val="22"/>
          <w:szCs w:val="22"/>
        </w:rPr>
      </w:pPr>
    </w:p>
    <w:p w14:paraId="64FC8B8A" w14:textId="26FD51E4" w:rsidR="00404795" w:rsidRDefault="00404795" w:rsidP="009370AE">
      <w:pPr>
        <w:ind w:right="237"/>
        <w:jc w:val="both"/>
        <w:rPr>
          <w:color w:val="000000" w:themeColor="text1"/>
          <w:sz w:val="22"/>
          <w:szCs w:val="22"/>
        </w:rPr>
      </w:pPr>
      <w:r>
        <w:rPr>
          <w:color w:val="000000" w:themeColor="text1"/>
          <w:sz w:val="22"/>
          <w:szCs w:val="22"/>
        </w:rPr>
        <w:t xml:space="preserve">In this case there are three separate children that I have to take into account. The victim on one side and the children of the suspect on the other side. I had to make this very clear to the victims family as the risk to the families if this spreads in the community is so high. We can not pretend like this type of allegation no matter the end result will have impacted the family. As they are two parts of the same family as well it will likely affect all of them for years to come. As an investigator I have to make sure that all parties involved are aware of my role in the matter and that </w:t>
      </w:r>
      <w:r w:rsidR="00301741">
        <w:rPr>
          <w:color w:val="000000" w:themeColor="text1"/>
          <w:sz w:val="22"/>
          <w:szCs w:val="22"/>
        </w:rPr>
        <w:t>I keep the expectations of all parties realistic.</w:t>
      </w:r>
    </w:p>
    <w:p w14:paraId="4F6545A5" w14:textId="77777777" w:rsidR="00404795" w:rsidRDefault="00404795" w:rsidP="009370AE">
      <w:pPr>
        <w:ind w:right="237"/>
        <w:jc w:val="both"/>
        <w:rPr>
          <w:color w:val="000000" w:themeColor="text1"/>
          <w:sz w:val="22"/>
          <w:szCs w:val="22"/>
        </w:rPr>
      </w:pPr>
    </w:p>
    <w:p w14:paraId="709F7461" w14:textId="52397D1C" w:rsidR="0052305C" w:rsidRDefault="0052305C" w:rsidP="009370AE">
      <w:pPr>
        <w:ind w:right="237"/>
        <w:jc w:val="both"/>
        <w:rPr>
          <w:color w:val="000000" w:themeColor="text1"/>
          <w:sz w:val="22"/>
          <w:szCs w:val="22"/>
        </w:rPr>
      </w:pPr>
      <w:r>
        <w:rPr>
          <w:color w:val="000000" w:themeColor="text1"/>
          <w:sz w:val="22"/>
          <w:szCs w:val="22"/>
        </w:rPr>
        <w:t xml:space="preserve">The difference with a child victim versus an adult is that a child is by default agreed to be a vulnerable victim and therefore entitled to enhanced measures during the investigation and court proceeding. Being aware if this is very necessary already during the </w:t>
      </w:r>
      <w:r w:rsidR="00766539">
        <w:rPr>
          <w:color w:val="000000" w:themeColor="text1"/>
          <w:sz w:val="22"/>
          <w:szCs w:val="22"/>
        </w:rPr>
        <w:t>fast-track</w:t>
      </w:r>
      <w:r>
        <w:rPr>
          <w:color w:val="000000" w:themeColor="text1"/>
          <w:sz w:val="22"/>
          <w:szCs w:val="22"/>
        </w:rPr>
        <w:t xml:space="preserve"> actions at the early stages of the investigation. The Youth Justice and Criminal Evidence Act 1999 provides the measures that a vulnerable victim is entitled to under section 23. This starts already at the beginning of the investigation. My victim being a child does not provide a statement on the same level as an adult would. My victim provides a first account documented in a child witness interview booklet before the process and rights are explained. A child has the right to provide a video recorded interview and this must be made clear to the victim straight away so that they can make a informed decision as to if they want to go ahead with the investigation.  </w:t>
      </w:r>
    </w:p>
    <w:p w14:paraId="3BD1A17F" w14:textId="77777777" w:rsidR="00766539" w:rsidRDefault="00766539" w:rsidP="009370AE">
      <w:pPr>
        <w:ind w:right="237"/>
        <w:jc w:val="both"/>
        <w:rPr>
          <w:color w:val="000000" w:themeColor="text1"/>
          <w:sz w:val="22"/>
          <w:szCs w:val="22"/>
        </w:rPr>
      </w:pPr>
    </w:p>
    <w:p w14:paraId="086E4A5B" w14:textId="743ED6C6" w:rsidR="00766539" w:rsidRDefault="00766539" w:rsidP="009370AE">
      <w:pPr>
        <w:ind w:right="237"/>
        <w:jc w:val="both"/>
        <w:rPr>
          <w:color w:val="000000" w:themeColor="text1"/>
          <w:sz w:val="22"/>
          <w:szCs w:val="22"/>
        </w:rPr>
      </w:pPr>
      <w:r>
        <w:rPr>
          <w:color w:val="000000" w:themeColor="text1"/>
          <w:sz w:val="22"/>
          <w:szCs w:val="22"/>
        </w:rPr>
        <w:t xml:space="preserve">It is always at the front of my mind that an investigation of this nature has the potential to have an extreme impact on the future of all parties involved no matter the outcome at the end. A sexual assault of a child allegation is an extremely inflammatory allegation that can be difficult to contain. As an investigator I cannot let this impact to much on my investigation as it will distract from the most important part which is for me to conduct a fair investigation without bias. </w:t>
      </w:r>
    </w:p>
    <w:p w14:paraId="655E2E13" w14:textId="77777777" w:rsidR="003B657E" w:rsidRDefault="003B657E" w:rsidP="009370AE">
      <w:pPr>
        <w:ind w:right="237"/>
        <w:jc w:val="both"/>
        <w:rPr>
          <w:color w:val="000000" w:themeColor="text1"/>
          <w:sz w:val="22"/>
          <w:szCs w:val="22"/>
        </w:rPr>
      </w:pPr>
    </w:p>
    <w:p w14:paraId="393EC402" w14:textId="790626BB" w:rsidR="003B657E" w:rsidRDefault="003B657E" w:rsidP="009370AE">
      <w:pPr>
        <w:ind w:right="237"/>
        <w:jc w:val="both"/>
        <w:rPr>
          <w:color w:val="000000" w:themeColor="text1"/>
          <w:sz w:val="22"/>
          <w:szCs w:val="22"/>
        </w:rPr>
      </w:pPr>
      <w:r>
        <w:rPr>
          <w:color w:val="000000" w:themeColor="text1"/>
          <w:sz w:val="22"/>
          <w:szCs w:val="22"/>
        </w:rPr>
        <w:lastRenderedPageBreak/>
        <w:t xml:space="preserve">Williams et. Al (2014) conducted research into the views of professionals in relation to the </w:t>
      </w:r>
      <w:r w:rsidR="003A12E3">
        <w:rPr>
          <w:color w:val="000000" w:themeColor="text1"/>
          <w:sz w:val="22"/>
          <w:szCs w:val="22"/>
        </w:rPr>
        <w:t>how sensitivity</w:t>
      </w:r>
      <w:r>
        <w:rPr>
          <w:color w:val="000000" w:themeColor="text1"/>
          <w:sz w:val="22"/>
          <w:szCs w:val="22"/>
        </w:rPr>
        <w:t xml:space="preserve"> and specificity </w:t>
      </w:r>
      <w:r w:rsidR="003A12E3">
        <w:rPr>
          <w:color w:val="000000" w:themeColor="text1"/>
          <w:sz w:val="22"/>
          <w:szCs w:val="22"/>
        </w:rPr>
        <w:t xml:space="preserve">impacted in the assessment of child sexual abuse allegations. It is explained that sensitivity is the part of believing the child and making sure that the child feels heard and safe. Specificity relates to the ide of allegations being determined as true or false and focus more on the risk to an adult if a false allegation is made. As an investigator I have to balance these and be aware of their existence at all </w:t>
      </w:r>
      <w:r w:rsidR="00301741">
        <w:rPr>
          <w:color w:val="000000" w:themeColor="text1"/>
          <w:sz w:val="22"/>
          <w:szCs w:val="22"/>
        </w:rPr>
        <w:t>times</w:t>
      </w:r>
      <w:r w:rsidR="003A12E3">
        <w:rPr>
          <w:color w:val="000000" w:themeColor="text1"/>
          <w:sz w:val="22"/>
          <w:szCs w:val="22"/>
        </w:rPr>
        <w:t xml:space="preserve">. An allegation of this type can destroy the parties involved no matter the validity of the allegation. Me as an investigator cannot let my judgement be impacted by what others believe is true or not. I have to allow myself to just gather the evidence and allow the crown prosecution service to then make a decision as to if they want to charge the suspect, I then will be part of presenting the case before a jury then decides on the question of guilt or innocence. </w:t>
      </w:r>
    </w:p>
    <w:p w14:paraId="0CC4250C" w14:textId="77777777" w:rsidR="003A12E3" w:rsidRDefault="003A12E3" w:rsidP="009370AE">
      <w:pPr>
        <w:ind w:right="237"/>
        <w:jc w:val="both"/>
        <w:rPr>
          <w:color w:val="000000" w:themeColor="text1"/>
          <w:sz w:val="22"/>
          <w:szCs w:val="22"/>
        </w:rPr>
      </w:pPr>
    </w:p>
    <w:p w14:paraId="78046860" w14:textId="2DBD405E" w:rsidR="00301741" w:rsidRDefault="00301741" w:rsidP="009370AE">
      <w:pPr>
        <w:ind w:right="237"/>
        <w:jc w:val="both"/>
        <w:rPr>
          <w:sz w:val="22"/>
          <w:szCs w:val="22"/>
        </w:rPr>
      </w:pPr>
      <w:r>
        <w:rPr>
          <w:color w:val="000000" w:themeColor="text1"/>
          <w:sz w:val="22"/>
          <w:szCs w:val="22"/>
        </w:rPr>
        <w:t>There is no doubt that child sexual abuse has a massive impact on a child, in this case the suspect is a person of trust and importance in the child’s life and as such the impact is even more significant on the victim (</w:t>
      </w:r>
      <w:r w:rsidRPr="00301741">
        <w:rPr>
          <w:sz w:val="22"/>
          <w:szCs w:val="22"/>
        </w:rPr>
        <w:t>Magalhães,</w:t>
      </w:r>
      <w:r>
        <w:rPr>
          <w:sz w:val="22"/>
          <w:szCs w:val="22"/>
        </w:rPr>
        <w:t xml:space="preserve"> T. et.al, 2009) what I have had to consider is if my involvement helps or harms and to what extent I should interfere in the parties life. With the sensitive nature of such allegations it is important that the victim feels heard and in power, however me as an investigator cannot allow that to influence how I conduct my investigation as a neutral party. Assume nothing, Believe nothing, challenge everything is the foundation </w:t>
      </w:r>
      <w:r w:rsidR="001D270E">
        <w:rPr>
          <w:sz w:val="22"/>
          <w:szCs w:val="22"/>
        </w:rPr>
        <w:t xml:space="preserve">to building an investigation that protects both parties. </w:t>
      </w:r>
    </w:p>
    <w:p w14:paraId="53221E8B" w14:textId="77777777" w:rsidR="001D270E" w:rsidRDefault="001D270E" w:rsidP="009370AE">
      <w:pPr>
        <w:ind w:right="237"/>
        <w:jc w:val="both"/>
        <w:rPr>
          <w:sz w:val="22"/>
          <w:szCs w:val="22"/>
        </w:rPr>
      </w:pPr>
    </w:p>
    <w:p w14:paraId="50E258D7" w14:textId="71590F25" w:rsidR="001D270E" w:rsidRDefault="001D270E" w:rsidP="009370AE">
      <w:pPr>
        <w:ind w:right="237"/>
        <w:jc w:val="both"/>
        <w:rPr>
          <w:sz w:val="22"/>
          <w:szCs w:val="22"/>
        </w:rPr>
      </w:pPr>
      <w:r>
        <w:rPr>
          <w:sz w:val="22"/>
          <w:szCs w:val="22"/>
        </w:rPr>
        <w:t xml:space="preserve">In conclusion, I will not always and in fact I will not most of the time know what the truth actually is. Most investigations are not clear and at the end me as the investigator must hand the baton on to others to decide if the party is to be found guilty or innocent without me having actually made my mind up any which way. That has been the most difficult realisation for me to make during my investigations. There is not necessarily a right or wrong at the end. Court works on a level of probability with beyond a reasonable doubt, it does not work on a level of 100% certainty. I have to be aware of my own limitations and that it is more important that I conduct my investigation without bias and preconception than it is to find absolute proof one way or another. The difficulty then lies in the fact on each side someone will not get an answer. My suspect might be innocent, or he might be guilty, but at the end of my investigation his life and the life of his family will have been changed forever. </w:t>
      </w:r>
    </w:p>
    <w:p w14:paraId="22138B39" w14:textId="77777777" w:rsidR="001D270E" w:rsidRDefault="001D270E" w:rsidP="009370AE">
      <w:pPr>
        <w:ind w:right="237"/>
        <w:jc w:val="both"/>
        <w:rPr>
          <w:sz w:val="22"/>
          <w:szCs w:val="22"/>
        </w:rPr>
      </w:pPr>
    </w:p>
    <w:p w14:paraId="018E3C5B" w14:textId="7CC79390" w:rsidR="001D270E" w:rsidRDefault="001D270E" w:rsidP="009370AE">
      <w:pPr>
        <w:ind w:right="237"/>
        <w:jc w:val="both"/>
        <w:rPr>
          <w:sz w:val="22"/>
          <w:szCs w:val="22"/>
        </w:rPr>
      </w:pPr>
      <w:r>
        <w:rPr>
          <w:sz w:val="22"/>
          <w:szCs w:val="22"/>
        </w:rPr>
        <w:t xml:space="preserve">As investigators we have the power to change lives for the better or the worse. My victim will for always be changed and the families will for ever be changed due to this investigation. No matter the outcome it will hang over them for the remainder of their lives as a cloud interfering with their family bliss. Being that person and realising this is very difficult as e parson and it can be hard to grasp just how severely my investigation can impact not just the victim and the suspect but also their families and the wider communities. </w:t>
      </w:r>
    </w:p>
    <w:p w14:paraId="425B5B3D" w14:textId="77777777" w:rsidR="00845376" w:rsidRDefault="00845376" w:rsidP="009370AE">
      <w:pPr>
        <w:ind w:right="237"/>
        <w:jc w:val="both"/>
        <w:rPr>
          <w:sz w:val="22"/>
          <w:szCs w:val="22"/>
        </w:rPr>
      </w:pPr>
    </w:p>
    <w:p w14:paraId="25AA960E" w14:textId="77777777" w:rsidR="00845376" w:rsidRDefault="00845376" w:rsidP="009370AE">
      <w:pPr>
        <w:ind w:right="237"/>
        <w:jc w:val="both"/>
        <w:rPr>
          <w:color w:val="000000" w:themeColor="text1"/>
          <w:sz w:val="22"/>
          <w:szCs w:val="22"/>
        </w:rPr>
      </w:pPr>
    </w:p>
    <w:p w14:paraId="49989C09" w14:textId="1C11BE71" w:rsidR="009370AE" w:rsidRDefault="00845376" w:rsidP="00845376">
      <w:pPr>
        <w:ind w:right="237"/>
        <w:jc w:val="both"/>
        <w:rPr>
          <w:color w:val="000000" w:themeColor="text1"/>
          <w:sz w:val="22"/>
          <w:szCs w:val="22"/>
        </w:rPr>
      </w:pPr>
      <w:r>
        <w:rPr>
          <w:color w:val="000000" w:themeColor="text1"/>
          <w:sz w:val="22"/>
          <w:szCs w:val="22"/>
        </w:rPr>
        <w:t>(Word count 1808)</w:t>
      </w:r>
    </w:p>
    <w:p w14:paraId="1201EAC3" w14:textId="77777777" w:rsidR="00845376" w:rsidRDefault="00845376" w:rsidP="00845376">
      <w:pPr>
        <w:ind w:right="237"/>
        <w:jc w:val="both"/>
        <w:rPr>
          <w:color w:val="000000" w:themeColor="text1"/>
          <w:sz w:val="22"/>
          <w:szCs w:val="22"/>
        </w:rPr>
      </w:pPr>
    </w:p>
    <w:p w14:paraId="53F4FE3D" w14:textId="77777777" w:rsidR="00845376" w:rsidRPr="009370AE" w:rsidRDefault="00845376" w:rsidP="00845376">
      <w:pPr>
        <w:ind w:right="237"/>
        <w:jc w:val="both"/>
        <w:rPr>
          <w:b/>
          <w:bCs/>
          <w:color w:val="000000" w:themeColor="text1"/>
          <w:sz w:val="28"/>
          <w:szCs w:val="28"/>
        </w:rPr>
      </w:pPr>
    </w:p>
    <w:p w14:paraId="1ADEFAE5" w14:textId="313C4F9F" w:rsidR="0FF883D4" w:rsidRDefault="5CE196A1" w:rsidP="5CE196A1">
      <w:r w:rsidRPr="5CE196A1">
        <w:rPr>
          <w:rFonts w:eastAsia="Arial"/>
          <w:b/>
          <w:bCs/>
          <w:color w:val="000000" w:themeColor="text1"/>
          <w:sz w:val="24"/>
          <w:szCs w:val="24"/>
        </w:rPr>
        <w:t xml:space="preserve">Authentication signature: </w:t>
      </w:r>
      <w:r w:rsidR="00FF2F61">
        <w:rPr>
          <w:rFonts w:eastAsia="Arial"/>
          <w:b/>
          <w:bCs/>
          <w:color w:val="000000" w:themeColor="text1"/>
          <w:sz w:val="24"/>
          <w:szCs w:val="24"/>
        </w:rPr>
        <w:t>Aida L. Hjerto</w:t>
      </w:r>
    </w:p>
    <w:p w14:paraId="3E37DF86" w14:textId="687D12EF" w:rsidR="0FF883D4" w:rsidRDefault="5CE196A1" w:rsidP="5CE196A1">
      <w:r w:rsidRPr="5CE196A1">
        <w:rPr>
          <w:rFonts w:eastAsia="Arial"/>
          <w:b/>
          <w:bCs/>
          <w:color w:val="000000" w:themeColor="text1"/>
          <w:sz w:val="24"/>
          <w:szCs w:val="24"/>
        </w:rPr>
        <w:t xml:space="preserve"> </w:t>
      </w:r>
    </w:p>
    <w:p w14:paraId="543EE689" w14:textId="3D7DB31E"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r w:rsidR="00FF2F61">
        <w:rPr>
          <w:rFonts w:eastAsia="Arial"/>
          <w:b/>
          <w:bCs/>
          <w:color w:val="000000" w:themeColor="text1"/>
          <w:sz w:val="24"/>
          <w:szCs w:val="24"/>
        </w:rPr>
        <w:t>I confirm</w:t>
      </w:r>
    </w:p>
    <w:p w14:paraId="09D0056A" w14:textId="12CDB5C7" w:rsidR="0FF883D4" w:rsidRDefault="5CE196A1" w:rsidP="5CE196A1">
      <w:r w:rsidRPr="5CE196A1">
        <w:rPr>
          <w:rFonts w:eastAsia="Arial"/>
          <w:b/>
          <w:bCs/>
          <w:color w:val="000000" w:themeColor="text1"/>
          <w:sz w:val="24"/>
          <w:szCs w:val="24"/>
        </w:rPr>
        <w:t xml:space="preserve"> </w:t>
      </w:r>
    </w:p>
    <w:p w14:paraId="6CBAEEA0" w14:textId="7A7F4A3C" w:rsidR="0FF883D4" w:rsidRDefault="5CE196A1" w:rsidP="5CE196A1">
      <w:r w:rsidRPr="5CE196A1">
        <w:rPr>
          <w:rFonts w:eastAsia="Arial"/>
          <w:b/>
          <w:bCs/>
          <w:color w:val="000000" w:themeColor="text1"/>
          <w:sz w:val="24"/>
          <w:szCs w:val="24"/>
        </w:rPr>
        <w:t xml:space="preserve">Signed: </w:t>
      </w:r>
      <w:r w:rsidR="00FF2F61">
        <w:rPr>
          <w:rFonts w:eastAsia="Arial"/>
          <w:b/>
          <w:bCs/>
          <w:color w:val="000000" w:themeColor="text1"/>
          <w:sz w:val="24"/>
          <w:szCs w:val="24"/>
        </w:rPr>
        <w:t>Aida L. Hjerto</w:t>
      </w:r>
    </w:p>
    <w:p w14:paraId="563192E7" w14:textId="7A83C86F" w:rsidR="0FF883D4" w:rsidRDefault="5CE196A1" w:rsidP="5CE196A1">
      <w:r w:rsidRPr="5CE196A1">
        <w:rPr>
          <w:rFonts w:eastAsia="Arial"/>
          <w:b/>
          <w:bCs/>
          <w:color w:val="000000" w:themeColor="text1"/>
          <w:sz w:val="24"/>
          <w:szCs w:val="24"/>
        </w:rPr>
        <w:t xml:space="preserve"> </w:t>
      </w:r>
    </w:p>
    <w:p w14:paraId="22DBB0E5" w14:textId="6BB8B179" w:rsidR="0FF883D4" w:rsidRDefault="5CE196A1" w:rsidP="5CE196A1">
      <w:r w:rsidRPr="5CE196A1">
        <w:rPr>
          <w:rFonts w:eastAsia="Arial"/>
          <w:b/>
          <w:bCs/>
          <w:color w:val="000000" w:themeColor="text1"/>
          <w:sz w:val="24"/>
          <w:szCs w:val="24"/>
        </w:rPr>
        <w:t>Date:</w:t>
      </w:r>
      <w:r w:rsidR="002211D6">
        <w:rPr>
          <w:rFonts w:eastAsia="Arial"/>
          <w:b/>
          <w:bCs/>
          <w:color w:val="000000" w:themeColor="text1"/>
          <w:sz w:val="24"/>
          <w:szCs w:val="24"/>
        </w:rPr>
        <w:t xml:space="preserve"> 02/08/2024</w:t>
      </w:r>
    </w:p>
    <w:p w14:paraId="482B2B3A" w14:textId="573EC1EE" w:rsidR="0FF883D4" w:rsidRDefault="0FF883D4" w:rsidP="5CE196A1">
      <w:pPr>
        <w:ind w:left="2880" w:right="225" w:firstLine="720"/>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598BDEAF"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1AB808A7" w14:textId="77777777" w:rsidR="009A575E" w:rsidRDefault="009A575E" w:rsidP="00EA28F1">
      <w:pPr>
        <w:keepNext/>
        <w:spacing w:before="240" w:after="60"/>
        <w:ind w:right="237"/>
        <w:jc w:val="both"/>
      </w:pPr>
    </w:p>
    <w:p w14:paraId="408C5F4E" w14:textId="4A41CE15" w:rsidR="00845376" w:rsidRDefault="00845376" w:rsidP="009A575E">
      <w:pPr>
        <w:keepNext/>
        <w:spacing w:before="240" w:after="60"/>
        <w:ind w:right="237"/>
        <w:rPr>
          <w:sz w:val="22"/>
          <w:szCs w:val="22"/>
        </w:rPr>
      </w:pPr>
      <w:r>
        <w:rPr>
          <w:sz w:val="22"/>
          <w:szCs w:val="22"/>
        </w:rPr>
        <w:t xml:space="preserve">The Bail Act 1976, accessed 05/08/2024: </w:t>
      </w:r>
      <w:hyperlink r:id="rId21" w:history="1">
        <w:r w:rsidRPr="00766539">
          <w:rPr>
            <w:rStyle w:val="Hyperlink"/>
            <w:sz w:val="22"/>
            <w:szCs w:val="22"/>
          </w:rPr>
          <w:t>Bail Act 1976 (legislation.gov.uk)</w:t>
        </w:r>
      </w:hyperlink>
    </w:p>
    <w:p w14:paraId="64310EF9" w14:textId="77777777" w:rsidR="00845376" w:rsidRPr="009A575E" w:rsidRDefault="00845376" w:rsidP="009A575E">
      <w:pPr>
        <w:keepNext/>
        <w:spacing w:before="240" w:after="60"/>
        <w:ind w:right="237"/>
        <w:rPr>
          <w:rStyle w:val="Hyperlink"/>
          <w:sz w:val="22"/>
          <w:szCs w:val="22"/>
        </w:rPr>
      </w:pPr>
      <w:r w:rsidRPr="009A575E">
        <w:rPr>
          <w:sz w:val="22"/>
          <w:szCs w:val="22"/>
        </w:rPr>
        <w:t>Children’s act 1989, accesse</w:t>
      </w:r>
      <w:r>
        <w:rPr>
          <w:sz w:val="22"/>
          <w:szCs w:val="22"/>
        </w:rPr>
        <w:t>d</w:t>
      </w:r>
      <w:r w:rsidRPr="009A575E">
        <w:rPr>
          <w:sz w:val="22"/>
          <w:szCs w:val="22"/>
        </w:rPr>
        <w:t xml:space="preserve"> 05/08/2024 </w:t>
      </w:r>
      <w:hyperlink r:id="rId22" w:history="1">
        <w:r w:rsidRPr="009A575E">
          <w:rPr>
            <w:rStyle w:val="Hyperlink"/>
            <w:sz w:val="22"/>
            <w:szCs w:val="22"/>
          </w:rPr>
          <w:t>Children Act 1989 (legislation.gov.uk)</w:t>
        </w:r>
      </w:hyperlink>
    </w:p>
    <w:p w14:paraId="491845EA" w14:textId="77777777" w:rsidR="00845376" w:rsidRPr="00017178" w:rsidRDefault="00845376" w:rsidP="009A575E">
      <w:pPr>
        <w:keepNext/>
        <w:spacing w:before="240" w:after="60"/>
        <w:ind w:right="237"/>
        <w:rPr>
          <w:sz w:val="22"/>
          <w:szCs w:val="22"/>
        </w:rPr>
      </w:pPr>
      <w:r w:rsidRPr="00017178">
        <w:rPr>
          <w:sz w:val="22"/>
          <w:szCs w:val="22"/>
        </w:rPr>
        <w:t>Heimer, M., Näsman, E., &amp; Palme, J. (2018).</w:t>
      </w:r>
      <w:r w:rsidRPr="009A575E">
        <w:rPr>
          <w:sz w:val="22"/>
          <w:szCs w:val="22"/>
        </w:rPr>
        <w:t>’</w:t>
      </w:r>
      <w:r w:rsidRPr="00017178">
        <w:rPr>
          <w:sz w:val="22"/>
          <w:szCs w:val="22"/>
        </w:rPr>
        <w:t xml:space="preserve"> Vulnerable children’s rights to participation, protection, and provision: The process of defining the problem in Swedish child and family welfare</w:t>
      </w:r>
      <w:r w:rsidRPr="009A575E">
        <w:rPr>
          <w:sz w:val="22"/>
          <w:szCs w:val="22"/>
        </w:rPr>
        <w:t>’</w:t>
      </w:r>
      <w:r w:rsidRPr="00017178">
        <w:rPr>
          <w:sz w:val="22"/>
          <w:szCs w:val="22"/>
        </w:rPr>
        <w:t xml:space="preserve">. </w:t>
      </w:r>
      <w:r w:rsidRPr="009A575E">
        <w:rPr>
          <w:sz w:val="22"/>
          <w:szCs w:val="22"/>
        </w:rPr>
        <w:t xml:space="preserve">In </w:t>
      </w:r>
      <w:r w:rsidRPr="00017178">
        <w:rPr>
          <w:i/>
          <w:iCs/>
          <w:sz w:val="22"/>
          <w:szCs w:val="22"/>
        </w:rPr>
        <w:t>Child &amp; Family Social Work</w:t>
      </w:r>
      <w:r w:rsidRPr="00017178">
        <w:rPr>
          <w:sz w:val="22"/>
          <w:szCs w:val="22"/>
        </w:rPr>
        <w:t xml:space="preserve">, </w:t>
      </w:r>
      <w:r w:rsidRPr="00017178">
        <w:rPr>
          <w:i/>
          <w:iCs/>
          <w:sz w:val="22"/>
          <w:szCs w:val="22"/>
        </w:rPr>
        <w:t>23</w:t>
      </w:r>
      <w:r w:rsidRPr="00017178">
        <w:rPr>
          <w:sz w:val="22"/>
          <w:szCs w:val="22"/>
        </w:rPr>
        <w:t>(2), 316–323. https://doi.org/10.1111/cfs.12424</w:t>
      </w:r>
    </w:p>
    <w:p w14:paraId="433F0B95" w14:textId="77777777" w:rsidR="00845376" w:rsidRPr="009A575E" w:rsidRDefault="00845376" w:rsidP="009A575E">
      <w:pPr>
        <w:keepNext/>
        <w:spacing w:before="240" w:after="60"/>
        <w:ind w:right="237"/>
        <w:rPr>
          <w:sz w:val="22"/>
          <w:szCs w:val="22"/>
        </w:rPr>
      </w:pPr>
      <w:r w:rsidRPr="009A575E">
        <w:rPr>
          <w:sz w:val="22"/>
          <w:szCs w:val="22"/>
        </w:rPr>
        <w:t xml:space="preserve">Human rights act 1998, accessed 05/08/2024: </w:t>
      </w:r>
      <w:hyperlink r:id="rId23" w:history="1">
        <w:r w:rsidRPr="009A575E">
          <w:rPr>
            <w:rStyle w:val="Hyperlink"/>
            <w:sz w:val="22"/>
            <w:szCs w:val="22"/>
          </w:rPr>
          <w:t>Human Rights Act 1998 (legislation.gov.uk)</w:t>
        </w:r>
      </w:hyperlink>
    </w:p>
    <w:p w14:paraId="64AC2A58" w14:textId="77777777" w:rsidR="00845376" w:rsidRPr="00301741" w:rsidRDefault="00845376" w:rsidP="00301741">
      <w:pPr>
        <w:keepNext/>
        <w:spacing w:before="240" w:after="60"/>
        <w:ind w:right="237"/>
        <w:rPr>
          <w:sz w:val="22"/>
          <w:szCs w:val="22"/>
        </w:rPr>
      </w:pPr>
      <w:r w:rsidRPr="00301741">
        <w:rPr>
          <w:sz w:val="22"/>
          <w:szCs w:val="22"/>
        </w:rPr>
        <w:t xml:space="preserve">Magalhães, T., Taveira, F., Jardim, P., Santos, L., Matos, E., &amp; Santos, A. (2009). Sexual abuse of children. A comparative study of intra and extra-familial cases. </w:t>
      </w:r>
      <w:r w:rsidRPr="00301741">
        <w:rPr>
          <w:i/>
          <w:iCs/>
          <w:sz w:val="22"/>
          <w:szCs w:val="22"/>
        </w:rPr>
        <w:t>Journal of Forensic and Legal Medicine</w:t>
      </w:r>
      <w:r w:rsidRPr="00301741">
        <w:rPr>
          <w:sz w:val="22"/>
          <w:szCs w:val="22"/>
        </w:rPr>
        <w:t xml:space="preserve">, </w:t>
      </w:r>
      <w:r w:rsidRPr="00301741">
        <w:rPr>
          <w:i/>
          <w:iCs/>
          <w:sz w:val="22"/>
          <w:szCs w:val="22"/>
        </w:rPr>
        <w:t>16</w:t>
      </w:r>
      <w:r w:rsidRPr="00301741">
        <w:rPr>
          <w:sz w:val="22"/>
          <w:szCs w:val="22"/>
        </w:rPr>
        <w:t>(8), 455–459. https://doi.org/10.1016/j.jflm.2009.05.007</w:t>
      </w:r>
    </w:p>
    <w:p w14:paraId="3BE15C4B" w14:textId="77777777" w:rsidR="00845376" w:rsidRPr="009A575E" w:rsidRDefault="00845376" w:rsidP="009A575E">
      <w:pPr>
        <w:keepNext/>
        <w:spacing w:before="240" w:after="60"/>
        <w:ind w:right="237"/>
        <w:rPr>
          <w:sz w:val="22"/>
          <w:szCs w:val="22"/>
        </w:rPr>
      </w:pPr>
      <w:r w:rsidRPr="009A575E">
        <w:rPr>
          <w:sz w:val="22"/>
          <w:szCs w:val="22"/>
        </w:rPr>
        <w:t xml:space="preserve">Ministry of Justice, </w:t>
      </w:r>
      <w:r w:rsidRPr="009A575E">
        <w:rPr>
          <w:sz w:val="22"/>
          <w:szCs w:val="22"/>
        </w:rPr>
        <w:t>Code of Practice for Victims of Crime in England and Wales</w:t>
      </w:r>
      <w:r w:rsidRPr="009A575E">
        <w:rPr>
          <w:sz w:val="22"/>
          <w:szCs w:val="22"/>
        </w:rPr>
        <w:t xml:space="preserve"> (2020) accessed 05/08/2024: </w:t>
      </w:r>
      <w:hyperlink r:id="rId24" w:history="1">
        <w:r w:rsidRPr="009A575E">
          <w:rPr>
            <w:rStyle w:val="Hyperlink"/>
            <w:sz w:val="22"/>
            <w:szCs w:val="22"/>
          </w:rPr>
          <w:t>MoJ Victims Code 2020 (publishing.service.gov.uk)</w:t>
        </w:r>
      </w:hyperlink>
    </w:p>
    <w:p w14:paraId="4F9E796B" w14:textId="60EF252F" w:rsidR="00845376" w:rsidRDefault="00845376" w:rsidP="009A575E">
      <w:pPr>
        <w:keepNext/>
        <w:spacing w:before="240" w:after="60"/>
        <w:ind w:right="237"/>
        <w:rPr>
          <w:sz w:val="22"/>
          <w:szCs w:val="22"/>
        </w:rPr>
      </w:pPr>
      <w:r>
        <w:rPr>
          <w:sz w:val="22"/>
          <w:szCs w:val="22"/>
        </w:rPr>
        <w:t xml:space="preserve">Police and criminal evidence act 1984, Code G, accessed 05/08/2024: </w:t>
      </w:r>
      <w:hyperlink w:history="1">
        <w:r w:rsidRPr="003761FD">
          <w:rPr>
            <w:rStyle w:val="Hyperlink"/>
            <w:sz w:val="22"/>
            <w:szCs w:val="22"/>
          </w:rPr>
          <w:t>PACE Code G 2012 (accessible) - GOV.UK (www.gov.uk)</w:t>
        </w:r>
      </w:hyperlink>
    </w:p>
    <w:p w14:paraId="0DA4E55A" w14:textId="05100B7C" w:rsidR="00845376" w:rsidRDefault="00845376" w:rsidP="009A575E">
      <w:pPr>
        <w:keepNext/>
        <w:spacing w:before="240" w:after="60"/>
        <w:ind w:right="237"/>
        <w:rPr>
          <w:sz w:val="22"/>
          <w:szCs w:val="22"/>
        </w:rPr>
      </w:pPr>
      <w:r>
        <w:rPr>
          <w:sz w:val="22"/>
          <w:szCs w:val="22"/>
        </w:rPr>
        <w:t>Police and criminal evidence act 1984</w:t>
      </w:r>
      <w:r>
        <w:rPr>
          <w:sz w:val="22"/>
          <w:szCs w:val="22"/>
        </w:rPr>
        <w:t xml:space="preserve">, </w:t>
      </w:r>
      <w:r>
        <w:rPr>
          <w:sz w:val="22"/>
          <w:szCs w:val="22"/>
        </w:rPr>
        <w:t>accessed 05/08/2024</w:t>
      </w:r>
      <w:r>
        <w:rPr>
          <w:sz w:val="22"/>
          <w:szCs w:val="22"/>
        </w:rPr>
        <w:t xml:space="preserve">: </w:t>
      </w:r>
      <w:hyperlink r:id="rId25" w:anchor=":~:text=32%20Search%20upon%20arrest.&amp;text=(1)A%20constable%20may%20search,danger%20to%20himself%20or%20others." w:history="1">
        <w:r w:rsidRPr="004E71F1">
          <w:rPr>
            <w:rStyle w:val="Hyperlink"/>
            <w:sz w:val="22"/>
            <w:szCs w:val="22"/>
          </w:rPr>
          <w:t>Police and Criminal Evidence Act 1984 (legislation.gov.uk)</w:t>
        </w:r>
      </w:hyperlink>
    </w:p>
    <w:p w14:paraId="09FF5B41" w14:textId="77777777" w:rsidR="00845376" w:rsidRPr="009A575E" w:rsidRDefault="00845376" w:rsidP="009A575E">
      <w:pPr>
        <w:keepNext/>
        <w:spacing w:before="240" w:after="60"/>
        <w:ind w:right="237"/>
        <w:rPr>
          <w:sz w:val="22"/>
          <w:szCs w:val="22"/>
        </w:rPr>
      </w:pPr>
      <w:r w:rsidRPr="009A575E">
        <w:rPr>
          <w:sz w:val="22"/>
          <w:szCs w:val="22"/>
        </w:rPr>
        <w:t xml:space="preserve">The Data Protection ACT 2018, accessed 05/08/2024, </w:t>
      </w:r>
      <w:hyperlink w:history="1">
        <w:r w:rsidRPr="009A575E">
          <w:rPr>
            <w:rStyle w:val="Hyperlink"/>
            <w:sz w:val="22"/>
            <w:szCs w:val="22"/>
          </w:rPr>
          <w:t>Data protection: The Data Protection Act - GOV.UK (www.gov.uk)</w:t>
        </w:r>
      </w:hyperlink>
    </w:p>
    <w:p w14:paraId="245C90E0" w14:textId="77777777" w:rsidR="00845376" w:rsidRDefault="00845376" w:rsidP="009A575E">
      <w:pPr>
        <w:keepNext/>
        <w:spacing w:before="240" w:after="60"/>
        <w:ind w:right="237"/>
        <w:rPr>
          <w:sz w:val="22"/>
          <w:szCs w:val="22"/>
        </w:rPr>
      </w:pPr>
      <w:r w:rsidRPr="009A575E">
        <w:rPr>
          <w:sz w:val="22"/>
          <w:szCs w:val="22"/>
        </w:rPr>
        <w:t xml:space="preserve">UNICEF, United Nations convention for the rights of the child 1989 accessed 05/08/2024, </w:t>
      </w:r>
      <w:hyperlink r:id="rId26" w:history="1">
        <w:r w:rsidRPr="009A575E">
          <w:rPr>
            <w:rStyle w:val="Hyperlink"/>
            <w:sz w:val="22"/>
            <w:szCs w:val="22"/>
          </w:rPr>
          <w:t>UNCRC_summary-1_1.pdf (unicef.org.uk)</w:t>
        </w:r>
      </w:hyperlink>
    </w:p>
    <w:p w14:paraId="0E2EA710" w14:textId="77777777" w:rsidR="00845376" w:rsidRPr="00766539" w:rsidRDefault="00845376" w:rsidP="00766539">
      <w:pPr>
        <w:keepNext/>
        <w:spacing w:before="240" w:after="60"/>
        <w:ind w:right="237"/>
        <w:rPr>
          <w:sz w:val="22"/>
          <w:szCs w:val="22"/>
        </w:rPr>
      </w:pPr>
      <w:r w:rsidRPr="00766539">
        <w:rPr>
          <w:sz w:val="22"/>
          <w:szCs w:val="22"/>
        </w:rPr>
        <w:t xml:space="preserve">Williams, J., Nelson-Gardell, D., Coulborn Faller, K., Tishelman, A., &amp; Cordisco-Steele, L. (2014). Is There a Place for Extended Assessments in Addressing Child Sexual Abuse Allegations? How Sensitivity and Specificity Impact Professional Perspectives. </w:t>
      </w:r>
      <w:r w:rsidRPr="00766539">
        <w:rPr>
          <w:i/>
          <w:iCs/>
          <w:sz w:val="22"/>
          <w:szCs w:val="22"/>
        </w:rPr>
        <w:t>Journal of Child Sexual Abuse</w:t>
      </w:r>
      <w:r w:rsidRPr="00766539">
        <w:rPr>
          <w:sz w:val="22"/>
          <w:szCs w:val="22"/>
        </w:rPr>
        <w:t xml:space="preserve">, </w:t>
      </w:r>
      <w:r w:rsidRPr="00766539">
        <w:rPr>
          <w:i/>
          <w:iCs/>
          <w:sz w:val="22"/>
          <w:szCs w:val="22"/>
        </w:rPr>
        <w:t>23</w:t>
      </w:r>
      <w:r w:rsidRPr="00766539">
        <w:rPr>
          <w:sz w:val="22"/>
          <w:szCs w:val="22"/>
        </w:rPr>
        <w:t>(2), 179–197. https://doi.org/10.1080/10538712.2014.871380</w:t>
      </w:r>
    </w:p>
    <w:sectPr w:rsidR="00845376" w:rsidRPr="0076653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D746FD" w14:textId="77777777" w:rsidR="0009784E" w:rsidRDefault="0009784E">
      <w:r>
        <w:separator/>
      </w:r>
    </w:p>
  </w:endnote>
  <w:endnote w:type="continuationSeparator" w:id="0">
    <w:p w14:paraId="4D3EB51F" w14:textId="77777777" w:rsidR="0009784E" w:rsidRDefault="0009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20980D" w14:textId="77777777" w:rsidR="0009784E" w:rsidRDefault="0009784E">
      <w:r>
        <w:separator/>
      </w:r>
    </w:p>
  </w:footnote>
  <w:footnote w:type="continuationSeparator" w:id="0">
    <w:p w14:paraId="086C8A19" w14:textId="77777777" w:rsidR="0009784E" w:rsidRDefault="00097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7"/>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4"/>
  </w:num>
  <w:num w:numId="6" w16cid:durableId="1535117422">
    <w:abstractNumId w:val="46"/>
  </w:num>
  <w:num w:numId="7" w16cid:durableId="497159976">
    <w:abstractNumId w:val="34"/>
  </w:num>
  <w:num w:numId="8" w16cid:durableId="1969892037">
    <w:abstractNumId w:val="32"/>
  </w:num>
  <w:num w:numId="9" w16cid:durableId="1373725377">
    <w:abstractNumId w:val="29"/>
  </w:num>
  <w:num w:numId="10" w16cid:durableId="825324590">
    <w:abstractNumId w:val="30"/>
  </w:num>
  <w:num w:numId="11" w16cid:durableId="813445957">
    <w:abstractNumId w:val="9"/>
  </w:num>
  <w:num w:numId="12" w16cid:durableId="232394586">
    <w:abstractNumId w:val="33"/>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0"/>
  </w:num>
  <w:num w:numId="28" w16cid:durableId="66197777">
    <w:abstractNumId w:val="35"/>
  </w:num>
  <w:num w:numId="29" w16cid:durableId="1127815727">
    <w:abstractNumId w:val="39"/>
  </w:num>
  <w:num w:numId="30" w16cid:durableId="1139540040">
    <w:abstractNumId w:val="20"/>
  </w:num>
  <w:num w:numId="31" w16cid:durableId="34090301">
    <w:abstractNumId w:val="42"/>
  </w:num>
  <w:num w:numId="32" w16cid:durableId="222646112">
    <w:abstractNumId w:val="31"/>
  </w:num>
  <w:num w:numId="33" w16cid:durableId="2043940194">
    <w:abstractNumId w:val="12"/>
  </w:num>
  <w:num w:numId="34" w16cid:durableId="1879196244">
    <w:abstractNumId w:val="43"/>
  </w:num>
  <w:num w:numId="35" w16cid:durableId="682361466">
    <w:abstractNumId w:val="38"/>
  </w:num>
  <w:num w:numId="36" w16cid:durableId="1977442909">
    <w:abstractNumId w:val="4"/>
  </w:num>
  <w:num w:numId="37" w16cid:durableId="1583488633">
    <w:abstractNumId w:val="45"/>
  </w:num>
  <w:num w:numId="38" w16cid:durableId="440271129">
    <w:abstractNumId w:val="41"/>
  </w:num>
  <w:num w:numId="39" w16cid:durableId="738553744">
    <w:abstractNumId w:val="36"/>
  </w:num>
  <w:num w:numId="40" w16cid:durableId="1665820156">
    <w:abstractNumId w:val="37"/>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717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84E"/>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47ED3"/>
    <w:rsid w:val="00150794"/>
    <w:rsid w:val="001608C4"/>
    <w:rsid w:val="00171418"/>
    <w:rsid w:val="00190913"/>
    <w:rsid w:val="001961CF"/>
    <w:rsid w:val="001A59BB"/>
    <w:rsid w:val="001A6A51"/>
    <w:rsid w:val="001A79C4"/>
    <w:rsid w:val="001B331A"/>
    <w:rsid w:val="001C0E74"/>
    <w:rsid w:val="001C6CEC"/>
    <w:rsid w:val="001D229F"/>
    <w:rsid w:val="001D270E"/>
    <w:rsid w:val="001D6162"/>
    <w:rsid w:val="001E0690"/>
    <w:rsid w:val="001E6FAD"/>
    <w:rsid w:val="001E7592"/>
    <w:rsid w:val="001F3878"/>
    <w:rsid w:val="001F4552"/>
    <w:rsid w:val="002019EB"/>
    <w:rsid w:val="002030F2"/>
    <w:rsid w:val="00205051"/>
    <w:rsid w:val="00211695"/>
    <w:rsid w:val="00211F65"/>
    <w:rsid w:val="00213A97"/>
    <w:rsid w:val="0022001B"/>
    <w:rsid w:val="00220D06"/>
    <w:rsid w:val="002211D6"/>
    <w:rsid w:val="002219BA"/>
    <w:rsid w:val="002246A0"/>
    <w:rsid w:val="00224AF9"/>
    <w:rsid w:val="00230439"/>
    <w:rsid w:val="00233353"/>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5E7"/>
    <w:rsid w:val="002D2F29"/>
    <w:rsid w:val="002D2FD3"/>
    <w:rsid w:val="002E7017"/>
    <w:rsid w:val="002F4F6E"/>
    <w:rsid w:val="003015C3"/>
    <w:rsid w:val="00301741"/>
    <w:rsid w:val="0030698D"/>
    <w:rsid w:val="0031350A"/>
    <w:rsid w:val="00316815"/>
    <w:rsid w:val="003168CA"/>
    <w:rsid w:val="00321255"/>
    <w:rsid w:val="00321595"/>
    <w:rsid w:val="0032230D"/>
    <w:rsid w:val="00322A0B"/>
    <w:rsid w:val="00332EEF"/>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6C38"/>
    <w:rsid w:val="0039762B"/>
    <w:rsid w:val="003A0C37"/>
    <w:rsid w:val="003A12E3"/>
    <w:rsid w:val="003A1B6B"/>
    <w:rsid w:val="003A2F82"/>
    <w:rsid w:val="003A46C0"/>
    <w:rsid w:val="003A600E"/>
    <w:rsid w:val="003A6513"/>
    <w:rsid w:val="003B16C7"/>
    <w:rsid w:val="003B657E"/>
    <w:rsid w:val="003C19F1"/>
    <w:rsid w:val="003C4186"/>
    <w:rsid w:val="003C458C"/>
    <w:rsid w:val="003C5988"/>
    <w:rsid w:val="003C6185"/>
    <w:rsid w:val="003D0D2D"/>
    <w:rsid w:val="003D31C4"/>
    <w:rsid w:val="003D4710"/>
    <w:rsid w:val="003E16D7"/>
    <w:rsid w:val="003E197E"/>
    <w:rsid w:val="004046F0"/>
    <w:rsid w:val="00404795"/>
    <w:rsid w:val="0040668F"/>
    <w:rsid w:val="00412677"/>
    <w:rsid w:val="00417925"/>
    <w:rsid w:val="00425A4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3BFC"/>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1F1"/>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2305C"/>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16F"/>
    <w:rsid w:val="00684B16"/>
    <w:rsid w:val="00690A50"/>
    <w:rsid w:val="00694C00"/>
    <w:rsid w:val="00696F65"/>
    <w:rsid w:val="006A7A6D"/>
    <w:rsid w:val="006B5E67"/>
    <w:rsid w:val="006C2EB5"/>
    <w:rsid w:val="006C3F19"/>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6425"/>
    <w:rsid w:val="0075704F"/>
    <w:rsid w:val="00763B2D"/>
    <w:rsid w:val="00766539"/>
    <w:rsid w:val="00772924"/>
    <w:rsid w:val="00784EC4"/>
    <w:rsid w:val="007872F2"/>
    <w:rsid w:val="007874BC"/>
    <w:rsid w:val="007908E0"/>
    <w:rsid w:val="00793EB3"/>
    <w:rsid w:val="00794205"/>
    <w:rsid w:val="00797012"/>
    <w:rsid w:val="007A1F6A"/>
    <w:rsid w:val="007B0DE3"/>
    <w:rsid w:val="007B1F3E"/>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5376"/>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00EC"/>
    <w:rsid w:val="008C14C7"/>
    <w:rsid w:val="008C1C6A"/>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370AE"/>
    <w:rsid w:val="009544C0"/>
    <w:rsid w:val="00954FA4"/>
    <w:rsid w:val="00956AE9"/>
    <w:rsid w:val="00964CC6"/>
    <w:rsid w:val="00991FDA"/>
    <w:rsid w:val="009927A1"/>
    <w:rsid w:val="0099774D"/>
    <w:rsid w:val="009A310E"/>
    <w:rsid w:val="009A575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2EE2"/>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4264"/>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B7A20"/>
    <w:rsid w:val="00CC02F1"/>
    <w:rsid w:val="00CC11A6"/>
    <w:rsid w:val="00CC135E"/>
    <w:rsid w:val="00CC5C3A"/>
    <w:rsid w:val="00CD0900"/>
    <w:rsid w:val="00CD5D3F"/>
    <w:rsid w:val="00CF1E90"/>
    <w:rsid w:val="00CF3DB3"/>
    <w:rsid w:val="00CF79E7"/>
    <w:rsid w:val="00D052BC"/>
    <w:rsid w:val="00D05E7F"/>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08B3"/>
    <w:rsid w:val="00DC4729"/>
    <w:rsid w:val="00DE556F"/>
    <w:rsid w:val="00E03B6D"/>
    <w:rsid w:val="00E0649E"/>
    <w:rsid w:val="00E17160"/>
    <w:rsid w:val="00E211BF"/>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2F61"/>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690A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077479">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630939109">
      <w:bodyDiv w:val="1"/>
      <w:marLeft w:val="0"/>
      <w:marRight w:val="0"/>
      <w:marTop w:val="0"/>
      <w:marBottom w:val="0"/>
      <w:divBdr>
        <w:top w:val="none" w:sz="0" w:space="0" w:color="auto"/>
        <w:left w:val="none" w:sz="0" w:space="0" w:color="auto"/>
        <w:bottom w:val="none" w:sz="0" w:space="0" w:color="auto"/>
        <w:right w:val="none" w:sz="0" w:space="0" w:color="auto"/>
      </w:divBdr>
    </w:div>
    <w:div w:id="830298059">
      <w:bodyDiv w:val="1"/>
      <w:marLeft w:val="0"/>
      <w:marRight w:val="0"/>
      <w:marTop w:val="0"/>
      <w:marBottom w:val="0"/>
      <w:divBdr>
        <w:top w:val="none" w:sz="0" w:space="0" w:color="auto"/>
        <w:left w:val="none" w:sz="0" w:space="0" w:color="auto"/>
        <w:bottom w:val="none" w:sz="0" w:space="0" w:color="auto"/>
        <w:right w:val="none" w:sz="0" w:space="0" w:color="auto"/>
      </w:divBdr>
    </w:div>
    <w:div w:id="875968290">
      <w:bodyDiv w:val="1"/>
      <w:marLeft w:val="0"/>
      <w:marRight w:val="0"/>
      <w:marTop w:val="0"/>
      <w:marBottom w:val="0"/>
      <w:divBdr>
        <w:top w:val="none" w:sz="0" w:space="0" w:color="auto"/>
        <w:left w:val="none" w:sz="0" w:space="0" w:color="auto"/>
        <w:bottom w:val="none" w:sz="0" w:space="0" w:color="auto"/>
        <w:right w:val="none" w:sz="0" w:space="0" w:color="auto"/>
      </w:divBdr>
    </w:div>
    <w:div w:id="986589409">
      <w:bodyDiv w:val="1"/>
      <w:marLeft w:val="0"/>
      <w:marRight w:val="0"/>
      <w:marTop w:val="0"/>
      <w:marBottom w:val="0"/>
      <w:divBdr>
        <w:top w:val="none" w:sz="0" w:space="0" w:color="auto"/>
        <w:left w:val="none" w:sz="0" w:space="0" w:color="auto"/>
        <w:bottom w:val="none" w:sz="0" w:space="0" w:color="auto"/>
        <w:right w:val="none" w:sz="0" w:space="0" w:color="auto"/>
      </w:divBdr>
      <w:divsChild>
        <w:div w:id="1646085934">
          <w:marLeft w:val="0"/>
          <w:marRight w:val="0"/>
          <w:marTop w:val="0"/>
          <w:marBottom w:val="0"/>
          <w:divBdr>
            <w:top w:val="none" w:sz="0" w:space="0" w:color="auto"/>
            <w:left w:val="none" w:sz="0" w:space="0" w:color="auto"/>
            <w:bottom w:val="none" w:sz="0" w:space="0" w:color="auto"/>
            <w:right w:val="none" w:sz="0" w:space="0" w:color="auto"/>
          </w:divBdr>
          <w:divsChild>
            <w:div w:id="36467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40682851">
      <w:bodyDiv w:val="1"/>
      <w:marLeft w:val="0"/>
      <w:marRight w:val="0"/>
      <w:marTop w:val="0"/>
      <w:marBottom w:val="0"/>
      <w:divBdr>
        <w:top w:val="none" w:sz="0" w:space="0" w:color="auto"/>
        <w:left w:val="none" w:sz="0" w:space="0" w:color="auto"/>
        <w:bottom w:val="none" w:sz="0" w:space="0" w:color="auto"/>
        <w:right w:val="none" w:sz="0" w:space="0" w:color="auto"/>
      </w:divBdr>
      <w:divsChild>
        <w:div w:id="1281952931">
          <w:marLeft w:val="0"/>
          <w:marRight w:val="0"/>
          <w:marTop w:val="0"/>
          <w:marBottom w:val="0"/>
          <w:divBdr>
            <w:top w:val="none" w:sz="0" w:space="0" w:color="auto"/>
            <w:left w:val="none" w:sz="0" w:space="0" w:color="auto"/>
            <w:bottom w:val="none" w:sz="0" w:space="0" w:color="auto"/>
            <w:right w:val="none" w:sz="0" w:space="0" w:color="auto"/>
          </w:divBdr>
          <w:divsChild>
            <w:div w:id="69076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65959962">
      <w:bodyDiv w:val="1"/>
      <w:marLeft w:val="0"/>
      <w:marRight w:val="0"/>
      <w:marTop w:val="0"/>
      <w:marBottom w:val="0"/>
      <w:divBdr>
        <w:top w:val="none" w:sz="0" w:space="0" w:color="auto"/>
        <w:left w:val="none" w:sz="0" w:space="0" w:color="auto"/>
        <w:bottom w:val="none" w:sz="0" w:space="0" w:color="auto"/>
        <w:right w:val="none" w:sz="0" w:space="0" w:color="auto"/>
      </w:divBdr>
      <w:divsChild>
        <w:div w:id="289869860">
          <w:marLeft w:val="0"/>
          <w:marRight w:val="0"/>
          <w:marTop w:val="0"/>
          <w:marBottom w:val="0"/>
          <w:divBdr>
            <w:top w:val="none" w:sz="0" w:space="0" w:color="auto"/>
            <w:left w:val="none" w:sz="0" w:space="0" w:color="auto"/>
            <w:bottom w:val="none" w:sz="0" w:space="0" w:color="auto"/>
            <w:right w:val="none" w:sz="0" w:space="0" w:color="auto"/>
          </w:divBdr>
          <w:divsChild>
            <w:div w:id="25490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253664">
      <w:bodyDiv w:val="1"/>
      <w:marLeft w:val="0"/>
      <w:marRight w:val="0"/>
      <w:marTop w:val="0"/>
      <w:marBottom w:val="0"/>
      <w:divBdr>
        <w:top w:val="none" w:sz="0" w:space="0" w:color="auto"/>
        <w:left w:val="none" w:sz="0" w:space="0" w:color="auto"/>
        <w:bottom w:val="none" w:sz="0" w:space="0" w:color="auto"/>
        <w:right w:val="none" w:sz="0" w:space="0" w:color="auto"/>
      </w:divBdr>
    </w:div>
    <w:div w:id="1599674883">
      <w:bodyDiv w:val="1"/>
      <w:marLeft w:val="0"/>
      <w:marRight w:val="0"/>
      <w:marTop w:val="0"/>
      <w:marBottom w:val="0"/>
      <w:divBdr>
        <w:top w:val="none" w:sz="0" w:space="0" w:color="auto"/>
        <w:left w:val="none" w:sz="0" w:space="0" w:color="auto"/>
        <w:bottom w:val="none" w:sz="0" w:space="0" w:color="auto"/>
        <w:right w:val="none" w:sz="0" w:space="0" w:color="auto"/>
      </w:divBdr>
      <w:divsChild>
        <w:div w:id="797456607">
          <w:marLeft w:val="0"/>
          <w:marRight w:val="0"/>
          <w:marTop w:val="0"/>
          <w:marBottom w:val="0"/>
          <w:divBdr>
            <w:top w:val="none" w:sz="0" w:space="0" w:color="auto"/>
            <w:left w:val="none" w:sz="0" w:space="0" w:color="auto"/>
            <w:bottom w:val="none" w:sz="0" w:space="0" w:color="auto"/>
            <w:right w:val="none" w:sz="0" w:space="0" w:color="auto"/>
          </w:divBdr>
          <w:divsChild>
            <w:div w:id="58962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778103">
      <w:bodyDiv w:val="1"/>
      <w:marLeft w:val="0"/>
      <w:marRight w:val="0"/>
      <w:marTop w:val="0"/>
      <w:marBottom w:val="0"/>
      <w:divBdr>
        <w:top w:val="none" w:sz="0" w:space="0" w:color="auto"/>
        <w:left w:val="none" w:sz="0" w:space="0" w:color="auto"/>
        <w:bottom w:val="none" w:sz="0" w:space="0" w:color="auto"/>
        <w:right w:val="none" w:sz="0" w:space="0" w:color="auto"/>
      </w:divBdr>
      <w:divsChild>
        <w:div w:id="1080441165">
          <w:marLeft w:val="0"/>
          <w:marRight w:val="0"/>
          <w:marTop w:val="0"/>
          <w:marBottom w:val="0"/>
          <w:divBdr>
            <w:top w:val="none" w:sz="0" w:space="0" w:color="auto"/>
            <w:left w:val="none" w:sz="0" w:space="0" w:color="auto"/>
            <w:bottom w:val="none" w:sz="0" w:space="0" w:color="auto"/>
            <w:right w:val="none" w:sz="0" w:space="0" w:color="auto"/>
          </w:divBdr>
          <w:divsChild>
            <w:div w:id="105173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66941613">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85355494">
      <w:bodyDiv w:val="1"/>
      <w:marLeft w:val="0"/>
      <w:marRight w:val="0"/>
      <w:marTop w:val="0"/>
      <w:marBottom w:val="0"/>
      <w:divBdr>
        <w:top w:val="none" w:sz="0" w:space="0" w:color="auto"/>
        <w:left w:val="none" w:sz="0" w:space="0" w:color="auto"/>
        <w:bottom w:val="none" w:sz="0" w:space="0" w:color="auto"/>
        <w:right w:val="none" w:sz="0" w:space="0" w:color="auto"/>
      </w:divBdr>
      <w:divsChild>
        <w:div w:id="1901671758">
          <w:marLeft w:val="0"/>
          <w:marRight w:val="0"/>
          <w:marTop w:val="0"/>
          <w:marBottom w:val="0"/>
          <w:divBdr>
            <w:top w:val="none" w:sz="0" w:space="0" w:color="auto"/>
            <w:left w:val="none" w:sz="0" w:space="0" w:color="auto"/>
            <w:bottom w:val="none" w:sz="0" w:space="0" w:color="auto"/>
            <w:right w:val="none" w:sz="0" w:space="0" w:color="auto"/>
          </w:divBdr>
          <w:divsChild>
            <w:div w:id="185934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unicef.org.uk/wp-content/uploads/2019/10/UNCRC_summary-1_1.pdf" TargetMode="External"/><Relationship Id="rId3" Type="http://schemas.openxmlformats.org/officeDocument/2006/relationships/customXml" Target="../customXml/item3.xml"/><Relationship Id="rId21" Type="http://schemas.openxmlformats.org/officeDocument/2006/relationships/hyperlink" Target="https://www.legislation.gov.uk/ukpga/1976/63/content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legislation.gov.uk/ukpga/1984/60/section/32"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publishing.service.gov.uk/government/uploads/system/uploads/attachment_data/file/974376/victims-code-2020.pdf"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legislation.gov.uk/ukpga/1998/42/schedule/1/part/I/chapter/5"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legislation.gov.uk/ukpga/1989/41/section/46"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13</Pages>
  <Words>5005</Words>
  <Characters>26719</Characters>
  <Application>Microsoft Office Word</Application>
  <DocSecurity>0</DocSecurity>
  <Lines>222</Lines>
  <Paragraphs>63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Aida Hjerto</cp:lastModifiedBy>
  <cp:revision>13</cp:revision>
  <cp:lastPrinted>2014-08-26T08:55:00Z</cp:lastPrinted>
  <dcterms:created xsi:type="dcterms:W3CDTF">2023-09-25T13:11:00Z</dcterms:created>
  <dcterms:modified xsi:type="dcterms:W3CDTF">2024-08-05T19:34:00Z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