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0442" w:rsidRDefault="008A6749" w:rsidP="00AF2FB6">
      <w:pPr>
        <w:pStyle w:val="Heading2"/>
        <w:rPr>
          <w:shd w:val="clear" w:color="auto" w:fill="FFFFFF"/>
        </w:rPr>
      </w:pPr>
      <w:r>
        <w:rPr>
          <w:shd w:val="clear" w:color="auto" w:fill="FFFFFF"/>
        </w:rPr>
        <w:t>The work of a heritage professional is happening in varied networks. Taking this as premise, critically discuss communication theories and their application as a central part of the daily work in museums.</w:t>
      </w:r>
    </w:p>
    <w:p w:rsidR="00AF2FB6" w:rsidRPr="00AF2FB6" w:rsidRDefault="00AF2FB6" w:rsidP="00AF2FB6"/>
    <w:p w:rsidR="00A357F3" w:rsidRPr="00BC3435" w:rsidRDefault="00A357F3" w:rsidP="00A357F3">
      <w:pPr>
        <w:rPr>
          <w:shd w:val="clear" w:color="auto" w:fill="FFFFFF"/>
        </w:rPr>
      </w:pPr>
      <w:r w:rsidRPr="00BC3435">
        <w:rPr>
          <w:shd w:val="clear" w:color="auto" w:fill="FFFFFF"/>
        </w:rPr>
        <w:t>Communication is an important aspect of running a museum. Communication occurs not just between the museum and its visitors, but also between individuals within the organisations and those from outside who have a stake in the museum, such as funders. Communication theory is a way in which these networks of individuals can be better understood. While communication theories are useful,</w:t>
      </w:r>
      <w:r w:rsidR="0040582D" w:rsidRPr="00BC3435">
        <w:rPr>
          <w:shd w:val="clear" w:color="auto" w:fill="FFFFFF"/>
        </w:rPr>
        <w:t xml:space="preserve"> and can be applied in various ways to the museum sector,</w:t>
      </w:r>
      <w:r w:rsidRPr="00BC3435">
        <w:rPr>
          <w:shd w:val="clear" w:color="auto" w:fill="FFFFFF"/>
        </w:rPr>
        <w:t xml:space="preserve"> they are not necessarily vital to the daily work of museums. This paper will consider to what extent </w:t>
      </w:r>
      <w:r w:rsidR="00EE3BD1" w:rsidRPr="00BC3435">
        <w:rPr>
          <w:shd w:val="clear" w:color="auto" w:fill="FFFFFF"/>
        </w:rPr>
        <w:t>communication</w:t>
      </w:r>
      <w:r w:rsidRPr="00BC3435">
        <w:rPr>
          <w:shd w:val="clear" w:color="auto" w:fill="FFFFFF"/>
        </w:rPr>
        <w:t xml:space="preserve"> theory can be applied to the daily work of museums</w:t>
      </w:r>
      <w:r w:rsidR="00EE3BD1" w:rsidRPr="00BC3435">
        <w:rPr>
          <w:shd w:val="clear" w:color="auto" w:fill="FFFFFF"/>
        </w:rPr>
        <w:t xml:space="preserve">, and what use they are to the people partaking in this work. </w:t>
      </w:r>
    </w:p>
    <w:p w:rsidR="008A6749" w:rsidRPr="00BC3435" w:rsidRDefault="00EC4FEE">
      <w:r w:rsidRPr="00BC3435">
        <w:t>Communication theory</w:t>
      </w:r>
      <w:r w:rsidR="00255B64" w:rsidRPr="00BC3435">
        <w:t>, as used in the sociological form that is applied to museums,</w:t>
      </w:r>
      <w:r w:rsidRPr="00BC3435">
        <w:t xml:space="preserve"> is the term for the study of interpersonal communication. </w:t>
      </w:r>
      <w:r w:rsidR="00A357F3" w:rsidRPr="00BC3435">
        <w:t xml:space="preserve">Communication theory deals with the understanding of various networks of communication as a whole, rather than the act or method of communication itself on an individual basis. </w:t>
      </w:r>
    </w:p>
    <w:p w:rsidR="00FC172C" w:rsidRPr="00BC3435" w:rsidRDefault="00EE3BD1">
      <w:r w:rsidRPr="00BC3435">
        <w:t xml:space="preserve">The application of communication theory to museums has its origins in the 1970s. These initial theories relied on a simple, ‘transmission’ theory, with one party sending a message via a medium to a passive receiver. </w:t>
      </w:r>
      <w:r w:rsidR="00283A0E" w:rsidRPr="00BC3435">
        <w:t>Later models built upon this idea by introducing a ‘source’, ‘destination’ and the concept of ‘noise’, with noise being anything that can interfere with the transmission of information, such as preconceived ideas of the receiver (Hooper-Greenhill 1994</w:t>
      </w:r>
      <w:r w:rsidR="006A7DF7" w:rsidRPr="00BC3435">
        <w:t>: 40-44</w:t>
      </w:r>
      <w:r w:rsidR="00283A0E" w:rsidRPr="00BC3435">
        <w:t>, 199</w:t>
      </w:r>
      <w:r w:rsidR="00A545E7" w:rsidRPr="00BC3435">
        <w:t>9</w:t>
      </w:r>
      <w:r w:rsidR="00283A0E" w:rsidRPr="00BC3435">
        <w:t xml:space="preserve">). These simple transmission models were then improved upon </w:t>
      </w:r>
      <w:r w:rsidR="00B04E8E" w:rsidRPr="00BC3435">
        <w:t xml:space="preserve">to allow for feedback from the recipient to the sender to be included. </w:t>
      </w:r>
      <w:r w:rsidR="00FC172C" w:rsidRPr="00BC3435">
        <w:t>From these simple models</w:t>
      </w:r>
      <w:r w:rsidR="00FF7980" w:rsidRPr="00BC3435">
        <w:t>,</w:t>
      </w:r>
      <w:r w:rsidR="00FC172C" w:rsidRPr="00BC3435">
        <w:t xml:space="preserve"> </w:t>
      </w:r>
      <w:r w:rsidR="002E1D45" w:rsidRPr="00BC3435">
        <w:t>more</w:t>
      </w:r>
      <w:r w:rsidR="00FC172C" w:rsidRPr="00BC3435">
        <w:t xml:space="preserve"> complex models have been developed which could be labelled as cultural communication, models of communication that are based on the theory that communication is a social phenomenon that is continuous and reliant on the previous experiences of the participants. These later models include networks of contacts where information flows freely between participants, and hierarchical chains, which involves downward flow of information from one source to many receivers via different channels (Hooper-Greenhill 1994</w:t>
      </w:r>
      <w:r w:rsidR="002C17E0" w:rsidRPr="00BC3435">
        <w:t>: 40-44</w:t>
      </w:r>
      <w:r w:rsidR="00FC172C" w:rsidRPr="00BC3435">
        <w:t>, 199</w:t>
      </w:r>
      <w:r w:rsidR="006A7DF7" w:rsidRPr="00BC3435">
        <w:t>9</w:t>
      </w:r>
      <w:r w:rsidR="00FC172C" w:rsidRPr="00BC3435">
        <w:t>).</w:t>
      </w:r>
    </w:p>
    <w:p w:rsidR="00F95A73" w:rsidRPr="00BC3435" w:rsidRDefault="00701476">
      <w:r w:rsidRPr="00BC3435">
        <w:t>Museums can be considered as a form of mass media</w:t>
      </w:r>
      <w:r w:rsidR="00FF7980" w:rsidRPr="00BC3435">
        <w:t>;</w:t>
      </w:r>
      <w:r w:rsidRPr="00BC3435">
        <w:t xml:space="preserve"> they have the ability to disseminate knowledge to large group</w:t>
      </w:r>
      <w:r w:rsidR="00FF7980" w:rsidRPr="00BC3435">
        <w:t>s</w:t>
      </w:r>
      <w:r w:rsidRPr="00BC3435">
        <w:t xml:space="preserve"> of people, and use a variety of techniques and methodologies to achieve this. As a form of media, communication is therefore an important aspect of the role of a museum (Henning</w:t>
      </w:r>
      <w:r w:rsidR="002C17E0" w:rsidRPr="00BC3435">
        <w:t xml:space="preserve"> 2006</w:t>
      </w:r>
      <w:r w:rsidRPr="00BC3435">
        <w:t>, Silverstone</w:t>
      </w:r>
      <w:r w:rsidR="00CA7920" w:rsidRPr="00BC3435">
        <w:t xml:space="preserve"> 1989</w:t>
      </w:r>
      <w:r w:rsidRPr="00BC3435">
        <w:t xml:space="preserve">). Since the </w:t>
      </w:r>
      <w:r w:rsidR="000356DD" w:rsidRPr="00BC3435">
        <w:t>mid-1980s</w:t>
      </w:r>
      <w:r w:rsidRPr="00BC3435">
        <w:t xml:space="preserve"> museums have become more aware of the importance of communication, not just </w:t>
      </w:r>
      <w:r w:rsidR="00C8318F" w:rsidRPr="00BC3435">
        <w:t>within the institutional setting but with</w:t>
      </w:r>
      <w:r w:rsidR="00FF7980" w:rsidRPr="00BC3435">
        <w:t>in</w:t>
      </w:r>
      <w:r w:rsidR="00C8318F" w:rsidRPr="00BC3435">
        <w:t xml:space="preserve"> the public realm too. Public relations, marketing and audience feedback have become important to museums. </w:t>
      </w:r>
      <w:r w:rsidR="00A02DC8" w:rsidRPr="00BC3435">
        <w:t>As early as</w:t>
      </w:r>
      <w:r w:rsidR="00C8318F" w:rsidRPr="00BC3435">
        <w:t xml:space="preserve"> 1983 GD Adams published </w:t>
      </w:r>
      <w:r w:rsidR="00C8318F" w:rsidRPr="00BC3435">
        <w:rPr>
          <w:i/>
        </w:rPr>
        <w:t>Museum Public Relations</w:t>
      </w:r>
      <w:r w:rsidR="00C8318F" w:rsidRPr="00BC3435">
        <w:t xml:space="preserve"> (</w:t>
      </w:r>
      <w:r w:rsidR="00C10A9F" w:rsidRPr="00BC3435">
        <w:t>Chung 2018</w:t>
      </w:r>
      <w:r w:rsidR="00C8318F" w:rsidRPr="00BC3435">
        <w:t>), and in 1985 Roger Miles introduced the idea of using visitor feedback into exhibition design (H</w:t>
      </w:r>
      <w:r w:rsidR="00C10A9F" w:rsidRPr="00BC3435">
        <w:t>ooper-</w:t>
      </w:r>
      <w:r w:rsidR="00C8318F" w:rsidRPr="00BC3435">
        <w:t>G</w:t>
      </w:r>
      <w:r w:rsidR="00C10A9F" w:rsidRPr="00BC3435">
        <w:t>reenhill 1999</w:t>
      </w:r>
      <w:r w:rsidR="00C8318F" w:rsidRPr="00BC3435">
        <w:t>). Since then many books and guidelines have been published offering advice and instruction as to how to achieve good public relations in the museum sector (</w:t>
      </w:r>
      <w:r w:rsidR="00C10A9F" w:rsidRPr="00BC3435">
        <w:t>Chung 2018).</w:t>
      </w:r>
      <w:r w:rsidR="00C8318F" w:rsidRPr="00BC3435">
        <w:t xml:space="preserve"> Writing in (</w:t>
      </w:r>
      <w:r w:rsidR="00C10A9F" w:rsidRPr="00BC3435">
        <w:t>1995</w:t>
      </w:r>
      <w:r w:rsidR="00C8318F" w:rsidRPr="00BC3435">
        <w:t xml:space="preserve">) </w:t>
      </w:r>
      <w:r w:rsidR="00C10A9F" w:rsidRPr="00BC3435">
        <w:t xml:space="preserve">Stephen </w:t>
      </w:r>
      <w:r w:rsidR="00C8318F" w:rsidRPr="00BC3435">
        <w:t xml:space="preserve">Locke describes the process of communication and public relations within the Hampshire Museums Trust. The Trust has recognised that the majority of its external communication is with people in the local area. </w:t>
      </w:r>
      <w:r w:rsidR="00472145" w:rsidRPr="00BC3435">
        <w:t xml:space="preserve">They have devised a statement of purpose to help explain what they do, and have a communication team whose job it is to communicate this purpose to their audience (Locke </w:t>
      </w:r>
      <w:r w:rsidR="00C10A9F" w:rsidRPr="00BC3435">
        <w:t>1995</w:t>
      </w:r>
      <w:r w:rsidR="00472145" w:rsidRPr="00BC3435">
        <w:t>). Graham Black (</w:t>
      </w:r>
      <w:r w:rsidR="00C10A9F" w:rsidRPr="00BC3435">
        <w:t>2005</w:t>
      </w:r>
      <w:r w:rsidR="00472145" w:rsidRPr="00BC3435">
        <w:t xml:space="preserve">) suggests that successful museums need to portray a positive image, as well as publicising a clear </w:t>
      </w:r>
      <w:r w:rsidR="00A02DC8" w:rsidRPr="00BC3435">
        <w:t>idea</w:t>
      </w:r>
      <w:r w:rsidR="00472145" w:rsidRPr="00BC3435">
        <w:t xml:space="preserve"> of what is on offer and to whom, which should be linked in to a marketing plan. </w:t>
      </w:r>
    </w:p>
    <w:p w:rsidR="000356DD" w:rsidRPr="00BC3435" w:rsidRDefault="00472145">
      <w:r w:rsidRPr="00BC3435">
        <w:lastRenderedPageBreak/>
        <w:t>Understanding communication and the theory behind it can be useful for a museum to attract visitors.</w:t>
      </w:r>
      <w:r w:rsidR="006F461D" w:rsidRPr="00BC3435">
        <w:t xml:space="preserve"> This can relate to both museum-led and external-led sources. A 2013 study of interaction between selected Danish museums and their audiences via Facebook used Speech Act Theory and Conversational Analysis to examine these exchanges. Speech Act Theory is aimed at understanding and categorising the type of language used in a particular context.  </w:t>
      </w:r>
      <w:r w:rsidR="000356DD" w:rsidRPr="00BC3435">
        <w:t>The study concluded that the most common speech acts in museum-initiated content were Directive, those which encourage the reader to take a particular action, and Assertive, the relaying of information. Additionally, the results showed that while museums were more likely to actively start an interaction with their followers, and respond on their own posts, they were often poor at replying to visitor-initiated posts (</w:t>
      </w:r>
      <w:proofErr w:type="spellStart"/>
      <w:r w:rsidR="000356DD" w:rsidRPr="00BC3435">
        <w:t>Laursen</w:t>
      </w:r>
      <w:proofErr w:type="spellEnd"/>
      <w:r w:rsidR="000356DD" w:rsidRPr="00BC3435">
        <w:t xml:space="preserve"> </w:t>
      </w:r>
      <w:r w:rsidR="000356DD" w:rsidRPr="00BC3435">
        <w:rPr>
          <w:i/>
        </w:rPr>
        <w:t>et al</w:t>
      </w:r>
      <w:r w:rsidR="000356DD" w:rsidRPr="00BC3435">
        <w:t xml:space="preserve"> 2017). </w:t>
      </w:r>
      <w:r w:rsidR="006F461D" w:rsidRPr="00BC3435">
        <w:t xml:space="preserve">  </w:t>
      </w:r>
      <w:r w:rsidRPr="00BC3435">
        <w:t xml:space="preserve"> </w:t>
      </w:r>
    </w:p>
    <w:p w:rsidR="000A438B" w:rsidRPr="00BC3435" w:rsidRDefault="000356DD">
      <w:r w:rsidRPr="00BC3435">
        <w:t xml:space="preserve">Communicating theory can also be </w:t>
      </w:r>
      <w:r w:rsidR="00EE1DD6" w:rsidRPr="00BC3435">
        <w:t>applied</w:t>
      </w:r>
      <w:r w:rsidRPr="00BC3435">
        <w:t xml:space="preserve"> to understand the effect of external sources of media representation </w:t>
      </w:r>
      <w:r w:rsidR="000865A5" w:rsidRPr="00BC3435">
        <w:t>on museums.</w:t>
      </w:r>
      <w:r w:rsidRPr="00BC3435">
        <w:t xml:space="preserve"> </w:t>
      </w:r>
      <w:r w:rsidR="00472145" w:rsidRPr="00BC3435">
        <w:t>A study of Greek museums using Agenda</w:t>
      </w:r>
      <w:r w:rsidR="00195A84" w:rsidRPr="00BC3435">
        <w:t>-</w:t>
      </w:r>
      <w:r w:rsidR="00472145" w:rsidRPr="00BC3435">
        <w:t xml:space="preserve">Setting as an analysing theory examined the relationship between the media representation of certain museums and </w:t>
      </w:r>
      <w:r w:rsidR="00911CB6" w:rsidRPr="00BC3435">
        <w:t>subsequent visits to the</w:t>
      </w:r>
      <w:r w:rsidR="00693D37" w:rsidRPr="00BC3435">
        <w:t xml:space="preserve">m. </w:t>
      </w:r>
      <w:r w:rsidR="00195A84" w:rsidRPr="00BC3435">
        <w:t xml:space="preserve">Agenda-Setting is a communication </w:t>
      </w:r>
      <w:r w:rsidR="00F95A73" w:rsidRPr="00BC3435">
        <w:t>theory dealing</w:t>
      </w:r>
      <w:r w:rsidR="00195A84" w:rsidRPr="00BC3435">
        <w:t xml:space="preserve"> with the concept of ‘transfer of salience’, that is the direct relationship between what the media portrays and what is subsequently perceived to be important by the public (</w:t>
      </w:r>
      <w:proofErr w:type="spellStart"/>
      <w:r w:rsidR="00F83244" w:rsidRPr="00BC3435">
        <w:t>Zyglidopoulos</w:t>
      </w:r>
      <w:proofErr w:type="spellEnd"/>
      <w:r w:rsidR="00F83244" w:rsidRPr="00BC3435">
        <w:t xml:space="preserve"> </w:t>
      </w:r>
      <w:r w:rsidR="00F83244" w:rsidRPr="00BC3435">
        <w:rPr>
          <w:i/>
        </w:rPr>
        <w:t xml:space="preserve">et al </w:t>
      </w:r>
      <w:r w:rsidR="00F83244" w:rsidRPr="00BC3435">
        <w:t>2012</w:t>
      </w:r>
      <w:r w:rsidR="00195A84" w:rsidRPr="00BC3435">
        <w:t xml:space="preserve">). Agenda-Setting is more commonly used in journalism and political studies, but in the Greek example has been applied to media representation and museum visits. The </w:t>
      </w:r>
      <w:r w:rsidR="00F95A73" w:rsidRPr="00BC3435">
        <w:t>study</w:t>
      </w:r>
      <w:r w:rsidR="00195A84" w:rsidRPr="00BC3435">
        <w:t xml:space="preserve"> looked at visitor patterns to a selection </w:t>
      </w:r>
      <w:r w:rsidR="00FF7980" w:rsidRPr="00BC3435">
        <w:t>o</w:t>
      </w:r>
      <w:r w:rsidR="00195A84" w:rsidRPr="00BC3435">
        <w:t xml:space="preserve">f museums across Greece and found, when adjusted for variables such as overseas tourist season and the 2004 Olympics, that visits </w:t>
      </w:r>
      <w:r w:rsidR="00F95A73" w:rsidRPr="00BC3435">
        <w:t>to these museums generally increased following positive media coverage (</w:t>
      </w:r>
      <w:proofErr w:type="spellStart"/>
      <w:r w:rsidR="00F83244" w:rsidRPr="00BC3435">
        <w:t>Zyglidopoulos</w:t>
      </w:r>
      <w:proofErr w:type="spellEnd"/>
      <w:r w:rsidR="00F83244" w:rsidRPr="00BC3435">
        <w:t xml:space="preserve"> </w:t>
      </w:r>
      <w:r w:rsidR="00F83244" w:rsidRPr="00BC3435">
        <w:rPr>
          <w:i/>
        </w:rPr>
        <w:t xml:space="preserve">et al </w:t>
      </w:r>
      <w:r w:rsidR="00F83244" w:rsidRPr="00BC3435">
        <w:t>2012</w:t>
      </w:r>
      <w:r w:rsidR="00F95A73" w:rsidRPr="00BC3435">
        <w:t>).</w:t>
      </w:r>
    </w:p>
    <w:p w:rsidR="002E1D45" w:rsidRPr="00BC3435" w:rsidRDefault="00F95A73">
      <w:r w:rsidRPr="00BC3435">
        <w:t>An understanding of communication theory and its relationship to aspects such as marketing and public relations is important to better aid a museum</w:t>
      </w:r>
      <w:r w:rsidR="002E1D45" w:rsidRPr="00BC3435">
        <w:t>’s</w:t>
      </w:r>
      <w:r w:rsidRPr="00BC3435">
        <w:t xml:space="preserve"> engage</w:t>
      </w:r>
      <w:r w:rsidR="002E1D45" w:rsidRPr="00BC3435">
        <w:t>ment</w:t>
      </w:r>
      <w:r w:rsidRPr="00BC3435">
        <w:t xml:space="preserve"> with its potential visitors. Many museums, especially larger ones, are likely to have a dedicated marketing team</w:t>
      </w:r>
      <w:r w:rsidR="002E1D45" w:rsidRPr="00BC3435">
        <w:t xml:space="preserve"> however, meaning employees outside those department</w:t>
      </w:r>
      <w:r w:rsidR="00FF7980" w:rsidRPr="00BC3435">
        <w:t>s</w:t>
      </w:r>
      <w:r w:rsidR="002E1D45" w:rsidRPr="00BC3435">
        <w:t xml:space="preserve"> may find these forms of communication less relevant to their daily tasks</w:t>
      </w:r>
      <w:r w:rsidRPr="00BC3435">
        <w:t xml:space="preserve">. </w:t>
      </w:r>
    </w:p>
    <w:p w:rsidR="00F95A73" w:rsidRPr="00BC3435" w:rsidRDefault="00F95A73">
      <w:r w:rsidRPr="00BC3435">
        <w:t>While communication theory is obviously important to those working in museum marketing and related fields</w:t>
      </w:r>
      <w:r w:rsidR="00FF7980" w:rsidRPr="00BC3435">
        <w:t>,</w:t>
      </w:r>
      <w:r w:rsidRPr="00BC3435">
        <w:t xml:space="preserve"> it is also important to those helping to deliver museum content</w:t>
      </w:r>
      <w:r w:rsidR="003F47C5" w:rsidRPr="00BC3435">
        <w:t xml:space="preserve">. </w:t>
      </w:r>
      <w:r w:rsidR="002E1D45" w:rsidRPr="00BC3435">
        <w:t>Communication theories can be applied to many aspects of what happens within a museum setting, and go beyond the early transmission models of communication theory. Since the 2000s Actor-Network Theory has been applied by some to the heritage industry. Actor-Network theory has emerged from a background of economic, anthropological, sociological and geographical study, and been combined with business and management approaches so as to be applied to the tourism and heritage sectors</w:t>
      </w:r>
      <w:r w:rsidR="000C7B34" w:rsidRPr="00BC3435">
        <w:t xml:space="preserve"> (</w:t>
      </w:r>
      <w:r w:rsidR="00956235" w:rsidRPr="00BC3435">
        <w:t xml:space="preserve">Ren </w:t>
      </w:r>
      <w:r w:rsidR="00956235" w:rsidRPr="00BC3435">
        <w:rPr>
          <w:i/>
        </w:rPr>
        <w:t>et al</w:t>
      </w:r>
      <w:r w:rsidR="00956235" w:rsidRPr="00BC3435">
        <w:t xml:space="preserve"> 2010</w:t>
      </w:r>
      <w:r w:rsidR="000C7B34" w:rsidRPr="00BC3435">
        <w:t>).</w:t>
      </w:r>
    </w:p>
    <w:p w:rsidR="002E1D45" w:rsidRPr="00BC3435" w:rsidRDefault="002E1D45">
      <w:r w:rsidRPr="00BC3435">
        <w:t>Actor-Network theory</w:t>
      </w:r>
      <w:r w:rsidR="000C7B34" w:rsidRPr="00BC3435">
        <w:t xml:space="preserve"> is concerned with the relationship between various aspects or ‘actors’ in a communication network. Where Actor-Network theory differs from other communication theories is that objects and things, as well as people, media and text are counted as actors. With Actor-Network Theory the relationships between these various actors can be seen as equal, with no one aspect being more important than another </w:t>
      </w:r>
      <w:r w:rsidR="00956235" w:rsidRPr="00BC3435">
        <w:t xml:space="preserve">(Ren </w:t>
      </w:r>
      <w:r w:rsidR="00956235" w:rsidRPr="00BC3435">
        <w:rPr>
          <w:i/>
        </w:rPr>
        <w:t xml:space="preserve">et al </w:t>
      </w:r>
      <w:r w:rsidR="00956235" w:rsidRPr="00BC3435">
        <w:t>2010).</w:t>
      </w:r>
      <w:r w:rsidR="000C7B34" w:rsidRPr="00BC3435">
        <w:t xml:space="preserve"> By taking this approach everything within a museum setting can be considered through the lens of communication theories. Even before the </w:t>
      </w:r>
      <w:r w:rsidR="005D17A2" w:rsidRPr="00BC3435">
        <w:t>emergence and application of Actor-Network Theory museum professionals have been aware of the complex relationships that exist within a museum setting</w:t>
      </w:r>
      <w:r w:rsidR="00FF7980" w:rsidRPr="00BC3435">
        <w:t>.</w:t>
      </w:r>
    </w:p>
    <w:p w:rsidR="005D17A2" w:rsidRPr="00BC3435" w:rsidRDefault="005D17A2">
      <w:r w:rsidRPr="00BC3435">
        <w:t>Michael Belcher writing in 1991 notes that a variety of factors, both internal and external</w:t>
      </w:r>
      <w:r w:rsidR="00FF7980" w:rsidRPr="00BC3435">
        <w:t>,</w:t>
      </w:r>
      <w:r w:rsidRPr="00BC3435">
        <w:t xml:space="preserve"> can affect museum and exhibition design policy. These can include human factors such as the views of funders and interpretation staff</w:t>
      </w:r>
      <w:r w:rsidR="0040582D" w:rsidRPr="00BC3435">
        <w:t>,</w:t>
      </w:r>
      <w:r w:rsidRPr="00BC3435">
        <w:t xml:space="preserve"> to </w:t>
      </w:r>
      <w:r w:rsidR="0040582D" w:rsidRPr="00BC3435">
        <w:t>material</w:t>
      </w:r>
      <w:r w:rsidRPr="00BC3435">
        <w:t xml:space="preserve"> </w:t>
      </w:r>
      <w:r w:rsidR="001129D7" w:rsidRPr="00BC3435">
        <w:t>components</w:t>
      </w:r>
      <w:r w:rsidRPr="00BC3435">
        <w:t xml:space="preserve"> such as objects in the museum’s collection and the </w:t>
      </w:r>
      <w:r w:rsidRPr="00BC3435">
        <w:lastRenderedPageBreak/>
        <w:t xml:space="preserve">physicality of the space available </w:t>
      </w:r>
      <w:r w:rsidR="0040582D" w:rsidRPr="00BC3435">
        <w:t>within the museum</w:t>
      </w:r>
      <w:r w:rsidRPr="00BC3435">
        <w:t xml:space="preserve">. </w:t>
      </w:r>
      <w:r w:rsidR="002A0D62" w:rsidRPr="00BC3435">
        <w:t xml:space="preserve">In addition to this various staff are then required to deliver museum content, </w:t>
      </w:r>
      <w:r w:rsidR="009111D9" w:rsidRPr="00BC3435">
        <w:t>all of whom are individuals, who can potentially affect the message being disseminated by the museum</w:t>
      </w:r>
      <w:r w:rsidR="002A0D62" w:rsidRPr="00BC3435">
        <w:t xml:space="preserve">. These can include museum directors, curators, designers, and conservators through to security, shop and admission staff (Belcher 1991). </w:t>
      </w:r>
    </w:p>
    <w:p w:rsidR="002A0D62" w:rsidRPr="00BC3435" w:rsidRDefault="002A0D62">
      <w:r w:rsidRPr="00BC3435">
        <w:t>Although not explicitly referred to as Actor-Network Theory these themes are reoccurring in literature regarding either museum development and planning or museum communicati</w:t>
      </w:r>
      <w:r w:rsidR="00A02DC8" w:rsidRPr="00BC3435">
        <w:t>on. Mason (</w:t>
      </w:r>
      <w:r w:rsidR="00956235" w:rsidRPr="00BC3435">
        <w:t>2005</w:t>
      </w:r>
      <w:r w:rsidR="00A02DC8" w:rsidRPr="00BC3435">
        <w:t xml:space="preserve">) notes that everything in a museum can be regarded as communication, from the more obvious elements such as objects, text and staff, to the more mundane such as museum layout and even the colour of the paint on the walls. </w:t>
      </w:r>
      <w:r w:rsidR="00A62903" w:rsidRPr="00BC3435">
        <w:t>These factors can influence museum communication both implicitly and explicitly and can have both intended and unintended outcomes. Black (</w:t>
      </w:r>
      <w:r w:rsidR="00EE0D96" w:rsidRPr="00BC3435">
        <w:t>2005:</w:t>
      </w:r>
      <w:r w:rsidR="00A62903" w:rsidRPr="00BC3435">
        <w:t xml:space="preserve"> 98) lists a variety of factors that can contribute to a successful visitor experience in the museum. These factors relate to practical support, ‘feel’, staff input, and physicality of a site, all of which could be </w:t>
      </w:r>
      <w:r w:rsidR="00430BDF" w:rsidRPr="00BC3435">
        <w:t>considered</w:t>
      </w:r>
      <w:r w:rsidR="00A62903" w:rsidRPr="00BC3435">
        <w:t xml:space="preserve"> ‘actors’ when analysing a museum using Actor-Network Theory. </w:t>
      </w:r>
      <w:r w:rsidR="00430BDF" w:rsidRPr="00BC3435">
        <w:t xml:space="preserve">While these themes could be regarded as Actor-Network Theory, or a number of other communication theories, they are often not referred to in the literature as such. This could be an indication that many museum professionals, at least in the academic setting, do not necessarily use or consider communication theory as a tool for museums work. </w:t>
      </w:r>
    </w:p>
    <w:p w:rsidR="0079626A" w:rsidRPr="00BC3435" w:rsidRDefault="00A62903">
      <w:r w:rsidRPr="00BC3435">
        <w:t xml:space="preserve">While some aspects of </w:t>
      </w:r>
      <w:r w:rsidR="0079626A" w:rsidRPr="00BC3435">
        <w:t>a museum</w:t>
      </w:r>
      <w:r w:rsidRPr="00BC3435">
        <w:t xml:space="preserve"> may</w:t>
      </w:r>
      <w:r w:rsidR="001129D7" w:rsidRPr="00BC3435">
        <w:t xml:space="preserve"> </w:t>
      </w:r>
      <w:r w:rsidRPr="00BC3435">
        <w:t xml:space="preserve">be overlooked in terms of communication, such as layout or wall colour, other aspects </w:t>
      </w:r>
      <w:r w:rsidR="0079626A" w:rsidRPr="00BC3435">
        <w:t>such</w:t>
      </w:r>
      <w:r w:rsidRPr="00BC3435">
        <w:t xml:space="preserve"> </w:t>
      </w:r>
      <w:r w:rsidR="0079626A" w:rsidRPr="00BC3435">
        <w:t xml:space="preserve">as </w:t>
      </w:r>
      <w:r w:rsidRPr="00BC3435">
        <w:t>object</w:t>
      </w:r>
      <w:r w:rsidR="0079626A" w:rsidRPr="00BC3435">
        <w:t xml:space="preserve"> display and</w:t>
      </w:r>
      <w:r w:rsidRPr="00BC3435">
        <w:t xml:space="preserve"> interpretation </w:t>
      </w:r>
      <w:r w:rsidR="0079626A" w:rsidRPr="00BC3435">
        <w:t xml:space="preserve">are more obvious. But even with this there are many approaches and decisions to be made that can affect the message being transmitted to the visitor. </w:t>
      </w:r>
      <w:r w:rsidR="00960F95" w:rsidRPr="00BC3435">
        <w:t xml:space="preserve">Museums are traditionally object centred institutions </w:t>
      </w:r>
      <w:r w:rsidR="00916EEF" w:rsidRPr="00BC3435">
        <w:t xml:space="preserve">(Fahy </w:t>
      </w:r>
      <w:r w:rsidR="00956235" w:rsidRPr="00BC3435">
        <w:t>1995</w:t>
      </w:r>
      <w:r w:rsidR="00916EEF" w:rsidRPr="00BC3435">
        <w:t xml:space="preserve">) and as such the way in which artefacts are presented are an important consideration in museums communication. </w:t>
      </w:r>
    </w:p>
    <w:p w:rsidR="007715A4" w:rsidRPr="00BC3435" w:rsidRDefault="004F0F3E">
      <w:r w:rsidRPr="00BC3435">
        <w:t>Museums can use various methods to interpret objects to a visitor, and combined with a visitor</w:t>
      </w:r>
      <w:r w:rsidR="001129D7" w:rsidRPr="00BC3435">
        <w:t>’</w:t>
      </w:r>
      <w:r w:rsidRPr="00BC3435">
        <w:t xml:space="preserve">s pre-existing knowledge this can lead to many variables in interpretation and communication Mason </w:t>
      </w:r>
      <w:r w:rsidR="00956235" w:rsidRPr="00BC3435">
        <w:t>2005</w:t>
      </w:r>
      <w:r w:rsidRPr="00BC3435">
        <w:t>, Belcher 1991. Mason (</w:t>
      </w:r>
      <w:r w:rsidR="00956235" w:rsidRPr="00BC3435">
        <w:t>2005: 203</w:t>
      </w:r>
      <w:r w:rsidRPr="00BC3435">
        <w:t>) uses the example of an African mask to demonstrate this principal. Depending on the way the mask is displayed, its surrounding cont</w:t>
      </w:r>
      <w:r w:rsidR="001129D7" w:rsidRPr="00BC3435">
        <w:t>ex</w:t>
      </w:r>
      <w:r w:rsidRPr="00BC3435">
        <w:t xml:space="preserve">t and </w:t>
      </w:r>
      <w:r w:rsidR="001129D7" w:rsidRPr="00BC3435">
        <w:t xml:space="preserve">the </w:t>
      </w:r>
      <w:r w:rsidRPr="00BC3435">
        <w:t>prior knowledge of the visitor</w:t>
      </w:r>
      <w:r w:rsidR="001129D7" w:rsidRPr="00BC3435">
        <w:t>,</w:t>
      </w:r>
      <w:r w:rsidRPr="00BC3435">
        <w:t xml:space="preserve"> it could communicate a variety of messages. These could be as variable as an ethnographical exhibit, an example of a tribal artefact, the result of colonial looting or simply an example of art. </w:t>
      </w:r>
    </w:p>
    <w:p w:rsidR="00916EEF" w:rsidRPr="00BC3435" w:rsidRDefault="00966173">
      <w:r w:rsidRPr="00BC3435">
        <w:t xml:space="preserve">When considering interpretation and display there are numerous methods of exhibition and these can </w:t>
      </w:r>
      <w:r w:rsidR="00680B83" w:rsidRPr="00BC3435">
        <w:t>affect</w:t>
      </w:r>
      <w:r w:rsidRPr="00BC3435">
        <w:t xml:space="preserve"> the way in which a museum communicates with the public. </w:t>
      </w:r>
      <w:r w:rsidR="00680B83" w:rsidRPr="00BC3435">
        <w:t>One method is to apply Narrative Theory to exhibitions. Narrative can help people makes sense of what happens over time, and often follow</w:t>
      </w:r>
      <w:r w:rsidR="00916EEF" w:rsidRPr="00BC3435">
        <w:t>s</w:t>
      </w:r>
      <w:r w:rsidR="00680B83" w:rsidRPr="00BC3435">
        <w:t xml:space="preserve"> a set of pre-conceived ideas. Museums can make use of narrative in their exhibits to display artefacts</w:t>
      </w:r>
      <w:r w:rsidR="00916EEF" w:rsidRPr="00BC3435">
        <w:t xml:space="preserve"> and</w:t>
      </w:r>
      <w:r w:rsidR="00680B83" w:rsidRPr="00BC3435">
        <w:t xml:space="preserve"> can also </w:t>
      </w:r>
      <w:r w:rsidR="00916EEF" w:rsidRPr="00BC3435">
        <w:t>change these</w:t>
      </w:r>
      <w:r w:rsidR="00680B83" w:rsidRPr="00BC3435">
        <w:t xml:space="preserve"> narratives in order to pass on different messages</w:t>
      </w:r>
      <w:r w:rsidR="00916EEF" w:rsidRPr="00BC3435">
        <w:t xml:space="preserve"> or</w:t>
      </w:r>
      <w:r w:rsidR="00680B83" w:rsidRPr="00BC3435">
        <w:t xml:space="preserve"> to </w:t>
      </w:r>
      <w:r w:rsidR="00916EEF" w:rsidRPr="00BC3435">
        <w:t xml:space="preserve">connect to </w:t>
      </w:r>
      <w:r w:rsidR="00680B83" w:rsidRPr="00BC3435">
        <w:t xml:space="preserve">different audiences (Hohenstein and </w:t>
      </w:r>
      <w:proofErr w:type="spellStart"/>
      <w:r w:rsidR="00680B83" w:rsidRPr="00BC3435">
        <w:t>Moussouri</w:t>
      </w:r>
      <w:proofErr w:type="spellEnd"/>
      <w:r w:rsidR="00EE0D96" w:rsidRPr="00BC3435">
        <w:t xml:space="preserve"> 2018: 109-113</w:t>
      </w:r>
      <w:r w:rsidR="00680B83" w:rsidRPr="00BC3435">
        <w:t>).</w:t>
      </w:r>
      <w:r w:rsidR="00916EEF" w:rsidRPr="00BC3435">
        <w:t xml:space="preserve"> This can be of benefit as museums have a variety of users who may require the same information but presented in different ways (</w:t>
      </w:r>
      <w:r w:rsidR="00956235" w:rsidRPr="00BC3435">
        <w:t>F</w:t>
      </w:r>
      <w:r w:rsidR="00916EEF" w:rsidRPr="00BC3435">
        <w:t xml:space="preserve">ahy </w:t>
      </w:r>
      <w:r w:rsidR="00956235" w:rsidRPr="00BC3435">
        <w:t>1995)</w:t>
      </w:r>
      <w:r w:rsidR="00916EEF" w:rsidRPr="00BC3435">
        <w:t>.</w:t>
      </w:r>
    </w:p>
    <w:p w:rsidR="00916EEF" w:rsidRPr="00BC3435" w:rsidRDefault="00916EEF">
      <w:r w:rsidRPr="00BC3435">
        <w:t xml:space="preserve">Another method to present information to a wide audience of different abilities and </w:t>
      </w:r>
      <w:r w:rsidR="00FA5610" w:rsidRPr="00BC3435">
        <w:t>differ</w:t>
      </w:r>
      <w:r w:rsidR="00FA5610" w:rsidRPr="00BC3435">
        <w:t>ing</w:t>
      </w:r>
      <w:r w:rsidR="00FA5610" w:rsidRPr="00BC3435">
        <w:t xml:space="preserve"> </w:t>
      </w:r>
      <w:r w:rsidR="00FA5610" w:rsidRPr="00BC3435">
        <w:t>prior knowledge</w:t>
      </w:r>
      <w:r w:rsidRPr="00BC3435">
        <w:t xml:space="preserve"> is to consider the language used within the museum. </w:t>
      </w:r>
      <w:r w:rsidR="00591F8E" w:rsidRPr="00BC3435">
        <w:t>Accommodation Theory can be used to evaluate text and speech in museums. Accommodation Theory considers how language is adjusted to fit to the recipient, and acknowledges that a balance must be found so that as many people as possible can benefit (</w:t>
      </w:r>
      <w:proofErr w:type="spellStart"/>
      <w:r w:rsidR="00956235" w:rsidRPr="00BC3435">
        <w:t>Pillière</w:t>
      </w:r>
      <w:proofErr w:type="spellEnd"/>
      <w:r w:rsidR="00956235" w:rsidRPr="00BC3435">
        <w:t xml:space="preserve"> 2018</w:t>
      </w:r>
      <w:r w:rsidR="00591F8E" w:rsidRPr="00BC3435">
        <w:t>). The writing of text for museums</w:t>
      </w:r>
      <w:r w:rsidR="005E0231" w:rsidRPr="00BC3435">
        <w:t xml:space="preserve">, as well as colour and typeface, have </w:t>
      </w:r>
      <w:r w:rsidR="00591F8E" w:rsidRPr="00BC3435">
        <w:t>been the subject of much discussion (</w:t>
      </w:r>
      <w:r w:rsidR="00B43C21" w:rsidRPr="00BC3435">
        <w:t>Gilmore and Sabine</w:t>
      </w:r>
      <w:r w:rsidR="00CD1231" w:rsidRPr="00BC3435">
        <w:t xml:space="preserve"> 1999</w:t>
      </w:r>
      <w:r w:rsidR="00B43C21" w:rsidRPr="00BC3435">
        <w:t>, Carter</w:t>
      </w:r>
      <w:r w:rsidR="00CD1231" w:rsidRPr="00BC3435">
        <w:t xml:space="preserve"> 1999,</w:t>
      </w:r>
      <w:r w:rsidR="005E0231" w:rsidRPr="00BC3435">
        <w:t xml:space="preserve"> Dean </w:t>
      </w:r>
      <w:r w:rsidR="00107563" w:rsidRPr="00BC3435">
        <w:t>1994</w:t>
      </w:r>
      <w:r w:rsidR="00591F8E" w:rsidRPr="00BC3435">
        <w:t>) and guidelines have been produced for best practice (</w:t>
      </w:r>
      <w:r w:rsidR="00BC5B96" w:rsidRPr="00BC3435">
        <w:t>Victoria &amp; Albert Museums 2013</w:t>
      </w:r>
      <w:r w:rsidR="00591F8E" w:rsidRPr="00BC3435">
        <w:t>)</w:t>
      </w:r>
      <w:r w:rsidR="00B43C21" w:rsidRPr="00BC3435">
        <w:t>.</w:t>
      </w:r>
      <w:r w:rsidR="00591F8E" w:rsidRPr="00BC3435">
        <w:t xml:space="preserve"> </w:t>
      </w:r>
      <w:r w:rsidR="00B43C21" w:rsidRPr="00BC3435">
        <w:lastRenderedPageBreak/>
        <w:t>However,</w:t>
      </w:r>
      <w:r w:rsidR="00591F8E" w:rsidRPr="00BC3435">
        <w:t xml:space="preserve"> </w:t>
      </w:r>
      <w:r w:rsidR="00B43C21" w:rsidRPr="00BC3435">
        <w:t xml:space="preserve">in these circumstances it is rarely considered or referred to as a communication theory, instead being simply a necessary aspect of a museum. </w:t>
      </w:r>
    </w:p>
    <w:p w:rsidR="008D74F6" w:rsidRPr="00BC3435" w:rsidRDefault="008D74F6" w:rsidP="008D74F6">
      <w:r w:rsidRPr="00BC3435">
        <w:t>While display is important</w:t>
      </w:r>
      <w:r w:rsidR="00BA448E" w:rsidRPr="00BC3435">
        <w:t>,</w:t>
      </w:r>
      <w:r w:rsidRPr="00BC3435">
        <w:t xml:space="preserve"> physical aspects can also affect communication. From the selection and arrangement of objects for display, to the layout and colours used in a museum, to the merchandise in the shop, everything has an impact on museum communication (</w:t>
      </w:r>
      <w:r w:rsidR="00956235" w:rsidRPr="00BC3435">
        <w:t xml:space="preserve">Ren </w:t>
      </w:r>
      <w:r w:rsidR="00956235" w:rsidRPr="00BC3435">
        <w:rPr>
          <w:i/>
        </w:rPr>
        <w:t xml:space="preserve">et al </w:t>
      </w:r>
      <w:r w:rsidR="00956235" w:rsidRPr="00BC3435">
        <w:t>2010</w:t>
      </w:r>
      <w:r w:rsidRPr="00BC3435">
        <w:t xml:space="preserve">, </w:t>
      </w:r>
      <w:r w:rsidR="00956235" w:rsidRPr="00BC3435">
        <w:t>Hooper-Greenhill 1994</w:t>
      </w:r>
      <w:r w:rsidRPr="00BC3435">
        <w:t xml:space="preserve">). These features can often affect the overall impression of a museum rather than the story told by a particular item. </w:t>
      </w:r>
    </w:p>
    <w:p w:rsidR="00E16D72" w:rsidRPr="00BC3435" w:rsidRDefault="008D74F6">
      <w:r w:rsidRPr="00BC3435">
        <w:t xml:space="preserve">A study of </w:t>
      </w:r>
      <w:r w:rsidR="00BA448E" w:rsidRPr="00BC3435">
        <w:t>o</w:t>
      </w:r>
      <w:r w:rsidRPr="00BC3435">
        <w:t>pen-</w:t>
      </w:r>
      <w:r w:rsidR="00BA448E" w:rsidRPr="00BC3435">
        <w:t>a</w:t>
      </w:r>
      <w:r w:rsidRPr="00BC3435">
        <w:t xml:space="preserve">ir museums in Belarus and Lithuania used Gibson’s Theory of </w:t>
      </w:r>
      <w:r w:rsidR="00FD20C8" w:rsidRPr="00BC3435">
        <w:t>Affordances to study the impact of design and space on visitors’ perceptions of these sites. Theory of Affordances is derived from ecological study, an</w:t>
      </w:r>
      <w:r w:rsidR="00BA448E" w:rsidRPr="00BC3435">
        <w:t>d</w:t>
      </w:r>
      <w:r w:rsidR="00FD20C8" w:rsidRPr="00BC3435">
        <w:t xml:space="preserve"> is a method of understanding the action that occur</w:t>
      </w:r>
      <w:r w:rsidR="00BA448E" w:rsidRPr="00BC3435">
        <w:t>s</w:t>
      </w:r>
      <w:r w:rsidR="00FD20C8" w:rsidRPr="00BC3435">
        <w:t xml:space="preserve"> due to the physicality of a space or object. The museums in the study all had a similar layout, with buildings grouped by region, and third person interpretation, story-telling and re-enactment used to help explain the sites. </w:t>
      </w:r>
      <w:r w:rsidR="001B3722" w:rsidRPr="00BC3435">
        <w:t>The study was conducted using participa</w:t>
      </w:r>
      <w:r w:rsidR="00D360B7" w:rsidRPr="00BC3435">
        <w:t xml:space="preserve">tory observation and semi-structured interviews. The conclusions were that as hybrid spaces </w:t>
      </w:r>
      <w:r w:rsidR="00BA448E" w:rsidRPr="00BC3435">
        <w:t xml:space="preserve">- </w:t>
      </w:r>
      <w:r w:rsidR="00D360B7" w:rsidRPr="00BC3435">
        <w:t xml:space="preserve">museum, park, and nature </w:t>
      </w:r>
      <w:r w:rsidR="00BA448E" w:rsidRPr="00BC3435">
        <w:t xml:space="preserve">- </w:t>
      </w:r>
      <w:r w:rsidR="00D360B7" w:rsidRPr="00BC3435">
        <w:t>these museums were perceived as learning sites, natural parks and venues for entertainment. Furthermore, the methods with which the museum interacted with visitors, and the initial reason for the visit</w:t>
      </w:r>
      <w:r w:rsidR="00BA448E" w:rsidRPr="00BC3435">
        <w:t>,</w:t>
      </w:r>
      <w:r w:rsidR="00D360B7" w:rsidRPr="00BC3435">
        <w:t xml:space="preserve"> can impact how the public may engage with these sites (</w:t>
      </w:r>
      <w:bookmarkStart w:id="0" w:name="_Hlk40867454"/>
      <w:proofErr w:type="spellStart"/>
      <w:r w:rsidR="00BC5B96" w:rsidRPr="00BC3435">
        <w:t>Charapan</w:t>
      </w:r>
      <w:bookmarkEnd w:id="0"/>
      <w:proofErr w:type="spellEnd"/>
      <w:r w:rsidR="00BC5B96" w:rsidRPr="00BC3435">
        <w:t xml:space="preserve"> 2018</w:t>
      </w:r>
      <w:r w:rsidR="00D360B7" w:rsidRPr="00BC3435">
        <w:t>).</w:t>
      </w:r>
    </w:p>
    <w:p w:rsidR="00E16D72" w:rsidRPr="00BC3435" w:rsidRDefault="00960F95">
      <w:r w:rsidRPr="00BC3435">
        <w:t xml:space="preserve">Communication theory can be useful </w:t>
      </w:r>
      <w:r w:rsidR="00043F09" w:rsidRPr="00BC3435">
        <w:t>for</w:t>
      </w:r>
      <w:r w:rsidRPr="00BC3435">
        <w:t xml:space="preserve"> those involved in exhibition design to help them understand the impact </w:t>
      </w:r>
      <w:r w:rsidR="00450C34" w:rsidRPr="00BC3435">
        <w:t>their decisions have on the visiting public. This is particularly notable when producing text and other language-based interpretation, which needs to be accessible to as wide a range of potential users as possible.</w:t>
      </w:r>
      <w:r w:rsidR="00E16D72" w:rsidRPr="00BC3435">
        <w:t xml:space="preserve"> One issue is that there are a variety of theories that can be used, and decisions about which is most pertinent to a situation </w:t>
      </w:r>
      <w:r w:rsidR="00A545E7" w:rsidRPr="00BC3435">
        <w:t>must be made if they are to be applied in a museum setting.</w:t>
      </w:r>
      <w:r w:rsidR="00450C34" w:rsidRPr="00BC3435">
        <w:t xml:space="preserve"> </w:t>
      </w:r>
      <w:r w:rsidR="00043F09" w:rsidRPr="00BC3435">
        <w:t xml:space="preserve">However, this is less likely to be relevant for those delivering everyday content within the museum environment.  </w:t>
      </w:r>
    </w:p>
    <w:p w:rsidR="00255B64" w:rsidRPr="00BC3435" w:rsidRDefault="00255B64">
      <w:r w:rsidRPr="00BC3435">
        <w:t xml:space="preserve">Museums have several main remits, including the collection and care of objects, documents and knowledge. What makes them museums, rather than just repositories, is the availability of these collections to the public as an educational medium. While understanding communication theory and museums may be important for museum professionals, understanding of learning theories is at least equally if not more important. </w:t>
      </w:r>
      <w:r w:rsidR="00043F09" w:rsidRPr="00BC3435">
        <w:t>Discussion on museum learning is more varied and more advanced than that on communication theories, for example</w:t>
      </w:r>
      <w:r w:rsidR="00AF2FB6" w:rsidRPr="00BC3435">
        <w:t>s see</w:t>
      </w:r>
      <w:r w:rsidR="00043F09" w:rsidRPr="00BC3435">
        <w:t xml:space="preserve"> Hein (</w:t>
      </w:r>
      <w:r w:rsidR="00AF2FB6" w:rsidRPr="00BC3435">
        <w:t>1998</w:t>
      </w:r>
      <w:r w:rsidR="00043F09" w:rsidRPr="00BC3435">
        <w:t xml:space="preserve">), </w:t>
      </w:r>
      <w:r w:rsidR="00AF2FB6" w:rsidRPr="00BC3435">
        <w:t>Durbin</w:t>
      </w:r>
      <w:r w:rsidR="00043F09" w:rsidRPr="00BC3435">
        <w:t xml:space="preserve"> (</w:t>
      </w:r>
      <w:r w:rsidR="00AF2FB6" w:rsidRPr="00BC3435">
        <w:t>1996</w:t>
      </w:r>
      <w:r w:rsidR="00043F09" w:rsidRPr="00BC3435">
        <w:t xml:space="preserve">) and Hohenstein and </w:t>
      </w:r>
      <w:proofErr w:type="spellStart"/>
      <w:r w:rsidR="00043F09" w:rsidRPr="00BC3435">
        <w:t>Moussouri</w:t>
      </w:r>
      <w:proofErr w:type="spellEnd"/>
      <w:r w:rsidR="00043F09" w:rsidRPr="00BC3435">
        <w:t xml:space="preserve"> (</w:t>
      </w:r>
      <w:r w:rsidR="00EE0D96" w:rsidRPr="00BC3435">
        <w:t>2018</w:t>
      </w:r>
      <w:r w:rsidR="00043F09" w:rsidRPr="00BC3435">
        <w:t xml:space="preserve">). Many of these educational theories however do overlap with the key concepts of communication theories. </w:t>
      </w:r>
    </w:p>
    <w:p w:rsidR="003E5815" w:rsidRPr="00BC3435" w:rsidRDefault="003E5815">
      <w:r w:rsidRPr="00BC3435">
        <w:t xml:space="preserve">At the time of writing much of the world is being affected by lockdowns due to the Covid-19 crisis. This has caused many museums and other cultural institutions to radically change the way in which they interact with their audiences. In this instance an understanding of communication theory may be of use. In normal circumstances museums are institutions that change gradually over time, but current circumstances have forced such institutions to embrace new technologies and revised ways of working. ‘Actors’ which were once fundamentally important, such as physical spaces or objects, </w:t>
      </w:r>
      <w:bookmarkStart w:id="1" w:name="_GoBack"/>
      <w:bookmarkEnd w:id="1"/>
      <w:r w:rsidRPr="00BC3435">
        <w:t xml:space="preserve">have been replaced by those which previously only played a supporting role, such as social media. Where once institutional energy was primarily directed at the running of a physical site, it has now been redirected to keeping an online presence. Communication theories can be </w:t>
      </w:r>
      <w:r w:rsidR="00EE1DD6" w:rsidRPr="00BC3435">
        <w:t>applied to better</w:t>
      </w:r>
      <w:r w:rsidRPr="00BC3435">
        <w:t xml:space="preserve"> understand this shift, but more importantly, to understand what </w:t>
      </w:r>
      <w:r w:rsidR="00EE1DD6" w:rsidRPr="00BC3435">
        <w:t>may</w:t>
      </w:r>
      <w:r w:rsidRPr="00BC3435">
        <w:t xml:space="preserve"> happen next. Institutions that successfully adapt to the </w:t>
      </w:r>
      <w:r w:rsidR="00BA448E" w:rsidRPr="00BC3435">
        <w:t>‘</w:t>
      </w:r>
      <w:r w:rsidRPr="00BC3435">
        <w:t>new normal</w:t>
      </w:r>
      <w:r w:rsidR="00BA448E" w:rsidRPr="00BC3435">
        <w:t>’</w:t>
      </w:r>
      <w:r w:rsidRPr="00BC3435">
        <w:t xml:space="preserve"> of Covid-19 are unlikely to operate in the same way they did before the crisis. Their understanding of the importance of various ‘actors’ within their network will have changed. </w:t>
      </w:r>
    </w:p>
    <w:p w:rsidR="00EE1DD6" w:rsidRPr="00BC3435" w:rsidRDefault="00EE1DD6">
      <w:r w:rsidRPr="00BC3435">
        <w:lastRenderedPageBreak/>
        <w:t xml:space="preserve">Communication theories can, and have been applied to many aspects of the museum sector. These theories have been used to better understand the complex network in which museums operate. </w:t>
      </w:r>
      <w:r w:rsidR="00BA448E" w:rsidRPr="00BC3435">
        <w:t>They</w:t>
      </w:r>
      <w:r w:rsidR="0040582D" w:rsidRPr="00BC3435">
        <w:t xml:space="preserve"> can offer insight into a variety of networks both within the museum, and between the museum and the wider public or those with a vested interest.</w:t>
      </w:r>
      <w:r w:rsidR="00A545E7" w:rsidRPr="00BC3435">
        <w:t xml:space="preserve"> They offer potential to improve what a museum has on offer and can be applied in a variety of situations.</w:t>
      </w:r>
      <w:r w:rsidR="0040582D" w:rsidRPr="00BC3435">
        <w:t xml:space="preserve"> </w:t>
      </w:r>
      <w:r w:rsidR="009111D9" w:rsidRPr="00BC3435">
        <w:t>However much of this work</w:t>
      </w:r>
      <w:r w:rsidR="00BA448E" w:rsidRPr="00BC3435">
        <w:t xml:space="preserve"> on communication theories</w:t>
      </w:r>
      <w:r w:rsidR="009111D9" w:rsidRPr="00BC3435">
        <w:t xml:space="preserve"> has been produced for an academic audience. While communication theories can be applied successfully to the work of museums it is not necessarily well used, or even understood within the museums themselves.</w:t>
      </w:r>
      <w:r w:rsidR="00A545E7" w:rsidRPr="00BC3435">
        <w:t xml:space="preserve"> A range of different communication theories exist, with some being easier to apply to museums than others.</w:t>
      </w:r>
      <w:r w:rsidR="009111D9" w:rsidRPr="00BC3435">
        <w:t xml:space="preserve"> Little or no study seems to have been done looking at the use and understanding of communication theories within museums amongst their staff</w:t>
      </w:r>
      <w:r w:rsidR="00A545E7" w:rsidRPr="00BC3435">
        <w:t>.</w:t>
      </w:r>
      <w:r w:rsidR="009111D9" w:rsidRPr="00BC3435">
        <w:t xml:space="preserve"> Some individuals working in areas such as museum marketing or exhibition design, may have some understanding of communication theories, </w:t>
      </w:r>
      <w:r w:rsidR="0091672F" w:rsidRPr="00BC3435">
        <w:t>but those involved in the day to day running of museums may not. While communication theories can be applied to the work these individuals are doing</w:t>
      </w:r>
      <w:r w:rsidR="00E55B48" w:rsidRPr="00BC3435">
        <w:t>,</w:t>
      </w:r>
      <w:r w:rsidR="0091672F" w:rsidRPr="00BC3435">
        <w:t xml:space="preserve"> the majority of museum staff and visitors do not need to understand the concepts of communication theory for museums to operate successfully. In conclusion</w:t>
      </w:r>
      <w:r w:rsidR="00E55B48" w:rsidRPr="00BC3435">
        <w:t>,</w:t>
      </w:r>
      <w:r w:rsidR="0091672F" w:rsidRPr="00BC3435">
        <w:t xml:space="preserve"> communication theories can be successfully applied to the daily work in museums, but it is not necessary </w:t>
      </w:r>
      <w:r w:rsidR="00E16D72" w:rsidRPr="00BC3435">
        <w:t xml:space="preserve">for all those delivering museum content to understand these theories. </w:t>
      </w:r>
      <w:r w:rsidR="0091672F" w:rsidRPr="00BC3435">
        <w:t xml:space="preserve"> </w:t>
      </w:r>
    </w:p>
    <w:p w:rsidR="00AF2FB6" w:rsidRPr="00BC3435" w:rsidRDefault="00AF2FB6">
      <w:r w:rsidRPr="00BC3435">
        <w:br w:type="page"/>
      </w:r>
    </w:p>
    <w:p w:rsidR="0091672F" w:rsidRDefault="00AF2FB6" w:rsidP="00AF2FB6">
      <w:pPr>
        <w:pStyle w:val="Heading2"/>
      </w:pPr>
      <w:r>
        <w:lastRenderedPageBreak/>
        <w:t xml:space="preserve">References </w:t>
      </w:r>
    </w:p>
    <w:p w:rsidR="00AF2FB6" w:rsidRPr="00B4675A" w:rsidRDefault="00AF2FB6" w:rsidP="00AF2FB6">
      <w:pPr>
        <w:rPr>
          <w:rFonts w:cstheme="minorHAnsi"/>
        </w:rPr>
      </w:pPr>
      <w:r w:rsidRPr="00B4675A">
        <w:rPr>
          <w:rFonts w:cstheme="minorHAnsi"/>
        </w:rPr>
        <w:t xml:space="preserve">Belcher, M. (1991) </w:t>
      </w:r>
      <w:r w:rsidRPr="00B4675A">
        <w:rPr>
          <w:rFonts w:cstheme="minorHAnsi"/>
          <w:i/>
        </w:rPr>
        <w:t xml:space="preserve">Exhibitions in Museums. </w:t>
      </w:r>
      <w:r w:rsidRPr="00B4675A">
        <w:rPr>
          <w:rFonts w:cstheme="minorHAnsi"/>
        </w:rPr>
        <w:t>Leicester: Leicester University Press.</w:t>
      </w:r>
    </w:p>
    <w:p w:rsidR="00AF2FB6" w:rsidRDefault="00AF2FB6" w:rsidP="00AF2FB6">
      <w:pPr>
        <w:rPr>
          <w:rFonts w:cstheme="minorHAnsi"/>
        </w:rPr>
      </w:pPr>
      <w:r w:rsidRPr="00B4675A">
        <w:rPr>
          <w:rFonts w:cstheme="minorHAnsi"/>
        </w:rPr>
        <w:t xml:space="preserve">Black, G. (2005) </w:t>
      </w:r>
      <w:r w:rsidRPr="00B4675A">
        <w:rPr>
          <w:rFonts w:cstheme="minorHAnsi"/>
          <w:i/>
        </w:rPr>
        <w:t xml:space="preserve">The Engaging Museum: Developing Museums for Visitor Involvement. </w:t>
      </w:r>
      <w:r w:rsidRPr="00B4675A">
        <w:rPr>
          <w:rFonts w:cstheme="minorHAnsi"/>
        </w:rPr>
        <w:t xml:space="preserve">Oxon: Routledge. </w:t>
      </w:r>
    </w:p>
    <w:p w:rsidR="00AF2FB6" w:rsidRDefault="00AF2FB6" w:rsidP="00AF2FB6">
      <w:r>
        <w:rPr>
          <w:rFonts w:cstheme="minorHAnsi"/>
        </w:rPr>
        <w:t xml:space="preserve">Carter, J. (1999) ‘How old is this text?’, </w:t>
      </w:r>
      <w:r>
        <w:t xml:space="preserve">in Hooper-Greenhill, E. (ed) </w:t>
      </w:r>
      <w:r>
        <w:rPr>
          <w:i/>
        </w:rPr>
        <w:t xml:space="preserve">The Educational Role of the Museum. </w:t>
      </w:r>
      <w:r>
        <w:t>2</w:t>
      </w:r>
      <w:r w:rsidRPr="00C72071">
        <w:rPr>
          <w:vertAlign w:val="superscript"/>
        </w:rPr>
        <w:t>nd</w:t>
      </w:r>
      <w:r>
        <w:t xml:space="preserve"> </w:t>
      </w:r>
      <w:proofErr w:type="spellStart"/>
      <w:r>
        <w:t>edn</w:t>
      </w:r>
      <w:proofErr w:type="spellEnd"/>
      <w:r>
        <w:t xml:space="preserve">. Oxon: Routledge. pp 211-214. </w:t>
      </w:r>
    </w:p>
    <w:p w:rsidR="00AF2FB6" w:rsidRPr="0097197A" w:rsidRDefault="00AF2FB6" w:rsidP="00AF2FB6">
      <w:proofErr w:type="spellStart"/>
      <w:r w:rsidRPr="0097197A">
        <w:t>Charapan</w:t>
      </w:r>
      <w:proofErr w:type="spellEnd"/>
      <w:r w:rsidRPr="0097197A">
        <w:t>, N.</w:t>
      </w:r>
      <w:r>
        <w:t xml:space="preserve"> (2018) ‘Communication Matters: How Do Visitors Interact with Ethnographic Open-Air Museums?’ </w:t>
      </w:r>
      <w:proofErr w:type="spellStart"/>
      <w:r w:rsidRPr="0097197A">
        <w:rPr>
          <w:i/>
        </w:rPr>
        <w:t>Informacijos</w:t>
      </w:r>
      <w:proofErr w:type="spellEnd"/>
      <w:r w:rsidRPr="0097197A">
        <w:rPr>
          <w:i/>
        </w:rPr>
        <w:t xml:space="preserve"> </w:t>
      </w:r>
      <w:proofErr w:type="spellStart"/>
      <w:r w:rsidRPr="0097197A">
        <w:rPr>
          <w:i/>
        </w:rPr>
        <w:t>Moksla</w:t>
      </w:r>
      <w:proofErr w:type="spellEnd"/>
      <w:r>
        <w:rPr>
          <w:i/>
        </w:rPr>
        <w:t xml:space="preserve">. </w:t>
      </w:r>
      <w:r>
        <w:t xml:space="preserve">83. pp 142-154 </w:t>
      </w:r>
      <w:r w:rsidRPr="0097197A">
        <w:t>DOI: https://doi.org/10.15388/Im.2018.83.9</w:t>
      </w:r>
    </w:p>
    <w:p w:rsidR="00AF2FB6" w:rsidRDefault="00AF2FB6" w:rsidP="00AF2FB6">
      <w:pPr>
        <w:jc w:val="both"/>
        <w:rPr>
          <w:rFonts w:cstheme="minorHAnsi"/>
          <w:color w:val="3A3A3A"/>
          <w:shd w:val="clear" w:color="auto" w:fill="FFFFFF"/>
        </w:rPr>
      </w:pPr>
      <w:r w:rsidRPr="00B4675A">
        <w:rPr>
          <w:rFonts w:cstheme="minorHAnsi"/>
          <w:color w:val="3A3A3A"/>
          <w:shd w:val="clear" w:color="auto" w:fill="FFFFFF"/>
        </w:rPr>
        <w:t>Chung, Y.</w:t>
      </w:r>
      <w:r>
        <w:rPr>
          <w:rFonts w:cstheme="minorHAnsi"/>
          <w:color w:val="3A3A3A"/>
          <w:shd w:val="clear" w:color="auto" w:fill="FFFFFF"/>
        </w:rPr>
        <w:t xml:space="preserve"> (2018)</w:t>
      </w:r>
      <w:r w:rsidRPr="00B4675A">
        <w:rPr>
          <w:rFonts w:cstheme="minorHAnsi"/>
          <w:color w:val="3A3A3A"/>
          <w:shd w:val="clear" w:color="auto" w:fill="FFFFFF"/>
        </w:rPr>
        <w:t xml:space="preserve"> </w:t>
      </w:r>
      <w:r>
        <w:rPr>
          <w:rFonts w:cstheme="minorHAnsi"/>
          <w:color w:val="3A3A3A"/>
          <w:shd w:val="clear" w:color="auto" w:fill="FFFFFF"/>
        </w:rPr>
        <w:t>‘</w:t>
      </w:r>
      <w:r w:rsidRPr="00B4675A">
        <w:rPr>
          <w:rFonts w:cstheme="minorHAnsi"/>
          <w:color w:val="3A3A3A"/>
          <w:shd w:val="clear" w:color="auto" w:fill="FFFFFF"/>
        </w:rPr>
        <w:t>The Poetics and Geopolitics of Communication and Non-profit vs. Marketing in Museums</w:t>
      </w:r>
      <w:r>
        <w:rPr>
          <w:rFonts w:cstheme="minorHAnsi"/>
          <w:color w:val="3A3A3A"/>
          <w:shd w:val="clear" w:color="auto" w:fill="FFFFFF"/>
        </w:rPr>
        <w:t>, </w:t>
      </w:r>
      <w:proofErr w:type="spellStart"/>
      <w:r w:rsidRPr="00FC39C7">
        <w:rPr>
          <w:rFonts w:cstheme="minorHAnsi"/>
          <w:i/>
          <w:color w:val="3A3A3A"/>
          <w:shd w:val="clear" w:color="auto" w:fill="FFFFFF"/>
        </w:rPr>
        <w:t>Voprosy</w:t>
      </w:r>
      <w:proofErr w:type="spellEnd"/>
      <w:r w:rsidRPr="00B4675A">
        <w:rPr>
          <w:rFonts w:cstheme="minorHAnsi"/>
          <w:i/>
          <w:iCs/>
          <w:color w:val="3A3A3A"/>
          <w:shd w:val="clear" w:color="auto" w:fill="FFFFFF"/>
        </w:rPr>
        <w:t xml:space="preserve"> </w:t>
      </w:r>
      <w:proofErr w:type="spellStart"/>
      <w:r w:rsidRPr="00B4675A">
        <w:rPr>
          <w:rFonts w:cstheme="minorHAnsi"/>
          <w:i/>
          <w:iCs/>
          <w:color w:val="3A3A3A"/>
          <w:shd w:val="clear" w:color="auto" w:fill="FFFFFF"/>
        </w:rPr>
        <w:t>Muzeologii</w:t>
      </w:r>
      <w:proofErr w:type="spellEnd"/>
      <w:r>
        <w:rPr>
          <w:rFonts w:cstheme="minorHAnsi"/>
          <w:i/>
          <w:iCs/>
          <w:color w:val="3A3A3A"/>
          <w:shd w:val="clear" w:color="auto" w:fill="FFFFFF"/>
        </w:rPr>
        <w:t>.</w:t>
      </w:r>
      <w:r w:rsidRPr="00B4675A">
        <w:rPr>
          <w:rFonts w:cstheme="minorHAnsi"/>
          <w:color w:val="3A3A3A"/>
          <w:shd w:val="clear" w:color="auto" w:fill="FFFFFF"/>
        </w:rPr>
        <w:t> 9</w:t>
      </w:r>
      <w:r>
        <w:rPr>
          <w:rFonts w:cstheme="minorHAnsi"/>
          <w:color w:val="3A3A3A"/>
          <w:shd w:val="clear" w:color="auto" w:fill="FFFFFF"/>
        </w:rPr>
        <w:t xml:space="preserve"> (</w:t>
      </w:r>
      <w:r w:rsidRPr="00B4675A">
        <w:rPr>
          <w:rFonts w:cstheme="minorHAnsi"/>
          <w:color w:val="3A3A3A"/>
          <w:shd w:val="clear" w:color="auto" w:fill="FFFFFF"/>
        </w:rPr>
        <w:t>2</w:t>
      </w:r>
      <w:r>
        <w:rPr>
          <w:rFonts w:cstheme="minorHAnsi"/>
          <w:color w:val="3A3A3A"/>
          <w:shd w:val="clear" w:color="auto" w:fill="FFFFFF"/>
        </w:rPr>
        <w:t>). pp</w:t>
      </w:r>
      <w:r w:rsidRPr="00B4675A">
        <w:rPr>
          <w:rFonts w:cstheme="minorHAnsi"/>
          <w:color w:val="3A3A3A"/>
          <w:shd w:val="clear" w:color="auto" w:fill="FFFFFF"/>
        </w:rPr>
        <w:t xml:space="preserve"> 138-53. </w:t>
      </w:r>
      <w:r w:rsidRPr="008E009B">
        <w:rPr>
          <w:rFonts w:cstheme="minorHAnsi"/>
          <w:color w:val="3A3A3A"/>
          <w:shd w:val="clear" w:color="auto" w:fill="FFFFFF"/>
        </w:rPr>
        <w:t>DOI:10.21638/11701/spbu27.2018.201</w:t>
      </w:r>
    </w:p>
    <w:p w:rsidR="00AF2FB6" w:rsidRDefault="00AF2FB6" w:rsidP="00AF2FB6">
      <w:pPr>
        <w:jc w:val="both"/>
        <w:rPr>
          <w:rFonts w:cstheme="minorHAnsi"/>
          <w:color w:val="3A3A3A"/>
          <w:shd w:val="clear" w:color="auto" w:fill="FFFFFF"/>
        </w:rPr>
      </w:pPr>
      <w:r>
        <w:rPr>
          <w:rFonts w:cstheme="minorHAnsi"/>
          <w:color w:val="3A3A3A"/>
          <w:shd w:val="clear" w:color="auto" w:fill="FFFFFF"/>
        </w:rPr>
        <w:t xml:space="preserve">Dean, D. (1994) </w:t>
      </w:r>
      <w:r>
        <w:rPr>
          <w:rFonts w:cstheme="minorHAnsi"/>
          <w:i/>
          <w:color w:val="3A3A3A"/>
          <w:shd w:val="clear" w:color="auto" w:fill="FFFFFF"/>
        </w:rPr>
        <w:t xml:space="preserve">Museum Exhibition: Theory and Practice. </w:t>
      </w:r>
      <w:r>
        <w:rPr>
          <w:rFonts w:cstheme="minorHAnsi"/>
          <w:color w:val="3A3A3A"/>
          <w:shd w:val="clear" w:color="auto" w:fill="FFFFFF"/>
        </w:rPr>
        <w:t xml:space="preserve">London: Routledge. </w:t>
      </w:r>
    </w:p>
    <w:p w:rsidR="00AF2FB6" w:rsidRPr="003204C1" w:rsidRDefault="00AF2FB6" w:rsidP="00AF2FB6">
      <w:pPr>
        <w:jc w:val="both"/>
        <w:rPr>
          <w:rFonts w:cstheme="minorHAnsi"/>
          <w:color w:val="3A3A3A"/>
          <w:shd w:val="clear" w:color="auto" w:fill="FFFFFF"/>
        </w:rPr>
      </w:pPr>
      <w:r>
        <w:rPr>
          <w:rFonts w:cstheme="minorHAnsi"/>
          <w:color w:val="3A3A3A"/>
          <w:shd w:val="clear" w:color="auto" w:fill="FFFFFF"/>
        </w:rPr>
        <w:t xml:space="preserve">Durbin, G. (ed) (1996) </w:t>
      </w:r>
      <w:r>
        <w:rPr>
          <w:rFonts w:cstheme="minorHAnsi"/>
          <w:i/>
          <w:color w:val="3A3A3A"/>
          <w:shd w:val="clear" w:color="auto" w:fill="FFFFFF"/>
        </w:rPr>
        <w:t xml:space="preserve">Developing Museum Exhibitions for Lifelong Learning. </w:t>
      </w:r>
      <w:r>
        <w:rPr>
          <w:rFonts w:cstheme="minorHAnsi"/>
          <w:color w:val="3A3A3A"/>
          <w:shd w:val="clear" w:color="auto" w:fill="FFFFFF"/>
        </w:rPr>
        <w:t>London: Stationary Office.</w:t>
      </w:r>
    </w:p>
    <w:p w:rsidR="00AF2FB6" w:rsidRDefault="00AF2FB6" w:rsidP="00AF2FB6">
      <w:pPr>
        <w:jc w:val="both"/>
      </w:pPr>
      <w:r>
        <w:rPr>
          <w:rFonts w:cstheme="minorHAnsi"/>
          <w:color w:val="3A3A3A"/>
          <w:shd w:val="clear" w:color="auto" w:fill="FFFFFF"/>
        </w:rPr>
        <w:t xml:space="preserve">Fahy, A. (1995) ‘New technologies for museum communication’, </w:t>
      </w:r>
      <w:r>
        <w:t xml:space="preserve">in Hooper-Greenhill, E. (ed) </w:t>
      </w:r>
      <w:r>
        <w:rPr>
          <w:i/>
        </w:rPr>
        <w:t xml:space="preserve">Museum, Media, Message. </w:t>
      </w:r>
      <w:r>
        <w:t xml:space="preserve">London: Routledge. pp 82-96. </w:t>
      </w:r>
    </w:p>
    <w:p w:rsidR="00AF2FB6" w:rsidRDefault="00AF2FB6" w:rsidP="00AF2FB6">
      <w:pPr>
        <w:jc w:val="both"/>
      </w:pPr>
      <w:r>
        <w:rPr>
          <w:rFonts w:cstheme="minorHAnsi"/>
          <w:color w:val="3A3A3A"/>
          <w:shd w:val="clear" w:color="auto" w:fill="FFFFFF"/>
        </w:rPr>
        <w:t xml:space="preserve">Gilmore, E., and Sabine, J. (1999) ‘Writing readable text: evaluation of the </w:t>
      </w:r>
      <w:proofErr w:type="spellStart"/>
      <w:r>
        <w:rPr>
          <w:rFonts w:cstheme="minorHAnsi"/>
          <w:color w:val="3A3A3A"/>
          <w:shd w:val="clear" w:color="auto" w:fill="FFFFFF"/>
        </w:rPr>
        <w:t>Ekarv</w:t>
      </w:r>
      <w:proofErr w:type="spellEnd"/>
      <w:r>
        <w:rPr>
          <w:rFonts w:cstheme="minorHAnsi"/>
          <w:color w:val="3A3A3A"/>
          <w:shd w:val="clear" w:color="auto" w:fill="FFFFFF"/>
        </w:rPr>
        <w:t xml:space="preserve"> method’, </w:t>
      </w:r>
      <w:r>
        <w:t xml:space="preserve">in Hooper-Greenhill, E. (ed) </w:t>
      </w:r>
      <w:r>
        <w:rPr>
          <w:i/>
        </w:rPr>
        <w:t xml:space="preserve">The Educational Role of the Museum. </w:t>
      </w:r>
      <w:r>
        <w:t>2</w:t>
      </w:r>
      <w:r w:rsidRPr="00C72071">
        <w:rPr>
          <w:vertAlign w:val="superscript"/>
        </w:rPr>
        <w:t>nd</w:t>
      </w:r>
      <w:r>
        <w:t xml:space="preserve"> </w:t>
      </w:r>
      <w:proofErr w:type="spellStart"/>
      <w:r>
        <w:t>edn</w:t>
      </w:r>
      <w:proofErr w:type="spellEnd"/>
      <w:r>
        <w:t>. Oxon: Routledge. pp 205-210.</w:t>
      </w:r>
    </w:p>
    <w:p w:rsidR="00AF2FB6" w:rsidRPr="0024528A" w:rsidRDefault="00AF2FB6" w:rsidP="00AF2FB6">
      <w:pPr>
        <w:jc w:val="both"/>
        <w:rPr>
          <w:rFonts w:cstheme="minorHAnsi"/>
          <w:color w:val="3A3A3A"/>
          <w:shd w:val="clear" w:color="auto" w:fill="FFFFFF"/>
        </w:rPr>
      </w:pPr>
      <w:r>
        <w:rPr>
          <w:rFonts w:cstheme="minorHAnsi"/>
          <w:color w:val="3A3A3A"/>
          <w:shd w:val="clear" w:color="auto" w:fill="FFFFFF"/>
        </w:rPr>
        <w:t xml:space="preserve">Hein, G. E. (1998) </w:t>
      </w:r>
      <w:r>
        <w:rPr>
          <w:rFonts w:cstheme="minorHAnsi"/>
          <w:i/>
          <w:color w:val="3A3A3A"/>
          <w:shd w:val="clear" w:color="auto" w:fill="FFFFFF"/>
        </w:rPr>
        <w:t>Learning in the Museum.</w:t>
      </w:r>
      <w:r>
        <w:rPr>
          <w:rFonts w:cstheme="minorHAnsi"/>
          <w:color w:val="3A3A3A"/>
          <w:shd w:val="clear" w:color="auto" w:fill="FFFFFF"/>
        </w:rPr>
        <w:t xml:space="preserve"> London: Routledge. </w:t>
      </w:r>
    </w:p>
    <w:p w:rsidR="00AF2FB6" w:rsidRPr="00167C22" w:rsidRDefault="00AF2FB6" w:rsidP="00AF2FB6">
      <w:r>
        <w:t xml:space="preserve">Henning, M. (2006) ‘New Media’, in Macdonald, S (ed) </w:t>
      </w:r>
      <w:r>
        <w:rPr>
          <w:i/>
        </w:rPr>
        <w:t xml:space="preserve">A Companion to Museum Studies. </w:t>
      </w:r>
      <w:r>
        <w:t>Oxford: Blackwell. pp 302-318.</w:t>
      </w:r>
    </w:p>
    <w:p w:rsidR="00AF2FB6" w:rsidRDefault="00AF2FB6" w:rsidP="00AF2FB6">
      <w:r>
        <w:t xml:space="preserve">Hohenstein, J. and </w:t>
      </w:r>
      <w:proofErr w:type="spellStart"/>
      <w:r>
        <w:t>Moussouri</w:t>
      </w:r>
      <w:proofErr w:type="spellEnd"/>
      <w:r>
        <w:t xml:space="preserve">, T. (2018) </w:t>
      </w:r>
      <w:r>
        <w:rPr>
          <w:i/>
        </w:rPr>
        <w:t xml:space="preserve">Museum Learning: Theory and Research for Enhancing Practice. </w:t>
      </w:r>
      <w:r>
        <w:t>Oxon: Routledge.</w:t>
      </w:r>
    </w:p>
    <w:p w:rsidR="00AF2FB6" w:rsidRDefault="00AF2FB6" w:rsidP="00AF2FB6">
      <w:r>
        <w:t xml:space="preserve">Hooper-Greenhill, E. (1994) </w:t>
      </w:r>
      <w:r>
        <w:rPr>
          <w:i/>
        </w:rPr>
        <w:t xml:space="preserve">Museums and their Visitors. </w:t>
      </w:r>
      <w:r>
        <w:t>London: Routledge.</w:t>
      </w:r>
    </w:p>
    <w:p w:rsidR="00AF2FB6" w:rsidRDefault="00AF2FB6" w:rsidP="00AF2FB6">
      <w:r>
        <w:t xml:space="preserve">Hooper-Greenhill, E. (1999) ‘Education, communication and interpretation’, in Hooper-Greenhill, E. (ed) </w:t>
      </w:r>
      <w:r>
        <w:rPr>
          <w:i/>
        </w:rPr>
        <w:t xml:space="preserve">The Educational Role of the Museum. </w:t>
      </w:r>
      <w:r>
        <w:t>2</w:t>
      </w:r>
      <w:r w:rsidRPr="00C72071">
        <w:rPr>
          <w:vertAlign w:val="superscript"/>
        </w:rPr>
        <w:t>nd</w:t>
      </w:r>
      <w:r>
        <w:t xml:space="preserve"> </w:t>
      </w:r>
      <w:proofErr w:type="spellStart"/>
      <w:r>
        <w:t>edn</w:t>
      </w:r>
      <w:proofErr w:type="spellEnd"/>
      <w:r>
        <w:t>. Oxon: Routledge. pp 3-27.</w:t>
      </w:r>
    </w:p>
    <w:p w:rsidR="00AF2FB6" w:rsidRDefault="00AF2FB6" w:rsidP="00AF2FB6">
      <w:r>
        <w:t xml:space="preserve">Locke, S. (1995) ‘A museum manager discusses museum communication’, in Hooper-Greenhill, E. (ed) </w:t>
      </w:r>
      <w:r>
        <w:rPr>
          <w:i/>
        </w:rPr>
        <w:t xml:space="preserve">Museum, Media, Message. </w:t>
      </w:r>
      <w:r>
        <w:t>London: Routledge. pp 135-139.</w:t>
      </w:r>
    </w:p>
    <w:p w:rsidR="00AF2FB6" w:rsidRDefault="00AF2FB6" w:rsidP="00AF2FB6">
      <w:proofErr w:type="spellStart"/>
      <w:r w:rsidRPr="008E009B">
        <w:t>Laursen</w:t>
      </w:r>
      <w:proofErr w:type="spellEnd"/>
      <w:r w:rsidRPr="008E009B">
        <w:t>,</w:t>
      </w:r>
      <w:r>
        <w:t xml:space="preserve"> D.,</w:t>
      </w:r>
      <w:r w:rsidRPr="008E009B">
        <w:t xml:space="preserve"> </w:t>
      </w:r>
      <w:proofErr w:type="spellStart"/>
      <w:r w:rsidRPr="008E009B">
        <w:t>Hviid</w:t>
      </w:r>
      <w:proofErr w:type="spellEnd"/>
      <w:r w:rsidRPr="008E009B">
        <w:t xml:space="preserve"> Mortensen</w:t>
      </w:r>
      <w:r>
        <w:t>, C.,</w:t>
      </w:r>
      <w:r w:rsidRPr="008E009B">
        <w:t xml:space="preserve"> Olesen</w:t>
      </w:r>
      <w:r>
        <w:t xml:space="preserve"> A. R.</w:t>
      </w:r>
      <w:r w:rsidRPr="008E009B">
        <w:t xml:space="preserve">, and </w:t>
      </w:r>
      <w:proofErr w:type="spellStart"/>
      <w:r w:rsidRPr="008E009B">
        <w:t>Schrøder</w:t>
      </w:r>
      <w:proofErr w:type="spellEnd"/>
      <w:r>
        <w:t xml:space="preserve"> K. C. (2017) ‘“</w:t>
      </w:r>
      <w:r w:rsidRPr="008E009B">
        <w:t xml:space="preserve">I </w:t>
      </w:r>
      <w:r w:rsidRPr="008E009B">
        <w:rPr>
          <w:rFonts w:ascii="Segoe UI Emoji" w:hAnsi="Segoe UI Emoji" w:cs="Segoe UI Emoji"/>
        </w:rPr>
        <w:t>♥</w:t>
      </w:r>
      <w:r w:rsidRPr="008E009B">
        <w:t xml:space="preserve"> </w:t>
      </w:r>
      <w:proofErr w:type="spellStart"/>
      <w:r w:rsidRPr="008E009B">
        <w:t>Skagens</w:t>
      </w:r>
      <w:proofErr w:type="spellEnd"/>
      <w:r w:rsidRPr="008E009B">
        <w:t xml:space="preserve"> Museum</w:t>
      </w:r>
      <w:r w:rsidRPr="008E009B">
        <w:rPr>
          <w:rFonts w:ascii="Calibri" w:hAnsi="Calibri" w:cs="Calibri"/>
        </w:rPr>
        <w:t>”</w:t>
      </w:r>
      <w:r w:rsidRPr="008E009B">
        <w:t>: Patterns of Interaction in the Institutional Facebook Communication of Museums.</w:t>
      </w:r>
      <w:r>
        <w:t>’</w:t>
      </w:r>
      <w:r w:rsidRPr="008E009B">
        <w:t xml:space="preserve"> </w:t>
      </w:r>
      <w:r w:rsidRPr="00FC39C7">
        <w:rPr>
          <w:i/>
        </w:rPr>
        <w:t>Museum &amp; Society</w:t>
      </w:r>
      <w:r>
        <w:rPr>
          <w:i/>
        </w:rPr>
        <w:t>.</w:t>
      </w:r>
      <w:r w:rsidRPr="008E009B">
        <w:t xml:space="preserve"> 15</w:t>
      </w:r>
      <w:r>
        <w:t>(2).</w:t>
      </w:r>
      <w:r w:rsidRPr="008E009B">
        <w:t xml:space="preserve"> </w:t>
      </w:r>
      <w:r>
        <w:t xml:space="preserve">pp </w:t>
      </w:r>
      <w:r w:rsidRPr="008E009B">
        <w:t xml:space="preserve">171-92. </w:t>
      </w:r>
      <w:r w:rsidRPr="00FC39C7">
        <w:t>DOI 10.29311/</w:t>
      </w:r>
      <w:proofErr w:type="gramStart"/>
      <w:r w:rsidRPr="00FC39C7">
        <w:t>mas.v</w:t>
      </w:r>
      <w:proofErr w:type="gramEnd"/>
      <w:r w:rsidRPr="00FC39C7">
        <w:t>15i2.831</w:t>
      </w:r>
    </w:p>
    <w:p w:rsidR="00AF2FB6" w:rsidRDefault="00AF2FB6" w:rsidP="00AF2FB6">
      <w:r>
        <w:t xml:space="preserve">Mason, R. (2005) ‘Museums, galleries and heritage: sites of meaning making and communication’, in </w:t>
      </w:r>
      <w:proofErr w:type="spellStart"/>
      <w:r>
        <w:t>Corsane</w:t>
      </w:r>
      <w:proofErr w:type="spellEnd"/>
      <w:r>
        <w:t xml:space="preserve">, G. (ed) </w:t>
      </w:r>
      <w:r>
        <w:rPr>
          <w:i/>
        </w:rPr>
        <w:t xml:space="preserve">Heritage, Museums and Galleries: An Introductory Reader. </w:t>
      </w:r>
      <w:r>
        <w:t xml:space="preserve">Oxon: Routledge. pp 200-214. </w:t>
      </w:r>
    </w:p>
    <w:p w:rsidR="00AF2FB6" w:rsidRPr="001173E0" w:rsidRDefault="00AF2FB6" w:rsidP="00AF2FB6">
      <w:proofErr w:type="spellStart"/>
      <w:r w:rsidRPr="001173E0">
        <w:t>Pillière</w:t>
      </w:r>
      <w:proofErr w:type="spellEnd"/>
      <w:r>
        <w:t>, L. (2018) ‘</w:t>
      </w:r>
      <w:r w:rsidRPr="001173E0">
        <w:t>Accommodating the visitor: How museums connect with their present-day populations</w:t>
      </w:r>
      <w:r>
        <w:t xml:space="preserve">’ </w:t>
      </w:r>
      <w:r>
        <w:rPr>
          <w:i/>
        </w:rPr>
        <w:t xml:space="preserve">Anglophile. </w:t>
      </w:r>
      <w:r>
        <w:t xml:space="preserve">25. </w:t>
      </w:r>
      <w:r w:rsidRPr="001173E0">
        <w:t>DOI: 10.4000/anglophonia.1409</w:t>
      </w:r>
    </w:p>
    <w:p w:rsidR="00AF2FB6" w:rsidRPr="008E009B" w:rsidRDefault="00AF2FB6" w:rsidP="00AF2FB6">
      <w:r w:rsidRPr="009C3D90">
        <w:t>Ren</w:t>
      </w:r>
      <w:r>
        <w:t>, C.</w:t>
      </w:r>
      <w:r w:rsidRPr="009C3D90">
        <w:t>, Pritchard,</w:t>
      </w:r>
      <w:r>
        <w:t xml:space="preserve"> A.,</w:t>
      </w:r>
      <w:r w:rsidRPr="009C3D90">
        <w:t xml:space="preserve"> and Morgan</w:t>
      </w:r>
      <w:r>
        <w:t>, N</w:t>
      </w:r>
      <w:r w:rsidRPr="009C3D90">
        <w:t>.</w:t>
      </w:r>
      <w:r>
        <w:t xml:space="preserve"> (2010)</w:t>
      </w:r>
      <w:r w:rsidRPr="009C3D90">
        <w:t xml:space="preserve"> </w:t>
      </w:r>
      <w:r>
        <w:t>‘</w:t>
      </w:r>
      <w:r w:rsidRPr="009C3D90">
        <w:t>Constructing Tourism Research</w:t>
      </w:r>
      <w:r>
        <w:t>’</w:t>
      </w:r>
      <w:r w:rsidRPr="009C3D90">
        <w:t xml:space="preserve"> </w:t>
      </w:r>
      <w:r w:rsidRPr="009C3D90">
        <w:rPr>
          <w:i/>
        </w:rPr>
        <w:t>Annals of Tourism Research</w:t>
      </w:r>
      <w:r>
        <w:rPr>
          <w:i/>
        </w:rPr>
        <w:t>.</w:t>
      </w:r>
      <w:r w:rsidRPr="009C3D90">
        <w:t xml:space="preserve"> 37</w:t>
      </w:r>
      <w:r>
        <w:t>(</w:t>
      </w:r>
      <w:r w:rsidRPr="009C3D90">
        <w:t>4</w:t>
      </w:r>
      <w:r>
        <w:t>). pp</w:t>
      </w:r>
      <w:r w:rsidRPr="009C3D90">
        <w:t xml:space="preserve"> 885-904</w:t>
      </w:r>
      <w:r>
        <w:t xml:space="preserve">. </w:t>
      </w:r>
      <w:proofErr w:type="gramStart"/>
      <w:r w:rsidRPr="009C3D90">
        <w:t>doi:10.1016/j.annals</w:t>
      </w:r>
      <w:proofErr w:type="gramEnd"/>
      <w:r w:rsidRPr="009C3D90">
        <w:t>.2009.11.006</w:t>
      </w:r>
    </w:p>
    <w:p w:rsidR="00AF2FB6" w:rsidRDefault="00AF2FB6" w:rsidP="00AF2FB6">
      <w:pPr>
        <w:jc w:val="both"/>
      </w:pPr>
      <w:r>
        <w:lastRenderedPageBreak/>
        <w:t xml:space="preserve">Silverstone, R. (1989) ‘Heritage as Media: Some Implications for Research’, in </w:t>
      </w:r>
      <w:proofErr w:type="spellStart"/>
      <w:r>
        <w:t>Uzzell</w:t>
      </w:r>
      <w:proofErr w:type="spellEnd"/>
      <w:r>
        <w:t xml:space="preserve">, D (ed) </w:t>
      </w:r>
      <w:r>
        <w:rPr>
          <w:i/>
        </w:rPr>
        <w:t xml:space="preserve">Heritage Interpretation Volume 2: The Visitor Experience. </w:t>
      </w:r>
      <w:r>
        <w:t xml:space="preserve">London: </w:t>
      </w:r>
      <w:proofErr w:type="spellStart"/>
      <w:r>
        <w:t>Bellhaven</w:t>
      </w:r>
      <w:proofErr w:type="spellEnd"/>
      <w:r>
        <w:t>. pp 138-148.</w:t>
      </w:r>
    </w:p>
    <w:p w:rsidR="00AF2FB6" w:rsidRPr="0097197A" w:rsidRDefault="00AF2FB6" w:rsidP="00AF2FB6">
      <w:pPr>
        <w:jc w:val="both"/>
      </w:pPr>
      <w:r>
        <w:t>Victoria and Albert Museums (2013) Gallery</w:t>
      </w:r>
      <w:r>
        <w:rPr>
          <w:i/>
        </w:rPr>
        <w:t xml:space="preserve"> Text at the V&amp;A. A Ten Point Guide. </w:t>
      </w:r>
      <w:r>
        <w:t xml:space="preserve">Available from </w:t>
      </w:r>
      <w:hyperlink r:id="rId7" w:history="1">
        <w:r>
          <w:rPr>
            <w:rStyle w:val="Hyperlink"/>
          </w:rPr>
          <w:t>https://www.vam.ac.uk/__data/assets/pdf_file/0009/238077/Gallery-Text-at-the-V-and-A-Ten-Point-Guide-Aug-2013.pdf</w:t>
        </w:r>
      </w:hyperlink>
      <w:r>
        <w:t xml:space="preserve"> [Accessed 20th May 2020].  </w:t>
      </w:r>
    </w:p>
    <w:p w:rsidR="00AF2FB6" w:rsidRDefault="00AF2FB6" w:rsidP="00AF2FB6">
      <w:proofErr w:type="spellStart"/>
      <w:r w:rsidRPr="00FC39C7">
        <w:t>Zyglidopoulos</w:t>
      </w:r>
      <w:proofErr w:type="spellEnd"/>
      <w:r w:rsidRPr="00FC39C7">
        <w:t xml:space="preserve">, </w:t>
      </w:r>
      <w:r>
        <w:t>S.,</w:t>
      </w:r>
      <w:r w:rsidRPr="00FC39C7">
        <w:t xml:space="preserve"> </w:t>
      </w:r>
      <w:proofErr w:type="spellStart"/>
      <w:r w:rsidRPr="00FC39C7">
        <w:t>Symeou</w:t>
      </w:r>
      <w:proofErr w:type="spellEnd"/>
      <w:r>
        <w:t xml:space="preserve">, P. C., </w:t>
      </w:r>
      <w:proofErr w:type="spellStart"/>
      <w:r w:rsidRPr="00FC39C7">
        <w:t>Bantimaroudis</w:t>
      </w:r>
      <w:proofErr w:type="spellEnd"/>
      <w:r>
        <w:t>, P., and</w:t>
      </w:r>
      <w:r w:rsidRPr="00FC39C7">
        <w:t xml:space="preserve"> </w:t>
      </w:r>
      <w:proofErr w:type="spellStart"/>
      <w:r w:rsidRPr="00FC39C7">
        <w:t>Kampanellou</w:t>
      </w:r>
      <w:proofErr w:type="spellEnd"/>
      <w:r>
        <w:t>, E</w:t>
      </w:r>
      <w:r w:rsidRPr="00FC39C7">
        <w:t>.</w:t>
      </w:r>
      <w:r>
        <w:t xml:space="preserve"> (2012) ‘</w:t>
      </w:r>
      <w:r w:rsidRPr="00FC39C7">
        <w:t>Cultural Agenda Setting: Media Attributes and Public Attention of Greek Museum</w:t>
      </w:r>
      <w:r>
        <w:t>’</w:t>
      </w:r>
      <w:r w:rsidRPr="00FC39C7">
        <w:t xml:space="preserve"> </w:t>
      </w:r>
      <w:r w:rsidRPr="006D4DAE">
        <w:rPr>
          <w:i/>
        </w:rPr>
        <w:t>Communication Research</w:t>
      </w:r>
      <w:r w:rsidRPr="00FC39C7">
        <w:t xml:space="preserve"> 39</w:t>
      </w:r>
      <w:r>
        <w:t>(4). pp</w:t>
      </w:r>
      <w:r w:rsidRPr="00FC39C7">
        <w:t xml:space="preserve"> 480-98</w:t>
      </w:r>
      <w:r>
        <w:t xml:space="preserve">. </w:t>
      </w:r>
      <w:r w:rsidRPr="006D4DAE">
        <w:t>DOI: 10.1177/0093650210395747</w:t>
      </w:r>
    </w:p>
    <w:p w:rsidR="00AF2FB6" w:rsidRPr="00AF2FB6" w:rsidRDefault="00AF2FB6" w:rsidP="00AF2FB6"/>
    <w:sectPr w:rsidR="00AF2FB6" w:rsidRPr="00AF2FB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3E45" w:rsidRDefault="006D3E45" w:rsidP="00AF2FB6">
      <w:pPr>
        <w:spacing w:after="0" w:line="240" w:lineRule="auto"/>
      </w:pPr>
      <w:r>
        <w:separator/>
      </w:r>
    </w:p>
  </w:endnote>
  <w:endnote w:type="continuationSeparator" w:id="0">
    <w:p w:rsidR="006D3E45" w:rsidRDefault="006D3E45" w:rsidP="00AF2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Emoji">
    <w:panose1 w:val="020B0502040204020203"/>
    <w:charset w:val="00"/>
    <w:family w:val="swiss"/>
    <w:pitch w:val="variable"/>
    <w:sig w:usb0="00000003" w:usb1="02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016349"/>
      <w:docPartObj>
        <w:docPartGallery w:val="Page Numbers (Bottom of Page)"/>
        <w:docPartUnique/>
      </w:docPartObj>
    </w:sdtPr>
    <w:sdtEndPr>
      <w:rPr>
        <w:noProof/>
      </w:rPr>
    </w:sdtEndPr>
    <w:sdtContent>
      <w:p w:rsidR="00AF2FB6" w:rsidRDefault="00AF2F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F2FB6" w:rsidRDefault="00AF2F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3E45" w:rsidRDefault="006D3E45" w:rsidP="00AF2FB6">
      <w:pPr>
        <w:spacing w:after="0" w:line="240" w:lineRule="auto"/>
      </w:pPr>
      <w:r>
        <w:separator/>
      </w:r>
    </w:p>
  </w:footnote>
  <w:footnote w:type="continuationSeparator" w:id="0">
    <w:p w:rsidR="006D3E45" w:rsidRDefault="006D3E45" w:rsidP="00AF2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2FB6" w:rsidRDefault="00AF2FB6">
    <w:pPr>
      <w:pStyle w:val="Header"/>
    </w:pPr>
    <w:r>
      <w:t xml:space="preserve">Catriona Price 1102237 AHAN7030 2 </w:t>
    </w:r>
  </w:p>
  <w:p w:rsidR="00AF2FB6" w:rsidRDefault="00AF2FB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749"/>
    <w:rsid w:val="000356DD"/>
    <w:rsid w:val="00043F09"/>
    <w:rsid w:val="000865A5"/>
    <w:rsid w:val="000A438B"/>
    <w:rsid w:val="000C7B34"/>
    <w:rsid w:val="00107563"/>
    <w:rsid w:val="001129D7"/>
    <w:rsid w:val="00195A84"/>
    <w:rsid w:val="001B3722"/>
    <w:rsid w:val="00255B64"/>
    <w:rsid w:val="00283A0E"/>
    <w:rsid w:val="002A0D62"/>
    <w:rsid w:val="002C17E0"/>
    <w:rsid w:val="002E1D45"/>
    <w:rsid w:val="002F0715"/>
    <w:rsid w:val="003E5815"/>
    <w:rsid w:val="003F47C5"/>
    <w:rsid w:val="0040582D"/>
    <w:rsid w:val="00430BDF"/>
    <w:rsid w:val="00450C34"/>
    <w:rsid w:val="00472145"/>
    <w:rsid w:val="004F0F3E"/>
    <w:rsid w:val="00591F8E"/>
    <w:rsid w:val="005D17A2"/>
    <w:rsid w:val="005E0231"/>
    <w:rsid w:val="005E6096"/>
    <w:rsid w:val="00680B83"/>
    <w:rsid w:val="00693D37"/>
    <w:rsid w:val="006A7DF7"/>
    <w:rsid w:val="006D3E45"/>
    <w:rsid w:val="006F461D"/>
    <w:rsid w:val="00701476"/>
    <w:rsid w:val="007715A4"/>
    <w:rsid w:val="0079626A"/>
    <w:rsid w:val="00820362"/>
    <w:rsid w:val="008A6749"/>
    <w:rsid w:val="008D74F6"/>
    <w:rsid w:val="00905E58"/>
    <w:rsid w:val="009111D9"/>
    <w:rsid w:val="00911CB6"/>
    <w:rsid w:val="0091672F"/>
    <w:rsid w:val="00916EEF"/>
    <w:rsid w:val="00956235"/>
    <w:rsid w:val="00960F95"/>
    <w:rsid w:val="00966173"/>
    <w:rsid w:val="00A02DC8"/>
    <w:rsid w:val="00A357F3"/>
    <w:rsid w:val="00A545E7"/>
    <w:rsid w:val="00A62903"/>
    <w:rsid w:val="00A70442"/>
    <w:rsid w:val="00AF2FB6"/>
    <w:rsid w:val="00B04E8E"/>
    <w:rsid w:val="00B43C21"/>
    <w:rsid w:val="00B6514A"/>
    <w:rsid w:val="00BA448E"/>
    <w:rsid w:val="00BC3435"/>
    <w:rsid w:val="00BC5B96"/>
    <w:rsid w:val="00C01ABF"/>
    <w:rsid w:val="00C10A9F"/>
    <w:rsid w:val="00C8318F"/>
    <w:rsid w:val="00C85593"/>
    <w:rsid w:val="00CA7920"/>
    <w:rsid w:val="00CD1231"/>
    <w:rsid w:val="00D360B7"/>
    <w:rsid w:val="00E16D72"/>
    <w:rsid w:val="00E55B48"/>
    <w:rsid w:val="00EA65CB"/>
    <w:rsid w:val="00EC4FEE"/>
    <w:rsid w:val="00EE0D96"/>
    <w:rsid w:val="00EE1DD6"/>
    <w:rsid w:val="00EE3BD1"/>
    <w:rsid w:val="00F83244"/>
    <w:rsid w:val="00F95A73"/>
    <w:rsid w:val="00FA5610"/>
    <w:rsid w:val="00FC172C"/>
    <w:rsid w:val="00FD20C8"/>
    <w:rsid w:val="00FF79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33875"/>
  <w15:chartTrackingRefBased/>
  <w15:docId w15:val="{B631F1F6-FCF2-4266-A9A0-2EB472824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F2FB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F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FB6"/>
  </w:style>
  <w:style w:type="paragraph" w:styleId="Footer">
    <w:name w:val="footer"/>
    <w:basedOn w:val="Normal"/>
    <w:link w:val="FooterChar"/>
    <w:uiPriority w:val="99"/>
    <w:unhideWhenUsed/>
    <w:rsid w:val="00AF2F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FB6"/>
  </w:style>
  <w:style w:type="character" w:customStyle="1" w:styleId="Heading2Char">
    <w:name w:val="Heading 2 Char"/>
    <w:basedOn w:val="DefaultParagraphFont"/>
    <w:link w:val="Heading2"/>
    <w:uiPriority w:val="9"/>
    <w:rsid w:val="00AF2FB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AF2F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vam.ac.uk/__data/assets/pdf_file/0009/238077/Gallery-Text-at-the-V-and-A-Ten-Point-Guide-Aug-2013.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F8BBB-AF87-4023-A575-592EA38F7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3130</Words>
  <Characters>17843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Catriona Price</dc:creator>
  <cp:keywords/>
  <dc:description/>
  <cp:lastModifiedBy>Catriona Price</cp:lastModifiedBy>
  <cp:revision>3</cp:revision>
  <dcterms:created xsi:type="dcterms:W3CDTF">2020-05-20T14:53:00Z</dcterms:created>
  <dcterms:modified xsi:type="dcterms:W3CDTF">2020-05-20T14:54:00Z</dcterms:modified>
</cp:coreProperties>
</file>