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CCF43"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11D1BE8A" wp14:editId="368776BF">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D4826C3"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6403F67B" w14:textId="77777777" w:rsidR="0033644F" w:rsidRPr="002E67CE" w:rsidRDefault="0033644F" w:rsidP="0033644F">
      <w:pPr>
        <w:rPr>
          <w:lang w:val="cy-GB"/>
        </w:rPr>
      </w:pPr>
    </w:p>
    <w:p w14:paraId="0713BF41" w14:textId="77777777" w:rsidR="0033644F" w:rsidRDefault="0033644F" w:rsidP="003364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16"/>
        <w:gridCol w:w="280"/>
        <w:gridCol w:w="1234"/>
        <w:gridCol w:w="279"/>
        <w:gridCol w:w="1691"/>
        <w:gridCol w:w="96"/>
      </w:tblGrid>
      <w:tr w:rsidR="0033644F" w:rsidRPr="002F467C" w14:paraId="1C798F22" w14:textId="77777777" w:rsidTr="006B7840">
        <w:trPr>
          <w:gridAfter w:val="1"/>
          <w:wAfter w:w="101" w:type="dxa"/>
          <w:trHeight w:val="614"/>
        </w:trPr>
        <w:tc>
          <w:tcPr>
            <w:tcW w:w="8755" w:type="dxa"/>
            <w:gridSpan w:val="6"/>
          </w:tcPr>
          <w:p w14:paraId="1B9CC9AD" w14:textId="77777777" w:rsidR="0033644F" w:rsidRPr="00B937BA" w:rsidRDefault="0033644F" w:rsidP="0033644F">
            <w:pPr>
              <w:pStyle w:val="NormalWeb"/>
              <w:spacing w:before="0" w:beforeAutospacing="0" w:after="0" w:afterAutospacing="0"/>
              <w:ind w:right="34"/>
              <w:rPr>
                <w:rFonts w:ascii="Calibri" w:hAnsi="Calibri" w:cs="Tahoma"/>
                <w:iCs/>
                <w:sz w:val="36"/>
                <w:szCs w:val="24"/>
              </w:rPr>
            </w:pPr>
            <w:r w:rsidRPr="002F467C">
              <w:rPr>
                <w:rFonts w:ascii="Calibri" w:hAnsi="Calibri" w:cs="Tahoma"/>
                <w:i/>
                <w:sz w:val="24"/>
                <w:szCs w:val="24"/>
              </w:rPr>
              <w:t>Student Name</w:t>
            </w:r>
            <w:r>
              <w:rPr>
                <w:rFonts w:ascii="Calibri" w:hAnsi="Calibri" w:cs="Tahoma"/>
                <w:i/>
                <w:sz w:val="24"/>
                <w:szCs w:val="24"/>
              </w:rPr>
              <w:t>:</w:t>
            </w:r>
            <w:r w:rsidR="00B937BA">
              <w:rPr>
                <w:rFonts w:ascii="Calibri" w:hAnsi="Calibri" w:cs="Tahoma"/>
                <w:i/>
                <w:sz w:val="24"/>
                <w:szCs w:val="24"/>
              </w:rPr>
              <w:t xml:space="preserve"> </w:t>
            </w:r>
            <w:r w:rsidR="00B937BA" w:rsidRPr="00B937BA">
              <w:rPr>
                <w:rFonts w:ascii="Calibri" w:hAnsi="Calibri" w:cs="Tahoma"/>
                <w:b/>
                <w:bCs/>
                <w:iCs/>
                <w:sz w:val="24"/>
                <w:szCs w:val="24"/>
              </w:rPr>
              <w:t>Michelle Holgate</w:t>
            </w:r>
          </w:p>
          <w:p w14:paraId="68F1BA00"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p>
        </w:tc>
      </w:tr>
      <w:tr w:rsidR="0033644F" w:rsidRPr="002F467C" w14:paraId="7A251905" w14:textId="77777777" w:rsidTr="006B7840">
        <w:trPr>
          <w:gridAfter w:val="1"/>
          <w:wAfter w:w="101" w:type="dxa"/>
          <w:trHeight w:val="718"/>
        </w:trPr>
        <w:tc>
          <w:tcPr>
            <w:tcW w:w="8755" w:type="dxa"/>
            <w:gridSpan w:val="6"/>
          </w:tcPr>
          <w:p w14:paraId="7E74CBDD" w14:textId="77777777" w:rsidR="00B937BA"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B937BA">
              <w:rPr>
                <w:rFonts w:ascii="Calibri" w:hAnsi="Calibri" w:cs="Tahoma"/>
                <w:i/>
                <w:sz w:val="24"/>
                <w:szCs w:val="24"/>
              </w:rPr>
              <w:t xml:space="preserve"> </w:t>
            </w:r>
          </w:p>
          <w:p w14:paraId="61BDC62F" w14:textId="77777777" w:rsidR="00B937BA" w:rsidRDefault="00B937BA" w:rsidP="006B7840">
            <w:pPr>
              <w:pStyle w:val="NormalWeb"/>
              <w:spacing w:before="0" w:beforeAutospacing="0" w:after="0" w:afterAutospacing="0"/>
              <w:ind w:right="34"/>
              <w:rPr>
                <w:rFonts w:ascii="Calibri" w:hAnsi="Calibri" w:cs="Tahoma"/>
                <w:b/>
                <w:bCs/>
                <w:i/>
                <w:iCs/>
                <w:sz w:val="24"/>
                <w:szCs w:val="24"/>
              </w:rPr>
            </w:pPr>
          </w:p>
          <w:p w14:paraId="4868DE4D" w14:textId="77777777" w:rsidR="0033644F" w:rsidRPr="00B937BA" w:rsidRDefault="00080852" w:rsidP="006B7840">
            <w:pPr>
              <w:pStyle w:val="NormalWeb"/>
              <w:spacing w:before="0" w:beforeAutospacing="0" w:after="0" w:afterAutospacing="0"/>
              <w:ind w:right="34"/>
              <w:rPr>
                <w:rFonts w:ascii="Calibri" w:hAnsi="Calibri" w:cs="Tahoma"/>
                <w:iCs/>
                <w:sz w:val="24"/>
                <w:szCs w:val="24"/>
              </w:rPr>
            </w:pPr>
            <w:hyperlink r:id="rId8" w:history="1">
              <w:r w:rsidR="009071E5" w:rsidRPr="0029599E">
                <w:rPr>
                  <w:rStyle w:val="Hyperlink"/>
                  <w:rFonts w:ascii="Calibri" w:hAnsi="Calibri" w:cs="Tahoma"/>
                  <w:b/>
                  <w:bCs/>
                  <w:iCs/>
                  <w:sz w:val="24"/>
                  <w:szCs w:val="24"/>
                </w:rPr>
                <w:t>1604596@student.uwtsd.ac.uk</w:t>
              </w:r>
            </w:hyperlink>
          </w:p>
        </w:tc>
      </w:tr>
      <w:tr w:rsidR="0033644F" w:rsidRPr="002F467C" w14:paraId="59766548" w14:textId="77777777" w:rsidTr="006B7840">
        <w:trPr>
          <w:gridAfter w:val="1"/>
          <w:wAfter w:w="101" w:type="dxa"/>
          <w:trHeight w:val="849"/>
        </w:trPr>
        <w:tc>
          <w:tcPr>
            <w:tcW w:w="4788" w:type="dxa"/>
          </w:tcPr>
          <w:p w14:paraId="7C3DC7FA" w14:textId="77777777" w:rsidR="0033644F" w:rsidRDefault="0033644F" w:rsidP="006B7840">
            <w:pPr>
              <w:pStyle w:val="NormalWeb"/>
              <w:spacing w:before="0" w:beforeAutospacing="0" w:after="0" w:afterAutospacing="0"/>
              <w:ind w:right="34"/>
              <w:rPr>
                <w:rFonts w:ascii="Calibri" w:hAnsi="Calibri" w:cs="Tahoma"/>
                <w:i/>
                <w:sz w:val="24"/>
                <w:szCs w:val="24"/>
              </w:rPr>
            </w:pPr>
          </w:p>
          <w:p w14:paraId="692DC910" w14:textId="77777777" w:rsidR="0033644F" w:rsidRPr="00B937BA" w:rsidRDefault="0033644F" w:rsidP="006B7840">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Module code:</w:t>
            </w:r>
            <w:r w:rsidR="00B937BA" w:rsidRPr="00B937BA">
              <w:rPr>
                <w:rFonts w:ascii="Calibri" w:hAnsi="Calibri" w:cs="Tahoma"/>
                <w:b/>
                <w:bCs/>
                <w:i/>
                <w:sz w:val="24"/>
                <w:szCs w:val="24"/>
              </w:rPr>
              <w:t xml:space="preserve"> </w:t>
            </w:r>
            <w:r w:rsidR="00B937BA" w:rsidRPr="00B937BA">
              <w:rPr>
                <w:rFonts w:ascii="Calibri" w:hAnsi="Calibri" w:cs="Tahoma"/>
                <w:b/>
                <w:bCs/>
                <w:iCs/>
                <w:sz w:val="24"/>
                <w:szCs w:val="24"/>
              </w:rPr>
              <w:t>HPCA7010</w:t>
            </w:r>
          </w:p>
        </w:tc>
        <w:tc>
          <w:tcPr>
            <w:tcW w:w="2266" w:type="dxa"/>
            <w:gridSpan w:val="4"/>
          </w:tcPr>
          <w:p w14:paraId="1C8765C6"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1158132E" w14:textId="77777777" w:rsidR="00B937BA" w:rsidRPr="00B937BA" w:rsidRDefault="00B937BA" w:rsidP="006B7840">
            <w:pPr>
              <w:pStyle w:val="NormalWeb"/>
              <w:spacing w:before="0" w:beforeAutospacing="0" w:after="0" w:afterAutospacing="0"/>
              <w:ind w:right="34"/>
              <w:rPr>
                <w:rFonts w:ascii="Calibri" w:hAnsi="Calibri" w:cs="Tahoma"/>
                <w:b/>
                <w:bCs/>
                <w:iCs/>
                <w:sz w:val="24"/>
                <w:szCs w:val="24"/>
              </w:rPr>
            </w:pPr>
            <w:r>
              <w:rPr>
                <w:rFonts w:ascii="Calibri" w:hAnsi="Calibri" w:cs="Tahoma"/>
                <w:b/>
                <w:bCs/>
                <w:iCs/>
                <w:sz w:val="24"/>
                <w:szCs w:val="24"/>
              </w:rPr>
              <w:t>1604596</w:t>
            </w:r>
          </w:p>
        </w:tc>
        <w:tc>
          <w:tcPr>
            <w:tcW w:w="1701" w:type="dxa"/>
          </w:tcPr>
          <w:p w14:paraId="7AE492AA"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2DDB847C" w14:textId="77777777" w:rsidR="0033644F" w:rsidRPr="00B937BA" w:rsidRDefault="0033644F" w:rsidP="006B7840">
            <w:pPr>
              <w:pStyle w:val="NormalWeb"/>
              <w:spacing w:before="0" w:beforeAutospacing="0" w:after="0" w:afterAutospacing="0"/>
              <w:ind w:right="34"/>
              <w:rPr>
                <w:rFonts w:ascii="Calibri" w:hAnsi="Calibri" w:cs="Tahoma"/>
                <w:b/>
                <w:bCs/>
                <w:iCs/>
                <w:sz w:val="24"/>
                <w:szCs w:val="24"/>
              </w:rPr>
            </w:pPr>
            <w:r w:rsidRPr="00B937BA">
              <w:rPr>
                <w:rFonts w:ascii="Calibri" w:hAnsi="Calibri" w:cs="Tahoma"/>
                <w:b/>
                <w:bCs/>
                <w:iCs/>
                <w:sz w:val="24"/>
                <w:szCs w:val="24"/>
              </w:rPr>
              <w:t>Yes</w:t>
            </w:r>
          </w:p>
        </w:tc>
      </w:tr>
      <w:tr w:rsidR="0033644F" w:rsidRPr="002F467C" w14:paraId="06A6922B" w14:textId="77777777" w:rsidTr="006B7840">
        <w:trPr>
          <w:gridAfter w:val="1"/>
          <w:wAfter w:w="101" w:type="dxa"/>
          <w:trHeight w:val="820"/>
        </w:trPr>
        <w:tc>
          <w:tcPr>
            <w:tcW w:w="8755" w:type="dxa"/>
            <w:gridSpan w:val="6"/>
          </w:tcPr>
          <w:p w14:paraId="2E186C00" w14:textId="77777777" w:rsidR="0033644F"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79F4049A" w14:textId="77777777" w:rsidR="00B937BA" w:rsidRDefault="00B937BA" w:rsidP="006B7840">
            <w:pPr>
              <w:pStyle w:val="NormalWeb"/>
              <w:spacing w:before="0" w:beforeAutospacing="0" w:after="0" w:afterAutospacing="0"/>
              <w:ind w:right="34"/>
              <w:rPr>
                <w:rFonts w:ascii="Calibri" w:hAnsi="Calibri" w:cs="Tahoma"/>
                <w:i/>
                <w:sz w:val="24"/>
                <w:szCs w:val="24"/>
              </w:rPr>
            </w:pPr>
          </w:p>
          <w:p w14:paraId="21618886" w14:textId="77777777" w:rsidR="00B937BA" w:rsidRPr="00B937BA" w:rsidRDefault="00B937BA" w:rsidP="00B937BA">
            <w:pPr>
              <w:jc w:val="center"/>
              <w:rPr>
                <w:rFonts w:cstheme="minorHAnsi"/>
                <w:b/>
                <w:bCs/>
                <w:color w:val="000000"/>
                <w:shd w:val="clear" w:color="auto" w:fill="FFFFFF"/>
              </w:rPr>
            </w:pPr>
            <w:r w:rsidRPr="00B937BA">
              <w:rPr>
                <w:rFonts w:cstheme="minorHAnsi"/>
                <w:b/>
                <w:bCs/>
                <w:color w:val="000000"/>
                <w:shd w:val="clear" w:color="auto" w:fill="FFFFFF"/>
              </w:rPr>
              <w:t>An Examination of Contemporary Indian astrology in the West</w:t>
            </w:r>
          </w:p>
          <w:p w14:paraId="35BF4AD5" w14:textId="77777777" w:rsidR="0033644F" w:rsidRPr="00F76C18" w:rsidRDefault="0033644F" w:rsidP="006B7840">
            <w:pPr>
              <w:pStyle w:val="NormalWeb"/>
              <w:spacing w:before="0" w:beforeAutospacing="0" w:after="0" w:afterAutospacing="0"/>
              <w:ind w:right="34"/>
              <w:rPr>
                <w:rFonts w:ascii="Calibri" w:hAnsi="Calibri" w:cs="Tahoma"/>
                <w:i/>
                <w:sz w:val="36"/>
                <w:szCs w:val="24"/>
              </w:rPr>
            </w:pPr>
          </w:p>
        </w:tc>
      </w:tr>
      <w:tr w:rsidR="0033644F" w:rsidRPr="002F467C" w14:paraId="7E7636B7" w14:textId="77777777" w:rsidTr="006B7840">
        <w:trPr>
          <w:gridAfter w:val="1"/>
          <w:wAfter w:w="101" w:type="dxa"/>
          <w:trHeight w:val="539"/>
        </w:trPr>
        <w:tc>
          <w:tcPr>
            <w:tcW w:w="5495" w:type="dxa"/>
            <w:gridSpan w:val="3"/>
            <w:tcBorders>
              <w:bottom w:val="single" w:sz="4" w:space="0" w:color="000000"/>
            </w:tcBorders>
          </w:tcPr>
          <w:p w14:paraId="3F42255B"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Supervisor:</w:t>
            </w:r>
            <w:r w:rsidR="00B937BA">
              <w:rPr>
                <w:rFonts w:ascii="Calibri" w:hAnsi="Calibri" w:cs="Tahoma"/>
                <w:i/>
                <w:sz w:val="24"/>
                <w:szCs w:val="24"/>
              </w:rPr>
              <w:t xml:space="preserve">  </w:t>
            </w:r>
            <w:r w:rsidR="00B937BA" w:rsidRPr="00B937BA">
              <w:rPr>
                <w:rFonts w:ascii="Calibri" w:hAnsi="Calibri" w:cs="Tahoma"/>
                <w:b/>
                <w:bCs/>
                <w:iCs/>
                <w:sz w:val="24"/>
                <w:szCs w:val="24"/>
              </w:rPr>
              <w:t>Dr. Nicholas Campion</w:t>
            </w:r>
            <w:r>
              <w:rPr>
                <w:rFonts w:ascii="Calibri" w:hAnsi="Calibri" w:cs="Tahoma"/>
                <w:i/>
                <w:sz w:val="24"/>
                <w:szCs w:val="24"/>
              </w:rPr>
              <w:t xml:space="preserve"> </w:t>
            </w:r>
          </w:p>
        </w:tc>
        <w:tc>
          <w:tcPr>
            <w:tcW w:w="3260" w:type="dxa"/>
            <w:gridSpan w:val="3"/>
            <w:tcBorders>
              <w:bottom w:val="single" w:sz="4" w:space="0" w:color="000000"/>
            </w:tcBorders>
          </w:tcPr>
          <w:p w14:paraId="679FF490" w14:textId="77777777" w:rsidR="0033644F" w:rsidRPr="00B937BA" w:rsidRDefault="0033644F" w:rsidP="006B7840">
            <w:pPr>
              <w:pStyle w:val="NormalWeb"/>
              <w:spacing w:before="0" w:beforeAutospacing="0" w:after="0" w:afterAutospacing="0"/>
              <w:ind w:right="34"/>
              <w:rPr>
                <w:rFonts w:ascii="Calibri" w:hAnsi="Calibri" w:cs="Tahoma"/>
                <w:b/>
                <w:bCs/>
                <w:iCs/>
                <w:sz w:val="24"/>
                <w:szCs w:val="24"/>
              </w:rPr>
            </w:pPr>
            <w:r w:rsidRPr="002F467C">
              <w:rPr>
                <w:rFonts w:ascii="Calibri" w:hAnsi="Calibri" w:cs="Tahoma"/>
                <w:i/>
                <w:sz w:val="24"/>
                <w:szCs w:val="24"/>
              </w:rPr>
              <w:t>Word coun</w:t>
            </w:r>
            <w:r>
              <w:rPr>
                <w:rFonts w:ascii="Calibri" w:hAnsi="Calibri" w:cs="Tahoma"/>
                <w:i/>
                <w:sz w:val="24"/>
                <w:szCs w:val="24"/>
              </w:rPr>
              <w:t>t:</w:t>
            </w:r>
            <w:r w:rsidR="00B937BA">
              <w:rPr>
                <w:rFonts w:ascii="Calibri" w:hAnsi="Calibri" w:cs="Tahoma"/>
                <w:i/>
                <w:sz w:val="24"/>
                <w:szCs w:val="24"/>
              </w:rPr>
              <w:t xml:space="preserve"> </w:t>
            </w:r>
            <w:r w:rsidR="00B937BA">
              <w:rPr>
                <w:rFonts w:ascii="Calibri" w:hAnsi="Calibri" w:cs="Tahoma"/>
                <w:b/>
                <w:bCs/>
                <w:iCs/>
                <w:sz w:val="24"/>
                <w:szCs w:val="24"/>
              </w:rPr>
              <w:t>15,</w:t>
            </w:r>
            <w:r w:rsidR="009071E5">
              <w:rPr>
                <w:rFonts w:ascii="Calibri" w:hAnsi="Calibri" w:cs="Tahoma"/>
                <w:b/>
                <w:bCs/>
                <w:iCs/>
                <w:sz w:val="24"/>
                <w:szCs w:val="24"/>
              </w:rPr>
              <w:t>398</w:t>
            </w:r>
          </w:p>
        </w:tc>
      </w:tr>
      <w:tr w:rsidR="0033644F" w:rsidRPr="002F467C" w14:paraId="232D782B" w14:textId="77777777" w:rsidTr="006B7840">
        <w:trPr>
          <w:gridAfter w:val="1"/>
          <w:wAfter w:w="101" w:type="dxa"/>
          <w:trHeight w:val="978"/>
        </w:trPr>
        <w:tc>
          <w:tcPr>
            <w:tcW w:w="8755" w:type="dxa"/>
            <w:gridSpan w:val="6"/>
            <w:shd w:val="clear" w:color="auto" w:fill="D9D9D9"/>
          </w:tcPr>
          <w:p w14:paraId="181DF4BB" w14:textId="77777777" w:rsidR="0033644F"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5042734A" w14:textId="77777777" w:rsidR="00B937BA" w:rsidRPr="00BB1492" w:rsidRDefault="00B937BA" w:rsidP="006B7840">
            <w:pPr>
              <w:pStyle w:val="NormalWeb"/>
              <w:spacing w:before="0" w:beforeAutospacing="0" w:after="0" w:afterAutospacing="0"/>
              <w:ind w:right="34"/>
              <w:rPr>
                <w:rFonts w:ascii="Calibri" w:hAnsi="Calibri" w:cs="Tahoma"/>
                <w:color w:val="auto"/>
                <w:sz w:val="24"/>
                <w:szCs w:val="24"/>
              </w:rPr>
            </w:pPr>
          </w:p>
          <w:p w14:paraId="204DB10E" w14:textId="77777777" w:rsidR="0033644F" w:rsidRPr="00B937BA" w:rsidRDefault="0033644F" w:rsidP="006B7840">
            <w:pPr>
              <w:pStyle w:val="NormalWeb"/>
              <w:spacing w:before="0" w:beforeAutospacing="0" w:after="0" w:afterAutospacing="0"/>
              <w:ind w:right="34"/>
              <w:rPr>
                <w:rFonts w:ascii="Freestyle Script" w:hAnsi="Freestyle Script" w:cs="Tahoma"/>
                <w:color w:val="auto"/>
                <w:sz w:val="32"/>
                <w:szCs w:val="32"/>
              </w:rPr>
            </w:pPr>
            <w:r w:rsidRPr="00BB1492">
              <w:rPr>
                <w:rFonts w:ascii="Calibri" w:hAnsi="Calibri" w:cs="Tahoma"/>
                <w:color w:val="auto"/>
                <w:sz w:val="24"/>
                <w:szCs w:val="24"/>
              </w:rPr>
              <w:t xml:space="preserve">Signed </w:t>
            </w:r>
            <w:r w:rsidR="00B937BA">
              <w:rPr>
                <w:rFonts w:ascii="Freestyle Script" w:hAnsi="Freestyle Script" w:cs="Tahoma"/>
                <w:color w:val="auto"/>
                <w:sz w:val="32"/>
                <w:szCs w:val="32"/>
              </w:rPr>
              <w:t>Michelle Holgate</w:t>
            </w:r>
          </w:p>
          <w:p w14:paraId="5F8E3163" w14:textId="77777777" w:rsidR="0033644F" w:rsidRPr="00BB1492" w:rsidRDefault="0033644F" w:rsidP="006B7840">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Email submission:</w:t>
            </w:r>
            <w:r w:rsidR="00B937BA">
              <w:rPr>
                <w:rFonts w:ascii="Calibri" w:hAnsi="Calibri" w:cs="Tahoma"/>
                <w:b/>
                <w:color w:val="auto"/>
                <w:sz w:val="24"/>
                <w:szCs w:val="24"/>
              </w:rPr>
              <w:t xml:space="preserve"> </w:t>
            </w:r>
            <w:r w:rsidRPr="00BB1492">
              <w:rPr>
                <w:rFonts w:ascii="Calibri" w:hAnsi="Calibri" w:cs="Tahoma"/>
                <w:b/>
                <w:color w:val="auto"/>
                <w:sz w:val="24"/>
                <w:szCs w:val="24"/>
              </w:rPr>
              <w:t xml:space="preserve">if you are submitting this form via email, please tick this box </w:t>
            </w:r>
            <w:r w:rsidR="00B937BA" w:rsidRPr="00B937BA">
              <w:rPr>
                <w:rFonts w:ascii="Calibri" w:hAnsi="Calibri" w:cs="Tahoma"/>
                <w:b/>
                <w:color w:val="auto"/>
                <w:sz w:val="28"/>
                <w:szCs w:val="28"/>
              </w:rPr>
              <w:t>X</w:t>
            </w:r>
          </w:p>
          <w:p w14:paraId="6D0991DB"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5DD2CED6" w14:textId="77777777" w:rsidTr="006B7840">
        <w:trPr>
          <w:gridAfter w:val="1"/>
          <w:wAfter w:w="101" w:type="dxa"/>
          <w:trHeight w:val="3972"/>
        </w:trPr>
        <w:tc>
          <w:tcPr>
            <w:tcW w:w="8755" w:type="dxa"/>
            <w:gridSpan w:val="6"/>
          </w:tcPr>
          <w:p w14:paraId="2267DBF8" w14:textId="77777777"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056E847A" w14:textId="77777777" w:rsidR="0033644F" w:rsidRDefault="0033644F" w:rsidP="006B7840">
            <w:pPr>
              <w:pStyle w:val="NormalWeb"/>
              <w:rPr>
                <w:rFonts w:ascii="Calibri" w:hAnsi="Calibri" w:cs="Tahoma"/>
                <w:i/>
                <w:sz w:val="24"/>
                <w:szCs w:val="24"/>
              </w:rPr>
            </w:pPr>
            <w:r w:rsidRPr="002F467C">
              <w:rPr>
                <w:rFonts w:ascii="Calibri" w:hAnsi="Calibri" w:cs="Tahoma"/>
                <w:i/>
                <w:sz w:val="24"/>
                <w:szCs w:val="24"/>
              </w:rPr>
              <w:t>Comments:</w:t>
            </w:r>
          </w:p>
          <w:p w14:paraId="7BDCE574" w14:textId="77777777" w:rsidR="00706841" w:rsidRDefault="00706841" w:rsidP="00706841">
            <w:r>
              <w:t xml:space="preserve">This is an excellent dissertation, which examines to what extent </w:t>
            </w:r>
            <w:proofErr w:type="spellStart"/>
            <w:r>
              <w:t>jyotisa</w:t>
            </w:r>
            <w:proofErr w:type="spellEnd"/>
            <w:r>
              <w:t xml:space="preserve"> practised in the United Kingdom constitutes a religious experience. You achieved this through a mixture of surveys and interviews. You provide, on page 18, a very strong argument for why research into belief systems of  cultures other than your own is important for instilling mutual respect, and make your own position as an ‘extreme outsider’ very clear. Engaging with communities with which you have no connection is a very bold thing to do, and you have been very thorough in dealing with the issues that arose; in particular, that you have no background in Indian culture or languages, while your target group in some cases had difficulty with English. You overcame this by re-issuing your survey in Hindi, and went to the effort of researching several professional translation agencies before selecting one, and gave your reasons for doing so. This flexibility and attention to detail shines throughout the dissertation. A survey of this nature, which involves not </w:t>
            </w:r>
            <w:r>
              <w:lastRenderedPageBreak/>
              <w:t>only surveys but interviews with a group with whom you have no connection is challenging at the best of times – the fact that you persevered with this just as a pandemic hit, making face-to-face interviews very difficult, and modified your survey to include questions about your subjects’ reaction to online rituals is remarkable.</w:t>
            </w:r>
          </w:p>
          <w:p w14:paraId="645B88A0" w14:textId="77777777" w:rsidR="00706841" w:rsidRDefault="00706841" w:rsidP="00706841"/>
          <w:p w14:paraId="26955B23" w14:textId="77777777" w:rsidR="00706841" w:rsidRDefault="00706841" w:rsidP="00706841">
            <w:r>
              <w:t xml:space="preserve">Your dissertation is well laid out. The introduction defines various terms, and uses secondary sources to put these terms into the context of your research. In particular, you address the thorny problem of the origins of </w:t>
            </w:r>
            <w:proofErr w:type="spellStart"/>
            <w:r>
              <w:t>jyotisa</w:t>
            </w:r>
            <w:proofErr w:type="spellEnd"/>
            <w:r>
              <w:t xml:space="preserve">, and whether it had existed in an oral form prior to Ptolemy, and the consequences for future research on </w:t>
            </w:r>
            <w:proofErr w:type="spellStart"/>
            <w:r>
              <w:t>jyotisa</w:t>
            </w:r>
            <w:proofErr w:type="spellEnd"/>
            <w:r>
              <w:t xml:space="preserve">. This also impacts on a cultural issue: namely, that Western academia places emphasis on the written record, and academic research based on oral traditions may be considered less credible, which may explain the limited research on </w:t>
            </w:r>
            <w:proofErr w:type="spellStart"/>
            <w:r>
              <w:t>jyotisa</w:t>
            </w:r>
            <w:proofErr w:type="spellEnd"/>
            <w:r>
              <w:t xml:space="preserve"> in the United Kingdom.</w:t>
            </w:r>
          </w:p>
          <w:p w14:paraId="4AD60E9A" w14:textId="77777777" w:rsidR="00706841" w:rsidRDefault="00706841" w:rsidP="00706841"/>
          <w:p w14:paraId="10FB0F54" w14:textId="77777777" w:rsidR="00706841" w:rsidRDefault="00706841" w:rsidP="00706841">
            <w:r>
              <w:t>The literature review clearly lays out your methodology, and the problems arising from issues of translating from English to Hindi, and clearly states your own position in the insider/outside debate, as well as the challenges presented by Covid-19 arising during your research. The academic framework lays out your sources and definitions.</w:t>
            </w:r>
          </w:p>
          <w:p w14:paraId="0A87B3C7" w14:textId="77777777" w:rsidR="00706841" w:rsidRDefault="00706841" w:rsidP="00706841">
            <w:r>
              <w:t>The research findings section summarised your findings, but this is the area of your dissertation that could have been strengthened. Some of the conclusions you present in this section are not obvious and sometimes appear contradictory. Given the very high percentage of subjects that gave no response, drawing conclusions by focusing on percentages of responses may not be statistically significant, and it would have been better to have focused more on the interview responses that provide a clearer insight. I was initially puzzled by some of the conclusions that you drew in this section, and your reasoning only became clear to me when I looked at Appendix 8 with the transcript of an interview. That interview put a lot of things into perspective, and would have been better if brought out in the main body of your dissertation.</w:t>
            </w:r>
          </w:p>
          <w:p w14:paraId="13089DDB" w14:textId="77777777" w:rsidR="00706841" w:rsidRDefault="00706841" w:rsidP="00706841">
            <w:r>
              <w:t>The major source of confusion in the research findings section is that the questions you pose here don’t match the questions in your survey, and the question numbering in Appendix 1 doesn’t exactly match the question numbering in Appendix 4 (for example, question 7 has sections a, b, c, and d in Appendix 1, but the responses in Appendix 4 are labelled a to e, as you’ve split the original 7a into two). This results in confusion in the main body, where 7b in Appendix 1 corresponds to 7c in Appendix 4, and question 6 in the main body – and that question 6 in the main body seems confusing as it simply says ‘Please use this space to tell us which Divine God this is’ but without the context, so it’s not possible to see what the ‘this’ is in the question without referring to Appendix 4.</w:t>
            </w:r>
          </w:p>
          <w:p w14:paraId="4C9C95C0" w14:textId="77777777" w:rsidR="00706841" w:rsidRDefault="00706841" w:rsidP="00706841"/>
          <w:p w14:paraId="2E29D39F" w14:textId="77777777" w:rsidR="00706841" w:rsidRDefault="00706841" w:rsidP="00706841">
            <w:r>
              <w:t>The conclusion is very well written and laid out, and summarises your findings well, demonstrates that you have contributed to this field, and offers a very good basis for further research.</w:t>
            </w:r>
          </w:p>
          <w:p w14:paraId="15A851AE" w14:textId="77777777" w:rsidR="00706841" w:rsidRDefault="00706841" w:rsidP="00706841"/>
          <w:p w14:paraId="75524EA8" w14:textId="77777777" w:rsidR="00706841" w:rsidRDefault="00706841" w:rsidP="00706841">
            <w:pPr>
              <w:rPr>
                <w:u w:val="single"/>
              </w:rPr>
            </w:pPr>
            <w:r w:rsidRPr="00C107AE">
              <w:rPr>
                <w:u w:val="single"/>
              </w:rPr>
              <w:t>Specific major points</w:t>
            </w:r>
          </w:p>
          <w:p w14:paraId="71A08A0D" w14:textId="77777777" w:rsidR="00706841" w:rsidRPr="00C107AE" w:rsidRDefault="00706841" w:rsidP="00706841">
            <w:pPr>
              <w:rPr>
                <w:u w:val="single"/>
              </w:rPr>
            </w:pPr>
          </w:p>
          <w:p w14:paraId="36DCFADA" w14:textId="77777777" w:rsidR="00706841" w:rsidRDefault="00706841" w:rsidP="00706841">
            <w:r>
              <w:t>The research findings section seems unclear on some points – in particular, the questions that you give in the tables don’t match the questions on the survey in Appendices 1 and 4, making your arguments hard to follow. I’ve itemised these below:</w:t>
            </w:r>
          </w:p>
          <w:p w14:paraId="569046D9" w14:textId="77777777" w:rsidR="00706841" w:rsidRDefault="00706841" w:rsidP="00706841"/>
          <w:p w14:paraId="77FAE1DF" w14:textId="77777777" w:rsidR="00706841" w:rsidRDefault="00706841" w:rsidP="00706841">
            <w:r>
              <w:t xml:space="preserve">On p.39 you state that questions 1 and 2 seek to confirm or refute James’ definition that religious experience is the lived experiences of individual men in their solitude and with the divine. However, question 1 is simply about gender and question 2 about whether </w:t>
            </w:r>
            <w:r>
              <w:lastRenderedPageBreak/>
              <w:t xml:space="preserve">the subject had attended a collective puja. You may be taking James literally when he says ‘individual men’ – he was writing over a century ago, when the term ‘man’ often meant ‘person’, so you need to consider whether James was being gender-specific when he refers to ‘individual men’. For example, James states ‘Thus in the soul of man there is a justice whose retributions are instant and entire. He who does a good deed is instantly ennobled’ (William James, </w:t>
            </w:r>
            <w:r>
              <w:rPr>
                <w:i/>
                <w:iCs/>
              </w:rPr>
              <w:t>The Varieties of Religious Experience: A Study in Human Nature</w:t>
            </w:r>
            <w:r>
              <w:t xml:space="preserve"> (London: Longman and Green, 1902), p.32) – this seems to be a general statement, and implies that ‘he’ and ‘man’ do not necessarily mean a male in this context.</w:t>
            </w:r>
          </w:p>
          <w:p w14:paraId="6EB82F8E" w14:textId="77777777" w:rsidR="00706841" w:rsidRDefault="00706841" w:rsidP="00706841"/>
          <w:p w14:paraId="2B054B0E" w14:textId="77777777" w:rsidR="00706841" w:rsidRDefault="00706841" w:rsidP="00706841">
            <w:r>
              <w:t>Question 2 asks if the subject has attended a collective puja, but without knowing why they attended this a positive response does not necessarily imply negate the idea that a religious experience is solitary. It could be, for example, that the religious experience of the subject is found in solitary practice, and that they see attending a collective puja as a community event rather than a religious experience. Further questioning is needed to find out.</w:t>
            </w:r>
          </w:p>
          <w:p w14:paraId="051D244B" w14:textId="77777777" w:rsidR="00706841" w:rsidRDefault="00706841" w:rsidP="00706841"/>
          <w:p w14:paraId="4A05FA4E" w14:textId="77777777" w:rsidR="00706841" w:rsidRDefault="00706841" w:rsidP="00706841">
            <w:r>
              <w:t xml:space="preserve">The wording of question 3 may be ambiguous in that it doesn’t completely address your intention to see whether a ritual needs to take place in a sequestered location. A sequestered location isn’t necessarily a location that is quiet and far away from busy places. A temple is a sequestered location, but if it is full of people seeking the same thing it isn’t necessarily quiet, and it could be on a busy main road. Indeed, Turner’s own paper on the subject (Victor Turner, ‘Symbols in African Ritual’, </w:t>
            </w:r>
            <w:r>
              <w:rPr>
                <w:i/>
                <w:iCs/>
              </w:rPr>
              <w:t>Science</w:t>
            </w:r>
            <w:r>
              <w:t xml:space="preserve"> 179 (1972), pp.1100-1105) does state that a ritual is done in a ‘sequestered place’ but goes onto describe that this can include songs, chanting and so on (p.1101), so his definition does not necessarily imply a quiet place. The very large number of non-responders to this question makes it very hard to draw any conclusions simply from the survey, which is why the interview responses are so important.</w:t>
            </w:r>
          </w:p>
          <w:p w14:paraId="626070DA" w14:textId="77777777" w:rsidR="00706841" w:rsidRDefault="00706841" w:rsidP="00706841"/>
          <w:p w14:paraId="28D65854" w14:textId="77777777" w:rsidR="00706841" w:rsidRDefault="00706841" w:rsidP="00706841">
            <w:r>
              <w:t>Question 6 seems very vague in the main body – it simply says ‘Please use this space to tell us which Divine God this is’, but the question in the survey itself is part of a much longer section (question 7 in the survey itself), which asks whether planets are represented by deities and which ones, whether they all derive from a single God and if so which one (this is the only part that you address in the main body), and to what extent events in life are pre-ordained. This also relates to the question in your main survey where you ask about feeling closer to God during a puja, and one’s connection to the universe. The responses you got from these two questions and listed in Appendix 4, are fascinating and could have been brought together in a paragraph, rather than the somewhat detached table 6 which simply addresses one area. For example, the responses taken as a whole indicated that of the few who responded to the question about planetary deities, nobody disagreed that planets were represented by deities, and when asked to expand on this one respondent said that planets were a force that affect lives on Earth; that out of the four who responded, all agreed to some extent that planets were born from one divine God and that the planets dictated one pre-ordained fate. Summarising these responses in the main body of your dissertation would have considerably strengthened your analysis of how divinity is perceived in Indian culture in Britain.</w:t>
            </w:r>
          </w:p>
          <w:p w14:paraId="42074F07" w14:textId="77777777" w:rsidR="00706841" w:rsidRDefault="00706841" w:rsidP="00706841"/>
          <w:p w14:paraId="2D6FA872" w14:textId="77777777" w:rsidR="00706841" w:rsidRDefault="00706841" w:rsidP="00706841">
            <w:r>
              <w:t xml:space="preserve">Question 7 in the main body is another where it was difficult to come to a firm conclusion based on the figures, since most respondents didn’t give a response to it, which means that you didn’t answer the question you posed, which was whether a </w:t>
            </w:r>
            <w:r>
              <w:lastRenderedPageBreak/>
              <w:t>religious experience necessitates witnessing a seemingly impossible event. In fact, you could have expanded on this a lot more. In the survey itself, this relates to question 9 where you have a number of questions – some concrete (curing illness, curing fertility issues) and some less concrete (connection with God, building karma, blessings). The three non-concrete examples fit in better with question 8 in the survey – about feeling close to God, connection to the universe and so on, so would have been better summarised in your previous summary (question 6 in the main body). You are quite correct that you can’t draw any firm conclusion about the ability to cure illness or fertility issues based on the figures in the response, as there were so many who didn’t respond, but the responses you got in Appendix 4 did indeed give not only give specific examples of a respondent believing this to have taken place, but that a large majority believed that attending a puja influenced – or could in the future influence – the outcome of such events. This is a really important finding, and would have been much better in the main body of the dissertation.</w:t>
            </w:r>
          </w:p>
          <w:p w14:paraId="2F9DDC48" w14:textId="77777777" w:rsidR="00706841" w:rsidRDefault="00706841" w:rsidP="00706841"/>
          <w:p w14:paraId="561878D7" w14:textId="77777777" w:rsidR="00706841" w:rsidRDefault="00706841" w:rsidP="00706841">
            <w:r>
              <w:t>Your analysis section is good and brings all the threads together. As stated earlier, I think James’ use of the word “men” was intended to indicate people in general, in which case your statement that question 1 refuted ‘James’ encouragement to only focus on the information supplied by men’ may be a misunderstanding. However, that point aside, your summing up is excellent. Your observation of informant 18’s body language and a prolonged pause providing evidence of an ineffable experience is really quite inspired, and shows an added layer in doing interviews.</w:t>
            </w:r>
          </w:p>
          <w:p w14:paraId="03E0C346" w14:textId="77777777" w:rsidR="00706841" w:rsidRDefault="00706841" w:rsidP="00706841"/>
          <w:p w14:paraId="60B00EDF" w14:textId="77777777" w:rsidR="00706841" w:rsidRDefault="00706841" w:rsidP="00706841">
            <w:pPr>
              <w:rPr>
                <w:u w:val="single"/>
              </w:rPr>
            </w:pPr>
            <w:r>
              <w:rPr>
                <w:u w:val="single"/>
              </w:rPr>
              <w:t>Other</w:t>
            </w:r>
            <w:r w:rsidRPr="00C107AE">
              <w:rPr>
                <w:u w:val="single"/>
              </w:rPr>
              <w:t xml:space="preserve"> points</w:t>
            </w:r>
          </w:p>
          <w:p w14:paraId="5D3774ED" w14:textId="77777777" w:rsidR="00706841" w:rsidRDefault="00706841" w:rsidP="00706841">
            <w:pPr>
              <w:rPr>
                <w:u w:val="single"/>
              </w:rPr>
            </w:pPr>
          </w:p>
          <w:p w14:paraId="338D81DD" w14:textId="77777777" w:rsidR="00706841" w:rsidRDefault="00706841" w:rsidP="00706841">
            <w:r>
              <w:t>Your citations are generally very good, but please note that you should follow the instructions in the TSD Referencing Guide and use single quotes in a citation when giving the name of a paper or chapter, not double quotes.</w:t>
            </w:r>
          </w:p>
          <w:p w14:paraId="56BBC5FD" w14:textId="77777777" w:rsidR="00706841" w:rsidRDefault="00706841" w:rsidP="00706841"/>
          <w:p w14:paraId="7CA7586B" w14:textId="77777777" w:rsidR="00706841" w:rsidRDefault="00706841" w:rsidP="00706841">
            <w:r>
              <w:t>Be careful when using terms that make a judgement that you back them up; for example, on p.11 you state that some astrologers consider Rahu and Ketu to be physical planets, ‘whereas contentiously others perceive them to be the imaginary points of intersection…’. Why is that latter view contentious?</w:t>
            </w:r>
          </w:p>
          <w:p w14:paraId="3AF7F516" w14:textId="77777777" w:rsidR="00706841" w:rsidRDefault="00706841" w:rsidP="00706841"/>
          <w:p w14:paraId="55821C57" w14:textId="77777777" w:rsidR="00706841" w:rsidRDefault="00706841" w:rsidP="00706841">
            <w:r>
              <w:t xml:space="preserve">Use CE and BCE when referring to ancient sources, not AD and BC (p.14), and when specifying ancient sources don’t leave it out – on p.29 you refer to ‘Anaxagoras of </w:t>
            </w:r>
            <w:proofErr w:type="spellStart"/>
            <w:r>
              <w:t>Clazomenae</w:t>
            </w:r>
            <w:proofErr w:type="spellEnd"/>
            <w:r>
              <w:t xml:space="preserve"> [circa 500-480]’ and you need to make it clear that this is 500-480 BCE.</w:t>
            </w:r>
          </w:p>
          <w:p w14:paraId="7B861D27" w14:textId="77777777" w:rsidR="00706841" w:rsidRDefault="00706841" w:rsidP="00706841"/>
          <w:p w14:paraId="6319626B" w14:textId="77777777" w:rsidR="00706841" w:rsidRDefault="00706841" w:rsidP="00706841">
            <w:r>
              <w:t>On p.26 you say that ‘</w:t>
            </w:r>
            <w:r w:rsidRPr="002C1592">
              <w:t>According to Fred Inglis, Clifford Geertz is considered to be a leading American anthropological theorist who was one of the first scholars to define culture</w:t>
            </w:r>
            <w:r>
              <w:t>’. This may be true, but given that you only cite Inglis to show why Geertz is a credible source you risk getting stuck in an infinite regress. If you feel the need to justify why Geertz is credible because Inglis says so, then who is Inglis and why is he a credible source? Since you only cite Inglis to back up why Geertz is credible, and don’t refer to him again, you don’t really need to mention Inglis (who, while an academic, far less frequently cited than Geertz), especially when the source you cite is a newspaper rather than an academic article.</w:t>
            </w:r>
          </w:p>
          <w:p w14:paraId="5FE18972" w14:textId="77777777" w:rsidR="00706841" w:rsidRDefault="00706841" w:rsidP="00706841"/>
          <w:p w14:paraId="6A62CDCD" w14:textId="77777777" w:rsidR="00706841" w:rsidRDefault="00706841" w:rsidP="00706841">
            <w:r>
              <w:t xml:space="preserve">Avoid use of the first person in general discussions; it’s fine when you’re discussing your role as an insider or outside, but on p.28 you say ‘For this, we need to turn to </w:t>
            </w:r>
            <w:r>
              <w:lastRenderedPageBreak/>
              <w:t>William James’, and on p.31 ‘Swinburne’s axioms… encourage us to continue reading James’ work’. This is a little informal for academic writing, and best avoided. Similarly, use the past tense when referring to authors. James is dead, so ‘James posits the idea that…’ (p.28) should really be ‘James posited the idea that…’. Even with living authors, the text itself would be in the past – so safest to stick with the past tense.</w:t>
            </w:r>
          </w:p>
          <w:p w14:paraId="6B7E272F" w14:textId="77777777" w:rsidR="00706841" w:rsidRDefault="00706841" w:rsidP="00706841"/>
          <w:p w14:paraId="61B21DA0" w14:textId="77777777" w:rsidR="00706841" w:rsidRDefault="00706841" w:rsidP="00706841">
            <w:r>
              <w:t>Check your singulars/plurals – on p.32 you have ‘criterion’ as a plural, and it should be ‘criteria’, and on p.37 you state ‘…Proudfoot argues that James’ criteria is wrong’, and this should be ‘criteria ARE wrong’. On p.39 you have ‘questions 1 and 2 seeks to confirm’.</w:t>
            </w:r>
          </w:p>
          <w:p w14:paraId="09275E2B" w14:textId="77777777" w:rsidR="00706841" w:rsidRDefault="00706841" w:rsidP="00706841"/>
          <w:p w14:paraId="46543F55" w14:textId="77777777" w:rsidR="00706841" w:rsidRDefault="00706841" w:rsidP="00706841">
            <w:pPr>
              <w:rPr>
                <w:u w:val="single"/>
              </w:rPr>
            </w:pPr>
            <w:r w:rsidRPr="00920C74">
              <w:rPr>
                <w:u w:val="single"/>
              </w:rPr>
              <w:t>Summary</w:t>
            </w:r>
          </w:p>
          <w:p w14:paraId="290E840F" w14:textId="77777777" w:rsidR="00706841" w:rsidRPr="00920C74" w:rsidRDefault="00706841" w:rsidP="00706841">
            <w:pPr>
              <w:rPr>
                <w:u w:val="single"/>
              </w:rPr>
            </w:pPr>
          </w:p>
          <w:p w14:paraId="2CED07AC" w14:textId="77777777" w:rsidR="00706841" w:rsidRDefault="00706841" w:rsidP="00706841">
            <w:r>
              <w:t>This dissertation is well-written and well-argued, and opens up avenues for future research. Your combination of surveys and follow-up interviews has led to some excellent qualitative research on your part. The dissertation would have been even stronger had you focused on making your arguments more strongly based on interview responses that went into some depth, rather than trying to make them based on a numerical analysis of survey figures that had a low response rate.</w:t>
            </w:r>
          </w:p>
          <w:p w14:paraId="1C4C0B42" w14:textId="77777777" w:rsidR="00706841" w:rsidRPr="00920C74" w:rsidRDefault="00706841" w:rsidP="00706841">
            <w:r>
              <w:t>This is an excellent dissertation, which presented you with a number of challenges that you overcame with skill and imagination,</w:t>
            </w:r>
            <w:r w:rsidRPr="00357FC5">
              <w:t xml:space="preserve"> </w:t>
            </w:r>
            <w:r>
              <w:t xml:space="preserve">and has made a contribution to the study of </w:t>
            </w:r>
            <w:proofErr w:type="spellStart"/>
            <w:r>
              <w:t>jyotisa</w:t>
            </w:r>
            <w:proofErr w:type="spellEnd"/>
            <w:r>
              <w:t xml:space="preserve"> in the United Kingdom.</w:t>
            </w:r>
          </w:p>
          <w:p w14:paraId="2C58982D" w14:textId="77777777" w:rsidR="0033644F" w:rsidRPr="002F467C" w:rsidRDefault="0033644F" w:rsidP="006B7840">
            <w:pPr>
              <w:pStyle w:val="NormalWeb"/>
              <w:rPr>
                <w:rFonts w:ascii="Calibri" w:hAnsi="Calibri" w:cs="Tahoma"/>
                <w:i/>
                <w:sz w:val="24"/>
                <w:szCs w:val="24"/>
              </w:rPr>
            </w:pPr>
          </w:p>
        </w:tc>
      </w:tr>
      <w:tr w:rsidR="0033644F" w:rsidRPr="002F467C" w14:paraId="121FA72B" w14:textId="77777777" w:rsidTr="006B7840">
        <w:trPr>
          <w:gridAfter w:val="1"/>
          <w:wAfter w:w="101" w:type="dxa"/>
          <w:trHeight w:val="492"/>
        </w:trPr>
        <w:tc>
          <w:tcPr>
            <w:tcW w:w="6768" w:type="dxa"/>
            <w:gridSpan w:val="4"/>
          </w:tcPr>
          <w:p w14:paraId="7B55D56F" w14:textId="77777777"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706841">
              <w:rPr>
                <w:rFonts w:ascii="Calibri" w:hAnsi="Calibri" w:cs="Tahoma"/>
                <w:sz w:val="24"/>
                <w:szCs w:val="24"/>
              </w:rPr>
              <w:t xml:space="preserve"> 74%</w:t>
            </w:r>
          </w:p>
          <w:p w14:paraId="26EA0088" w14:textId="77777777" w:rsidR="0033644F" w:rsidRPr="002F467C" w:rsidRDefault="0033644F" w:rsidP="006B784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706841">
              <w:rPr>
                <w:rFonts w:ascii="Calibri" w:hAnsi="Calibri" w:cs="Tahoma"/>
                <w:i/>
                <w:noProof/>
                <w:sz w:val="24"/>
                <w:szCs w:val="24"/>
                <w:lang w:eastAsia="en-GB"/>
              </w:rPr>
              <w:drawing>
                <wp:inline distT="0" distB="0" distL="0" distR="0" wp14:anchorId="05E34339" wp14:editId="7A96A045">
                  <wp:extent cx="1438275" cy="382227"/>
                  <wp:effectExtent l="0" t="0" r="0" b="0"/>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9385" cy="398467"/>
                          </a:xfrm>
                          <a:prstGeom prst="rect">
                            <a:avLst/>
                          </a:prstGeom>
                        </pic:spPr>
                      </pic:pic>
                    </a:graphicData>
                  </a:graphic>
                </wp:inline>
              </w:drawing>
            </w:r>
          </w:p>
        </w:tc>
        <w:tc>
          <w:tcPr>
            <w:tcW w:w="1987" w:type="dxa"/>
            <w:gridSpan w:val="2"/>
          </w:tcPr>
          <w:p w14:paraId="7A2328F6" w14:textId="77777777" w:rsidR="0033644F" w:rsidRDefault="0033644F" w:rsidP="006B7840">
            <w:pPr>
              <w:pStyle w:val="NormalWeb"/>
              <w:spacing w:after="0"/>
              <w:ind w:left="142" w:right="34"/>
              <w:rPr>
                <w:rFonts w:ascii="Calibri" w:hAnsi="Calibri" w:cs="Tahoma"/>
                <w:i/>
                <w:sz w:val="24"/>
                <w:szCs w:val="24"/>
              </w:rPr>
            </w:pPr>
            <w:r w:rsidRPr="002F467C">
              <w:rPr>
                <w:rFonts w:ascii="Calibri" w:hAnsi="Calibri" w:cs="Tahoma"/>
                <w:i/>
                <w:sz w:val="24"/>
                <w:szCs w:val="24"/>
              </w:rPr>
              <w:t>Date:</w:t>
            </w:r>
          </w:p>
          <w:p w14:paraId="31E7511E" w14:textId="77777777" w:rsidR="00706841" w:rsidRPr="002F467C" w:rsidRDefault="00706841" w:rsidP="006B7840">
            <w:pPr>
              <w:pStyle w:val="NormalWeb"/>
              <w:spacing w:after="0"/>
              <w:ind w:left="142" w:right="34"/>
              <w:rPr>
                <w:rFonts w:ascii="Calibri" w:hAnsi="Calibri" w:cs="Tahoma"/>
                <w:i/>
                <w:sz w:val="24"/>
                <w:szCs w:val="24"/>
              </w:rPr>
            </w:pPr>
            <w:r>
              <w:rPr>
                <w:rFonts w:ascii="Calibri" w:hAnsi="Calibri" w:cs="Tahoma"/>
                <w:i/>
                <w:sz w:val="24"/>
                <w:szCs w:val="24"/>
              </w:rPr>
              <w:t>19 November 2020</w:t>
            </w:r>
          </w:p>
        </w:tc>
      </w:tr>
      <w:tr w:rsidR="0033644F" w:rsidRPr="002F467C" w14:paraId="21A28DE8" w14:textId="77777777" w:rsidTr="006B7840">
        <w:tc>
          <w:tcPr>
            <w:tcW w:w="8856" w:type="dxa"/>
            <w:gridSpan w:val="7"/>
          </w:tcPr>
          <w:p w14:paraId="635CEA1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7E8D93E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86EED9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29C8A7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A782F25" w14:textId="77777777" w:rsidR="00A173AB" w:rsidRPr="00621D46" w:rsidRDefault="00A173AB" w:rsidP="00A173AB">
            <w:pPr>
              <w:rPr>
                <w:rFonts w:asciiTheme="majorHAnsi" w:eastAsia="Times New Roman" w:hAnsiTheme="majorHAnsi"/>
                <w:lang w:eastAsia="en-GB"/>
              </w:rPr>
            </w:pPr>
            <w:r w:rsidRPr="00621D46">
              <w:rPr>
                <w:rFonts w:asciiTheme="majorHAnsi" w:eastAsia="Times New Roman" w:hAnsiTheme="majorHAnsi" w:cs="Arial"/>
                <w:color w:val="222222"/>
                <w:shd w:val="clear" w:color="auto" w:fill="FFFFFF"/>
                <w:lang w:eastAsia="en-GB"/>
              </w:rPr>
              <w:t xml:space="preserve">This is a very well </w:t>
            </w:r>
            <w:r w:rsidRPr="00985BCD">
              <w:rPr>
                <w:rFonts w:asciiTheme="majorHAnsi" w:eastAsia="Times New Roman" w:hAnsiTheme="majorHAnsi" w:cs="Arial"/>
                <w:color w:val="222222"/>
                <w:shd w:val="clear" w:color="auto" w:fill="FFFFFF"/>
                <w:lang w:eastAsia="en-GB"/>
              </w:rPr>
              <w:t>written and clearly structured</w:t>
            </w:r>
            <w:r w:rsidRPr="00621D46">
              <w:rPr>
                <w:rFonts w:asciiTheme="majorHAnsi" w:eastAsia="Times New Roman" w:hAnsiTheme="majorHAnsi" w:cs="Arial"/>
                <w:color w:val="222222"/>
                <w:shd w:val="clear" w:color="auto" w:fill="FFFFFF"/>
                <w:lang w:eastAsia="en-GB"/>
              </w:rPr>
              <w:t xml:space="preserve"> dissertation which pursues a very clear research question, one of great topical interest, considering contemporary concerns with diversity and inclusion. In fact, the research question tackles a subject which has been completely ignored, including by those who study Indian culture and Hinduism</w:t>
            </w:r>
            <w:r w:rsidRPr="00985BCD">
              <w:rPr>
                <w:rFonts w:asciiTheme="majorHAnsi" w:eastAsia="Times New Roman" w:hAnsiTheme="majorHAnsi" w:cs="Arial"/>
                <w:color w:val="222222"/>
                <w:shd w:val="clear" w:color="auto" w:fill="FFFFFF"/>
                <w:lang w:eastAsia="en-GB"/>
              </w:rPr>
              <w:t xml:space="preserve"> both</w:t>
            </w:r>
            <w:r w:rsidRPr="00621D46">
              <w:rPr>
                <w:rFonts w:asciiTheme="majorHAnsi" w:eastAsia="Times New Roman" w:hAnsiTheme="majorHAnsi" w:cs="Arial"/>
                <w:color w:val="222222"/>
                <w:shd w:val="clear" w:color="auto" w:fill="FFFFFF"/>
                <w:lang w:eastAsia="en-GB"/>
              </w:rPr>
              <w:t xml:space="preserve"> in the UK, and in general.</w:t>
            </w:r>
          </w:p>
          <w:p w14:paraId="6FB5A8D5"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271AE01A"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The research examines the use of Navagrah</w:t>
            </w:r>
            <w:r w:rsidRPr="00985BCD">
              <w:rPr>
                <w:rFonts w:asciiTheme="majorHAnsi" w:eastAsia="Times New Roman" w:hAnsiTheme="majorHAnsi" w:cs="Arial"/>
                <w:color w:val="222222"/>
                <w:lang w:eastAsia="en-GB"/>
              </w:rPr>
              <w:t>a</w:t>
            </w:r>
            <w:r w:rsidRPr="00621D46">
              <w:rPr>
                <w:rFonts w:asciiTheme="majorHAnsi" w:eastAsia="Times New Roman" w:hAnsiTheme="majorHAnsi" w:cs="Arial"/>
                <w:color w:val="222222"/>
                <w:lang w:eastAsia="en-GB"/>
              </w:rPr>
              <w:t xml:space="preserve">, or nine </w:t>
            </w:r>
            <w:proofErr w:type="gramStart"/>
            <w:r w:rsidRPr="00621D46">
              <w:rPr>
                <w:rFonts w:asciiTheme="majorHAnsi" w:eastAsia="Times New Roman" w:hAnsiTheme="majorHAnsi" w:cs="Arial"/>
                <w:color w:val="222222"/>
                <w:lang w:eastAsia="en-GB"/>
              </w:rPr>
              <w:t>planet</w:t>
            </w:r>
            <w:proofErr w:type="gramEnd"/>
            <w:r w:rsidRPr="00621D46">
              <w:rPr>
                <w:rFonts w:asciiTheme="majorHAnsi" w:eastAsia="Times New Roman" w:hAnsiTheme="majorHAnsi" w:cs="Arial"/>
                <w:color w:val="222222"/>
                <w:lang w:eastAsia="en-GB"/>
              </w:rPr>
              <w:t>, rituals within the Hindu population in the UK. There is no research into these in India although they appear to be practised in some temples in some areas, especially south India, But not in others. Their purpose is to actively engage with the planets in order to guarantee a beneficial future.</w:t>
            </w:r>
          </w:p>
          <w:p w14:paraId="4D140E80"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157D222A" w14:textId="77777777" w:rsidR="00A173AB" w:rsidRPr="00985BCD"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The dissertation examines these rituals within the framework provided by Victor Turner‘s theo</w:t>
            </w:r>
            <w:r w:rsidRPr="00985BCD">
              <w:rPr>
                <w:rFonts w:asciiTheme="majorHAnsi" w:eastAsia="Times New Roman" w:hAnsiTheme="majorHAnsi" w:cs="Arial"/>
                <w:color w:val="222222"/>
                <w:lang w:eastAsia="en-GB"/>
              </w:rPr>
              <w:t>ry of ritual, and William James’</w:t>
            </w:r>
            <w:r w:rsidRPr="00621D46">
              <w:rPr>
                <w:rFonts w:asciiTheme="majorHAnsi" w:eastAsia="Times New Roman" w:hAnsiTheme="majorHAnsi" w:cs="Arial"/>
                <w:color w:val="222222"/>
                <w:lang w:eastAsia="en-GB"/>
              </w:rPr>
              <w:t>s theory of religious experience.</w:t>
            </w:r>
            <w:r w:rsidRPr="00985BCD">
              <w:rPr>
                <w:rFonts w:asciiTheme="majorHAnsi" w:eastAsia="Times New Roman" w:hAnsiTheme="majorHAnsi" w:cs="Arial"/>
                <w:color w:val="222222"/>
                <w:lang w:eastAsia="en-GB"/>
              </w:rPr>
              <w:t xml:space="preserve"> </w:t>
            </w:r>
            <w:r w:rsidRPr="00621D46">
              <w:rPr>
                <w:rFonts w:asciiTheme="majorHAnsi" w:eastAsia="Times New Roman" w:hAnsiTheme="majorHAnsi" w:cs="Arial"/>
                <w:color w:val="222222"/>
                <w:lang w:eastAsia="en-GB"/>
              </w:rPr>
              <w:t xml:space="preserve">The whole dissertation proceeds in a very logical manner which makes the students research process very easy to follow. There is a clear introduction which </w:t>
            </w:r>
          </w:p>
          <w:p w14:paraId="7C945AAE"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 xml:space="preserve">sets the academic rationale and accurately provides a basis for understanding the </w:t>
            </w:r>
            <w:r w:rsidRPr="00621D46">
              <w:rPr>
                <w:rFonts w:asciiTheme="majorHAnsi" w:eastAsia="Times New Roman" w:hAnsiTheme="majorHAnsi" w:cs="Arial"/>
                <w:color w:val="222222"/>
                <w:lang w:eastAsia="en-GB"/>
              </w:rPr>
              <w:lastRenderedPageBreak/>
              <w:t>practice of Indian astrology. It includes discussion of issues of free will and fate which are necessary for understanding the ritual</w:t>
            </w:r>
            <w:r w:rsidRPr="00985BCD">
              <w:rPr>
                <w:rFonts w:asciiTheme="majorHAnsi" w:eastAsia="Times New Roman" w:hAnsiTheme="majorHAnsi" w:cs="Arial"/>
                <w:color w:val="222222"/>
                <w:lang w:eastAsia="en-GB"/>
              </w:rPr>
              <w:t>’</w:t>
            </w:r>
            <w:r w:rsidRPr="00621D46">
              <w:rPr>
                <w:rFonts w:asciiTheme="majorHAnsi" w:eastAsia="Times New Roman" w:hAnsiTheme="majorHAnsi" w:cs="Arial"/>
                <w:color w:val="222222"/>
                <w:lang w:eastAsia="en-GB"/>
              </w:rPr>
              <w:t>s purpose.</w:t>
            </w:r>
          </w:p>
          <w:p w14:paraId="6267B29B"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3F3BC5A4"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 xml:space="preserve">Chapter 2 is a very clear account of the main secondary sources, but also, contrary to in the chapter title, consideration of the main primary sources. The methodology section is very clear and leads to a further section which </w:t>
            </w:r>
            <w:r w:rsidRPr="00985BCD">
              <w:rPr>
                <w:rFonts w:asciiTheme="majorHAnsi" w:eastAsia="Times New Roman" w:hAnsiTheme="majorHAnsi" w:cs="Arial"/>
                <w:color w:val="222222"/>
                <w:lang w:eastAsia="en-GB"/>
              </w:rPr>
              <w:t>e</w:t>
            </w:r>
            <w:r w:rsidRPr="00621D46">
              <w:rPr>
                <w:rFonts w:asciiTheme="majorHAnsi" w:eastAsia="Times New Roman" w:hAnsiTheme="majorHAnsi" w:cs="Arial"/>
                <w:color w:val="222222"/>
                <w:lang w:eastAsia="en-GB"/>
              </w:rPr>
              <w:t>xpands on the concept of ritual in its different forms. It also considers religious experience, and asks whether of the Navagrah</w:t>
            </w:r>
            <w:r w:rsidRPr="00985BCD">
              <w:rPr>
                <w:rFonts w:asciiTheme="majorHAnsi" w:eastAsia="Times New Roman" w:hAnsiTheme="majorHAnsi" w:cs="Arial"/>
                <w:color w:val="222222"/>
                <w:lang w:eastAsia="en-GB"/>
              </w:rPr>
              <w:t>a</w:t>
            </w:r>
            <w:r w:rsidRPr="00621D46">
              <w:rPr>
                <w:rFonts w:asciiTheme="majorHAnsi" w:eastAsia="Times New Roman" w:hAnsiTheme="majorHAnsi" w:cs="Arial"/>
                <w:color w:val="222222"/>
                <w:lang w:eastAsia="en-GB"/>
              </w:rPr>
              <w:t xml:space="preserve"> rituals can be defined, in Turner’s terms, as rituals. The whole discussion proceeds very carefully and with close attention to the secondary sources.</w:t>
            </w:r>
          </w:p>
          <w:p w14:paraId="7319FC8B"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46FA43C7"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 xml:space="preserve">The research findings are set out very clearly in a table form. The results to individual questions are discussed in separate paragraphs. Again, the discussion includes reference to secondary sources and is characterised by an enquiring and critical attitude. The conclusion is clear, and tentatively affirms Turner’s view of </w:t>
            </w:r>
            <w:r w:rsidRPr="00985BCD">
              <w:rPr>
                <w:rFonts w:asciiTheme="majorHAnsi" w:eastAsia="Times New Roman" w:hAnsiTheme="majorHAnsi" w:cs="Arial"/>
                <w:color w:val="222222"/>
                <w:lang w:eastAsia="en-GB"/>
              </w:rPr>
              <w:t>ritual, as well as the main secondary sources on Indian astrology.</w:t>
            </w:r>
            <w:r w:rsidRPr="00621D46">
              <w:rPr>
                <w:rFonts w:asciiTheme="majorHAnsi" w:eastAsia="Times New Roman" w:hAnsiTheme="majorHAnsi" w:cs="Arial"/>
                <w:color w:val="222222"/>
                <w:lang w:eastAsia="en-GB"/>
              </w:rPr>
              <w:t xml:space="preserve"> However the data is insufficient to support James and Swinburn</w:t>
            </w:r>
            <w:r w:rsidRPr="00985BCD">
              <w:rPr>
                <w:rFonts w:asciiTheme="majorHAnsi" w:eastAsia="Times New Roman" w:hAnsiTheme="majorHAnsi" w:cs="Arial"/>
                <w:color w:val="222222"/>
                <w:lang w:eastAsia="en-GB"/>
              </w:rPr>
              <w:t>e</w:t>
            </w:r>
            <w:r w:rsidRPr="00621D46">
              <w:rPr>
                <w:rFonts w:asciiTheme="majorHAnsi" w:eastAsia="Times New Roman" w:hAnsiTheme="majorHAnsi" w:cs="Arial"/>
                <w:color w:val="222222"/>
                <w:lang w:eastAsia="en-GB"/>
              </w:rPr>
              <w:t>‘s theory of religious experience.</w:t>
            </w:r>
          </w:p>
          <w:p w14:paraId="0A06F6B3"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4832D67E"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Ov</w:t>
            </w:r>
            <w:r w:rsidRPr="00985BCD">
              <w:rPr>
                <w:rFonts w:asciiTheme="majorHAnsi" w:eastAsia="Times New Roman" w:hAnsiTheme="majorHAnsi" w:cs="Arial"/>
                <w:color w:val="222222"/>
                <w:lang w:eastAsia="en-GB"/>
              </w:rPr>
              <w:t>erall the dissertation reaches a</w:t>
            </w:r>
            <w:r w:rsidRPr="00621D46">
              <w:rPr>
                <w:rFonts w:asciiTheme="majorHAnsi" w:eastAsia="Times New Roman" w:hAnsiTheme="majorHAnsi" w:cs="Arial"/>
                <w:color w:val="222222"/>
                <w:lang w:eastAsia="en-GB"/>
              </w:rPr>
              <w:t xml:space="preserve"> high standard of MA work. It is based in a critical examination of secondary sources. Reports on a research project which is carried out with integrity, relates its findings back to the secondary sources, and reaches a fair and balanced conclusion. Its tone throughout is critical and analytical.</w:t>
            </w:r>
          </w:p>
          <w:p w14:paraId="615B72B8"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0C4CD99C"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The weakness in the whole project was the student</w:t>
            </w:r>
            <w:r w:rsidRPr="00985BCD">
              <w:rPr>
                <w:rFonts w:asciiTheme="majorHAnsi" w:eastAsia="Times New Roman" w:hAnsiTheme="majorHAnsi" w:cs="Arial"/>
                <w:color w:val="222222"/>
                <w:lang w:eastAsia="en-GB"/>
              </w:rPr>
              <w:t>’</w:t>
            </w:r>
            <w:r w:rsidRPr="00621D46">
              <w:rPr>
                <w:rFonts w:asciiTheme="majorHAnsi" w:eastAsia="Times New Roman" w:hAnsiTheme="majorHAnsi" w:cs="Arial"/>
                <w:color w:val="222222"/>
                <w:lang w:eastAsia="en-GB"/>
              </w:rPr>
              <w:t xml:space="preserve">s status as a complete outsider. This made </w:t>
            </w:r>
            <w:r w:rsidRPr="00985BCD">
              <w:rPr>
                <w:rFonts w:asciiTheme="majorHAnsi" w:eastAsia="Times New Roman" w:hAnsiTheme="majorHAnsi" w:cs="Arial"/>
                <w:color w:val="222222"/>
                <w:lang w:eastAsia="en-GB"/>
              </w:rPr>
              <w:t>it very difficult to penetrate t</w:t>
            </w:r>
            <w:r w:rsidRPr="00621D46">
              <w:rPr>
                <w:rFonts w:asciiTheme="majorHAnsi" w:eastAsia="Times New Roman" w:hAnsiTheme="majorHAnsi" w:cs="Arial"/>
                <w:color w:val="222222"/>
                <w:lang w:eastAsia="en-GB"/>
              </w:rPr>
              <w:t>he Indian community. There may well have been trust issues, although there is no way of knowing. What we do know is there is that there were language issues. The result is that there is only one interview and a very small number of questionnaires, and many of the respondents appear not to have answered many of the questions.</w:t>
            </w:r>
          </w:p>
          <w:p w14:paraId="7B44E433"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1CF37104"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 xml:space="preserve">However the student discusses these difficulties openly and honestly and in relation to related comments in the methodological literature. </w:t>
            </w:r>
            <w:proofErr w:type="gramStart"/>
            <w:r w:rsidRPr="00621D46">
              <w:rPr>
                <w:rFonts w:asciiTheme="majorHAnsi" w:eastAsia="Times New Roman" w:hAnsiTheme="majorHAnsi" w:cs="Arial"/>
                <w:color w:val="222222"/>
                <w:lang w:eastAsia="en-GB"/>
              </w:rPr>
              <w:t>These  Difficulties</w:t>
            </w:r>
            <w:proofErr w:type="gramEnd"/>
            <w:r w:rsidRPr="00621D46">
              <w:rPr>
                <w:rFonts w:asciiTheme="majorHAnsi" w:eastAsia="Times New Roman" w:hAnsiTheme="majorHAnsi" w:cs="Arial"/>
                <w:color w:val="222222"/>
                <w:lang w:eastAsia="en-GB"/>
              </w:rPr>
              <w:t xml:space="preserve"> therefore do not affect the grade. In actuality the student is to be commended for dealing with them openly.</w:t>
            </w:r>
          </w:p>
          <w:p w14:paraId="42435CED"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2D50CBF6"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I only have a few critical comments. I noted a few missing words and some unnecessary explanation (On page 13, surely the Brahmin are the Priestley cast, </w:t>
            </w:r>
          </w:p>
          <w:p w14:paraId="0FAD6A5F"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0AD6755D"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 xml:space="preserve">There is the occasional piece of unwonted speculation. For </w:t>
            </w:r>
            <w:proofErr w:type="gramStart"/>
            <w:r w:rsidRPr="00621D46">
              <w:rPr>
                <w:rFonts w:asciiTheme="majorHAnsi" w:eastAsia="Times New Roman" w:hAnsiTheme="majorHAnsi" w:cs="Arial"/>
                <w:color w:val="222222"/>
                <w:lang w:eastAsia="en-GB"/>
              </w:rPr>
              <w:t>example</w:t>
            </w:r>
            <w:proofErr w:type="gramEnd"/>
            <w:r w:rsidRPr="00621D46">
              <w:rPr>
                <w:rFonts w:asciiTheme="majorHAnsi" w:eastAsia="Times New Roman" w:hAnsiTheme="majorHAnsi" w:cs="Arial"/>
                <w:color w:val="222222"/>
                <w:lang w:eastAsia="en-GB"/>
              </w:rPr>
              <w:t xml:space="preserve"> on page 14, why does it imply that the use of oral history could compromise one’s scholarly reputation? has Swain been misunderstood on this point? Or did he misunderstand?</w:t>
            </w:r>
          </w:p>
          <w:p w14:paraId="606122C3"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097F729A"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There are also occasional lapses of factual understanding. For example on page 11, it is not contentious to interpret the moon is north and south nodes as points of intersection between the paths of the sun and the moon.</w:t>
            </w:r>
          </w:p>
          <w:p w14:paraId="795C36AA"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61AA04DA"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There are also occasional points of repetition, as with the listing of the names of the planets in India.</w:t>
            </w:r>
          </w:p>
          <w:p w14:paraId="52890B04"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6E7880E7"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However, all these minor criticisms could’ve been cleared up with a comprehensive final edit.</w:t>
            </w:r>
          </w:p>
          <w:p w14:paraId="1FF5FFB4" w14:textId="77777777" w:rsidR="00A173AB" w:rsidRPr="00621D46" w:rsidRDefault="00A173AB" w:rsidP="00A173AB">
            <w:pPr>
              <w:shd w:val="clear" w:color="auto" w:fill="FFFFFF"/>
              <w:rPr>
                <w:rFonts w:asciiTheme="majorHAnsi" w:eastAsia="Times New Roman" w:hAnsiTheme="majorHAnsi" w:cs="Arial"/>
                <w:color w:val="222222"/>
                <w:lang w:eastAsia="en-GB"/>
              </w:rPr>
            </w:pPr>
          </w:p>
          <w:p w14:paraId="3B5F5184" w14:textId="77777777" w:rsidR="00A173AB" w:rsidRPr="00621D46" w:rsidRDefault="00A173AB" w:rsidP="00A173AB">
            <w:pPr>
              <w:shd w:val="clear" w:color="auto" w:fill="FFFFFF"/>
              <w:rPr>
                <w:rFonts w:asciiTheme="majorHAnsi" w:eastAsia="Times New Roman" w:hAnsiTheme="majorHAnsi" w:cs="Arial"/>
                <w:color w:val="222222"/>
                <w:lang w:eastAsia="en-GB"/>
              </w:rPr>
            </w:pPr>
            <w:r w:rsidRPr="00621D46">
              <w:rPr>
                <w:rFonts w:asciiTheme="majorHAnsi" w:eastAsia="Times New Roman" w:hAnsiTheme="majorHAnsi" w:cs="Arial"/>
                <w:color w:val="222222"/>
                <w:lang w:eastAsia="en-GB"/>
              </w:rPr>
              <w:t>To summarise, this is an excellent piece of work which is well deserving of a distinction</w:t>
            </w:r>
          </w:p>
          <w:tbl>
            <w:tblPr>
              <w:tblW w:w="0" w:type="auto"/>
              <w:tblCellMar>
                <w:top w:w="15" w:type="dxa"/>
                <w:left w:w="15" w:type="dxa"/>
                <w:bottom w:w="15" w:type="dxa"/>
                <w:right w:w="15" w:type="dxa"/>
              </w:tblCellMar>
              <w:tblLook w:val="04A0" w:firstRow="1" w:lastRow="0" w:firstColumn="1" w:lastColumn="0" w:noHBand="0" w:noVBand="1"/>
            </w:tblPr>
            <w:tblGrid>
              <w:gridCol w:w="549"/>
              <w:gridCol w:w="7865"/>
            </w:tblGrid>
            <w:tr w:rsidR="00A173AB" w:rsidRPr="00621D46" w14:paraId="79F81F65" w14:textId="77777777" w:rsidTr="008C65C3">
              <w:tc>
                <w:tcPr>
                  <w:tcW w:w="660" w:type="dxa"/>
                  <w:tcMar>
                    <w:top w:w="0" w:type="dxa"/>
                    <w:left w:w="240" w:type="dxa"/>
                    <w:bottom w:w="0" w:type="dxa"/>
                    <w:right w:w="240" w:type="dxa"/>
                  </w:tcMar>
                  <w:hideMark/>
                </w:tcPr>
                <w:p w14:paraId="52C70679" w14:textId="77777777" w:rsidR="00A173AB" w:rsidRPr="00621D46" w:rsidRDefault="00A173AB" w:rsidP="008C65C3">
                  <w:pPr>
                    <w:rPr>
                      <w:rFonts w:asciiTheme="majorHAnsi" w:eastAsia="Times New Roman" w:hAnsiTheme="majorHAnsi"/>
                      <w:lang w:eastAsia="en-GB"/>
                    </w:rPr>
                  </w:pPr>
                </w:p>
              </w:tc>
              <w:tc>
                <w:tcPr>
                  <w:tcW w:w="21600" w:type="dxa"/>
                  <w:tcMar>
                    <w:top w:w="0" w:type="dxa"/>
                    <w:left w:w="0" w:type="dxa"/>
                    <w:bottom w:w="0" w:type="dxa"/>
                    <w:right w:w="0" w:type="dxa"/>
                  </w:tcMar>
                  <w:vAlign w:val="center"/>
                  <w:hideMark/>
                </w:tcPr>
                <w:p w14:paraId="385041C6" w14:textId="77777777" w:rsidR="00A173AB" w:rsidRPr="00621D46" w:rsidRDefault="00A173AB" w:rsidP="008C65C3">
                  <w:pPr>
                    <w:shd w:val="clear" w:color="auto" w:fill="FFFFFF"/>
                    <w:spacing w:line="300" w:lineRule="atLeast"/>
                    <w:rPr>
                      <w:rFonts w:asciiTheme="majorHAnsi" w:eastAsia="Times New Roman" w:hAnsiTheme="majorHAnsi"/>
                      <w:color w:val="222222"/>
                      <w:lang w:eastAsia="en-GB"/>
                    </w:rPr>
                  </w:pPr>
                </w:p>
              </w:tc>
            </w:tr>
          </w:tbl>
          <w:p w14:paraId="3ED9570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2EDAD8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327983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10682D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1D55EC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17F31C55" w14:textId="77777777" w:rsidTr="006B7840">
        <w:trPr>
          <w:trHeight w:val="720"/>
        </w:trPr>
        <w:tc>
          <w:tcPr>
            <w:tcW w:w="5211" w:type="dxa"/>
            <w:gridSpan w:val="2"/>
          </w:tcPr>
          <w:p w14:paraId="742ABB8B"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A173AB">
              <w:rPr>
                <w:rFonts w:ascii="Calibri" w:hAnsi="Calibri" w:cs="Tahoma"/>
                <w:bCs/>
                <w:sz w:val="24"/>
                <w:szCs w:val="24"/>
              </w:rPr>
              <w:t xml:space="preserve">  74%</w:t>
            </w:r>
          </w:p>
          <w:p w14:paraId="2669C18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A173AB">
              <w:rPr>
                <w:rFonts w:ascii="Calibri" w:hAnsi="Calibri" w:cs="Tahoma"/>
                <w:bCs/>
                <w:sz w:val="24"/>
                <w:szCs w:val="24"/>
              </w:rPr>
              <w:t xml:space="preserve"> Nick Campion</w:t>
            </w:r>
          </w:p>
        </w:tc>
        <w:tc>
          <w:tcPr>
            <w:tcW w:w="3645" w:type="dxa"/>
            <w:gridSpan w:val="5"/>
          </w:tcPr>
          <w:p w14:paraId="42321F9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A173AB">
              <w:rPr>
                <w:rFonts w:ascii="Calibri" w:hAnsi="Calibri" w:cs="Tahoma"/>
                <w:bCs/>
                <w:sz w:val="24"/>
                <w:szCs w:val="24"/>
              </w:rPr>
              <w:t xml:space="preserve"> 7 Dec 2020</w:t>
            </w:r>
          </w:p>
        </w:tc>
      </w:tr>
      <w:tr w:rsidR="0033644F" w:rsidRPr="002F467C" w14:paraId="00F5FC08" w14:textId="77777777" w:rsidTr="006B7840">
        <w:trPr>
          <w:trHeight w:val="720"/>
        </w:trPr>
        <w:tc>
          <w:tcPr>
            <w:tcW w:w="5211" w:type="dxa"/>
            <w:gridSpan w:val="2"/>
          </w:tcPr>
          <w:p w14:paraId="6492A3FF"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A173AB">
              <w:rPr>
                <w:rFonts w:ascii="Calibri" w:hAnsi="Calibri" w:cs="Tahoma"/>
                <w:bCs/>
                <w:sz w:val="24"/>
                <w:szCs w:val="24"/>
              </w:rPr>
              <w:t xml:space="preserve"> 74%</w:t>
            </w:r>
          </w:p>
          <w:p w14:paraId="68AA5389"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6953B02B"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A173AB">
              <w:rPr>
                <w:rFonts w:ascii="Calibri" w:hAnsi="Calibri" w:cs="Tahoma"/>
                <w:bCs/>
                <w:sz w:val="24"/>
                <w:szCs w:val="24"/>
              </w:rPr>
              <w:t xml:space="preserve"> Nick Campion</w:t>
            </w:r>
          </w:p>
          <w:p w14:paraId="4A9A560F"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DE461A1"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A173AB">
              <w:rPr>
                <w:rFonts w:ascii="Calibri" w:hAnsi="Calibri" w:cs="Tahoma"/>
                <w:bCs/>
                <w:sz w:val="24"/>
                <w:szCs w:val="24"/>
              </w:rPr>
              <w:t xml:space="preserve"> Chris Mitchell</w:t>
            </w:r>
          </w:p>
          <w:p w14:paraId="5D8231B5" w14:textId="77777777" w:rsidR="0033644F" w:rsidRDefault="0033644F" w:rsidP="006B7840">
            <w:pPr>
              <w:pStyle w:val="NormalWeb"/>
              <w:spacing w:before="0" w:beforeAutospacing="0" w:after="0" w:afterAutospacing="0"/>
              <w:ind w:right="-334"/>
              <w:rPr>
                <w:rFonts w:ascii="Calibri" w:hAnsi="Calibri" w:cs="Tahoma"/>
                <w:bCs/>
                <w:sz w:val="24"/>
                <w:szCs w:val="24"/>
              </w:rPr>
            </w:pPr>
          </w:p>
        </w:tc>
        <w:tc>
          <w:tcPr>
            <w:tcW w:w="3645" w:type="dxa"/>
            <w:gridSpan w:val="5"/>
          </w:tcPr>
          <w:p w14:paraId="66B9CCE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A173AB">
              <w:rPr>
                <w:rFonts w:ascii="Calibri" w:hAnsi="Calibri" w:cs="Tahoma"/>
                <w:bCs/>
                <w:sz w:val="24"/>
                <w:szCs w:val="24"/>
              </w:rPr>
              <w:t xml:space="preserve"> 7 Dec 2020</w:t>
            </w:r>
          </w:p>
        </w:tc>
      </w:tr>
      <w:tr w:rsidR="0033644F" w:rsidRPr="002F467C" w14:paraId="2B75AD3A" w14:textId="77777777" w:rsidTr="006B7840">
        <w:trPr>
          <w:trHeight w:val="720"/>
        </w:trPr>
        <w:tc>
          <w:tcPr>
            <w:tcW w:w="8856" w:type="dxa"/>
            <w:gridSpan w:val="7"/>
          </w:tcPr>
          <w:p w14:paraId="77D27108" w14:textId="77777777" w:rsidR="0033644F" w:rsidRPr="00BB1492"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5F472D9A" w14:textId="77777777" w:rsidR="0033644F" w:rsidRDefault="0033644F" w:rsidP="006B7840">
            <w:pPr>
              <w:pStyle w:val="NormalWeb"/>
              <w:spacing w:before="0" w:beforeAutospacing="0" w:after="0" w:afterAutospacing="0"/>
              <w:ind w:left="142" w:right="34"/>
              <w:rPr>
                <w:rFonts w:ascii="Calibri" w:hAnsi="Calibri" w:cs="Tahoma"/>
                <w:b/>
                <w:i/>
                <w:sz w:val="24"/>
                <w:szCs w:val="24"/>
              </w:rPr>
            </w:pPr>
          </w:p>
          <w:p w14:paraId="48AD4F53" w14:textId="77777777" w:rsidR="00A173AB" w:rsidRPr="00A173AB" w:rsidRDefault="00A173AB" w:rsidP="006B7840">
            <w:pPr>
              <w:pStyle w:val="NormalWeb"/>
              <w:spacing w:before="0" w:beforeAutospacing="0" w:after="0" w:afterAutospacing="0"/>
              <w:ind w:left="142" w:right="34"/>
              <w:rPr>
                <w:rFonts w:ascii="Calibri" w:hAnsi="Calibri" w:cs="Tahoma"/>
                <w:sz w:val="24"/>
                <w:szCs w:val="24"/>
              </w:rPr>
            </w:pPr>
            <w:r w:rsidRPr="00A173AB">
              <w:rPr>
                <w:rFonts w:ascii="Calibri" w:hAnsi="Calibri" w:cs="Tahoma"/>
                <w:sz w:val="24"/>
                <w:szCs w:val="24"/>
              </w:rPr>
              <w:t>The markers agreed.</w:t>
            </w:r>
          </w:p>
          <w:p w14:paraId="3BC90FF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48E9E46C" w14:textId="77777777" w:rsidTr="006B7840">
        <w:trPr>
          <w:trHeight w:val="720"/>
        </w:trPr>
        <w:tc>
          <w:tcPr>
            <w:tcW w:w="8856" w:type="dxa"/>
            <w:gridSpan w:val="7"/>
          </w:tcPr>
          <w:p w14:paraId="5C835CA4"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3685DFDD" w14:textId="77777777" w:rsidR="0033644F" w:rsidRPr="002F467C" w:rsidRDefault="0033644F" w:rsidP="006B7840">
            <w:pPr>
              <w:pStyle w:val="NormalWeb"/>
              <w:spacing w:before="0" w:beforeAutospacing="0" w:after="0" w:afterAutospacing="0"/>
              <w:ind w:left="142" w:right="34"/>
              <w:rPr>
                <w:rFonts w:ascii="Calibri" w:hAnsi="Calibri" w:cs="Tahoma"/>
                <w:b/>
                <w:i/>
                <w:sz w:val="24"/>
                <w:szCs w:val="24"/>
              </w:rPr>
            </w:pPr>
          </w:p>
        </w:tc>
      </w:tr>
    </w:tbl>
    <w:p w14:paraId="4FECD37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B7A042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2FD35CA"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7815ABCA" w14:textId="77777777" w:rsidTr="006B7840">
        <w:tc>
          <w:tcPr>
            <w:tcW w:w="8856" w:type="dxa"/>
          </w:tcPr>
          <w:p w14:paraId="67054B0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511BC0F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0C71F9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6212FB5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D40B6D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6B1EF4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334521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93E7FD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DBB579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71AFDD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188E25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B61120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5FC92B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5966FE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74F7B1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F32AF9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688476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528BA0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6745B9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8EA24D6"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9943169"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553852C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6CCD4B27"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AC8F85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AEC5EC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8FDAA99"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6869E67"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577A1B2"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4983000E"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1A6037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18E0833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4286E9CF" w14:textId="77777777" w:rsidTr="006B7840">
        <w:trPr>
          <w:trHeight w:val="720"/>
        </w:trPr>
        <w:tc>
          <w:tcPr>
            <w:tcW w:w="8856" w:type="dxa"/>
          </w:tcPr>
          <w:p w14:paraId="726C5F0A"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33644F" w:rsidRPr="002F467C" w14:paraId="2ABC7D4A" w14:textId="77777777" w:rsidTr="006B7840">
        <w:trPr>
          <w:trHeight w:val="720"/>
        </w:trPr>
        <w:tc>
          <w:tcPr>
            <w:tcW w:w="8856" w:type="dxa"/>
          </w:tcPr>
          <w:p w14:paraId="4CC488AF"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1C1F3FF3"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75E50C5D" w14:textId="77777777" w:rsidR="0033644F" w:rsidRDefault="0033644F" w:rsidP="0033644F"/>
    <w:p w14:paraId="6F1849BD" w14:textId="77777777" w:rsidR="001C403C" w:rsidRDefault="00080852"/>
    <w:sectPr w:rsidR="001C403C"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7B9A2" w14:textId="77777777" w:rsidR="00080852" w:rsidRDefault="00080852">
      <w:r>
        <w:separator/>
      </w:r>
    </w:p>
  </w:endnote>
  <w:endnote w:type="continuationSeparator" w:id="0">
    <w:p w14:paraId="1FF54FCB" w14:textId="77777777" w:rsidR="00080852" w:rsidRDefault="00080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613BA" w14:textId="77777777" w:rsidR="000653A2"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BBF57" w14:textId="77777777" w:rsidR="00080852" w:rsidRDefault="00080852">
      <w:r>
        <w:separator/>
      </w:r>
    </w:p>
  </w:footnote>
  <w:footnote w:type="continuationSeparator" w:id="0">
    <w:p w14:paraId="4B29E213" w14:textId="77777777" w:rsidR="00080852" w:rsidRDefault="000808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NDUwMTYwNbE0NTdX0lEKTi0uzszPAykwrAUAnffY2ywAAAA="/>
  </w:docVars>
  <w:rsids>
    <w:rsidRoot w:val="0033644F"/>
    <w:rsid w:val="00080852"/>
    <w:rsid w:val="00125CA3"/>
    <w:rsid w:val="00200216"/>
    <w:rsid w:val="0033644F"/>
    <w:rsid w:val="003E3A58"/>
    <w:rsid w:val="00511291"/>
    <w:rsid w:val="005823B6"/>
    <w:rsid w:val="006024BB"/>
    <w:rsid w:val="00706841"/>
    <w:rsid w:val="007A4BE4"/>
    <w:rsid w:val="009071E5"/>
    <w:rsid w:val="00921AFF"/>
    <w:rsid w:val="00955D97"/>
    <w:rsid w:val="00957D4B"/>
    <w:rsid w:val="00A173AB"/>
    <w:rsid w:val="00B937BA"/>
    <w:rsid w:val="00C64DDF"/>
    <w:rsid w:val="00C967B7"/>
    <w:rsid w:val="00D653BD"/>
    <w:rsid w:val="00EE4D0D"/>
    <w:rsid w:val="00F5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6CB1"/>
  <w15:docId w15:val="{4F5463DF-0FEA-47CD-9540-B7F25349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9071E5"/>
    <w:rPr>
      <w:color w:val="0563C1" w:themeColor="hyperlink"/>
      <w:u w:val="single"/>
    </w:rPr>
  </w:style>
  <w:style w:type="character" w:customStyle="1" w:styleId="UnresolvedMention1">
    <w:name w:val="Unresolved Mention1"/>
    <w:basedOn w:val="DefaultParagraphFont"/>
    <w:uiPriority w:val="99"/>
    <w:semiHidden/>
    <w:unhideWhenUsed/>
    <w:rsid w:val="009071E5"/>
    <w:rPr>
      <w:color w:val="605E5C"/>
      <w:shd w:val="clear" w:color="auto" w:fill="E1DFDD"/>
    </w:rPr>
  </w:style>
  <w:style w:type="paragraph" w:styleId="BalloonText">
    <w:name w:val="Balloon Text"/>
    <w:basedOn w:val="Normal"/>
    <w:link w:val="BalloonTextChar"/>
    <w:uiPriority w:val="99"/>
    <w:semiHidden/>
    <w:unhideWhenUsed/>
    <w:rsid w:val="00C64DDF"/>
    <w:rPr>
      <w:rFonts w:ascii="Tahoma" w:hAnsi="Tahoma" w:cs="Tahoma"/>
      <w:sz w:val="16"/>
      <w:szCs w:val="16"/>
    </w:rPr>
  </w:style>
  <w:style w:type="character" w:customStyle="1" w:styleId="BalloonTextChar">
    <w:name w:val="Balloon Text Char"/>
    <w:basedOn w:val="DefaultParagraphFont"/>
    <w:link w:val="BalloonText"/>
    <w:uiPriority w:val="99"/>
    <w:semiHidden/>
    <w:rsid w:val="00C64DDF"/>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29DF9-5669-4FD9-888F-92669D12E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2836</Words>
  <Characters>16169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Thomas</dc:creator>
  <cp:lastModifiedBy>Bernadette Brady</cp:lastModifiedBy>
  <cp:revision>2</cp:revision>
  <dcterms:created xsi:type="dcterms:W3CDTF">2021-05-03T11:31:00Z</dcterms:created>
  <dcterms:modified xsi:type="dcterms:W3CDTF">2021-05-03T11:31:00Z</dcterms:modified>
</cp:coreProperties>
</file>