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B1F08" w14:textId="77777777" w:rsidR="00AD39C1" w:rsidRPr="0068317A" w:rsidRDefault="00333093" w:rsidP="00AD39C1">
      <w:pPr>
        <w:pStyle w:val="NoSpacing"/>
        <w:rPr>
          <w:rFonts w:cstheme="minorHAnsi"/>
          <w:b/>
          <w:bCs/>
          <w:sz w:val="24"/>
          <w:szCs w:val="24"/>
          <w:u w:val="single"/>
        </w:rPr>
      </w:pPr>
      <w:r w:rsidRPr="0068317A">
        <w:rPr>
          <w:rFonts w:cstheme="minorHAnsi"/>
          <w:b/>
          <w:bCs/>
          <w:sz w:val="24"/>
          <w:szCs w:val="24"/>
          <w:u w:val="single"/>
        </w:rPr>
        <w:t xml:space="preserve">The concept of consent in the UK and its role in cases involving </w:t>
      </w:r>
      <w:r w:rsidR="000B1D06" w:rsidRPr="0068317A">
        <w:rPr>
          <w:rFonts w:cstheme="minorHAnsi"/>
          <w:b/>
          <w:bCs/>
          <w:sz w:val="24"/>
          <w:szCs w:val="24"/>
          <w:u w:val="single"/>
        </w:rPr>
        <w:t>battery</w:t>
      </w:r>
    </w:p>
    <w:p w14:paraId="786B285A" w14:textId="77777777" w:rsidR="00AD39C1" w:rsidRPr="0068317A" w:rsidRDefault="00AD39C1" w:rsidP="00AD39C1">
      <w:pPr>
        <w:pStyle w:val="NoSpacing"/>
        <w:rPr>
          <w:rFonts w:cstheme="minorHAnsi"/>
          <w:b/>
          <w:bCs/>
          <w:sz w:val="24"/>
          <w:szCs w:val="24"/>
        </w:rPr>
      </w:pPr>
    </w:p>
    <w:p w14:paraId="248BE656" w14:textId="716CDD1A" w:rsidR="007E3D4F" w:rsidRPr="00AD3DC9" w:rsidRDefault="00D54EBC" w:rsidP="00AD39C1">
      <w:pPr>
        <w:pStyle w:val="NoSpacing"/>
        <w:rPr>
          <w:rFonts w:cstheme="minorHAnsi"/>
          <w:sz w:val="24"/>
          <w:szCs w:val="24"/>
          <w:u w:val="single"/>
        </w:rPr>
      </w:pPr>
      <w:r w:rsidRPr="00AD3DC9">
        <w:rPr>
          <w:rFonts w:cstheme="minorHAnsi"/>
          <w:b/>
          <w:bCs/>
          <w:sz w:val="24"/>
          <w:szCs w:val="24"/>
          <w:u w:val="single"/>
        </w:rPr>
        <w:t>Introduction</w:t>
      </w:r>
    </w:p>
    <w:p w14:paraId="524D9574" w14:textId="7D446F56" w:rsidR="0068317A" w:rsidRPr="0068317A" w:rsidRDefault="007E3D4F" w:rsidP="0068317A">
      <w:pPr>
        <w:pStyle w:val="NoSpacing"/>
        <w:rPr>
          <w:rFonts w:cstheme="minorHAnsi"/>
          <w:sz w:val="24"/>
          <w:szCs w:val="24"/>
        </w:rPr>
      </w:pPr>
      <w:r w:rsidRPr="0068317A">
        <w:rPr>
          <w:rFonts w:cstheme="minorHAnsi"/>
          <w:sz w:val="24"/>
          <w:szCs w:val="24"/>
        </w:rPr>
        <w:t xml:space="preserve">Consent is a crucial yet complex notion in criminal law, especially in battery situations. The </w:t>
      </w:r>
      <w:r w:rsidR="00AD39C1" w:rsidRPr="0068317A">
        <w:rPr>
          <w:rFonts w:cstheme="minorHAnsi"/>
          <w:sz w:val="24"/>
          <w:szCs w:val="24"/>
        </w:rPr>
        <w:t>uk has strict laws that define consent and make it valid and binding. However, the complex interaction of ethical and philosophical components in the legal framework poses fundamental problems regarding autonomy, ethics, and justice, especially in consent-based contexts. The UK's complex concept of consent and its important aspects are examined in this essay. It also emphasizes the importance of informed and free consent in complex criminal processes. Consent, a simple concept, unravels ethical and legal complexities, determining battery guilt or innocence. By dissecting the ethical and philosophical aspects of consent and drawing from relevant legal principles and case law, we can unravel the intricate tapestry of consent in battery cases and illuminate the UK's ethical and legal approach to this fundamental issue.</w:t>
      </w:r>
      <w:r w:rsidR="0068317A" w:rsidRPr="0068317A">
        <w:rPr>
          <w:rFonts w:cstheme="minorHAnsi"/>
          <w:sz w:val="24"/>
          <w:szCs w:val="24"/>
        </w:rPr>
        <w:t xml:space="preserve"> Policing consent is gaining a trust from the public as the role of police can put them in danger, so they will have support from the public. There are nine principle of police such as; prevent crime and disorders by military force and server legal punishment., police need public’s respect for example when performing duties it’s the public responsibility to ensure they behave in a civilised manner. “Being fairness, friendship and impartiality”. This means the police serve to the public Aswell as the law as they must follow the principles and work in aa professional manner. Also Not to judge or punish for example the police must always look at actions in a professional manner and deal accordingly to the situation. “Rachel Dissell, T.P.D. (2016) </w:t>
      </w:r>
      <w:r w:rsidR="0068317A" w:rsidRPr="0068317A">
        <w:rPr>
          <w:rFonts w:cstheme="minorHAnsi"/>
          <w:i/>
          <w:iCs/>
          <w:sz w:val="24"/>
          <w:szCs w:val="24"/>
        </w:rPr>
        <w:t>The roots of policing: Sir Robert Peel’s 9 principles</w:t>
      </w:r>
      <w:r w:rsidR="0068317A" w:rsidRPr="0068317A">
        <w:rPr>
          <w:rFonts w:cstheme="minorHAnsi"/>
          <w:sz w:val="24"/>
          <w:szCs w:val="24"/>
        </w:rPr>
        <w:t xml:space="preserve">, </w:t>
      </w:r>
      <w:r w:rsidR="0068317A" w:rsidRPr="0068317A">
        <w:rPr>
          <w:rFonts w:cstheme="minorHAnsi"/>
          <w:i/>
          <w:iCs/>
          <w:sz w:val="24"/>
          <w:szCs w:val="24"/>
        </w:rPr>
        <w:t>cleveland</w:t>
      </w:r>
      <w:r w:rsidR="0068317A" w:rsidRPr="0068317A">
        <w:rPr>
          <w:rFonts w:cstheme="minorHAnsi"/>
          <w:sz w:val="24"/>
          <w:szCs w:val="24"/>
        </w:rPr>
        <w:t>.”. According to an article its stated that the nine principles of police, Robert peel was first introduced in “1829”. At first it was structured as general instructions to every police officer. Also police officers are only constructed to physical force only when needed, for example if they was a fight and the police was called at the scene they are only allowed to use a minimum force at a certain degree. “</w:t>
      </w:r>
      <w:r w:rsidR="0068317A" w:rsidRPr="0068317A">
        <w:rPr>
          <w:rFonts w:cstheme="minorHAnsi"/>
          <w:i/>
          <w:iCs/>
          <w:sz w:val="24"/>
          <w:szCs w:val="24"/>
        </w:rPr>
        <w:t>Policing with consent - london city hall</w:t>
      </w:r>
      <w:r w:rsidR="0068317A" w:rsidRPr="0068317A">
        <w:rPr>
          <w:rFonts w:cstheme="minorHAnsi"/>
          <w:sz w:val="24"/>
          <w:szCs w:val="24"/>
        </w:rPr>
        <w:t xml:space="preserve">”. </w:t>
      </w:r>
    </w:p>
    <w:p w14:paraId="3B86A416" w14:textId="77777777" w:rsidR="0068317A" w:rsidRDefault="0068317A" w:rsidP="00AD39C1">
      <w:pPr>
        <w:pStyle w:val="NoSpacing"/>
        <w:rPr>
          <w:rFonts w:cstheme="minorHAnsi"/>
          <w:sz w:val="24"/>
          <w:szCs w:val="24"/>
        </w:rPr>
      </w:pPr>
    </w:p>
    <w:p w14:paraId="7BB011F1" w14:textId="22E80EA5" w:rsidR="00AD39C1" w:rsidRPr="00AD3DC9" w:rsidRDefault="00810E8F" w:rsidP="00AD39C1">
      <w:pPr>
        <w:pStyle w:val="NoSpacing"/>
        <w:rPr>
          <w:rFonts w:cstheme="minorHAnsi"/>
          <w:b/>
          <w:bCs/>
          <w:sz w:val="24"/>
          <w:szCs w:val="24"/>
          <w:u w:val="single"/>
        </w:rPr>
      </w:pPr>
      <w:r w:rsidRPr="00AD3DC9">
        <w:rPr>
          <w:rFonts w:cstheme="minorHAnsi"/>
          <w:b/>
          <w:bCs/>
          <w:sz w:val="24"/>
          <w:szCs w:val="24"/>
          <w:u w:val="single"/>
        </w:rPr>
        <w:t>Thesis</w:t>
      </w:r>
    </w:p>
    <w:p w14:paraId="1C5CC293" w14:textId="55391337" w:rsidR="00810E8F" w:rsidRPr="0068317A" w:rsidRDefault="00AD39C1" w:rsidP="00AD39C1">
      <w:pPr>
        <w:pStyle w:val="NoSpacing"/>
        <w:rPr>
          <w:rFonts w:cstheme="minorHAnsi"/>
          <w:b/>
          <w:bCs/>
          <w:sz w:val="24"/>
          <w:szCs w:val="24"/>
        </w:rPr>
      </w:pPr>
      <w:r w:rsidRPr="0068317A">
        <w:rPr>
          <w:rFonts w:cstheme="minorHAnsi"/>
          <w:sz w:val="24"/>
          <w:szCs w:val="24"/>
        </w:rPr>
        <w:t>I</w:t>
      </w:r>
      <w:r w:rsidR="00810E8F" w:rsidRPr="0068317A">
        <w:rPr>
          <w:rFonts w:cstheme="minorHAnsi"/>
          <w:sz w:val="24"/>
          <w:szCs w:val="24"/>
        </w:rPr>
        <w:t>n the UK, informed and voluntary permission is the foundation of criminal law, posing deep problems about autonomy, ethics, and justice. Understanding battery cases requires understanding consent.</w:t>
      </w:r>
      <w:r w:rsidR="0068317A">
        <w:rPr>
          <w:rFonts w:cstheme="minorHAnsi"/>
          <w:sz w:val="24"/>
          <w:szCs w:val="24"/>
        </w:rPr>
        <w:t xml:space="preserve"> </w:t>
      </w:r>
    </w:p>
    <w:p w14:paraId="2DAB1C77" w14:textId="77777777" w:rsidR="00AD39C1" w:rsidRPr="0068317A" w:rsidRDefault="00AD39C1" w:rsidP="00AD39C1">
      <w:pPr>
        <w:pStyle w:val="NoSpacing"/>
        <w:rPr>
          <w:rFonts w:cstheme="minorHAnsi"/>
          <w:b/>
          <w:bCs/>
          <w:sz w:val="24"/>
          <w:szCs w:val="24"/>
        </w:rPr>
      </w:pPr>
    </w:p>
    <w:p w14:paraId="2DA153AD" w14:textId="3DB396C0" w:rsidR="009D22D6" w:rsidRPr="00AD3DC9" w:rsidRDefault="00810E8F" w:rsidP="00AD39C1">
      <w:pPr>
        <w:pStyle w:val="NoSpacing"/>
        <w:rPr>
          <w:rFonts w:cstheme="minorHAnsi"/>
          <w:b/>
          <w:bCs/>
          <w:sz w:val="24"/>
          <w:szCs w:val="24"/>
          <w:u w:val="single"/>
        </w:rPr>
      </w:pPr>
      <w:r w:rsidRPr="00AD3DC9">
        <w:rPr>
          <w:rFonts w:cstheme="minorHAnsi"/>
          <w:b/>
          <w:bCs/>
          <w:sz w:val="24"/>
          <w:szCs w:val="24"/>
          <w:u w:val="single"/>
        </w:rPr>
        <w:t xml:space="preserve">Main Body </w:t>
      </w:r>
    </w:p>
    <w:p w14:paraId="17D767BE" w14:textId="77777777" w:rsidR="00AD39C1" w:rsidRPr="0068317A" w:rsidRDefault="00AD39C1" w:rsidP="00AD39C1">
      <w:pPr>
        <w:pStyle w:val="NoSpacing"/>
        <w:rPr>
          <w:rFonts w:cstheme="minorHAnsi"/>
          <w:b/>
          <w:bCs/>
          <w:sz w:val="24"/>
          <w:szCs w:val="24"/>
        </w:rPr>
      </w:pPr>
    </w:p>
    <w:p w14:paraId="2113D842" w14:textId="2CB78789" w:rsidR="009D22D6" w:rsidRPr="00AD3DC9" w:rsidRDefault="009D22D6" w:rsidP="00AD39C1">
      <w:pPr>
        <w:pStyle w:val="NoSpacing"/>
        <w:rPr>
          <w:rFonts w:cstheme="minorHAnsi"/>
          <w:b/>
          <w:bCs/>
          <w:sz w:val="24"/>
          <w:szCs w:val="24"/>
          <w:u w:val="single"/>
        </w:rPr>
      </w:pPr>
      <w:r w:rsidRPr="00AD3DC9">
        <w:rPr>
          <w:rFonts w:cstheme="minorHAnsi"/>
          <w:b/>
          <w:bCs/>
          <w:sz w:val="24"/>
          <w:szCs w:val="24"/>
          <w:u w:val="single"/>
        </w:rPr>
        <w:t>Consent in the UK</w:t>
      </w:r>
    </w:p>
    <w:p w14:paraId="115C2F9A" w14:textId="7C13096D" w:rsidR="009D22D6" w:rsidRPr="0068317A" w:rsidRDefault="00A440A5" w:rsidP="00AD39C1">
      <w:pPr>
        <w:pStyle w:val="NoSpacing"/>
        <w:rPr>
          <w:rFonts w:cstheme="minorHAnsi"/>
          <w:sz w:val="24"/>
          <w:szCs w:val="24"/>
        </w:rPr>
      </w:pPr>
      <w:r w:rsidRPr="0068317A">
        <w:rPr>
          <w:rFonts w:cstheme="minorHAnsi"/>
          <w:sz w:val="24"/>
          <w:szCs w:val="24"/>
        </w:rPr>
        <w:t xml:space="preserve">Criminal law in the UK is based on informed and voluntary consent. This fundamental notion goes beyond legality into autonomy, ethics, and fairness. It explores the delicate balance between individual freedom and societal standards and the morality of our legal system. Battery situations are complicated, and permission is always involved. To truly understand these complex situations, one must untangle the many layers of permission, which is the fulcrum on </w:t>
      </w:r>
      <w:r w:rsidR="008F2359" w:rsidRPr="0068317A">
        <w:rPr>
          <w:rFonts w:cstheme="minorHAnsi"/>
          <w:sz w:val="24"/>
          <w:szCs w:val="24"/>
        </w:rPr>
        <w:t xml:space="preserve">which justice precariously tips (Samuel and Kennett 2021, pp.284-304). </w:t>
      </w:r>
    </w:p>
    <w:p w14:paraId="62FC2EC9" w14:textId="77777777" w:rsidR="0068317A" w:rsidRPr="0068317A" w:rsidRDefault="0068317A" w:rsidP="00AD39C1">
      <w:pPr>
        <w:pStyle w:val="NoSpacing"/>
        <w:rPr>
          <w:rFonts w:cstheme="minorHAnsi"/>
          <w:sz w:val="24"/>
          <w:szCs w:val="24"/>
        </w:rPr>
      </w:pPr>
    </w:p>
    <w:p w14:paraId="2B337C3E" w14:textId="77777777" w:rsidR="00AD39C1" w:rsidRPr="0068317A" w:rsidRDefault="00AD39C1" w:rsidP="00AD39C1">
      <w:pPr>
        <w:pStyle w:val="NoSpacing"/>
        <w:rPr>
          <w:rFonts w:cstheme="minorHAnsi"/>
          <w:b/>
          <w:bCs/>
          <w:sz w:val="24"/>
          <w:szCs w:val="24"/>
        </w:rPr>
      </w:pPr>
    </w:p>
    <w:p w14:paraId="189ACF56" w14:textId="7DA12C75" w:rsidR="00A440A5" w:rsidRPr="00AD3DC9" w:rsidRDefault="00A440A5" w:rsidP="00AD39C1">
      <w:pPr>
        <w:pStyle w:val="NoSpacing"/>
        <w:rPr>
          <w:rFonts w:cstheme="minorHAnsi"/>
          <w:b/>
          <w:bCs/>
          <w:sz w:val="24"/>
          <w:szCs w:val="24"/>
          <w:u w:val="single"/>
        </w:rPr>
      </w:pPr>
      <w:r w:rsidRPr="00AD3DC9">
        <w:rPr>
          <w:rFonts w:cstheme="minorHAnsi"/>
          <w:b/>
          <w:bCs/>
          <w:sz w:val="24"/>
          <w:szCs w:val="24"/>
          <w:u w:val="single"/>
        </w:rPr>
        <w:lastRenderedPageBreak/>
        <w:t xml:space="preserve">Battery and its legal </w:t>
      </w:r>
      <w:r w:rsidR="00470CE6" w:rsidRPr="00AD3DC9">
        <w:rPr>
          <w:rFonts w:cstheme="minorHAnsi"/>
          <w:b/>
          <w:bCs/>
          <w:sz w:val="24"/>
          <w:szCs w:val="24"/>
          <w:u w:val="single"/>
        </w:rPr>
        <w:t>framework</w:t>
      </w:r>
    </w:p>
    <w:p w14:paraId="0610C60D" w14:textId="71321F93" w:rsidR="00A440A5" w:rsidRPr="0068317A" w:rsidRDefault="00516471" w:rsidP="00AD39C1">
      <w:pPr>
        <w:pStyle w:val="NoSpacing"/>
        <w:rPr>
          <w:rFonts w:cstheme="minorHAnsi"/>
          <w:sz w:val="24"/>
          <w:szCs w:val="24"/>
        </w:rPr>
      </w:pPr>
      <w:r w:rsidRPr="0068317A">
        <w:rPr>
          <w:rFonts w:cstheme="minorHAnsi"/>
          <w:sz w:val="24"/>
          <w:szCs w:val="24"/>
        </w:rPr>
        <w:t>Battery is a key aspect of UK criminal law. It involves unlawfully applying force to another person without their agreement, producing bodily damage or the reasonable fear of it. Battery includes purposeful, hostile physical contact, even if it does not cause physical harm.</w:t>
      </w:r>
      <w:r w:rsidR="000B1D06" w:rsidRPr="0068317A">
        <w:rPr>
          <w:rFonts w:cstheme="minorHAnsi"/>
          <w:sz w:val="24"/>
          <w:szCs w:val="24"/>
        </w:rPr>
        <w:t xml:space="preserve"> </w:t>
      </w:r>
      <w:r w:rsidR="00D010C6" w:rsidRPr="0068317A">
        <w:rPr>
          <w:rFonts w:cstheme="minorHAnsi"/>
          <w:sz w:val="24"/>
          <w:szCs w:val="24"/>
        </w:rPr>
        <w:t>UK battery rules are based on common law and statutes. The Offences Against the Person Act 1861, which defines actual and serious bodily harm, is crucial to this subject. The Criminal Justice Act 1988 also created racially or religiously aggravated common assault or battery, reflecting changing social concerns</w:t>
      </w:r>
      <w:r w:rsidR="00B7049B" w:rsidRPr="0068317A">
        <w:rPr>
          <w:rFonts w:cstheme="minorHAnsi"/>
          <w:sz w:val="24"/>
          <w:szCs w:val="24"/>
        </w:rPr>
        <w:t xml:space="preserve">. </w:t>
      </w:r>
      <w:r w:rsidR="00D010C6" w:rsidRPr="0068317A">
        <w:rPr>
          <w:rFonts w:cstheme="minorHAnsi"/>
          <w:sz w:val="24"/>
          <w:szCs w:val="24"/>
        </w:rPr>
        <w:t>The Sexual Offences Act 2003 further defines consent requirements.</w:t>
      </w:r>
      <w:r w:rsidRPr="0068317A">
        <w:rPr>
          <w:rFonts w:cstheme="minorHAnsi"/>
          <w:sz w:val="24"/>
          <w:szCs w:val="24"/>
        </w:rPr>
        <w:t xml:space="preserve"> These laws shape how battery cases are read and decided, emphasizing the importance of consent in deciding legality. Thus, the legal system and society must understand battery and consent.</w:t>
      </w:r>
    </w:p>
    <w:p w14:paraId="4C8A8FDA" w14:textId="22F7AA31" w:rsidR="00785419" w:rsidRPr="0068317A" w:rsidRDefault="00B90FEA" w:rsidP="00AD39C1">
      <w:pPr>
        <w:pStyle w:val="NoSpacing"/>
        <w:rPr>
          <w:rFonts w:cstheme="minorHAnsi"/>
          <w:sz w:val="24"/>
          <w:szCs w:val="24"/>
        </w:rPr>
      </w:pPr>
      <w:r w:rsidRPr="0068317A">
        <w:rPr>
          <w:rFonts w:cstheme="minorHAnsi"/>
          <w:sz w:val="24"/>
          <w:szCs w:val="24"/>
        </w:rPr>
        <w:t xml:space="preserve">Russell et al. </w:t>
      </w:r>
      <w:r w:rsidR="0083778F" w:rsidRPr="0068317A">
        <w:rPr>
          <w:rFonts w:cstheme="minorHAnsi"/>
          <w:sz w:val="24"/>
          <w:szCs w:val="24"/>
        </w:rPr>
        <w:t>(2021</w:t>
      </w:r>
      <w:r w:rsidRPr="0068317A">
        <w:rPr>
          <w:rFonts w:cstheme="minorHAnsi"/>
          <w:sz w:val="24"/>
          <w:szCs w:val="24"/>
        </w:rPr>
        <w:t xml:space="preserve"> </w:t>
      </w:r>
      <w:r w:rsidR="00121BFC" w:rsidRPr="0068317A">
        <w:rPr>
          <w:rFonts w:cstheme="minorHAnsi"/>
          <w:sz w:val="24"/>
          <w:szCs w:val="24"/>
        </w:rPr>
        <w:t>pp.435-456</w:t>
      </w:r>
      <w:r w:rsidR="0083778F" w:rsidRPr="0068317A">
        <w:rPr>
          <w:rFonts w:cstheme="minorHAnsi"/>
          <w:sz w:val="24"/>
          <w:szCs w:val="24"/>
        </w:rPr>
        <w:t xml:space="preserve">) </w:t>
      </w:r>
      <w:r w:rsidR="007A1BDC" w:rsidRPr="0068317A">
        <w:rPr>
          <w:rFonts w:cstheme="minorHAnsi"/>
          <w:sz w:val="24"/>
          <w:szCs w:val="24"/>
        </w:rPr>
        <w:t xml:space="preserve">analyze UK consent concerns in web-based cybercrime research. They emphasize ethics in the digital age of automated data collection. They believe such research is ethical if researchers consider informed consent, privacy, and risks. They found that UK consent is shifting, including online and violence cases. This perspective is essential for UK criminologists, attorneys, and legislators handling consent and battery cases. </w:t>
      </w:r>
    </w:p>
    <w:p w14:paraId="7ABD81B2" w14:textId="3C14F4F5" w:rsidR="00491A54" w:rsidRPr="0068317A" w:rsidRDefault="007A1BDC" w:rsidP="00AD39C1">
      <w:pPr>
        <w:pStyle w:val="NoSpacing"/>
        <w:rPr>
          <w:rFonts w:cstheme="minorHAnsi"/>
          <w:sz w:val="24"/>
          <w:szCs w:val="24"/>
        </w:rPr>
      </w:pPr>
      <w:r w:rsidRPr="0068317A">
        <w:rPr>
          <w:rFonts w:cstheme="minorHAnsi"/>
          <w:sz w:val="24"/>
          <w:szCs w:val="24"/>
        </w:rPr>
        <w:t xml:space="preserve"> </w:t>
      </w:r>
      <w:r w:rsidR="00E61856" w:rsidRPr="0068317A">
        <w:rPr>
          <w:rFonts w:cstheme="minorHAnsi"/>
          <w:sz w:val="24"/>
          <w:szCs w:val="24"/>
        </w:rPr>
        <w:t>Bows and Herring (2020</w:t>
      </w:r>
      <w:r w:rsidR="00B90FEA" w:rsidRPr="0068317A">
        <w:rPr>
          <w:rFonts w:cstheme="minorHAnsi"/>
          <w:sz w:val="24"/>
          <w:szCs w:val="24"/>
        </w:rPr>
        <w:t xml:space="preserve"> </w:t>
      </w:r>
      <w:r w:rsidR="00121BFC" w:rsidRPr="0068317A">
        <w:rPr>
          <w:rFonts w:cstheme="minorHAnsi"/>
          <w:sz w:val="24"/>
          <w:szCs w:val="24"/>
        </w:rPr>
        <w:t>pp. 525-538</w:t>
      </w:r>
      <w:r w:rsidR="00E61856" w:rsidRPr="0068317A">
        <w:rPr>
          <w:rFonts w:cstheme="minorHAnsi"/>
          <w:sz w:val="24"/>
          <w:szCs w:val="24"/>
        </w:rPr>
        <w:t>) f</w:t>
      </w:r>
      <w:r w:rsidRPr="0068317A">
        <w:rPr>
          <w:rFonts w:cstheme="minorHAnsi"/>
          <w:sz w:val="24"/>
          <w:szCs w:val="24"/>
        </w:rPr>
        <w:t xml:space="preserve">ound a link between consent and UK battery charges. The 'rough sex </w:t>
      </w:r>
      <w:r w:rsidR="00AC4252" w:rsidRPr="0068317A">
        <w:rPr>
          <w:rFonts w:cstheme="minorHAnsi"/>
          <w:sz w:val="24"/>
          <w:szCs w:val="24"/>
        </w:rPr>
        <w:t>defense</w:t>
      </w:r>
      <w:r w:rsidRPr="0068317A">
        <w:rPr>
          <w:rFonts w:cstheme="minorHAnsi"/>
          <w:sz w:val="24"/>
          <w:szCs w:val="24"/>
        </w:rPr>
        <w:t>' used in high-profile female deaths is criticized in their study. This study addresses consent, a key criminal law issue. The study underscores the ethical and legal complexity of consent in the UK's criminal justice system by examining these cases' complex consent dynamics. It shows the requirement for authorization in numerous legal circumstances, making it crucial to understanding and analyzing UK battery cases.</w:t>
      </w:r>
      <w:r w:rsidR="00782D12">
        <w:rPr>
          <w:rFonts w:cstheme="minorHAnsi"/>
          <w:sz w:val="24"/>
          <w:szCs w:val="24"/>
        </w:rPr>
        <w:t xml:space="preserve"> </w:t>
      </w:r>
    </w:p>
    <w:p w14:paraId="602EDC57" w14:textId="77777777" w:rsidR="00AD39C1" w:rsidRPr="0068317A" w:rsidRDefault="00AD39C1" w:rsidP="00AD39C1">
      <w:pPr>
        <w:pStyle w:val="NoSpacing"/>
        <w:rPr>
          <w:rFonts w:cstheme="minorHAnsi"/>
          <w:b/>
          <w:bCs/>
          <w:sz w:val="24"/>
          <w:szCs w:val="24"/>
        </w:rPr>
      </w:pPr>
    </w:p>
    <w:p w14:paraId="53259242" w14:textId="41F7F2EA" w:rsidR="00491A54" w:rsidRPr="0068317A" w:rsidRDefault="00491A54" w:rsidP="00AD39C1">
      <w:pPr>
        <w:pStyle w:val="NoSpacing"/>
        <w:rPr>
          <w:rFonts w:cstheme="minorHAnsi"/>
          <w:b/>
          <w:bCs/>
          <w:sz w:val="24"/>
          <w:szCs w:val="24"/>
          <w:u w:val="single"/>
        </w:rPr>
      </w:pPr>
      <w:r w:rsidRPr="0068317A">
        <w:rPr>
          <w:rFonts w:cstheme="minorHAnsi"/>
          <w:b/>
          <w:bCs/>
          <w:sz w:val="24"/>
          <w:szCs w:val="24"/>
          <w:u w:val="single"/>
        </w:rPr>
        <w:t xml:space="preserve">Challenges and </w:t>
      </w:r>
      <w:r w:rsidR="001259FA" w:rsidRPr="0068317A">
        <w:rPr>
          <w:rFonts w:cstheme="minorHAnsi"/>
          <w:b/>
          <w:bCs/>
          <w:sz w:val="24"/>
          <w:szCs w:val="24"/>
          <w:u w:val="single"/>
        </w:rPr>
        <w:t>controversies</w:t>
      </w:r>
    </w:p>
    <w:p w14:paraId="6368CCE9" w14:textId="10C70C12" w:rsidR="00491A54" w:rsidRPr="0068317A" w:rsidRDefault="00785419" w:rsidP="00AD39C1">
      <w:pPr>
        <w:pStyle w:val="NoSpacing"/>
        <w:rPr>
          <w:rFonts w:cstheme="minorHAnsi"/>
          <w:sz w:val="24"/>
          <w:szCs w:val="24"/>
        </w:rPr>
      </w:pPr>
      <w:r w:rsidRPr="0068317A">
        <w:rPr>
          <w:rFonts w:cstheme="minorHAnsi"/>
          <w:sz w:val="24"/>
          <w:szCs w:val="24"/>
        </w:rPr>
        <w:t>UK consent law for battery situations is murky. Clear consent is hard to find. Conflicts and legal precedents have affected consent understanding in intimate relationships, medical procedures, and sports. Such instances examine consent bou</w:t>
      </w:r>
      <w:r w:rsidR="00945500" w:rsidRPr="0068317A">
        <w:rPr>
          <w:rFonts w:cstheme="minorHAnsi"/>
          <w:sz w:val="24"/>
          <w:szCs w:val="24"/>
        </w:rPr>
        <w:t>ndaries (Geisinger, 202</w:t>
      </w:r>
      <w:r w:rsidR="003C03AA" w:rsidRPr="0068317A">
        <w:rPr>
          <w:rFonts w:cstheme="minorHAnsi"/>
          <w:sz w:val="24"/>
          <w:szCs w:val="24"/>
        </w:rPr>
        <w:t>0 p</w:t>
      </w:r>
      <w:r w:rsidR="00945500" w:rsidRPr="0068317A">
        <w:rPr>
          <w:rFonts w:cstheme="minorHAnsi"/>
          <w:sz w:val="24"/>
          <w:szCs w:val="24"/>
        </w:rPr>
        <w:t xml:space="preserve">p.1853).        </w:t>
      </w:r>
      <w:r w:rsidRPr="0068317A">
        <w:rPr>
          <w:rFonts w:cstheme="minorHAnsi"/>
          <w:sz w:val="24"/>
          <w:szCs w:val="24"/>
        </w:rPr>
        <w:t>These issues raise ethical issues. In power relationships, true, informed, and voluntary consent can be ethically problematic. The UK's struggles show that consent is a complex term that affects battery cases and criminal law.</w:t>
      </w:r>
      <w:r w:rsidR="00AD3DC9">
        <w:rPr>
          <w:rFonts w:cstheme="minorHAnsi"/>
          <w:sz w:val="24"/>
          <w:szCs w:val="24"/>
        </w:rPr>
        <w:t xml:space="preserve"> </w:t>
      </w:r>
    </w:p>
    <w:p w14:paraId="5B2FBCB1" w14:textId="77777777" w:rsidR="00AD39C1" w:rsidRPr="0068317A" w:rsidRDefault="00AD39C1" w:rsidP="00AD39C1">
      <w:pPr>
        <w:pStyle w:val="NoSpacing"/>
        <w:rPr>
          <w:rFonts w:cstheme="minorHAnsi"/>
          <w:b/>
          <w:bCs/>
          <w:sz w:val="24"/>
          <w:szCs w:val="24"/>
        </w:rPr>
      </w:pPr>
    </w:p>
    <w:p w14:paraId="4689E5CE" w14:textId="5166AF23" w:rsidR="00A440A5" w:rsidRPr="0068317A" w:rsidRDefault="00491A54" w:rsidP="00AD39C1">
      <w:pPr>
        <w:pStyle w:val="NoSpacing"/>
        <w:rPr>
          <w:rFonts w:cstheme="minorHAnsi"/>
          <w:b/>
          <w:bCs/>
          <w:sz w:val="24"/>
          <w:szCs w:val="24"/>
          <w:u w:val="single"/>
        </w:rPr>
      </w:pPr>
      <w:r w:rsidRPr="0068317A">
        <w:rPr>
          <w:rFonts w:cstheme="minorHAnsi"/>
          <w:b/>
          <w:bCs/>
          <w:sz w:val="24"/>
          <w:szCs w:val="24"/>
          <w:u w:val="single"/>
        </w:rPr>
        <w:t>Role of consent in cases involving batteries</w:t>
      </w:r>
    </w:p>
    <w:p w14:paraId="3341DD8A" w14:textId="3F26C90F" w:rsidR="006307C2" w:rsidRPr="0068317A" w:rsidRDefault="002013C1" w:rsidP="00AD39C1">
      <w:pPr>
        <w:pStyle w:val="NoSpacing"/>
        <w:rPr>
          <w:rFonts w:cstheme="minorHAnsi"/>
          <w:sz w:val="24"/>
          <w:szCs w:val="24"/>
        </w:rPr>
      </w:pPr>
      <w:r w:rsidRPr="0068317A">
        <w:rPr>
          <w:rFonts w:cstheme="minorHAnsi"/>
          <w:sz w:val="24"/>
          <w:szCs w:val="24"/>
        </w:rPr>
        <w:t xml:space="preserve">Consent is crucial to </w:t>
      </w:r>
      <w:r w:rsidR="00307E24" w:rsidRPr="0068317A">
        <w:rPr>
          <w:rFonts w:cstheme="minorHAnsi"/>
          <w:sz w:val="24"/>
          <w:szCs w:val="24"/>
        </w:rPr>
        <w:t xml:space="preserve">the </w:t>
      </w:r>
      <w:r w:rsidRPr="0068317A">
        <w:rPr>
          <w:rFonts w:cstheme="minorHAnsi"/>
          <w:sz w:val="24"/>
          <w:szCs w:val="24"/>
        </w:rPr>
        <w:t>UK battery case results. In these cases, genuine and unequivocal consent often determines the outcome. Consent can exonerate the accused by showing that the physical contact was consenting and legal. If consent is missing or invalid, abusers face serious consequences. Battery without justification can result in criminal prosecution, fines, or prison time, depending on the degree of the harm. Thus, consent is the pivot on which battery cases hinge, defining lawful conduct and crime and establishing justi</w:t>
      </w:r>
      <w:r w:rsidR="003A3744" w:rsidRPr="0068317A">
        <w:rPr>
          <w:rFonts w:cstheme="minorHAnsi"/>
          <w:sz w:val="24"/>
          <w:szCs w:val="24"/>
        </w:rPr>
        <w:t xml:space="preserve">ce and accountability in the UK (Afloarei </w:t>
      </w:r>
      <w:r w:rsidR="00B90FEA" w:rsidRPr="0068317A">
        <w:rPr>
          <w:rFonts w:cstheme="minorHAnsi"/>
          <w:sz w:val="24"/>
          <w:szCs w:val="24"/>
        </w:rPr>
        <w:t>and Martínez,</w:t>
      </w:r>
      <w:r w:rsidR="003A3744" w:rsidRPr="0068317A">
        <w:rPr>
          <w:rFonts w:cstheme="minorHAnsi"/>
          <w:sz w:val="24"/>
          <w:szCs w:val="24"/>
        </w:rPr>
        <w:t xml:space="preserve"> 2019 pp.91-112).</w:t>
      </w:r>
      <w:r w:rsidR="00AD3DC9">
        <w:rPr>
          <w:rFonts w:cstheme="minorHAnsi"/>
          <w:sz w:val="24"/>
          <w:szCs w:val="24"/>
        </w:rPr>
        <w:t xml:space="preserve"> </w:t>
      </w:r>
    </w:p>
    <w:p w14:paraId="00DCB879" w14:textId="77777777" w:rsidR="003A3744" w:rsidRPr="0068317A" w:rsidRDefault="003A3744" w:rsidP="00AD39C1">
      <w:pPr>
        <w:pStyle w:val="NoSpacing"/>
        <w:rPr>
          <w:rFonts w:cstheme="minorHAnsi"/>
          <w:sz w:val="24"/>
          <w:szCs w:val="24"/>
        </w:rPr>
      </w:pPr>
    </w:p>
    <w:p w14:paraId="2E9DBC6B" w14:textId="77777777" w:rsidR="00DF5830" w:rsidRPr="00AD3DC9" w:rsidRDefault="00717BB4" w:rsidP="00AD39C1">
      <w:pPr>
        <w:pStyle w:val="NoSpacing"/>
        <w:rPr>
          <w:rFonts w:cstheme="minorHAnsi"/>
          <w:b/>
          <w:bCs/>
          <w:sz w:val="24"/>
          <w:szCs w:val="24"/>
          <w:u w:val="single"/>
        </w:rPr>
      </w:pPr>
      <w:r w:rsidRPr="00AD3DC9">
        <w:rPr>
          <w:rFonts w:cstheme="minorHAnsi"/>
          <w:b/>
          <w:bCs/>
          <w:sz w:val="24"/>
          <w:szCs w:val="24"/>
          <w:u w:val="single"/>
        </w:rPr>
        <w:t>Case Study’s</w:t>
      </w:r>
    </w:p>
    <w:p w14:paraId="4E8295C7" w14:textId="77777777" w:rsidR="0068317A" w:rsidRPr="0068317A" w:rsidRDefault="0068317A" w:rsidP="00AD39C1">
      <w:pPr>
        <w:pStyle w:val="NoSpacing"/>
        <w:rPr>
          <w:rFonts w:cstheme="minorHAnsi"/>
          <w:b/>
          <w:bCs/>
          <w:sz w:val="24"/>
          <w:szCs w:val="24"/>
        </w:rPr>
      </w:pPr>
    </w:p>
    <w:p w14:paraId="74523321" w14:textId="4E69DE51" w:rsidR="009D22D6" w:rsidRPr="0068317A" w:rsidRDefault="00F242EA" w:rsidP="00AD39C1">
      <w:pPr>
        <w:pStyle w:val="NoSpacing"/>
        <w:rPr>
          <w:rFonts w:cstheme="minorHAnsi"/>
          <w:b/>
          <w:bCs/>
          <w:sz w:val="24"/>
          <w:szCs w:val="24"/>
          <w:u w:val="single"/>
        </w:rPr>
      </w:pPr>
      <w:r w:rsidRPr="0068317A">
        <w:rPr>
          <w:rFonts w:cstheme="minorHAnsi"/>
          <w:b/>
          <w:bCs/>
          <w:sz w:val="24"/>
          <w:szCs w:val="24"/>
          <w:u w:val="single"/>
        </w:rPr>
        <w:t>Marland v DPP (2023)</w:t>
      </w:r>
    </w:p>
    <w:p w14:paraId="108071AA" w14:textId="5CD0B6EE" w:rsidR="000B6838" w:rsidRPr="0068317A" w:rsidRDefault="002D15A6" w:rsidP="00AD39C1">
      <w:pPr>
        <w:pStyle w:val="NoSpacing"/>
        <w:rPr>
          <w:rFonts w:cstheme="minorHAnsi"/>
          <w:sz w:val="24"/>
          <w:szCs w:val="24"/>
        </w:rPr>
      </w:pPr>
      <w:r w:rsidRPr="0068317A">
        <w:rPr>
          <w:rFonts w:cstheme="minorHAnsi"/>
          <w:sz w:val="24"/>
          <w:szCs w:val="24"/>
        </w:rPr>
        <w:t>Mr. Marland was found guilty of assault by beating for grabbing his intoxicated partner's shoulders and knocking her over as he sought to transport her to his car without her consent. The case concerns implied battery consent. Legal analyst Bartholomew Dalton writes in Criminal Law Week that necessity may have been a better defense for the assault conviction than consent-based arguments in the High Court appeal. This judgment greatly affects UK consent and battery legislation.</w:t>
      </w:r>
    </w:p>
    <w:p w14:paraId="54C43457" w14:textId="77777777" w:rsidR="0068317A" w:rsidRPr="0068317A" w:rsidRDefault="0068317A" w:rsidP="00AD39C1">
      <w:pPr>
        <w:pStyle w:val="NoSpacing"/>
        <w:rPr>
          <w:rFonts w:cstheme="minorHAnsi"/>
          <w:b/>
          <w:bCs/>
          <w:sz w:val="24"/>
          <w:szCs w:val="24"/>
        </w:rPr>
      </w:pPr>
    </w:p>
    <w:p w14:paraId="2A953B95" w14:textId="23A03955" w:rsidR="00F242EA" w:rsidRPr="0068317A" w:rsidRDefault="00F242EA" w:rsidP="00AD39C1">
      <w:pPr>
        <w:pStyle w:val="NoSpacing"/>
        <w:rPr>
          <w:rFonts w:cstheme="minorHAnsi"/>
          <w:b/>
          <w:bCs/>
          <w:sz w:val="24"/>
          <w:szCs w:val="24"/>
          <w:u w:val="single"/>
        </w:rPr>
      </w:pPr>
      <w:r w:rsidRPr="0068317A">
        <w:rPr>
          <w:rFonts w:cstheme="minorHAnsi"/>
          <w:b/>
          <w:bCs/>
          <w:sz w:val="24"/>
          <w:szCs w:val="24"/>
          <w:u w:val="single"/>
        </w:rPr>
        <w:t>Benjamin Mendy (2023)</w:t>
      </w:r>
    </w:p>
    <w:p w14:paraId="3A1B9F24" w14:textId="711FB1EC" w:rsidR="00343BEA" w:rsidRPr="0068317A" w:rsidRDefault="002D15A6" w:rsidP="00AD39C1">
      <w:pPr>
        <w:pStyle w:val="NoSpacing"/>
        <w:rPr>
          <w:rFonts w:cstheme="minorHAnsi"/>
          <w:sz w:val="24"/>
          <w:szCs w:val="24"/>
        </w:rPr>
      </w:pPr>
      <w:r w:rsidRPr="0068317A">
        <w:rPr>
          <w:rFonts w:cstheme="minorHAnsi"/>
          <w:sz w:val="24"/>
          <w:szCs w:val="24"/>
        </w:rPr>
        <w:t>Benjamin Mendy, a Manchester City footballer, was acquitted of rape and attempted rape after a Chester Crown Court retrial. UK case involves consent and sexual assault. Seven rape and one sexual assault charges were dropped after a five-month trial for Mendy. The case emphasizes fairness and the jury's role in evaluating evidence. It also highlights how such legal proceedings affect defendants and their demand for privacy.</w:t>
      </w:r>
    </w:p>
    <w:p w14:paraId="0051CA76" w14:textId="77777777" w:rsidR="0068317A" w:rsidRPr="0068317A" w:rsidRDefault="0068317A" w:rsidP="00AD39C1">
      <w:pPr>
        <w:pStyle w:val="NoSpacing"/>
        <w:rPr>
          <w:rFonts w:cstheme="minorHAnsi"/>
          <w:b/>
          <w:bCs/>
          <w:sz w:val="24"/>
          <w:szCs w:val="24"/>
        </w:rPr>
      </w:pPr>
    </w:p>
    <w:p w14:paraId="50B50404" w14:textId="0618CBDE" w:rsidR="00DB1810" w:rsidRPr="0068317A" w:rsidRDefault="00DB1810" w:rsidP="00AD39C1">
      <w:pPr>
        <w:pStyle w:val="NoSpacing"/>
        <w:rPr>
          <w:rFonts w:cstheme="minorHAnsi"/>
          <w:b/>
          <w:bCs/>
          <w:sz w:val="24"/>
          <w:szCs w:val="24"/>
          <w:u w:val="single"/>
        </w:rPr>
      </w:pPr>
      <w:r w:rsidRPr="0068317A">
        <w:rPr>
          <w:rFonts w:cstheme="minorHAnsi"/>
          <w:b/>
          <w:bCs/>
          <w:sz w:val="24"/>
          <w:szCs w:val="24"/>
          <w:u w:val="single"/>
        </w:rPr>
        <w:t>Conclusion</w:t>
      </w:r>
    </w:p>
    <w:p w14:paraId="4B67E26C" w14:textId="53F61C15" w:rsidR="00DB1810" w:rsidRPr="0068317A" w:rsidRDefault="0068317A" w:rsidP="00AD39C1">
      <w:pPr>
        <w:pStyle w:val="NoSpacing"/>
        <w:rPr>
          <w:rFonts w:cstheme="minorHAnsi"/>
          <w:sz w:val="24"/>
          <w:szCs w:val="24"/>
        </w:rPr>
      </w:pPr>
      <w:r w:rsidRPr="0068317A">
        <w:rPr>
          <w:rFonts w:cstheme="minorHAnsi"/>
          <w:sz w:val="24"/>
          <w:szCs w:val="24"/>
        </w:rPr>
        <w:t>c</w:t>
      </w:r>
      <w:r w:rsidR="00DB1810" w:rsidRPr="0068317A">
        <w:rPr>
          <w:rFonts w:cstheme="minorHAnsi"/>
          <w:sz w:val="24"/>
          <w:szCs w:val="24"/>
        </w:rPr>
        <w:t>onsent in UK battery cases shows how legal and societal standards change. As we saw, criminal law requires informed and voluntary consent, raising autonomy, ethics, and justice issues. Recent case studies illustrate that consent evolves in digital and complex legal contexts.</w:t>
      </w:r>
      <w:r w:rsidR="00EF5EBB" w:rsidRPr="0068317A">
        <w:rPr>
          <w:rFonts w:cstheme="minorHAnsi"/>
          <w:sz w:val="24"/>
          <w:szCs w:val="24"/>
        </w:rPr>
        <w:t xml:space="preserve"> </w:t>
      </w:r>
      <w:r w:rsidR="00DB1810" w:rsidRPr="0068317A">
        <w:rPr>
          <w:rFonts w:cstheme="minorHAnsi"/>
          <w:sz w:val="24"/>
          <w:szCs w:val="24"/>
        </w:rPr>
        <w:t>Real-world consent in battery cases is complicated by ambiguous areas, barriers, and bad precedents. Justice and individual autonomy must be balanced by lawyers, lawmakers, and society.</w:t>
      </w:r>
      <w:r w:rsidR="00EF5EBB" w:rsidRPr="0068317A">
        <w:rPr>
          <w:rFonts w:cstheme="minorHAnsi"/>
          <w:sz w:val="24"/>
          <w:szCs w:val="24"/>
        </w:rPr>
        <w:t xml:space="preserve"> </w:t>
      </w:r>
      <w:r w:rsidR="00DB1810" w:rsidRPr="0068317A">
        <w:rPr>
          <w:rFonts w:cstheme="minorHAnsi"/>
          <w:sz w:val="24"/>
          <w:szCs w:val="24"/>
        </w:rPr>
        <w:t>Recent examples demonstrate the need to discern between true consent and forced or involuntary acts in consent, violence, and sexual assault cases. To protect victims and hold offenders accountable, the legal system must grasp and respond to consent's ever-changing complexities. UK law relies on consent fo</w:t>
      </w:r>
      <w:r w:rsidR="00DA17FC" w:rsidRPr="0068317A">
        <w:rPr>
          <w:rFonts w:cstheme="minorHAnsi"/>
          <w:sz w:val="24"/>
          <w:szCs w:val="24"/>
        </w:rPr>
        <w:t>r justice and individual obligation</w:t>
      </w:r>
      <w:r w:rsidR="0001009F" w:rsidRPr="0068317A">
        <w:rPr>
          <w:rFonts w:cstheme="minorHAnsi"/>
          <w:sz w:val="24"/>
          <w:szCs w:val="24"/>
        </w:rPr>
        <w:t>s.</w:t>
      </w:r>
    </w:p>
    <w:p w14:paraId="6B662252" w14:textId="77777777" w:rsidR="003B594E" w:rsidRPr="0068317A" w:rsidRDefault="003B594E" w:rsidP="00AD39C1">
      <w:pPr>
        <w:pStyle w:val="NoSpacing"/>
        <w:rPr>
          <w:rFonts w:cstheme="minorHAnsi"/>
          <w:sz w:val="24"/>
          <w:szCs w:val="24"/>
        </w:rPr>
      </w:pPr>
    </w:p>
    <w:p w14:paraId="55B3DA95" w14:textId="047506ED" w:rsidR="00E61856" w:rsidRPr="0068317A" w:rsidRDefault="0068317A" w:rsidP="00AD39C1">
      <w:pPr>
        <w:pStyle w:val="NoSpacing"/>
        <w:rPr>
          <w:rFonts w:cstheme="minorHAnsi"/>
          <w:b/>
          <w:bCs/>
          <w:sz w:val="24"/>
          <w:szCs w:val="24"/>
          <w:u w:val="single"/>
        </w:rPr>
      </w:pPr>
      <w:r w:rsidRPr="0068317A">
        <w:rPr>
          <w:rFonts w:cstheme="minorHAnsi"/>
          <w:b/>
          <w:bCs/>
          <w:sz w:val="24"/>
          <w:szCs w:val="24"/>
          <w:u w:val="single"/>
        </w:rPr>
        <w:t xml:space="preserve">Case </w:t>
      </w:r>
      <w:r w:rsidR="00E61856" w:rsidRPr="0068317A">
        <w:rPr>
          <w:rFonts w:cstheme="minorHAnsi"/>
          <w:b/>
          <w:bCs/>
          <w:sz w:val="24"/>
          <w:szCs w:val="24"/>
          <w:u w:val="single"/>
        </w:rPr>
        <w:t>Study’s</w:t>
      </w:r>
    </w:p>
    <w:p w14:paraId="6FD57445" w14:textId="77777777" w:rsidR="00E61856" w:rsidRPr="0068317A" w:rsidRDefault="00E61856" w:rsidP="00AD39C1">
      <w:pPr>
        <w:pStyle w:val="NoSpacing"/>
        <w:rPr>
          <w:rFonts w:cstheme="minorHAnsi"/>
          <w:sz w:val="24"/>
          <w:szCs w:val="24"/>
        </w:rPr>
      </w:pPr>
      <w:r w:rsidRPr="0068317A">
        <w:rPr>
          <w:rFonts w:cstheme="minorHAnsi"/>
          <w:sz w:val="24"/>
          <w:szCs w:val="24"/>
        </w:rPr>
        <w:t>Marland v DPP (2023)</w:t>
      </w:r>
    </w:p>
    <w:p w14:paraId="6ADA7BB7" w14:textId="77777777" w:rsidR="00E61856" w:rsidRPr="0068317A" w:rsidRDefault="00E61856" w:rsidP="00AD39C1">
      <w:pPr>
        <w:pStyle w:val="NoSpacing"/>
        <w:rPr>
          <w:rFonts w:cstheme="minorHAnsi"/>
          <w:sz w:val="24"/>
          <w:szCs w:val="24"/>
        </w:rPr>
      </w:pPr>
      <w:r w:rsidRPr="0068317A">
        <w:rPr>
          <w:rFonts w:cstheme="minorHAnsi"/>
          <w:sz w:val="24"/>
          <w:szCs w:val="24"/>
        </w:rPr>
        <w:t>Benjamin Mendy (2023)</w:t>
      </w:r>
    </w:p>
    <w:p w14:paraId="5AC91709" w14:textId="18975F5B" w:rsidR="003754E0" w:rsidRPr="0068317A" w:rsidRDefault="00E61856" w:rsidP="00AD39C1">
      <w:pPr>
        <w:pStyle w:val="NoSpacing"/>
        <w:rPr>
          <w:rFonts w:cstheme="minorHAnsi"/>
          <w:b/>
          <w:bCs/>
          <w:sz w:val="24"/>
          <w:szCs w:val="24"/>
        </w:rPr>
      </w:pPr>
      <w:r w:rsidRPr="0068317A">
        <w:rPr>
          <w:rFonts w:cstheme="minorHAnsi"/>
          <w:b/>
          <w:bCs/>
          <w:sz w:val="24"/>
          <w:szCs w:val="24"/>
        </w:rPr>
        <w:t>References</w:t>
      </w:r>
    </w:p>
    <w:p w14:paraId="6F85A256" w14:textId="77777777" w:rsidR="003A3744" w:rsidRPr="0068317A" w:rsidRDefault="003A3744" w:rsidP="00AD39C1">
      <w:pPr>
        <w:pStyle w:val="NoSpacing"/>
        <w:rPr>
          <w:rFonts w:cstheme="minorHAnsi"/>
          <w:sz w:val="24"/>
          <w:szCs w:val="24"/>
        </w:rPr>
      </w:pPr>
      <w:r w:rsidRPr="0068317A">
        <w:rPr>
          <w:rFonts w:cstheme="minorHAnsi"/>
          <w:sz w:val="24"/>
          <w:szCs w:val="24"/>
        </w:rPr>
        <w:t>Afloarei, A.V. and Martínez, G.T., 2019. The affirmative “yes”. Sexual offense based on consent. Masculinities &amp; Social Change, 8(1), pp.91-112.</w:t>
      </w:r>
    </w:p>
    <w:p w14:paraId="74B1B6EC" w14:textId="77777777" w:rsidR="00E61856" w:rsidRPr="0068317A" w:rsidRDefault="00E61856" w:rsidP="00AD39C1">
      <w:pPr>
        <w:pStyle w:val="NoSpacing"/>
        <w:rPr>
          <w:rFonts w:cstheme="minorHAnsi"/>
          <w:sz w:val="24"/>
          <w:szCs w:val="24"/>
        </w:rPr>
      </w:pPr>
      <w:r w:rsidRPr="0068317A">
        <w:rPr>
          <w:rFonts w:cstheme="minorHAnsi"/>
          <w:sz w:val="24"/>
          <w:szCs w:val="24"/>
        </w:rPr>
        <w:t xml:space="preserve">Bows, H. and Herring, J., 2020. Getting away with murder? A review of the ‘rough sex </w:t>
      </w:r>
      <w:r w:rsidR="003754E0" w:rsidRPr="0068317A">
        <w:rPr>
          <w:rFonts w:cstheme="minorHAnsi"/>
          <w:sz w:val="24"/>
          <w:szCs w:val="24"/>
        </w:rPr>
        <w:t>defense</w:t>
      </w:r>
      <w:r w:rsidRPr="0068317A">
        <w:rPr>
          <w:rFonts w:cstheme="minorHAnsi"/>
          <w:sz w:val="24"/>
          <w:szCs w:val="24"/>
        </w:rPr>
        <w:t>’. The Journal of Criminal Law, 84(6), pp.525-538.</w:t>
      </w:r>
    </w:p>
    <w:p w14:paraId="60C37B56" w14:textId="77777777" w:rsidR="00B90FEA" w:rsidRPr="0068317A" w:rsidRDefault="00B90FEA" w:rsidP="00AD39C1">
      <w:pPr>
        <w:pStyle w:val="NoSpacing"/>
        <w:rPr>
          <w:rFonts w:cstheme="minorHAnsi"/>
          <w:sz w:val="24"/>
          <w:szCs w:val="24"/>
        </w:rPr>
      </w:pPr>
      <w:r w:rsidRPr="0068317A">
        <w:rPr>
          <w:rFonts w:cstheme="minorHAnsi"/>
          <w:sz w:val="24"/>
          <w:szCs w:val="24"/>
        </w:rPr>
        <w:t>Brewer, R., Westlake, B., Hart, T. and Arauza, O., 2021. The ethics of web crawling and web scraping in cybercrime research: navigating issues of consent, privacy, and other potential harms associated with automated data collection. Researching cybercrimes: methodologies, ethics, and critical approaches, pp.435-456.</w:t>
      </w:r>
    </w:p>
    <w:p w14:paraId="465F78F8" w14:textId="77777777" w:rsidR="00945500" w:rsidRPr="0068317A" w:rsidRDefault="00945500" w:rsidP="00AD39C1">
      <w:pPr>
        <w:pStyle w:val="NoSpacing"/>
        <w:rPr>
          <w:rFonts w:cstheme="minorHAnsi"/>
          <w:sz w:val="24"/>
          <w:szCs w:val="24"/>
        </w:rPr>
      </w:pPr>
      <w:r w:rsidRPr="0068317A">
        <w:rPr>
          <w:rFonts w:cstheme="minorHAnsi"/>
          <w:sz w:val="24"/>
          <w:szCs w:val="24"/>
        </w:rPr>
        <w:t>Geisinger, A., 2020. Does Saying" Yes" Always Make It Right? The Role of Consent in Civil Battery. UC Davis L. Rev., 54, p.1853.</w:t>
      </w:r>
    </w:p>
    <w:p w14:paraId="57B09D0E" w14:textId="43F82B6C" w:rsidR="007E3D4F" w:rsidRDefault="003754E0" w:rsidP="00AD39C1">
      <w:pPr>
        <w:pStyle w:val="NoSpacing"/>
        <w:rPr>
          <w:sz w:val="24"/>
          <w:szCs w:val="24"/>
        </w:rPr>
      </w:pPr>
      <w:r w:rsidRPr="0068317A">
        <w:rPr>
          <w:rFonts w:cstheme="minorHAnsi"/>
          <w:sz w:val="24"/>
          <w:szCs w:val="24"/>
        </w:rPr>
        <w:t>Samuel, G. and Kennett, D., 2021. Problematizing consent: searching genetic gene</w:t>
      </w:r>
      <w:r w:rsidRPr="003754E0">
        <w:rPr>
          <w:sz w:val="24"/>
          <w:szCs w:val="24"/>
        </w:rPr>
        <w:t xml:space="preserve">alogy </w:t>
      </w:r>
    </w:p>
    <w:sectPr w:rsidR="007E3D4F">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D1A58" w14:textId="77777777" w:rsidR="00BE3A9E" w:rsidRDefault="00BE3A9E" w:rsidP="00F65A65">
      <w:pPr>
        <w:spacing w:after="0" w:line="240" w:lineRule="auto"/>
      </w:pPr>
      <w:r>
        <w:separator/>
      </w:r>
    </w:p>
  </w:endnote>
  <w:endnote w:type="continuationSeparator" w:id="0">
    <w:p w14:paraId="31F8CE4B" w14:textId="77777777" w:rsidR="00BE3A9E" w:rsidRDefault="00BE3A9E" w:rsidP="00F65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65F55" w14:textId="5B4367F6" w:rsidR="00D54EBC" w:rsidRDefault="00D54EBC" w:rsidP="00D54EBC">
    <w:pPr>
      <w:pStyle w:val="Footer"/>
    </w:pPr>
    <w:r>
      <w:tab/>
    </w:r>
    <w:r>
      <w:tab/>
    </w:r>
  </w:p>
  <w:p w14:paraId="6E64191E" w14:textId="77777777" w:rsidR="00D54EBC" w:rsidRDefault="00D54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E9C51" w14:textId="77777777" w:rsidR="00BE3A9E" w:rsidRDefault="00BE3A9E" w:rsidP="00F65A65">
      <w:pPr>
        <w:spacing w:after="0" w:line="240" w:lineRule="auto"/>
      </w:pPr>
      <w:r>
        <w:separator/>
      </w:r>
    </w:p>
  </w:footnote>
  <w:footnote w:type="continuationSeparator" w:id="0">
    <w:p w14:paraId="6AEF4255" w14:textId="77777777" w:rsidR="00BE3A9E" w:rsidRDefault="00BE3A9E" w:rsidP="00F65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82DF6" w14:textId="266C474A" w:rsidR="00F65A65" w:rsidRDefault="00F65A65">
    <w:pPr>
      <w:pStyle w:val="Header"/>
      <w:jc w:val="right"/>
    </w:pPr>
  </w:p>
  <w:p w14:paraId="5F781693" w14:textId="77777777" w:rsidR="00F65A65" w:rsidRDefault="00F65A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B13160"/>
    <w:multiLevelType w:val="hybridMultilevel"/>
    <w:tmpl w:val="B810BF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19563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2NDCysDQ1szQxMjJW0lEKTi0uzszPAykwrAUAN9gHKSwAAAA="/>
  </w:docVars>
  <w:rsids>
    <w:rsidRoot w:val="00D27498"/>
    <w:rsid w:val="0001009F"/>
    <w:rsid w:val="00024F53"/>
    <w:rsid w:val="000467AF"/>
    <w:rsid w:val="000A33DA"/>
    <w:rsid w:val="000B1D06"/>
    <w:rsid w:val="000B6838"/>
    <w:rsid w:val="000C4D8B"/>
    <w:rsid w:val="000D6670"/>
    <w:rsid w:val="000E7707"/>
    <w:rsid w:val="000F6614"/>
    <w:rsid w:val="00121BFC"/>
    <w:rsid w:val="001259FA"/>
    <w:rsid w:val="00150D0C"/>
    <w:rsid w:val="00152E76"/>
    <w:rsid w:val="00191060"/>
    <w:rsid w:val="001B2752"/>
    <w:rsid w:val="001F77BE"/>
    <w:rsid w:val="002013C1"/>
    <w:rsid w:val="0024474C"/>
    <w:rsid w:val="002471CF"/>
    <w:rsid w:val="00253599"/>
    <w:rsid w:val="00283F86"/>
    <w:rsid w:val="00284E50"/>
    <w:rsid w:val="00286943"/>
    <w:rsid w:val="002A25D8"/>
    <w:rsid w:val="002C27CB"/>
    <w:rsid w:val="002C2AC0"/>
    <w:rsid w:val="002D15A6"/>
    <w:rsid w:val="002D2F9B"/>
    <w:rsid w:val="00307E24"/>
    <w:rsid w:val="003109CC"/>
    <w:rsid w:val="00315B95"/>
    <w:rsid w:val="0032620B"/>
    <w:rsid w:val="00333093"/>
    <w:rsid w:val="00333289"/>
    <w:rsid w:val="003365E6"/>
    <w:rsid w:val="00343BEA"/>
    <w:rsid w:val="00346519"/>
    <w:rsid w:val="003754E0"/>
    <w:rsid w:val="003904D0"/>
    <w:rsid w:val="003A3744"/>
    <w:rsid w:val="003A45FA"/>
    <w:rsid w:val="003B594E"/>
    <w:rsid w:val="003C03AA"/>
    <w:rsid w:val="003C5831"/>
    <w:rsid w:val="003C71B3"/>
    <w:rsid w:val="003D5461"/>
    <w:rsid w:val="003E3B04"/>
    <w:rsid w:val="00421E2C"/>
    <w:rsid w:val="0042370F"/>
    <w:rsid w:val="004339C8"/>
    <w:rsid w:val="00470CE6"/>
    <w:rsid w:val="00491A54"/>
    <w:rsid w:val="004B3D9E"/>
    <w:rsid w:val="004C01E2"/>
    <w:rsid w:val="00516471"/>
    <w:rsid w:val="0054035E"/>
    <w:rsid w:val="005465D3"/>
    <w:rsid w:val="00557622"/>
    <w:rsid w:val="005607D3"/>
    <w:rsid w:val="005860B1"/>
    <w:rsid w:val="006307C2"/>
    <w:rsid w:val="00650D45"/>
    <w:rsid w:val="0068317A"/>
    <w:rsid w:val="00696B93"/>
    <w:rsid w:val="006C7EFA"/>
    <w:rsid w:val="006F640B"/>
    <w:rsid w:val="006F689F"/>
    <w:rsid w:val="00707CD0"/>
    <w:rsid w:val="00715698"/>
    <w:rsid w:val="00717BB4"/>
    <w:rsid w:val="00762C8A"/>
    <w:rsid w:val="00773C0A"/>
    <w:rsid w:val="00782D12"/>
    <w:rsid w:val="00785419"/>
    <w:rsid w:val="00787D50"/>
    <w:rsid w:val="00793A39"/>
    <w:rsid w:val="007A1BDC"/>
    <w:rsid w:val="007A37A2"/>
    <w:rsid w:val="007A3A25"/>
    <w:rsid w:val="007E3D4F"/>
    <w:rsid w:val="008051B4"/>
    <w:rsid w:val="00810E8F"/>
    <w:rsid w:val="00831F74"/>
    <w:rsid w:val="0083778F"/>
    <w:rsid w:val="008443B7"/>
    <w:rsid w:val="00851C45"/>
    <w:rsid w:val="00865065"/>
    <w:rsid w:val="008776B1"/>
    <w:rsid w:val="008A13B4"/>
    <w:rsid w:val="008B2638"/>
    <w:rsid w:val="008C5739"/>
    <w:rsid w:val="008E1F9C"/>
    <w:rsid w:val="008F2359"/>
    <w:rsid w:val="008F4E9E"/>
    <w:rsid w:val="00913A11"/>
    <w:rsid w:val="00932023"/>
    <w:rsid w:val="00933EB0"/>
    <w:rsid w:val="00935C26"/>
    <w:rsid w:val="00945500"/>
    <w:rsid w:val="009632CC"/>
    <w:rsid w:val="009D22D6"/>
    <w:rsid w:val="009F193C"/>
    <w:rsid w:val="00A05CC5"/>
    <w:rsid w:val="00A21371"/>
    <w:rsid w:val="00A440A5"/>
    <w:rsid w:val="00A67A51"/>
    <w:rsid w:val="00A722AA"/>
    <w:rsid w:val="00A726E2"/>
    <w:rsid w:val="00A72AEA"/>
    <w:rsid w:val="00A76536"/>
    <w:rsid w:val="00A965E4"/>
    <w:rsid w:val="00AA327F"/>
    <w:rsid w:val="00AB4DA7"/>
    <w:rsid w:val="00AC4252"/>
    <w:rsid w:val="00AC5329"/>
    <w:rsid w:val="00AD39C1"/>
    <w:rsid w:val="00AD3DC9"/>
    <w:rsid w:val="00B62FB1"/>
    <w:rsid w:val="00B7049B"/>
    <w:rsid w:val="00B90FEA"/>
    <w:rsid w:val="00BB1B0B"/>
    <w:rsid w:val="00BE3A9E"/>
    <w:rsid w:val="00C21F13"/>
    <w:rsid w:val="00C231BC"/>
    <w:rsid w:val="00C61B7A"/>
    <w:rsid w:val="00C9255E"/>
    <w:rsid w:val="00D010C6"/>
    <w:rsid w:val="00D15AAE"/>
    <w:rsid w:val="00D26164"/>
    <w:rsid w:val="00D27498"/>
    <w:rsid w:val="00D37AC8"/>
    <w:rsid w:val="00D47048"/>
    <w:rsid w:val="00D54EBC"/>
    <w:rsid w:val="00D978F8"/>
    <w:rsid w:val="00DA17FC"/>
    <w:rsid w:val="00DB1810"/>
    <w:rsid w:val="00DC0A07"/>
    <w:rsid w:val="00DD51B2"/>
    <w:rsid w:val="00DF567D"/>
    <w:rsid w:val="00DF5830"/>
    <w:rsid w:val="00E3297B"/>
    <w:rsid w:val="00E53DAF"/>
    <w:rsid w:val="00E55BE7"/>
    <w:rsid w:val="00E55F3F"/>
    <w:rsid w:val="00E61856"/>
    <w:rsid w:val="00E7097B"/>
    <w:rsid w:val="00E8022B"/>
    <w:rsid w:val="00EA552A"/>
    <w:rsid w:val="00ED5E32"/>
    <w:rsid w:val="00ED7230"/>
    <w:rsid w:val="00EF5EBB"/>
    <w:rsid w:val="00F06AF3"/>
    <w:rsid w:val="00F07BB7"/>
    <w:rsid w:val="00F242EA"/>
    <w:rsid w:val="00F56B7A"/>
    <w:rsid w:val="00F65A65"/>
    <w:rsid w:val="00F7330C"/>
    <w:rsid w:val="00F87CB5"/>
    <w:rsid w:val="00FD5D1C"/>
    <w:rsid w:val="00FD7B0B"/>
    <w:rsid w:val="00FF6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5BF41"/>
  <w15:docId w15:val="{689A3183-64F2-45FF-95F1-8E083EE79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5A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5A65"/>
  </w:style>
  <w:style w:type="paragraph" w:styleId="Footer">
    <w:name w:val="footer"/>
    <w:basedOn w:val="Normal"/>
    <w:link w:val="FooterChar"/>
    <w:uiPriority w:val="99"/>
    <w:unhideWhenUsed/>
    <w:rsid w:val="00F65A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5A65"/>
  </w:style>
  <w:style w:type="paragraph" w:styleId="ListParagraph">
    <w:name w:val="List Paragraph"/>
    <w:basedOn w:val="Normal"/>
    <w:uiPriority w:val="34"/>
    <w:qFormat/>
    <w:rsid w:val="00E61856"/>
    <w:pPr>
      <w:ind w:left="720"/>
      <w:contextualSpacing/>
    </w:pPr>
  </w:style>
  <w:style w:type="paragraph" w:styleId="NoSpacing">
    <w:name w:val="No Spacing"/>
    <w:uiPriority w:val="1"/>
    <w:qFormat/>
    <w:rsid w:val="00AD39C1"/>
    <w:pPr>
      <w:spacing w:after="0" w:line="240" w:lineRule="auto"/>
    </w:pPr>
  </w:style>
  <w:style w:type="paragraph" w:styleId="NormalWeb">
    <w:name w:val="Normal (Web)"/>
    <w:basedOn w:val="Normal"/>
    <w:rsid w:val="0068317A"/>
    <w:pPr>
      <w:suppressAutoHyphens/>
      <w:autoSpaceDN w:val="0"/>
      <w:spacing w:before="100" w:after="100"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1312</Words>
  <Characters>7482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Komal Shazedi</cp:lastModifiedBy>
  <cp:revision>2</cp:revision>
  <dcterms:created xsi:type="dcterms:W3CDTF">2023-11-04T12:26:00Z</dcterms:created>
  <dcterms:modified xsi:type="dcterms:W3CDTF">2023-11-04T12:26:00Z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813fe9ed-c00c-4bd5-a941-bbb43bd9d88c</vt:lpwstr>
  </property>
</Properties>
</file>