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B7F458" w14:textId="1601CDE8" w:rsidR="00477A62" w:rsidRDefault="00506404" w:rsidP="00506404">
      <w:pPr>
        <w:jc w:val="center"/>
        <w:rPr>
          <w:rFonts w:ascii="Arial" w:hAnsi="Arial" w:cs="Arial"/>
          <w:sz w:val="24"/>
          <w:szCs w:val="24"/>
        </w:rPr>
      </w:pPr>
      <w:r w:rsidRPr="00EE62CE">
        <w:rPr>
          <w:rFonts w:ascii="Arial" w:hAnsi="Arial" w:cs="Arial"/>
          <w:sz w:val="24"/>
          <w:szCs w:val="24"/>
        </w:rPr>
        <w:t xml:space="preserve">Legal Process Assignment 1 </w:t>
      </w:r>
    </w:p>
    <w:p w14:paraId="00ECAF4B" w14:textId="77777777" w:rsidR="00DA43AE" w:rsidRPr="00EE62CE" w:rsidRDefault="00DA43AE" w:rsidP="00506404">
      <w:pPr>
        <w:rPr>
          <w:rFonts w:ascii="Arial" w:hAnsi="Arial" w:cs="Arial"/>
          <w:sz w:val="24"/>
          <w:szCs w:val="24"/>
        </w:rPr>
      </w:pPr>
    </w:p>
    <w:p w14:paraId="3B7DA71A" w14:textId="77777777" w:rsidR="00062D44" w:rsidRDefault="00A860B9" w:rsidP="00506404">
      <w:pPr>
        <w:rPr>
          <w:rFonts w:ascii="Arial" w:hAnsi="Arial" w:cs="Arial"/>
          <w:sz w:val="24"/>
          <w:szCs w:val="24"/>
        </w:rPr>
      </w:pPr>
      <w:r w:rsidRPr="00A860B9">
        <w:rPr>
          <w:rFonts w:ascii="Arial" w:hAnsi="Arial" w:cs="Arial"/>
          <w:sz w:val="24"/>
          <w:szCs w:val="24"/>
        </w:rPr>
        <w:t>The purpose of this essay is to clarify the common law foundations of the English legal system. The common law and civil law, the two primary legal systems in use around the globe, will each be examined in this essay. This essay will explain the common law's development in England, present examples of how it has been applied in real-world situations, and compare and contrast the two legal systems.</w:t>
      </w:r>
    </w:p>
    <w:p w14:paraId="501847FD" w14:textId="667442F0" w:rsidR="00C00C61" w:rsidRPr="00EE62CE" w:rsidRDefault="003262CF" w:rsidP="00506404">
      <w:pPr>
        <w:rPr>
          <w:rFonts w:ascii="Arial" w:hAnsi="Arial" w:cs="Arial"/>
          <w:sz w:val="24"/>
          <w:szCs w:val="24"/>
        </w:rPr>
      </w:pPr>
      <w:r w:rsidRPr="003262CF">
        <w:rPr>
          <w:rFonts w:ascii="Arial" w:hAnsi="Arial" w:cs="Arial"/>
          <w:sz w:val="24"/>
          <w:szCs w:val="24"/>
        </w:rPr>
        <w:t>A common-law based system is exemplified by the English legal system</w:t>
      </w:r>
      <w:r w:rsidR="00172FBD" w:rsidRPr="00EE62CE">
        <w:rPr>
          <w:rFonts w:ascii="Arial" w:hAnsi="Arial" w:cs="Arial"/>
          <w:sz w:val="24"/>
          <w:szCs w:val="24"/>
        </w:rPr>
        <w:t xml:space="preserve"> (Gillespie, </w:t>
      </w:r>
      <w:r w:rsidR="00BB033E" w:rsidRPr="00EE62CE">
        <w:rPr>
          <w:rFonts w:ascii="Arial" w:hAnsi="Arial" w:cs="Arial"/>
          <w:sz w:val="24"/>
          <w:szCs w:val="24"/>
        </w:rPr>
        <w:t>2013, p.11)</w:t>
      </w:r>
      <w:r w:rsidR="00B522CB" w:rsidRPr="00EE62CE">
        <w:rPr>
          <w:rFonts w:ascii="Arial" w:hAnsi="Arial" w:cs="Arial"/>
          <w:sz w:val="24"/>
          <w:szCs w:val="24"/>
        </w:rPr>
        <w:t xml:space="preserve">. </w:t>
      </w:r>
      <w:r w:rsidR="004A3553" w:rsidRPr="004A3553">
        <w:rPr>
          <w:rFonts w:ascii="Arial" w:hAnsi="Arial" w:cs="Arial"/>
          <w:sz w:val="24"/>
          <w:szCs w:val="24"/>
        </w:rPr>
        <w:t>After the Norman conquest in 1066, common law emerged as a system that made so-called judicial precedents binding rather than only being helpful persuasive advice</w:t>
      </w:r>
      <w:r w:rsidR="00F31A9B" w:rsidRPr="00EE62CE">
        <w:rPr>
          <w:rFonts w:ascii="Arial" w:hAnsi="Arial" w:cs="Arial"/>
          <w:sz w:val="24"/>
          <w:szCs w:val="24"/>
        </w:rPr>
        <w:t xml:space="preserve"> </w:t>
      </w:r>
      <w:r w:rsidR="00BE4B15" w:rsidRPr="00EE62CE">
        <w:rPr>
          <w:rFonts w:ascii="Arial" w:hAnsi="Arial" w:cs="Arial"/>
          <w:sz w:val="24"/>
          <w:szCs w:val="24"/>
        </w:rPr>
        <w:t xml:space="preserve">(Finch and Fafinski, 2021, p.98). </w:t>
      </w:r>
      <w:r w:rsidR="00EC1987">
        <w:rPr>
          <w:rFonts w:ascii="Arial" w:hAnsi="Arial" w:cs="Arial"/>
          <w:sz w:val="24"/>
          <w:szCs w:val="24"/>
        </w:rPr>
        <w:t xml:space="preserve">The main focus </w:t>
      </w:r>
      <w:r w:rsidR="00DE3E52">
        <w:rPr>
          <w:rFonts w:ascii="Arial" w:hAnsi="Arial" w:cs="Arial"/>
          <w:sz w:val="24"/>
          <w:szCs w:val="24"/>
        </w:rPr>
        <w:t>of</w:t>
      </w:r>
      <w:r w:rsidR="00EC1987">
        <w:rPr>
          <w:rFonts w:ascii="Arial" w:hAnsi="Arial" w:cs="Arial"/>
          <w:sz w:val="24"/>
          <w:szCs w:val="24"/>
        </w:rPr>
        <w:t xml:space="preserve"> the common law was to resolve disputes at hand, rather than creating legal principles</w:t>
      </w:r>
      <w:r w:rsidR="00EB122E">
        <w:rPr>
          <w:rFonts w:ascii="Arial" w:hAnsi="Arial" w:cs="Arial"/>
          <w:sz w:val="24"/>
          <w:szCs w:val="24"/>
        </w:rPr>
        <w:t xml:space="preserve"> that would be codified </w:t>
      </w:r>
      <w:r w:rsidR="00EB122E" w:rsidRPr="00EE62CE">
        <w:rPr>
          <w:rFonts w:ascii="Arial" w:hAnsi="Arial" w:cs="Arial"/>
          <w:sz w:val="24"/>
          <w:szCs w:val="24"/>
        </w:rPr>
        <w:t>(O’Connor, 2012, p.1</w:t>
      </w:r>
      <w:r w:rsidR="00EB122E">
        <w:rPr>
          <w:rFonts w:ascii="Arial" w:hAnsi="Arial" w:cs="Arial"/>
          <w:sz w:val="24"/>
          <w:szCs w:val="24"/>
        </w:rPr>
        <w:t>3</w:t>
      </w:r>
      <w:r w:rsidR="00EB122E" w:rsidRPr="00EE62CE">
        <w:rPr>
          <w:rFonts w:ascii="Arial" w:hAnsi="Arial" w:cs="Arial"/>
          <w:sz w:val="24"/>
          <w:szCs w:val="24"/>
        </w:rPr>
        <w:t>)</w:t>
      </w:r>
      <w:r w:rsidR="00EB122E">
        <w:rPr>
          <w:rFonts w:ascii="Arial" w:hAnsi="Arial" w:cs="Arial"/>
          <w:sz w:val="24"/>
          <w:szCs w:val="24"/>
        </w:rPr>
        <w:t xml:space="preserve">. </w:t>
      </w:r>
      <w:r w:rsidR="00506404" w:rsidRPr="00EE62CE">
        <w:rPr>
          <w:rFonts w:ascii="Arial" w:hAnsi="Arial" w:cs="Arial"/>
          <w:sz w:val="24"/>
          <w:szCs w:val="24"/>
        </w:rPr>
        <w:t xml:space="preserve">Today, we refer to common law as </w:t>
      </w:r>
      <w:r w:rsidR="00D47CFF">
        <w:rPr>
          <w:rFonts w:ascii="Arial" w:hAnsi="Arial" w:cs="Arial"/>
          <w:sz w:val="24"/>
          <w:szCs w:val="24"/>
        </w:rPr>
        <w:t>t</w:t>
      </w:r>
      <w:r w:rsidR="00D47CFF" w:rsidRPr="00D47CFF">
        <w:rPr>
          <w:rFonts w:ascii="Arial" w:hAnsi="Arial" w:cs="Arial"/>
          <w:sz w:val="24"/>
          <w:szCs w:val="24"/>
        </w:rPr>
        <w:t xml:space="preserve">he type of law that does not derive from a statute or piece of legislation. In other words, the value of the judicial precedents that these decisions set as well as the legislation that results from cases that are resolved by judges. Judges must </w:t>
      </w:r>
      <w:r w:rsidR="006E2E94">
        <w:rPr>
          <w:rFonts w:ascii="Arial" w:hAnsi="Arial" w:cs="Arial"/>
          <w:sz w:val="24"/>
          <w:szCs w:val="24"/>
        </w:rPr>
        <w:t>essentially</w:t>
      </w:r>
      <w:r w:rsidR="00D47CFF" w:rsidRPr="00D47CFF">
        <w:rPr>
          <w:rFonts w:ascii="Arial" w:hAnsi="Arial" w:cs="Arial"/>
          <w:sz w:val="24"/>
          <w:szCs w:val="24"/>
        </w:rPr>
        <w:t xml:space="preserve"> construct law by setting precedent that is binding on subsequent courts when a new case or disagreement is distinct from all prior instances. Common law is unique in that it uses judicial decisions to represent the law of the courts.</w:t>
      </w:r>
    </w:p>
    <w:p w14:paraId="4CE7BA5B" w14:textId="26936F8E" w:rsidR="00C00C61" w:rsidRPr="00EE62CE" w:rsidRDefault="008B661D" w:rsidP="00506404">
      <w:pPr>
        <w:rPr>
          <w:rFonts w:ascii="Arial" w:hAnsi="Arial" w:cs="Arial"/>
          <w:sz w:val="24"/>
          <w:szCs w:val="24"/>
        </w:rPr>
      </w:pPr>
      <w:r w:rsidRPr="00EE62CE">
        <w:rPr>
          <w:rFonts w:ascii="Arial" w:hAnsi="Arial" w:cs="Arial"/>
          <w:sz w:val="24"/>
          <w:szCs w:val="24"/>
        </w:rPr>
        <w:t>Prior to</w:t>
      </w:r>
      <w:r w:rsidR="00D8585F" w:rsidRPr="00EE62CE">
        <w:rPr>
          <w:rFonts w:ascii="Arial" w:hAnsi="Arial" w:cs="Arial"/>
          <w:sz w:val="24"/>
          <w:szCs w:val="24"/>
        </w:rPr>
        <w:t xml:space="preserve"> the Norman conquest in 1066, there was no single system of law common to the whole country. </w:t>
      </w:r>
      <w:r w:rsidRPr="00EE62CE">
        <w:rPr>
          <w:rFonts w:ascii="Arial" w:hAnsi="Arial" w:cs="Arial"/>
          <w:sz w:val="24"/>
          <w:szCs w:val="24"/>
        </w:rPr>
        <w:t>Instead, t</w:t>
      </w:r>
      <w:r w:rsidR="00D8585F" w:rsidRPr="00EE62CE">
        <w:rPr>
          <w:rFonts w:ascii="Arial" w:hAnsi="Arial" w:cs="Arial"/>
          <w:sz w:val="24"/>
          <w:szCs w:val="24"/>
        </w:rPr>
        <w:t>here were a range of local unwritten customs which varie</w:t>
      </w:r>
      <w:r w:rsidRPr="00EE62CE">
        <w:rPr>
          <w:rFonts w:ascii="Arial" w:hAnsi="Arial" w:cs="Arial"/>
          <w:sz w:val="24"/>
          <w:szCs w:val="24"/>
        </w:rPr>
        <w:t>d</w:t>
      </w:r>
      <w:r w:rsidR="00D8585F" w:rsidRPr="00EE62CE">
        <w:rPr>
          <w:rFonts w:ascii="Arial" w:hAnsi="Arial" w:cs="Arial"/>
          <w:sz w:val="24"/>
          <w:szCs w:val="24"/>
        </w:rPr>
        <w:t xml:space="preserve">. However, the general effect of the local laws were similar in practice. In order to develop a level of consistency in the law, </w:t>
      </w:r>
      <w:r w:rsidR="00350C8B" w:rsidRPr="00350C8B">
        <w:rPr>
          <w:rFonts w:ascii="Arial" w:hAnsi="Arial" w:cs="Arial"/>
          <w:sz w:val="24"/>
          <w:szCs w:val="24"/>
        </w:rPr>
        <w:t>the King appointed commissioners to conduct hearings across the nation</w:t>
      </w:r>
      <w:r w:rsidR="00DB2111">
        <w:rPr>
          <w:rFonts w:ascii="Arial" w:hAnsi="Arial" w:cs="Arial"/>
          <w:sz w:val="24"/>
          <w:szCs w:val="24"/>
        </w:rPr>
        <w:t xml:space="preserve"> i</w:t>
      </w:r>
      <w:r w:rsidR="00DB2111" w:rsidRPr="00350C8B">
        <w:rPr>
          <w:rFonts w:ascii="Arial" w:hAnsi="Arial" w:cs="Arial"/>
          <w:sz w:val="24"/>
          <w:szCs w:val="24"/>
        </w:rPr>
        <w:t xml:space="preserve">n </w:t>
      </w:r>
      <w:r w:rsidR="00DA7F36">
        <w:rPr>
          <w:rFonts w:ascii="Arial" w:hAnsi="Arial" w:cs="Arial"/>
          <w:sz w:val="24"/>
          <w:szCs w:val="24"/>
        </w:rPr>
        <w:t>an attempt</w:t>
      </w:r>
      <w:r w:rsidR="00DB2111" w:rsidRPr="00350C8B">
        <w:rPr>
          <w:rFonts w:ascii="Arial" w:hAnsi="Arial" w:cs="Arial"/>
          <w:sz w:val="24"/>
          <w:szCs w:val="24"/>
        </w:rPr>
        <w:t xml:space="preserve"> to assess how the law was being upheld and what policies were being put into place</w:t>
      </w:r>
      <w:r w:rsidR="00350C8B" w:rsidRPr="00350C8B">
        <w:rPr>
          <w:rFonts w:ascii="Arial" w:hAnsi="Arial" w:cs="Arial"/>
          <w:sz w:val="24"/>
          <w:szCs w:val="24"/>
        </w:rPr>
        <w:t>. As the duties of these commissioners changed, a system of justices—who we now refer to as judges—became established. Several times a year, these judges would convene assizes in each nation to consider important criminal cases. In 1285, this method was expanded to civil proceedings. Over time, judges established a body of law known as "common law" that applied to the entire nation. They achieved this by constantly following what they believed to be the best local norms and regulations established from judges' own rulings in prior instances</w:t>
      </w:r>
      <w:r w:rsidR="000979C6">
        <w:rPr>
          <w:rFonts w:ascii="Arial" w:hAnsi="Arial" w:cs="Arial"/>
          <w:sz w:val="24"/>
          <w:szCs w:val="24"/>
        </w:rPr>
        <w:t xml:space="preserve"> </w:t>
      </w:r>
      <w:r w:rsidR="00BE4B15" w:rsidRPr="00EE62CE">
        <w:rPr>
          <w:rFonts w:ascii="Arial" w:hAnsi="Arial" w:cs="Arial"/>
          <w:sz w:val="24"/>
          <w:szCs w:val="24"/>
        </w:rPr>
        <w:t xml:space="preserve">(Finch and Fafinski, 2021, p.96). </w:t>
      </w:r>
      <w:r w:rsidRPr="00EE62CE">
        <w:rPr>
          <w:rFonts w:ascii="Arial" w:hAnsi="Arial" w:cs="Arial"/>
          <w:sz w:val="24"/>
          <w:szCs w:val="24"/>
        </w:rPr>
        <w:t>Common law as we know it, emerged from a combination of local custom and case law</w:t>
      </w:r>
      <w:r w:rsidR="00BE4B15" w:rsidRPr="00EE62CE">
        <w:rPr>
          <w:rFonts w:ascii="Arial" w:hAnsi="Arial" w:cs="Arial"/>
          <w:sz w:val="24"/>
          <w:szCs w:val="24"/>
        </w:rPr>
        <w:t>.</w:t>
      </w:r>
    </w:p>
    <w:p w14:paraId="0E0495EE" w14:textId="18992728" w:rsidR="009361C7" w:rsidRPr="00EE62CE" w:rsidRDefault="009361C7" w:rsidP="00506404">
      <w:pPr>
        <w:rPr>
          <w:rFonts w:ascii="Arial" w:hAnsi="Arial" w:cs="Arial"/>
          <w:sz w:val="24"/>
          <w:szCs w:val="24"/>
        </w:rPr>
      </w:pPr>
      <w:r w:rsidRPr="00EE62CE">
        <w:rPr>
          <w:rFonts w:ascii="Arial" w:hAnsi="Arial" w:cs="Arial"/>
          <w:sz w:val="24"/>
          <w:szCs w:val="24"/>
        </w:rPr>
        <w:t xml:space="preserve">In </w:t>
      </w:r>
      <w:r w:rsidR="005D0C58" w:rsidRPr="00EE62CE">
        <w:rPr>
          <w:rFonts w:ascii="Arial" w:hAnsi="Arial" w:cs="Arial"/>
          <w:sz w:val="24"/>
          <w:szCs w:val="24"/>
        </w:rPr>
        <w:t>today’s definition</w:t>
      </w:r>
      <w:r w:rsidRPr="00EE62CE">
        <w:rPr>
          <w:rFonts w:ascii="Arial" w:hAnsi="Arial" w:cs="Arial"/>
          <w:sz w:val="24"/>
          <w:szCs w:val="24"/>
        </w:rPr>
        <w:t xml:space="preserve">, common law is </w:t>
      </w:r>
      <w:r w:rsidR="005D0C58" w:rsidRPr="00EE62CE">
        <w:rPr>
          <w:rFonts w:ascii="Arial" w:hAnsi="Arial" w:cs="Arial"/>
          <w:sz w:val="24"/>
          <w:szCs w:val="24"/>
        </w:rPr>
        <w:t xml:space="preserve">referred to as </w:t>
      </w:r>
      <w:r w:rsidRPr="00EE62CE">
        <w:rPr>
          <w:rFonts w:ascii="Arial" w:hAnsi="Arial" w:cs="Arial"/>
          <w:sz w:val="24"/>
          <w:szCs w:val="24"/>
        </w:rPr>
        <w:t xml:space="preserve">when a judge decides on a case based on the particular facts and circumstances in the dispute at hand. Any prior decisions the judge refers to in order to make a determination are called precedent. </w:t>
      </w:r>
      <w:r w:rsidR="00612668" w:rsidRPr="00EE62CE">
        <w:rPr>
          <w:rFonts w:ascii="Arial" w:hAnsi="Arial" w:cs="Arial"/>
          <w:sz w:val="24"/>
          <w:szCs w:val="24"/>
        </w:rPr>
        <w:t xml:space="preserve">In England, </w:t>
      </w:r>
      <w:r w:rsidR="008D237F" w:rsidRPr="00EE62CE">
        <w:rPr>
          <w:rFonts w:ascii="Arial" w:hAnsi="Arial" w:cs="Arial"/>
          <w:sz w:val="24"/>
          <w:szCs w:val="24"/>
        </w:rPr>
        <w:t>law is not only passed by Parliament</w:t>
      </w:r>
      <w:r w:rsidR="00A96BFE" w:rsidRPr="00EE62CE">
        <w:rPr>
          <w:rFonts w:ascii="Arial" w:hAnsi="Arial" w:cs="Arial"/>
          <w:sz w:val="24"/>
          <w:szCs w:val="24"/>
        </w:rPr>
        <w:t xml:space="preserve">, which is referred to as </w:t>
      </w:r>
      <w:r w:rsidR="008D237F" w:rsidRPr="00EE62CE">
        <w:rPr>
          <w:rFonts w:ascii="Arial" w:hAnsi="Arial" w:cs="Arial"/>
          <w:sz w:val="24"/>
          <w:szCs w:val="24"/>
        </w:rPr>
        <w:t xml:space="preserve">statutory law, but can also develop </w:t>
      </w:r>
      <w:r w:rsidR="0024293C" w:rsidRPr="00EE62CE">
        <w:rPr>
          <w:rFonts w:ascii="Arial" w:hAnsi="Arial" w:cs="Arial"/>
          <w:sz w:val="24"/>
          <w:szCs w:val="24"/>
        </w:rPr>
        <w:t xml:space="preserve">from previous decisions made in the courts (Gillespie, 2013, p.12). </w:t>
      </w:r>
    </w:p>
    <w:p w14:paraId="65D4F77B" w14:textId="2620E352" w:rsidR="007008D2" w:rsidRDefault="007C72FC" w:rsidP="00506404">
      <w:pPr>
        <w:rPr>
          <w:rFonts w:ascii="Arial" w:hAnsi="Arial" w:cs="Arial"/>
          <w:sz w:val="24"/>
          <w:szCs w:val="24"/>
        </w:rPr>
      </w:pPr>
      <w:r w:rsidRPr="00EE62CE">
        <w:rPr>
          <w:rFonts w:ascii="Arial" w:hAnsi="Arial" w:cs="Arial"/>
          <w:sz w:val="24"/>
          <w:szCs w:val="24"/>
        </w:rPr>
        <w:t>The c</w:t>
      </w:r>
      <w:r w:rsidR="003F3937" w:rsidRPr="00EE62CE">
        <w:rPr>
          <w:rFonts w:ascii="Arial" w:hAnsi="Arial" w:cs="Arial"/>
          <w:sz w:val="24"/>
          <w:szCs w:val="24"/>
        </w:rPr>
        <w:t>ivil law system</w:t>
      </w:r>
      <w:r w:rsidR="00FE17AE">
        <w:rPr>
          <w:rFonts w:ascii="Arial" w:hAnsi="Arial" w:cs="Arial"/>
          <w:sz w:val="24"/>
          <w:szCs w:val="24"/>
        </w:rPr>
        <w:t xml:space="preserve">, </w:t>
      </w:r>
      <w:r w:rsidR="00162F51" w:rsidRPr="00EE62CE">
        <w:rPr>
          <w:rFonts w:ascii="Arial" w:hAnsi="Arial" w:cs="Arial"/>
          <w:sz w:val="24"/>
          <w:szCs w:val="24"/>
        </w:rPr>
        <w:t xml:space="preserve">not to be confused with civil as the distinction between </w:t>
      </w:r>
      <w:r w:rsidR="003B0A98" w:rsidRPr="00EE62CE">
        <w:rPr>
          <w:rFonts w:ascii="Arial" w:hAnsi="Arial" w:cs="Arial"/>
          <w:sz w:val="24"/>
          <w:szCs w:val="24"/>
        </w:rPr>
        <w:t>civil law and criminal law</w:t>
      </w:r>
      <w:r w:rsidR="00FE17AE">
        <w:rPr>
          <w:rFonts w:ascii="Arial" w:hAnsi="Arial" w:cs="Arial"/>
          <w:sz w:val="24"/>
          <w:szCs w:val="24"/>
        </w:rPr>
        <w:t>,</w:t>
      </w:r>
      <w:r w:rsidR="003B0A98" w:rsidRPr="00EE62CE">
        <w:rPr>
          <w:rFonts w:ascii="Arial" w:hAnsi="Arial" w:cs="Arial"/>
          <w:sz w:val="24"/>
          <w:szCs w:val="24"/>
        </w:rPr>
        <w:t xml:space="preserve"> is </w:t>
      </w:r>
      <w:r w:rsidR="003F3937" w:rsidRPr="00EE62CE">
        <w:rPr>
          <w:rFonts w:ascii="Arial" w:hAnsi="Arial" w:cs="Arial"/>
          <w:sz w:val="24"/>
          <w:szCs w:val="24"/>
        </w:rPr>
        <w:t xml:space="preserve">used by countries such as </w:t>
      </w:r>
      <w:r w:rsidRPr="00EE62CE">
        <w:rPr>
          <w:rFonts w:ascii="Arial" w:hAnsi="Arial" w:cs="Arial"/>
          <w:sz w:val="24"/>
          <w:szCs w:val="24"/>
        </w:rPr>
        <w:t>France and Germany</w:t>
      </w:r>
      <w:r w:rsidR="003B0A98" w:rsidRPr="00EE62CE">
        <w:rPr>
          <w:rFonts w:ascii="Arial" w:hAnsi="Arial" w:cs="Arial"/>
          <w:sz w:val="24"/>
          <w:szCs w:val="24"/>
        </w:rPr>
        <w:t>, and</w:t>
      </w:r>
      <w:r w:rsidRPr="00EE62CE">
        <w:rPr>
          <w:rFonts w:ascii="Arial" w:hAnsi="Arial" w:cs="Arial"/>
          <w:sz w:val="24"/>
          <w:szCs w:val="24"/>
        </w:rPr>
        <w:t xml:space="preserve"> is the oldest and most widely used legal system</w:t>
      </w:r>
      <w:r w:rsidR="000C102D" w:rsidRPr="00EE62CE">
        <w:rPr>
          <w:rFonts w:ascii="Arial" w:hAnsi="Arial" w:cs="Arial"/>
          <w:sz w:val="24"/>
          <w:szCs w:val="24"/>
        </w:rPr>
        <w:t xml:space="preserve"> which dates back to 450 B.C</w:t>
      </w:r>
      <w:r w:rsidR="00BB7C55" w:rsidRPr="00EE62CE">
        <w:rPr>
          <w:rFonts w:ascii="Arial" w:hAnsi="Arial" w:cs="Arial"/>
          <w:sz w:val="24"/>
          <w:szCs w:val="24"/>
        </w:rPr>
        <w:t xml:space="preserve">, originating in </w:t>
      </w:r>
      <w:r w:rsidR="00004155">
        <w:rPr>
          <w:rFonts w:ascii="Arial" w:hAnsi="Arial" w:cs="Arial"/>
          <w:sz w:val="24"/>
          <w:szCs w:val="24"/>
        </w:rPr>
        <w:t xml:space="preserve">Ancient </w:t>
      </w:r>
      <w:r w:rsidR="00BB7C55" w:rsidRPr="00EE62CE">
        <w:rPr>
          <w:rFonts w:ascii="Arial" w:hAnsi="Arial" w:cs="Arial"/>
          <w:sz w:val="24"/>
          <w:szCs w:val="24"/>
        </w:rPr>
        <w:t xml:space="preserve">Rome </w:t>
      </w:r>
      <w:r w:rsidR="000C102D" w:rsidRPr="00EE62CE">
        <w:rPr>
          <w:rFonts w:ascii="Arial" w:hAnsi="Arial" w:cs="Arial"/>
          <w:sz w:val="24"/>
          <w:szCs w:val="24"/>
        </w:rPr>
        <w:t>(</w:t>
      </w:r>
      <w:r w:rsidR="00EA0D94" w:rsidRPr="00EE62CE">
        <w:rPr>
          <w:rFonts w:ascii="Arial" w:hAnsi="Arial" w:cs="Arial"/>
          <w:sz w:val="24"/>
          <w:szCs w:val="24"/>
        </w:rPr>
        <w:t>O’Connor</w:t>
      </w:r>
      <w:r w:rsidR="00882A52" w:rsidRPr="00EE62CE">
        <w:rPr>
          <w:rFonts w:ascii="Arial" w:hAnsi="Arial" w:cs="Arial"/>
          <w:sz w:val="24"/>
          <w:szCs w:val="24"/>
        </w:rPr>
        <w:t>, 2012</w:t>
      </w:r>
      <w:r w:rsidR="00271F3E" w:rsidRPr="00EE62CE">
        <w:rPr>
          <w:rFonts w:ascii="Arial" w:hAnsi="Arial" w:cs="Arial"/>
          <w:sz w:val="24"/>
          <w:szCs w:val="24"/>
        </w:rPr>
        <w:t>, p</w:t>
      </w:r>
      <w:r w:rsidR="00E17A6E" w:rsidRPr="00EE62CE">
        <w:rPr>
          <w:rFonts w:ascii="Arial" w:hAnsi="Arial" w:cs="Arial"/>
          <w:sz w:val="24"/>
          <w:szCs w:val="24"/>
        </w:rPr>
        <w:t>.9</w:t>
      </w:r>
      <w:r w:rsidR="00882A52" w:rsidRPr="00EE62CE">
        <w:rPr>
          <w:rFonts w:ascii="Arial" w:hAnsi="Arial" w:cs="Arial"/>
          <w:sz w:val="24"/>
          <w:szCs w:val="24"/>
        </w:rPr>
        <w:t xml:space="preserve">). </w:t>
      </w:r>
      <w:r w:rsidR="00856DE4" w:rsidRPr="00856DE4">
        <w:rPr>
          <w:rFonts w:ascii="Arial" w:hAnsi="Arial" w:cs="Arial"/>
          <w:sz w:val="24"/>
          <w:szCs w:val="24"/>
        </w:rPr>
        <w:t xml:space="preserve">Supporters of the civil law system believe that </w:t>
      </w:r>
      <w:r w:rsidR="00856DE4" w:rsidRPr="00856DE4">
        <w:rPr>
          <w:rFonts w:ascii="Arial" w:hAnsi="Arial" w:cs="Arial"/>
          <w:sz w:val="24"/>
          <w:szCs w:val="24"/>
        </w:rPr>
        <w:lastRenderedPageBreak/>
        <w:t>a code of law is able to cover all scenarios without the need for judges to interpret it by referring to case law. Civil law is based on the belief in codification in order to establish a reasonable and uniform approach to law. In the civil law system, judges may refer to common law as "playing" with the law, particularly if they are unfamiliar with it</w:t>
      </w:r>
      <w:r w:rsidR="003124BA">
        <w:rPr>
          <w:rFonts w:ascii="Arial" w:hAnsi="Arial" w:cs="Arial"/>
          <w:sz w:val="24"/>
          <w:szCs w:val="24"/>
        </w:rPr>
        <w:t xml:space="preserve"> </w:t>
      </w:r>
      <w:r w:rsidR="00FB2766" w:rsidRPr="00EE62CE">
        <w:rPr>
          <w:rFonts w:ascii="Arial" w:hAnsi="Arial" w:cs="Arial"/>
          <w:sz w:val="24"/>
          <w:szCs w:val="24"/>
        </w:rPr>
        <w:t xml:space="preserve">(O’Connor, 2012, p.12). </w:t>
      </w:r>
      <w:r w:rsidR="00EC60A6" w:rsidRPr="00EE62CE">
        <w:rPr>
          <w:rFonts w:ascii="Arial" w:hAnsi="Arial" w:cs="Arial"/>
          <w:sz w:val="24"/>
          <w:szCs w:val="24"/>
        </w:rPr>
        <w:t xml:space="preserve">The main difference between common law and civil law systems is that in common law systems, judges can be relied upon to “create” law, whereas in civil law systems, judges are </w:t>
      </w:r>
      <w:r w:rsidR="007A2EDB" w:rsidRPr="00EE62CE">
        <w:rPr>
          <w:rFonts w:ascii="Arial" w:hAnsi="Arial" w:cs="Arial"/>
          <w:sz w:val="24"/>
          <w:szCs w:val="24"/>
        </w:rPr>
        <w:t xml:space="preserve">relied upon to apply </w:t>
      </w:r>
      <w:r w:rsidR="0016486C" w:rsidRPr="00EE62CE">
        <w:rPr>
          <w:rFonts w:ascii="Arial" w:hAnsi="Arial" w:cs="Arial"/>
          <w:sz w:val="24"/>
          <w:szCs w:val="24"/>
        </w:rPr>
        <w:t>coded</w:t>
      </w:r>
      <w:r w:rsidR="007A2EDB" w:rsidRPr="00EE62CE">
        <w:rPr>
          <w:rFonts w:ascii="Arial" w:hAnsi="Arial" w:cs="Arial"/>
          <w:sz w:val="24"/>
          <w:szCs w:val="24"/>
        </w:rPr>
        <w:t xml:space="preserve"> law. </w:t>
      </w:r>
      <w:r w:rsidR="009765E9" w:rsidRPr="00EE62CE">
        <w:rPr>
          <w:rFonts w:ascii="Arial" w:hAnsi="Arial" w:cs="Arial"/>
          <w:sz w:val="24"/>
          <w:szCs w:val="24"/>
        </w:rPr>
        <w:t>Historically, common law developed on a case-by-case basis from the bottom-up (by judges), whereas civil law developed from the top-down by the legislature (O’Connor, 2012, p.13).</w:t>
      </w:r>
    </w:p>
    <w:p w14:paraId="40436626" w14:textId="30C4A526" w:rsidR="000B6368" w:rsidRDefault="00545DCC" w:rsidP="00506404">
      <w:pPr>
        <w:rPr>
          <w:rFonts w:ascii="Arial" w:hAnsi="Arial" w:cs="Arial"/>
          <w:sz w:val="24"/>
          <w:szCs w:val="24"/>
        </w:rPr>
      </w:pPr>
      <w:r w:rsidRPr="00545DCC">
        <w:rPr>
          <w:rFonts w:ascii="Arial" w:hAnsi="Arial" w:cs="Arial"/>
          <w:sz w:val="24"/>
          <w:szCs w:val="24"/>
        </w:rPr>
        <w:t>It's crucial to keep in mind that just because two nations share a legal system</w:t>
      </w:r>
      <w:r w:rsidR="00345240">
        <w:rPr>
          <w:rFonts w:ascii="Arial" w:hAnsi="Arial" w:cs="Arial"/>
          <w:sz w:val="24"/>
          <w:szCs w:val="24"/>
        </w:rPr>
        <w:t>, this</w:t>
      </w:r>
      <w:r w:rsidRPr="00545DCC">
        <w:rPr>
          <w:rFonts w:ascii="Arial" w:hAnsi="Arial" w:cs="Arial"/>
          <w:sz w:val="24"/>
          <w:szCs w:val="24"/>
        </w:rPr>
        <w:t xml:space="preserve"> doesn't </w:t>
      </w:r>
      <w:r w:rsidR="00345240">
        <w:rPr>
          <w:rFonts w:ascii="Arial" w:hAnsi="Arial" w:cs="Arial"/>
          <w:sz w:val="24"/>
          <w:szCs w:val="24"/>
        </w:rPr>
        <w:t xml:space="preserve">necessarily </w:t>
      </w:r>
      <w:r w:rsidRPr="00545DCC">
        <w:rPr>
          <w:rFonts w:ascii="Arial" w:hAnsi="Arial" w:cs="Arial"/>
          <w:sz w:val="24"/>
          <w:szCs w:val="24"/>
        </w:rPr>
        <w:t>mean that their laws and procedures are identical. An illustration of this is the civil law system in France, where the Napoleonic codification of</w:t>
      </w:r>
      <w:r w:rsidR="002D3041">
        <w:rPr>
          <w:rFonts w:ascii="Arial" w:hAnsi="Arial" w:cs="Arial"/>
          <w:sz w:val="24"/>
          <w:szCs w:val="24"/>
        </w:rPr>
        <w:t xml:space="preserve"> civil</w:t>
      </w:r>
      <w:r w:rsidRPr="00545DCC">
        <w:rPr>
          <w:rFonts w:ascii="Arial" w:hAnsi="Arial" w:cs="Arial"/>
          <w:sz w:val="24"/>
          <w:szCs w:val="24"/>
        </w:rPr>
        <w:t xml:space="preserve"> law in 1804 was written in a way to be understandable </w:t>
      </w:r>
      <w:r w:rsidR="002D3041">
        <w:rPr>
          <w:rFonts w:ascii="Arial" w:hAnsi="Arial" w:cs="Arial"/>
          <w:sz w:val="24"/>
          <w:szCs w:val="24"/>
        </w:rPr>
        <w:t>for</w:t>
      </w:r>
      <w:r w:rsidRPr="00545DCC">
        <w:rPr>
          <w:rFonts w:ascii="Arial" w:hAnsi="Arial" w:cs="Arial"/>
          <w:sz w:val="24"/>
          <w:szCs w:val="24"/>
        </w:rPr>
        <w:t xml:space="preserve"> common people, as opposed to the far more complicated German civil code (1900)</w:t>
      </w:r>
      <w:r w:rsidR="00345240">
        <w:rPr>
          <w:rFonts w:ascii="Arial" w:hAnsi="Arial" w:cs="Arial"/>
          <w:sz w:val="24"/>
          <w:szCs w:val="24"/>
        </w:rPr>
        <w:t xml:space="preserve"> </w:t>
      </w:r>
      <w:r w:rsidR="008F5E69" w:rsidRPr="00EE62CE">
        <w:rPr>
          <w:rFonts w:ascii="Arial" w:hAnsi="Arial" w:cs="Arial"/>
          <w:sz w:val="24"/>
          <w:szCs w:val="24"/>
        </w:rPr>
        <w:t>(O’Connor, 2012, p.1</w:t>
      </w:r>
      <w:r w:rsidR="008F5E69">
        <w:rPr>
          <w:rFonts w:ascii="Arial" w:hAnsi="Arial" w:cs="Arial"/>
          <w:sz w:val="24"/>
          <w:szCs w:val="24"/>
        </w:rPr>
        <w:t>0).</w:t>
      </w:r>
    </w:p>
    <w:p w14:paraId="6924C709" w14:textId="4002ECBD" w:rsidR="0040786F" w:rsidRDefault="00E97375" w:rsidP="00506404">
      <w:pPr>
        <w:rPr>
          <w:rFonts w:ascii="Arial" w:hAnsi="Arial" w:cs="Arial"/>
          <w:sz w:val="24"/>
          <w:szCs w:val="24"/>
        </w:rPr>
      </w:pPr>
      <w:r>
        <w:rPr>
          <w:rFonts w:ascii="Arial" w:hAnsi="Arial" w:cs="Arial"/>
          <w:sz w:val="24"/>
          <w:szCs w:val="24"/>
        </w:rPr>
        <w:t xml:space="preserve">A question that may be asked when referring to common law is whether judges can “make” law. </w:t>
      </w:r>
      <w:r w:rsidR="007D5A56">
        <w:rPr>
          <w:rFonts w:ascii="Arial" w:hAnsi="Arial" w:cs="Arial"/>
          <w:sz w:val="24"/>
          <w:szCs w:val="24"/>
        </w:rPr>
        <w:t>In the English Legal System</w:t>
      </w:r>
      <w:r w:rsidR="007D5A56" w:rsidRPr="007D5A56">
        <w:rPr>
          <w:rFonts w:ascii="Arial" w:hAnsi="Arial" w:cs="Arial"/>
          <w:sz w:val="24"/>
          <w:szCs w:val="24"/>
        </w:rPr>
        <w:t xml:space="preserve">, a judge's </w:t>
      </w:r>
      <w:r w:rsidR="007D5A56">
        <w:rPr>
          <w:rFonts w:ascii="Arial" w:hAnsi="Arial" w:cs="Arial"/>
          <w:sz w:val="24"/>
          <w:szCs w:val="24"/>
        </w:rPr>
        <w:t>role</w:t>
      </w:r>
      <w:r w:rsidR="007D5A56" w:rsidRPr="007D5A56">
        <w:rPr>
          <w:rFonts w:ascii="Arial" w:hAnsi="Arial" w:cs="Arial"/>
          <w:sz w:val="24"/>
          <w:szCs w:val="24"/>
        </w:rPr>
        <w:t xml:space="preserve"> is to uphold the legislation that the parliament has already passed. Each law passed by the parliament must be specifically outlined and applied by judges based on the facts of each case. The precedent established by higher courts must be followed by the judge when making decisions regarding a case in order to ensure that the parties engaged in the case will be handled fairly and consistently</w:t>
      </w:r>
      <w:r w:rsidR="00027462">
        <w:rPr>
          <w:rFonts w:ascii="Arial" w:hAnsi="Arial" w:cs="Arial"/>
          <w:sz w:val="24"/>
          <w:szCs w:val="24"/>
        </w:rPr>
        <w:t xml:space="preserve">. </w:t>
      </w:r>
      <w:r w:rsidR="007D5A56" w:rsidRPr="007D5A56">
        <w:rPr>
          <w:rFonts w:ascii="Arial" w:hAnsi="Arial" w:cs="Arial"/>
          <w:sz w:val="24"/>
          <w:szCs w:val="24"/>
        </w:rPr>
        <w:t>There are several laws that are judge-made, including tort and contract law. Negligence has also become a tort, which is one of many significant advancements</w:t>
      </w:r>
      <w:r w:rsidR="00063103">
        <w:rPr>
          <w:rFonts w:ascii="Arial" w:hAnsi="Arial" w:cs="Arial"/>
          <w:sz w:val="24"/>
          <w:szCs w:val="24"/>
        </w:rPr>
        <w:t xml:space="preserve"> (Law Teacher, 2013). </w:t>
      </w:r>
      <w:r w:rsidR="009528DA">
        <w:rPr>
          <w:rFonts w:ascii="Arial" w:hAnsi="Arial" w:cs="Arial"/>
          <w:sz w:val="24"/>
          <w:szCs w:val="24"/>
        </w:rPr>
        <w:t xml:space="preserve">In the case of </w:t>
      </w:r>
      <w:r w:rsidR="009528DA" w:rsidRPr="009528DA">
        <w:rPr>
          <w:rFonts w:ascii="Arial" w:hAnsi="Arial" w:cs="Arial"/>
          <w:sz w:val="24"/>
          <w:szCs w:val="24"/>
        </w:rPr>
        <w:t xml:space="preserve">In Airedale NHS Trust v. Bland (1993), the House of Lords was forced to decide Tony Bland's destiny, a football fan who was left in a coma following the Hillsborough stadium tragedy. </w:t>
      </w:r>
      <w:r w:rsidR="002861CD" w:rsidRPr="002861CD">
        <w:rPr>
          <w:rFonts w:ascii="Arial" w:hAnsi="Arial" w:cs="Arial"/>
          <w:sz w:val="24"/>
          <w:szCs w:val="24"/>
        </w:rPr>
        <w:t>Despite the fact that it was clear Mr. Bland would die if his medication was stopped, the court had to decide whether it was appropriate to stop providing him with the medications and artificial feeding that had kept him alive. The courts were left with little choice but to make a ruling, and they determined that halting the medication and artificial feed was an appropriate course of action under the circumstances and was done in the patient's best interest.</w:t>
      </w:r>
      <w:r w:rsidR="00FD41D4">
        <w:rPr>
          <w:rFonts w:ascii="Arial" w:hAnsi="Arial" w:cs="Arial"/>
          <w:sz w:val="24"/>
          <w:szCs w:val="24"/>
        </w:rPr>
        <w:t xml:space="preserve"> </w:t>
      </w:r>
      <w:r w:rsidR="008F08F5" w:rsidRPr="008F08F5">
        <w:rPr>
          <w:rFonts w:ascii="Arial" w:hAnsi="Arial" w:cs="Arial"/>
          <w:sz w:val="24"/>
          <w:szCs w:val="24"/>
        </w:rPr>
        <w:t>The House of Lords upheld the rulings of a Family Division Court and the Court of Appeal, Civil Division, allowing doctors to refuse medical care to a patient who is unconscious and in a persistent vegetative state as long as the patient will die shortly after the treatment is stopped.</w:t>
      </w:r>
      <w:r w:rsidR="00B46FC2">
        <w:rPr>
          <w:rFonts w:ascii="Arial" w:hAnsi="Arial" w:cs="Arial"/>
          <w:sz w:val="24"/>
          <w:szCs w:val="24"/>
        </w:rPr>
        <w:t xml:space="preserve"> </w:t>
      </w:r>
      <w:r w:rsidR="00B46FC2" w:rsidRPr="00B46FC2">
        <w:rPr>
          <w:rFonts w:ascii="Arial" w:hAnsi="Arial" w:cs="Arial"/>
          <w:sz w:val="24"/>
          <w:szCs w:val="24"/>
        </w:rPr>
        <w:t>According to the court, this allowed the patient to pass away peacefully and without pain, and it also followed nature's natural path. The court made a distinction between this situation and euthanasia, a crime in which a doctor intentionally aids in the patient's death. In the future, it was suggested to doctors and families in analogous circumstances to petition the court before taking any equivalent action because each situation requires a case-by-case analysis in the absence of action by Parliament</w:t>
      </w:r>
      <w:r w:rsidR="001E3B0E">
        <w:rPr>
          <w:rFonts w:ascii="Arial" w:hAnsi="Arial" w:cs="Arial"/>
          <w:sz w:val="24"/>
          <w:szCs w:val="24"/>
        </w:rPr>
        <w:t xml:space="preserve"> </w:t>
      </w:r>
      <w:r w:rsidR="0040786F">
        <w:rPr>
          <w:rFonts w:ascii="Arial" w:hAnsi="Arial" w:cs="Arial"/>
          <w:sz w:val="24"/>
          <w:szCs w:val="24"/>
        </w:rPr>
        <w:t xml:space="preserve">(House of Lords, 1993). </w:t>
      </w:r>
    </w:p>
    <w:p w14:paraId="11BD7893" w14:textId="5A0462F0" w:rsidR="006B67A5" w:rsidRPr="00EE62CE" w:rsidRDefault="000034E3" w:rsidP="00506404">
      <w:pPr>
        <w:rPr>
          <w:rFonts w:ascii="Arial" w:hAnsi="Arial" w:cs="Arial"/>
          <w:sz w:val="24"/>
          <w:szCs w:val="24"/>
        </w:rPr>
      </w:pPr>
      <w:r>
        <w:rPr>
          <w:rFonts w:ascii="Arial" w:hAnsi="Arial" w:cs="Arial"/>
          <w:sz w:val="24"/>
          <w:szCs w:val="24"/>
        </w:rPr>
        <w:t>A historic case that many may refer to when discussing the common law is that of Donoghue v Stevenson (1932)</w:t>
      </w:r>
      <w:r w:rsidR="00C7588A">
        <w:rPr>
          <w:rFonts w:ascii="Arial" w:hAnsi="Arial" w:cs="Arial"/>
          <w:sz w:val="24"/>
          <w:szCs w:val="24"/>
        </w:rPr>
        <w:t xml:space="preserve">. </w:t>
      </w:r>
      <w:r w:rsidR="00AC4029" w:rsidRPr="00AC4029">
        <w:rPr>
          <w:rFonts w:ascii="Arial" w:hAnsi="Arial" w:cs="Arial"/>
          <w:sz w:val="24"/>
          <w:szCs w:val="24"/>
        </w:rPr>
        <w:t xml:space="preserve">It established the general guidelines by which one person would owe another person a duty of care, thereby creating the contemporary </w:t>
      </w:r>
      <w:r w:rsidR="00AC4029" w:rsidRPr="00AC4029">
        <w:rPr>
          <w:rFonts w:ascii="Arial" w:hAnsi="Arial" w:cs="Arial"/>
          <w:sz w:val="24"/>
          <w:szCs w:val="24"/>
        </w:rPr>
        <w:lastRenderedPageBreak/>
        <w:t>concept of negligence.</w:t>
      </w:r>
      <w:r w:rsidR="00FA1B44">
        <w:rPr>
          <w:rFonts w:ascii="Arial" w:hAnsi="Arial" w:cs="Arial"/>
          <w:sz w:val="24"/>
          <w:szCs w:val="24"/>
        </w:rPr>
        <w:t xml:space="preserve"> </w:t>
      </w:r>
      <w:r w:rsidR="00FA1B44" w:rsidRPr="00FA1B44">
        <w:rPr>
          <w:rFonts w:ascii="Arial" w:hAnsi="Arial" w:cs="Arial"/>
          <w:sz w:val="24"/>
          <w:szCs w:val="24"/>
        </w:rPr>
        <w:t>The facts concerned Mrs. Donoghue drinking a bottle of ginger beer in a café in Paisley, Renfrewshire, which is also known as the "Paisley snail" or "snail in the bottle" case. In the bottle was a dead snail. She became ill and filed a lawsuit against Mr. Stevenson, the maker of ginger beer. Because it was predictable that failing to assure the safety of the goods would hurt consumers, the House of Lords determined that the manufacturer owed her a duty of care, which was broken</w:t>
      </w:r>
      <w:r w:rsidR="00FA1B44">
        <w:rPr>
          <w:rFonts w:ascii="Arial" w:hAnsi="Arial" w:cs="Arial"/>
          <w:sz w:val="24"/>
          <w:szCs w:val="24"/>
        </w:rPr>
        <w:t xml:space="preserve"> (</w:t>
      </w:r>
      <w:r w:rsidR="000F7144" w:rsidRPr="00864F8F">
        <w:rPr>
          <w:rFonts w:ascii="Arial" w:hAnsi="Arial" w:cs="Arial"/>
          <w:color w:val="222222"/>
          <w:sz w:val="24"/>
          <w:szCs w:val="24"/>
          <w:shd w:val="clear" w:color="auto" w:fill="FFFFFF"/>
        </w:rPr>
        <w:t>Atkin, 1932</w:t>
      </w:r>
      <w:r w:rsidR="00864F8F" w:rsidRPr="005A73A2">
        <w:rPr>
          <w:rFonts w:ascii="Arial" w:hAnsi="Arial" w:cs="Arial"/>
          <w:color w:val="222222"/>
          <w:sz w:val="24"/>
          <w:szCs w:val="24"/>
          <w:shd w:val="clear" w:color="auto" w:fill="FFFFFF"/>
        </w:rPr>
        <w:t xml:space="preserve">). </w:t>
      </w:r>
      <w:r w:rsidR="003F3896" w:rsidRPr="005A73A2">
        <w:rPr>
          <w:rFonts w:ascii="Arial" w:hAnsi="Arial" w:cs="Arial"/>
          <w:color w:val="222222"/>
          <w:sz w:val="24"/>
          <w:szCs w:val="24"/>
          <w:shd w:val="clear" w:color="auto" w:fill="FFFFFF"/>
        </w:rPr>
        <w:t xml:space="preserve">This well-known decision in English law had a significant impact on the development of tort law in </w:t>
      </w:r>
      <w:r w:rsidR="003F3896" w:rsidRPr="005B7BF7">
        <w:rPr>
          <w:rFonts w:ascii="Arial" w:hAnsi="Arial" w:cs="Arial"/>
          <w:sz w:val="24"/>
          <w:szCs w:val="24"/>
          <w:shd w:val="clear" w:color="auto" w:fill="FFFFFF"/>
        </w:rPr>
        <w:t>general and the doctrine of negligence in particular (</w:t>
      </w:r>
      <w:r w:rsidR="00B0619D" w:rsidRPr="005B7BF7">
        <w:rPr>
          <w:rFonts w:ascii="Arial" w:hAnsi="Arial" w:cs="Arial"/>
          <w:sz w:val="24"/>
          <w:szCs w:val="24"/>
          <w:shd w:val="clear" w:color="auto" w:fill="FFFFFF"/>
        </w:rPr>
        <w:t>Law</w:t>
      </w:r>
      <w:r w:rsidR="00E7698E" w:rsidRPr="005B7BF7">
        <w:rPr>
          <w:rFonts w:ascii="Arial" w:hAnsi="Arial" w:cs="Arial"/>
          <w:sz w:val="24"/>
          <w:szCs w:val="24"/>
          <w:shd w:val="clear" w:color="auto" w:fill="FFFFFF"/>
        </w:rPr>
        <w:t xml:space="preserve"> </w:t>
      </w:r>
      <w:r w:rsidR="00B0619D" w:rsidRPr="005B7BF7">
        <w:rPr>
          <w:rFonts w:ascii="Arial" w:hAnsi="Arial" w:cs="Arial"/>
          <w:sz w:val="24"/>
          <w:szCs w:val="24"/>
          <w:shd w:val="clear" w:color="auto" w:fill="FFFFFF"/>
        </w:rPr>
        <w:t>Teacher</w:t>
      </w:r>
      <w:r w:rsidR="00E7698E" w:rsidRPr="005B7BF7">
        <w:rPr>
          <w:rFonts w:ascii="Arial" w:hAnsi="Arial" w:cs="Arial"/>
          <w:sz w:val="24"/>
          <w:szCs w:val="24"/>
          <w:shd w:val="clear" w:color="auto" w:fill="FFFFFF"/>
        </w:rPr>
        <w:t xml:space="preserve">, </w:t>
      </w:r>
      <w:r w:rsidR="00B0619D" w:rsidRPr="005B7BF7">
        <w:rPr>
          <w:rFonts w:ascii="Arial" w:hAnsi="Arial" w:cs="Arial"/>
          <w:sz w:val="24"/>
          <w:szCs w:val="24"/>
          <w:shd w:val="clear" w:color="auto" w:fill="FFFFFF"/>
        </w:rPr>
        <w:t>2013</w:t>
      </w:r>
      <w:r w:rsidR="00E7698E" w:rsidRPr="005B7BF7">
        <w:rPr>
          <w:rFonts w:ascii="Arial" w:hAnsi="Arial" w:cs="Arial"/>
          <w:sz w:val="24"/>
          <w:szCs w:val="24"/>
          <w:shd w:val="clear" w:color="auto" w:fill="FFFFFF"/>
        </w:rPr>
        <w:t>).</w:t>
      </w:r>
      <w:r w:rsidR="00E7698E" w:rsidRPr="005B7BF7">
        <w:rPr>
          <w:rFonts w:ascii="Arial" w:hAnsi="Arial" w:cs="Arial"/>
          <w:sz w:val="20"/>
          <w:szCs w:val="20"/>
          <w:shd w:val="clear" w:color="auto" w:fill="FFFFFF"/>
        </w:rPr>
        <w:t xml:space="preserve"> </w:t>
      </w:r>
    </w:p>
    <w:p w14:paraId="7D37F819" w14:textId="3892784D" w:rsidR="00CC07C6" w:rsidRDefault="00CA5E45" w:rsidP="00506404">
      <w:pPr>
        <w:rPr>
          <w:rFonts w:ascii="Arial" w:hAnsi="Arial" w:cs="Arial"/>
          <w:sz w:val="24"/>
          <w:szCs w:val="24"/>
        </w:rPr>
      </w:pPr>
      <w:r w:rsidRPr="00EE62CE">
        <w:rPr>
          <w:rFonts w:ascii="Arial" w:hAnsi="Arial" w:cs="Arial"/>
          <w:sz w:val="24"/>
          <w:szCs w:val="24"/>
        </w:rPr>
        <w:t xml:space="preserve">Although the English legal system is founded on common law, </w:t>
      </w:r>
      <w:r w:rsidR="005316BD" w:rsidRPr="00EE62CE">
        <w:rPr>
          <w:rFonts w:ascii="Arial" w:hAnsi="Arial" w:cs="Arial"/>
          <w:sz w:val="24"/>
          <w:szCs w:val="24"/>
        </w:rPr>
        <w:t xml:space="preserve">judges are </w:t>
      </w:r>
      <w:r w:rsidR="000C06DF" w:rsidRPr="00EE62CE">
        <w:rPr>
          <w:rFonts w:ascii="Arial" w:hAnsi="Arial" w:cs="Arial"/>
          <w:sz w:val="24"/>
          <w:szCs w:val="24"/>
        </w:rPr>
        <w:t>required</w:t>
      </w:r>
      <w:r w:rsidR="009A01EF" w:rsidRPr="00EE62CE">
        <w:rPr>
          <w:rFonts w:ascii="Arial" w:hAnsi="Arial" w:cs="Arial"/>
          <w:sz w:val="24"/>
          <w:szCs w:val="24"/>
        </w:rPr>
        <w:t xml:space="preserve"> to refer to </w:t>
      </w:r>
      <w:r w:rsidR="005C471E" w:rsidRPr="00EE62CE">
        <w:rPr>
          <w:rFonts w:ascii="Arial" w:hAnsi="Arial" w:cs="Arial"/>
          <w:sz w:val="24"/>
          <w:szCs w:val="24"/>
        </w:rPr>
        <w:t>statutes, which are created by Parliament, to guide them in cases</w:t>
      </w:r>
      <w:r w:rsidR="00EF56C1" w:rsidRPr="00EE62CE">
        <w:rPr>
          <w:rFonts w:ascii="Arial" w:hAnsi="Arial" w:cs="Arial"/>
          <w:sz w:val="24"/>
          <w:szCs w:val="24"/>
        </w:rPr>
        <w:t xml:space="preserve"> where applicable</w:t>
      </w:r>
      <w:r w:rsidR="00B059A3" w:rsidRPr="00EE62CE">
        <w:rPr>
          <w:rFonts w:ascii="Arial" w:hAnsi="Arial" w:cs="Arial"/>
          <w:sz w:val="24"/>
          <w:szCs w:val="24"/>
        </w:rPr>
        <w:t xml:space="preserve"> and with respect to the situation</w:t>
      </w:r>
      <w:r w:rsidR="0043124E">
        <w:rPr>
          <w:rFonts w:ascii="Arial" w:hAnsi="Arial" w:cs="Arial"/>
          <w:sz w:val="24"/>
          <w:szCs w:val="24"/>
        </w:rPr>
        <w:t xml:space="preserve"> that is being dealt with</w:t>
      </w:r>
      <w:r w:rsidR="00EF56C1" w:rsidRPr="00EE62CE">
        <w:rPr>
          <w:rFonts w:ascii="Arial" w:hAnsi="Arial" w:cs="Arial"/>
          <w:sz w:val="24"/>
          <w:szCs w:val="24"/>
        </w:rPr>
        <w:t xml:space="preserve">. Statutes </w:t>
      </w:r>
      <w:r w:rsidR="00CF751E" w:rsidRPr="00EE62CE">
        <w:rPr>
          <w:rFonts w:ascii="Arial" w:hAnsi="Arial" w:cs="Arial"/>
          <w:sz w:val="24"/>
          <w:szCs w:val="24"/>
        </w:rPr>
        <w:t>codify laws</w:t>
      </w:r>
      <w:r w:rsidR="00AE08A5" w:rsidRPr="00EE62CE">
        <w:rPr>
          <w:rFonts w:ascii="Arial" w:hAnsi="Arial" w:cs="Arial"/>
          <w:sz w:val="24"/>
          <w:szCs w:val="24"/>
        </w:rPr>
        <w:t xml:space="preserve"> which, of course, judges must follow to provide an outcome or decision on a case</w:t>
      </w:r>
      <w:r w:rsidR="00241002" w:rsidRPr="00EE62CE">
        <w:rPr>
          <w:rFonts w:ascii="Arial" w:hAnsi="Arial" w:cs="Arial"/>
          <w:sz w:val="24"/>
          <w:szCs w:val="24"/>
        </w:rPr>
        <w:t xml:space="preserve"> (</w:t>
      </w:r>
      <w:r w:rsidR="00260947" w:rsidRPr="00EE62CE">
        <w:rPr>
          <w:rFonts w:ascii="Arial" w:hAnsi="Arial" w:cs="Arial"/>
          <w:sz w:val="24"/>
          <w:szCs w:val="24"/>
        </w:rPr>
        <w:t xml:space="preserve">Elliott, 2023). </w:t>
      </w:r>
      <w:r w:rsidR="007A191E" w:rsidRPr="00EE62CE">
        <w:rPr>
          <w:rFonts w:ascii="Arial" w:hAnsi="Arial" w:cs="Arial"/>
          <w:sz w:val="24"/>
          <w:szCs w:val="24"/>
        </w:rPr>
        <w:t>Common</w:t>
      </w:r>
      <w:r w:rsidR="008E273A" w:rsidRPr="00EE62CE">
        <w:rPr>
          <w:rFonts w:ascii="Arial" w:hAnsi="Arial" w:cs="Arial"/>
          <w:sz w:val="24"/>
          <w:szCs w:val="24"/>
        </w:rPr>
        <w:t xml:space="preserve"> law </w:t>
      </w:r>
      <w:r w:rsidR="00D7171E" w:rsidRPr="00EE62CE">
        <w:rPr>
          <w:rFonts w:ascii="Arial" w:hAnsi="Arial" w:cs="Arial"/>
          <w:sz w:val="24"/>
          <w:szCs w:val="24"/>
        </w:rPr>
        <w:t>allows statutes to remain up to date, providing new solutions to new problems</w:t>
      </w:r>
      <w:r w:rsidR="00F63764" w:rsidRPr="00EE62CE">
        <w:rPr>
          <w:rFonts w:ascii="Arial" w:hAnsi="Arial" w:cs="Arial"/>
          <w:sz w:val="24"/>
          <w:szCs w:val="24"/>
        </w:rPr>
        <w:t>.</w:t>
      </w:r>
      <w:r w:rsidR="00A935B5" w:rsidRPr="00EE62CE">
        <w:rPr>
          <w:rFonts w:ascii="Arial" w:hAnsi="Arial" w:cs="Arial"/>
          <w:sz w:val="24"/>
          <w:szCs w:val="24"/>
        </w:rPr>
        <w:t xml:space="preserve"> </w:t>
      </w:r>
      <w:r w:rsidR="00AC4759" w:rsidRPr="00EE62CE">
        <w:rPr>
          <w:rFonts w:ascii="Arial" w:hAnsi="Arial" w:cs="Arial"/>
          <w:sz w:val="24"/>
          <w:szCs w:val="24"/>
        </w:rPr>
        <w:t>This is displayed in the</w:t>
      </w:r>
      <w:r w:rsidR="00701926" w:rsidRPr="00EE62CE">
        <w:rPr>
          <w:rFonts w:ascii="Arial" w:hAnsi="Arial" w:cs="Arial"/>
          <w:sz w:val="24"/>
          <w:szCs w:val="24"/>
        </w:rPr>
        <w:t xml:space="preserve"> civil</w:t>
      </w:r>
      <w:r w:rsidR="00AC4759" w:rsidRPr="00EE62CE">
        <w:rPr>
          <w:rFonts w:ascii="Arial" w:hAnsi="Arial" w:cs="Arial"/>
          <w:sz w:val="24"/>
          <w:szCs w:val="24"/>
        </w:rPr>
        <w:t xml:space="preserve"> case of Fitzpatrick v Sterling Housing Association Ltd (1999) </w:t>
      </w:r>
      <w:r w:rsidR="009719E0" w:rsidRPr="00EE62CE">
        <w:rPr>
          <w:rFonts w:ascii="Arial" w:hAnsi="Arial" w:cs="Arial"/>
          <w:sz w:val="24"/>
          <w:szCs w:val="24"/>
        </w:rPr>
        <w:t xml:space="preserve">where the meaning of the word </w:t>
      </w:r>
      <w:r w:rsidR="002D37A4">
        <w:rPr>
          <w:rFonts w:ascii="Arial" w:hAnsi="Arial" w:cs="Arial"/>
          <w:sz w:val="24"/>
          <w:szCs w:val="24"/>
        </w:rPr>
        <w:t>“</w:t>
      </w:r>
      <w:r w:rsidR="009719E0" w:rsidRPr="00EE62CE">
        <w:rPr>
          <w:rFonts w:ascii="Arial" w:hAnsi="Arial" w:cs="Arial"/>
          <w:sz w:val="24"/>
          <w:szCs w:val="24"/>
        </w:rPr>
        <w:t>family</w:t>
      </w:r>
      <w:r w:rsidR="002D37A4">
        <w:rPr>
          <w:rFonts w:ascii="Arial" w:hAnsi="Arial" w:cs="Arial"/>
          <w:sz w:val="24"/>
          <w:szCs w:val="24"/>
        </w:rPr>
        <w:t>”</w:t>
      </w:r>
      <w:r w:rsidR="009719E0" w:rsidRPr="00EE62CE">
        <w:rPr>
          <w:rFonts w:ascii="Arial" w:hAnsi="Arial" w:cs="Arial"/>
          <w:sz w:val="24"/>
          <w:szCs w:val="24"/>
        </w:rPr>
        <w:t xml:space="preserve"> was disputed during </w:t>
      </w:r>
      <w:r w:rsidR="009A0283" w:rsidRPr="00EE62CE">
        <w:rPr>
          <w:rFonts w:ascii="Arial" w:hAnsi="Arial" w:cs="Arial"/>
          <w:sz w:val="24"/>
          <w:szCs w:val="24"/>
        </w:rPr>
        <w:t>a legal case heard by the Judicial committee of the House of Lords</w:t>
      </w:r>
      <w:r w:rsidR="00A73231" w:rsidRPr="00EE62CE">
        <w:rPr>
          <w:rFonts w:ascii="Arial" w:hAnsi="Arial" w:cs="Arial"/>
          <w:sz w:val="24"/>
          <w:szCs w:val="24"/>
        </w:rPr>
        <w:t>. The Rent Act (1977),</w:t>
      </w:r>
      <w:r w:rsidR="00C849BE" w:rsidRPr="00EE62CE">
        <w:rPr>
          <w:rFonts w:ascii="Arial" w:hAnsi="Arial" w:cs="Arial"/>
          <w:sz w:val="24"/>
          <w:szCs w:val="24"/>
        </w:rPr>
        <w:t xml:space="preserve"> as well as the Housing Act (1998) meant that tenants could pass their tenancy onto </w:t>
      </w:r>
      <w:r w:rsidR="00CA2526" w:rsidRPr="00EE62CE">
        <w:rPr>
          <w:rFonts w:ascii="Arial" w:hAnsi="Arial" w:cs="Arial"/>
          <w:sz w:val="24"/>
          <w:szCs w:val="24"/>
        </w:rPr>
        <w:t>their cohabiting family members or spouses upon bereavement. In this case, the claimant</w:t>
      </w:r>
      <w:r w:rsidR="00B50F85" w:rsidRPr="00EE62CE">
        <w:rPr>
          <w:rFonts w:ascii="Arial" w:hAnsi="Arial" w:cs="Arial"/>
          <w:sz w:val="24"/>
          <w:szCs w:val="24"/>
        </w:rPr>
        <w:t xml:space="preserve"> (Fitzpatrick)</w:t>
      </w:r>
      <w:r w:rsidR="00CA2526" w:rsidRPr="00EE62CE">
        <w:rPr>
          <w:rFonts w:ascii="Arial" w:hAnsi="Arial" w:cs="Arial"/>
          <w:sz w:val="24"/>
          <w:szCs w:val="24"/>
        </w:rPr>
        <w:t xml:space="preserve"> was a homosexual man who had lived </w:t>
      </w:r>
      <w:r w:rsidR="00AB5D76" w:rsidRPr="00EE62CE">
        <w:rPr>
          <w:rFonts w:ascii="Arial" w:hAnsi="Arial" w:cs="Arial"/>
          <w:sz w:val="24"/>
          <w:szCs w:val="24"/>
        </w:rPr>
        <w:t>with his partner</w:t>
      </w:r>
      <w:r w:rsidR="00B50F85" w:rsidRPr="00EE62CE">
        <w:rPr>
          <w:rFonts w:ascii="Arial" w:hAnsi="Arial" w:cs="Arial"/>
          <w:sz w:val="24"/>
          <w:szCs w:val="24"/>
        </w:rPr>
        <w:t xml:space="preserve"> </w:t>
      </w:r>
      <w:r w:rsidR="005F55A3" w:rsidRPr="00EE62CE">
        <w:rPr>
          <w:rFonts w:ascii="Arial" w:hAnsi="Arial" w:cs="Arial"/>
          <w:sz w:val="24"/>
          <w:szCs w:val="24"/>
        </w:rPr>
        <w:t>(Thompson)</w:t>
      </w:r>
      <w:r w:rsidR="00AB5D76" w:rsidRPr="00EE62CE">
        <w:rPr>
          <w:rFonts w:ascii="Arial" w:hAnsi="Arial" w:cs="Arial"/>
          <w:sz w:val="24"/>
          <w:szCs w:val="24"/>
        </w:rPr>
        <w:t xml:space="preserve"> in a rented flat</w:t>
      </w:r>
      <w:r w:rsidR="00CA2526" w:rsidRPr="00EE62CE">
        <w:rPr>
          <w:rFonts w:ascii="Arial" w:hAnsi="Arial" w:cs="Arial"/>
          <w:sz w:val="24"/>
          <w:szCs w:val="24"/>
        </w:rPr>
        <w:t xml:space="preserve"> from </w:t>
      </w:r>
      <w:r w:rsidR="00C25C16" w:rsidRPr="00EE62CE">
        <w:rPr>
          <w:rFonts w:ascii="Arial" w:hAnsi="Arial" w:cs="Arial"/>
          <w:sz w:val="24"/>
          <w:szCs w:val="24"/>
        </w:rPr>
        <w:t>1976 until his death in 1994.</w:t>
      </w:r>
      <w:r w:rsidR="009F4B78" w:rsidRPr="00EE62CE">
        <w:rPr>
          <w:rFonts w:ascii="Arial" w:hAnsi="Arial" w:cs="Arial"/>
          <w:sz w:val="24"/>
          <w:szCs w:val="24"/>
        </w:rPr>
        <w:t xml:space="preserve"> </w:t>
      </w:r>
      <w:r w:rsidR="007C41AE" w:rsidRPr="00EE62CE">
        <w:rPr>
          <w:rFonts w:ascii="Arial" w:hAnsi="Arial" w:cs="Arial"/>
          <w:sz w:val="24"/>
          <w:szCs w:val="24"/>
        </w:rPr>
        <w:t xml:space="preserve">The context of the dispute was </w:t>
      </w:r>
      <w:r w:rsidR="00076109" w:rsidRPr="00EE62CE">
        <w:rPr>
          <w:rFonts w:ascii="Arial" w:hAnsi="Arial" w:cs="Arial"/>
          <w:sz w:val="24"/>
          <w:szCs w:val="24"/>
        </w:rPr>
        <w:t xml:space="preserve">the question of whether Fitzpatrick </w:t>
      </w:r>
      <w:r w:rsidR="008F7104" w:rsidRPr="00EE62CE">
        <w:rPr>
          <w:rFonts w:ascii="Arial" w:hAnsi="Arial" w:cs="Arial"/>
          <w:sz w:val="24"/>
          <w:szCs w:val="24"/>
        </w:rPr>
        <w:t xml:space="preserve">was protected by the laws, as he wasn’t a blood relative or married to </w:t>
      </w:r>
      <w:r w:rsidR="005F55A3" w:rsidRPr="00EE62CE">
        <w:rPr>
          <w:rFonts w:ascii="Arial" w:hAnsi="Arial" w:cs="Arial"/>
          <w:sz w:val="24"/>
          <w:szCs w:val="24"/>
        </w:rPr>
        <w:t>Thompson</w:t>
      </w:r>
      <w:r w:rsidR="007F2869">
        <w:rPr>
          <w:rFonts w:ascii="Arial" w:hAnsi="Arial" w:cs="Arial"/>
          <w:sz w:val="24"/>
          <w:szCs w:val="24"/>
        </w:rPr>
        <w:t xml:space="preserve"> who was the sole tenant of the rented flat</w:t>
      </w:r>
      <w:r w:rsidR="0055593E">
        <w:rPr>
          <w:rFonts w:ascii="Arial" w:hAnsi="Arial" w:cs="Arial"/>
          <w:sz w:val="24"/>
          <w:szCs w:val="24"/>
        </w:rPr>
        <w:t xml:space="preserve"> at the time of his death</w:t>
      </w:r>
      <w:r w:rsidR="008F7104" w:rsidRPr="00EE62CE">
        <w:rPr>
          <w:rFonts w:ascii="Arial" w:hAnsi="Arial" w:cs="Arial"/>
          <w:sz w:val="24"/>
          <w:szCs w:val="24"/>
        </w:rPr>
        <w:t xml:space="preserve">. </w:t>
      </w:r>
      <w:r w:rsidR="00676764" w:rsidRPr="00EE62CE">
        <w:rPr>
          <w:rFonts w:ascii="Arial" w:hAnsi="Arial" w:cs="Arial"/>
          <w:sz w:val="24"/>
          <w:szCs w:val="24"/>
        </w:rPr>
        <w:t xml:space="preserve">The </w:t>
      </w:r>
      <w:r w:rsidR="00874B18" w:rsidRPr="00EE62CE">
        <w:rPr>
          <w:rFonts w:ascii="Arial" w:hAnsi="Arial" w:cs="Arial"/>
          <w:sz w:val="24"/>
          <w:szCs w:val="24"/>
        </w:rPr>
        <w:t xml:space="preserve">Court of Appeal initially rejected Fitzpatrick’s appeal, citing the precedent of Harrogate Borough Council v Simpson </w:t>
      </w:r>
      <w:r w:rsidR="00C36D97" w:rsidRPr="00EE62CE">
        <w:rPr>
          <w:rFonts w:ascii="Arial" w:hAnsi="Arial" w:cs="Arial"/>
          <w:sz w:val="24"/>
          <w:szCs w:val="24"/>
        </w:rPr>
        <w:t>(1985), where the</w:t>
      </w:r>
      <w:r w:rsidR="002E654A" w:rsidRPr="00EE62CE">
        <w:rPr>
          <w:rFonts w:ascii="Arial" w:hAnsi="Arial" w:cs="Arial"/>
          <w:sz w:val="24"/>
          <w:szCs w:val="24"/>
        </w:rPr>
        <w:t xml:space="preserve">y determined that the laws did not extend to homosexual couples. </w:t>
      </w:r>
      <w:r w:rsidR="00817B94" w:rsidRPr="00EE62CE">
        <w:rPr>
          <w:rFonts w:ascii="Arial" w:hAnsi="Arial" w:cs="Arial"/>
          <w:sz w:val="24"/>
          <w:szCs w:val="24"/>
        </w:rPr>
        <w:t xml:space="preserve">The Court of Appeal </w:t>
      </w:r>
      <w:r w:rsidR="0068332B" w:rsidRPr="00EE62CE">
        <w:rPr>
          <w:rFonts w:ascii="Arial" w:hAnsi="Arial" w:cs="Arial"/>
          <w:sz w:val="24"/>
          <w:szCs w:val="24"/>
        </w:rPr>
        <w:t>stated</w:t>
      </w:r>
      <w:r w:rsidR="00E46A0F" w:rsidRPr="00EE62CE">
        <w:rPr>
          <w:rFonts w:ascii="Arial" w:hAnsi="Arial" w:cs="Arial"/>
          <w:sz w:val="24"/>
          <w:szCs w:val="24"/>
        </w:rPr>
        <w:t xml:space="preserve"> that there were matters which Parliament ought to consider</w:t>
      </w:r>
      <w:r w:rsidR="00922089" w:rsidRPr="00EE62CE">
        <w:rPr>
          <w:rFonts w:ascii="Arial" w:hAnsi="Arial" w:cs="Arial"/>
          <w:sz w:val="24"/>
          <w:szCs w:val="24"/>
        </w:rPr>
        <w:t>, w</w:t>
      </w:r>
      <w:r w:rsidR="00036A9F" w:rsidRPr="00EE62CE">
        <w:rPr>
          <w:rFonts w:ascii="Arial" w:hAnsi="Arial" w:cs="Arial"/>
          <w:sz w:val="24"/>
          <w:szCs w:val="24"/>
        </w:rPr>
        <w:t>hich prompted</w:t>
      </w:r>
      <w:r w:rsidR="00922089" w:rsidRPr="00EE62CE">
        <w:rPr>
          <w:rFonts w:ascii="Arial" w:hAnsi="Arial" w:cs="Arial"/>
          <w:sz w:val="24"/>
          <w:szCs w:val="24"/>
        </w:rPr>
        <w:t xml:space="preserve"> </w:t>
      </w:r>
      <w:r w:rsidR="00375688" w:rsidRPr="00EE62CE">
        <w:rPr>
          <w:rFonts w:ascii="Arial" w:hAnsi="Arial" w:cs="Arial"/>
          <w:sz w:val="24"/>
          <w:szCs w:val="24"/>
        </w:rPr>
        <w:t xml:space="preserve">The House of Lords </w:t>
      </w:r>
      <w:r w:rsidR="00036A9F" w:rsidRPr="00EE62CE">
        <w:rPr>
          <w:rFonts w:ascii="Arial" w:hAnsi="Arial" w:cs="Arial"/>
          <w:sz w:val="24"/>
          <w:szCs w:val="24"/>
        </w:rPr>
        <w:t xml:space="preserve">to </w:t>
      </w:r>
      <w:r w:rsidR="000C4FD2" w:rsidRPr="00EE62CE">
        <w:rPr>
          <w:rFonts w:ascii="Arial" w:hAnsi="Arial" w:cs="Arial"/>
          <w:sz w:val="24"/>
          <w:szCs w:val="24"/>
        </w:rPr>
        <w:t>overturn</w:t>
      </w:r>
      <w:r w:rsidR="00375688" w:rsidRPr="00EE62CE">
        <w:rPr>
          <w:rFonts w:ascii="Arial" w:hAnsi="Arial" w:cs="Arial"/>
          <w:sz w:val="24"/>
          <w:szCs w:val="24"/>
        </w:rPr>
        <w:t xml:space="preserve"> the decision</w:t>
      </w:r>
      <w:r w:rsidR="000C4FD2" w:rsidRPr="00EE62CE">
        <w:rPr>
          <w:rFonts w:ascii="Arial" w:hAnsi="Arial" w:cs="Arial"/>
          <w:sz w:val="24"/>
          <w:szCs w:val="24"/>
        </w:rPr>
        <w:t xml:space="preserve"> made by the Court of Appeals, </w:t>
      </w:r>
      <w:r w:rsidR="0068332B" w:rsidRPr="00EE62CE">
        <w:rPr>
          <w:rFonts w:ascii="Arial" w:hAnsi="Arial" w:cs="Arial"/>
          <w:sz w:val="24"/>
          <w:szCs w:val="24"/>
        </w:rPr>
        <w:t>stating</w:t>
      </w:r>
      <w:r w:rsidR="00375688" w:rsidRPr="00EE62CE">
        <w:rPr>
          <w:rFonts w:ascii="Arial" w:hAnsi="Arial" w:cs="Arial"/>
          <w:sz w:val="24"/>
          <w:szCs w:val="24"/>
        </w:rPr>
        <w:t xml:space="preserve"> </w:t>
      </w:r>
      <w:r w:rsidR="00E93D3A" w:rsidRPr="00EE62CE">
        <w:rPr>
          <w:rFonts w:ascii="Arial" w:hAnsi="Arial" w:cs="Arial"/>
          <w:sz w:val="24"/>
          <w:szCs w:val="24"/>
        </w:rPr>
        <w:t>that long-term same-sex relationships could be considered family without the ties of blood or marriage</w:t>
      </w:r>
      <w:r w:rsidR="00FF25E7" w:rsidRPr="00EE62CE">
        <w:rPr>
          <w:rFonts w:ascii="Arial" w:hAnsi="Arial" w:cs="Arial"/>
          <w:sz w:val="24"/>
          <w:szCs w:val="24"/>
        </w:rPr>
        <w:t xml:space="preserve"> for the purposes of housing law</w:t>
      </w:r>
      <w:r w:rsidR="00E3527A" w:rsidRPr="00EE62CE">
        <w:rPr>
          <w:rFonts w:ascii="Arial" w:hAnsi="Arial" w:cs="Arial"/>
          <w:sz w:val="24"/>
          <w:szCs w:val="24"/>
        </w:rPr>
        <w:t xml:space="preserve"> (Elliott &amp; Quinn</w:t>
      </w:r>
      <w:r w:rsidR="00CD3907" w:rsidRPr="00EE62CE">
        <w:rPr>
          <w:rFonts w:ascii="Arial" w:hAnsi="Arial" w:cs="Arial"/>
          <w:sz w:val="24"/>
          <w:szCs w:val="24"/>
        </w:rPr>
        <w:t>, 2014/15, p.30).</w:t>
      </w:r>
      <w:r w:rsidR="00FF25E7" w:rsidRPr="00EE62CE">
        <w:rPr>
          <w:rFonts w:ascii="Arial" w:hAnsi="Arial" w:cs="Arial"/>
          <w:sz w:val="24"/>
          <w:szCs w:val="24"/>
        </w:rPr>
        <w:t xml:space="preserve"> </w:t>
      </w:r>
      <w:r w:rsidR="00EA6AB4" w:rsidRPr="00EE62CE">
        <w:rPr>
          <w:rFonts w:ascii="Arial" w:hAnsi="Arial" w:cs="Arial"/>
          <w:sz w:val="24"/>
          <w:szCs w:val="24"/>
        </w:rPr>
        <w:t>“</w:t>
      </w:r>
      <w:r w:rsidR="00EA6AB4" w:rsidRPr="00EE62CE">
        <w:rPr>
          <w:rFonts w:ascii="Arial" w:hAnsi="Arial" w:cs="Arial"/>
          <w:sz w:val="24"/>
          <w:szCs w:val="24"/>
          <w:shd w:val="clear" w:color="auto" w:fill="FFFFFF"/>
        </w:rPr>
        <w:t>If "family" could only mean a legal relationship (of blood or by legal ceremony of marriage or by legal adoption) then the appellant must obviously fail. Over the years, however, the courts have held that this is not so</w:t>
      </w:r>
      <w:r w:rsidR="00D06F99" w:rsidRPr="00EE62CE">
        <w:rPr>
          <w:rFonts w:ascii="Arial" w:hAnsi="Arial" w:cs="Arial"/>
          <w:sz w:val="24"/>
          <w:szCs w:val="24"/>
          <w:shd w:val="clear" w:color="auto" w:fill="FFFFFF"/>
        </w:rPr>
        <w:t>.</w:t>
      </w:r>
      <w:r w:rsidR="00AE4A58" w:rsidRPr="00EE62CE">
        <w:rPr>
          <w:rFonts w:ascii="Arial" w:hAnsi="Arial" w:cs="Arial"/>
          <w:sz w:val="24"/>
          <w:szCs w:val="24"/>
          <w:shd w:val="clear" w:color="auto" w:fill="FFFFFF"/>
        </w:rPr>
        <w:t>” (House of Lords, Publications &amp; Reports</w:t>
      </w:r>
      <w:r w:rsidR="00D06F99" w:rsidRPr="00EE62CE">
        <w:rPr>
          <w:rFonts w:ascii="Arial" w:hAnsi="Arial" w:cs="Arial"/>
          <w:sz w:val="24"/>
          <w:szCs w:val="24"/>
          <w:shd w:val="clear" w:color="auto" w:fill="FFFFFF"/>
        </w:rPr>
        <w:t>, 1999</w:t>
      </w:r>
      <w:r w:rsidR="00AE4A58" w:rsidRPr="00EE62CE">
        <w:rPr>
          <w:rFonts w:ascii="Arial" w:hAnsi="Arial" w:cs="Arial"/>
          <w:sz w:val="24"/>
          <w:szCs w:val="24"/>
          <w:shd w:val="clear" w:color="auto" w:fill="FFFFFF"/>
        </w:rPr>
        <w:t>)</w:t>
      </w:r>
      <w:r w:rsidR="00D26F15" w:rsidRPr="00EE62CE">
        <w:rPr>
          <w:rFonts w:ascii="Arial" w:hAnsi="Arial" w:cs="Arial"/>
          <w:sz w:val="24"/>
          <w:szCs w:val="24"/>
          <w:shd w:val="clear" w:color="auto" w:fill="FFFFFF"/>
        </w:rPr>
        <w:t>.</w:t>
      </w:r>
    </w:p>
    <w:p w14:paraId="32DBF8FC" w14:textId="75D4A264" w:rsidR="0062081A" w:rsidRPr="00EE62CE" w:rsidRDefault="00CD779E" w:rsidP="00506404">
      <w:pPr>
        <w:rPr>
          <w:rFonts w:ascii="Arial" w:hAnsi="Arial" w:cs="Arial"/>
          <w:sz w:val="24"/>
          <w:szCs w:val="24"/>
        </w:rPr>
      </w:pPr>
      <w:r w:rsidRPr="00CD779E">
        <w:rPr>
          <w:rFonts w:ascii="Arial" w:hAnsi="Arial" w:cs="Arial"/>
          <w:sz w:val="24"/>
          <w:szCs w:val="24"/>
        </w:rPr>
        <w:t>It is clear that common law ideas serve as the foundation for the English legal system. The English Legal System continues to be based on the common law, which was first established in 1066 following the Norman Conquest. Even though it dates back centuries, the common law system has enabled the application of contemporary remedies to contemporary issues, as demonstrated by numerous decisions, including Fitzpatrick v. Sterling Housing Association Ltd. (1999). Countries with a civil law system may criticise England's common law system as "unsystematic" in nature, yet it has been demonstrated that the system is adaptive to contemporary social changes.</w:t>
      </w:r>
    </w:p>
    <w:p w14:paraId="0B29794C" w14:textId="77777777" w:rsidR="00B034D3" w:rsidRPr="00EE62CE" w:rsidRDefault="00B034D3" w:rsidP="00506404">
      <w:pPr>
        <w:rPr>
          <w:rFonts w:ascii="Arial" w:hAnsi="Arial" w:cs="Arial"/>
          <w:sz w:val="24"/>
          <w:szCs w:val="24"/>
        </w:rPr>
      </w:pPr>
    </w:p>
    <w:p w14:paraId="45E5CB26" w14:textId="77777777" w:rsidR="00876899" w:rsidRDefault="00876899" w:rsidP="00876899">
      <w:pPr>
        <w:rPr>
          <w:rFonts w:ascii="Arial" w:hAnsi="Arial" w:cs="Arial"/>
          <w:sz w:val="24"/>
          <w:szCs w:val="24"/>
        </w:rPr>
      </w:pPr>
    </w:p>
    <w:p w14:paraId="392BB01E" w14:textId="0C44D8C5" w:rsidR="00506404" w:rsidRPr="00EE62CE" w:rsidRDefault="00201964" w:rsidP="00876899">
      <w:pPr>
        <w:jc w:val="center"/>
        <w:rPr>
          <w:rFonts w:ascii="Arial" w:hAnsi="Arial" w:cs="Arial"/>
          <w:sz w:val="24"/>
          <w:szCs w:val="24"/>
        </w:rPr>
      </w:pPr>
      <w:r w:rsidRPr="00EE62CE">
        <w:rPr>
          <w:rFonts w:ascii="Arial" w:hAnsi="Arial" w:cs="Arial"/>
          <w:sz w:val="24"/>
          <w:szCs w:val="24"/>
        </w:rPr>
        <w:t>Reference</w:t>
      </w:r>
      <w:r w:rsidR="007D32D1">
        <w:rPr>
          <w:rFonts w:ascii="Arial" w:hAnsi="Arial" w:cs="Arial"/>
          <w:sz w:val="24"/>
          <w:szCs w:val="24"/>
        </w:rPr>
        <w:t>s</w:t>
      </w:r>
    </w:p>
    <w:p w14:paraId="4BF3C49A" w14:textId="7854B35B" w:rsidR="00FD41D4" w:rsidRDefault="00FD41D4" w:rsidP="00FD41D4">
      <w:pPr>
        <w:rPr>
          <w:rFonts w:ascii="Arial" w:hAnsi="Arial" w:cs="Arial"/>
          <w:sz w:val="24"/>
          <w:szCs w:val="24"/>
        </w:rPr>
      </w:pPr>
      <w:r w:rsidRPr="00864F8F">
        <w:rPr>
          <w:rFonts w:ascii="Arial" w:hAnsi="Arial" w:cs="Arial"/>
          <w:color w:val="222222"/>
          <w:sz w:val="24"/>
          <w:szCs w:val="24"/>
          <w:shd w:val="clear" w:color="auto" w:fill="FFFFFF"/>
        </w:rPr>
        <w:t>Atkin, L.</w:t>
      </w:r>
      <w:r>
        <w:rPr>
          <w:rFonts w:ascii="Arial" w:hAnsi="Arial" w:cs="Arial"/>
          <w:color w:val="222222"/>
          <w:sz w:val="24"/>
          <w:szCs w:val="24"/>
          <w:shd w:val="clear" w:color="auto" w:fill="FFFFFF"/>
        </w:rPr>
        <w:t xml:space="preserve"> (1932) </w:t>
      </w:r>
      <w:r w:rsidRPr="00864F8F">
        <w:rPr>
          <w:rFonts w:ascii="Arial" w:hAnsi="Arial" w:cs="Arial"/>
          <w:i/>
          <w:iCs/>
          <w:color w:val="222222"/>
          <w:sz w:val="24"/>
          <w:szCs w:val="24"/>
          <w:shd w:val="clear" w:color="auto" w:fill="FFFFFF"/>
        </w:rPr>
        <w:t>Donoghue v Stevenson.</w:t>
      </w:r>
      <w:r>
        <w:rPr>
          <w:rFonts w:ascii="Arial" w:hAnsi="Arial" w:cs="Arial"/>
          <w:i/>
          <w:iCs/>
          <w:color w:val="222222"/>
          <w:sz w:val="24"/>
          <w:szCs w:val="24"/>
          <w:shd w:val="clear" w:color="auto" w:fill="FFFFFF"/>
        </w:rPr>
        <w:t xml:space="preserve"> </w:t>
      </w:r>
      <w:r>
        <w:rPr>
          <w:rFonts w:ascii="Arial" w:hAnsi="Arial" w:cs="Arial"/>
          <w:color w:val="222222"/>
          <w:sz w:val="24"/>
          <w:szCs w:val="24"/>
          <w:shd w:val="clear" w:color="auto" w:fill="FFFFFF"/>
        </w:rPr>
        <w:t>Available at</w:t>
      </w:r>
      <w:r w:rsidRPr="005F21C3">
        <w:rPr>
          <w:rFonts w:ascii="Arial" w:hAnsi="Arial" w:cs="Arial"/>
          <w:color w:val="222222"/>
          <w:sz w:val="24"/>
          <w:szCs w:val="24"/>
          <w:shd w:val="clear" w:color="auto" w:fill="FFFFFF"/>
        </w:rPr>
        <w:t xml:space="preserve">: </w:t>
      </w:r>
      <w:hyperlink r:id="rId7" w:history="1">
        <w:r w:rsidRPr="005F21C3">
          <w:rPr>
            <w:rStyle w:val="Hyperlink"/>
            <w:rFonts w:ascii="Arial" w:hAnsi="Arial" w:cs="Arial"/>
            <w:sz w:val="24"/>
            <w:szCs w:val="24"/>
          </w:rPr>
          <w:t>Donoghue_Stevenson.pdf (uniroma1.it)</w:t>
        </w:r>
      </w:hyperlink>
      <w:r w:rsidRPr="005F21C3">
        <w:rPr>
          <w:rFonts w:ascii="Arial" w:hAnsi="Arial" w:cs="Arial"/>
          <w:sz w:val="24"/>
          <w:szCs w:val="24"/>
        </w:rPr>
        <w:t xml:space="preserve"> (Accessed: 14 February 2023)</w:t>
      </w:r>
      <w:r>
        <w:rPr>
          <w:rFonts w:ascii="Arial" w:hAnsi="Arial" w:cs="Arial"/>
          <w:sz w:val="24"/>
          <w:szCs w:val="24"/>
        </w:rPr>
        <w:t>.</w:t>
      </w:r>
    </w:p>
    <w:p w14:paraId="749B40BE" w14:textId="77777777" w:rsidR="007D32D1" w:rsidRPr="00EE62CE" w:rsidRDefault="007D32D1" w:rsidP="007D32D1">
      <w:pPr>
        <w:rPr>
          <w:rFonts w:ascii="Arial" w:hAnsi="Arial" w:cs="Arial"/>
          <w:sz w:val="24"/>
          <w:szCs w:val="24"/>
        </w:rPr>
      </w:pPr>
      <w:r w:rsidRPr="00EE62CE">
        <w:rPr>
          <w:rFonts w:ascii="Arial" w:hAnsi="Arial" w:cs="Arial"/>
          <w:sz w:val="24"/>
          <w:szCs w:val="24"/>
        </w:rPr>
        <w:t xml:space="preserve">Bradney, A. Cownie, F. Masson, J. Neal, A. (2000) </w:t>
      </w:r>
      <w:r w:rsidRPr="00EE62CE">
        <w:rPr>
          <w:rFonts w:ascii="Arial" w:hAnsi="Arial" w:cs="Arial"/>
          <w:i/>
          <w:iCs/>
          <w:sz w:val="24"/>
          <w:szCs w:val="24"/>
        </w:rPr>
        <w:t>How to Study Law</w:t>
      </w:r>
      <w:r w:rsidRPr="00EE62CE">
        <w:rPr>
          <w:rFonts w:ascii="Arial" w:hAnsi="Arial" w:cs="Arial"/>
          <w:sz w:val="24"/>
          <w:szCs w:val="24"/>
        </w:rPr>
        <w:t>. 4</w:t>
      </w:r>
      <w:r w:rsidRPr="00EE62CE">
        <w:rPr>
          <w:rFonts w:ascii="Arial" w:hAnsi="Arial" w:cs="Arial"/>
          <w:sz w:val="24"/>
          <w:szCs w:val="24"/>
          <w:vertAlign w:val="superscript"/>
        </w:rPr>
        <w:t>th</w:t>
      </w:r>
      <w:r w:rsidRPr="00EE62CE">
        <w:rPr>
          <w:rFonts w:ascii="Arial" w:hAnsi="Arial" w:cs="Arial"/>
          <w:sz w:val="24"/>
          <w:szCs w:val="24"/>
        </w:rPr>
        <w:t xml:space="preserve"> </w:t>
      </w:r>
      <w:proofErr w:type="spellStart"/>
      <w:r w:rsidRPr="00EE62CE">
        <w:rPr>
          <w:rFonts w:ascii="Arial" w:hAnsi="Arial" w:cs="Arial"/>
          <w:sz w:val="24"/>
          <w:szCs w:val="24"/>
        </w:rPr>
        <w:t>edn</w:t>
      </w:r>
      <w:proofErr w:type="spellEnd"/>
      <w:r w:rsidRPr="00EE62CE">
        <w:rPr>
          <w:rFonts w:ascii="Arial" w:hAnsi="Arial" w:cs="Arial"/>
          <w:sz w:val="24"/>
          <w:szCs w:val="24"/>
        </w:rPr>
        <w:t>. London: Sweet &amp; Maxwell.</w:t>
      </w:r>
    </w:p>
    <w:p w14:paraId="26C9EF08" w14:textId="77777777" w:rsidR="007D32D1" w:rsidRPr="00EE62CE" w:rsidRDefault="007D32D1" w:rsidP="007D32D1">
      <w:pPr>
        <w:rPr>
          <w:rFonts w:ascii="Arial" w:hAnsi="Arial" w:cs="Arial"/>
          <w:sz w:val="24"/>
          <w:szCs w:val="24"/>
        </w:rPr>
      </w:pPr>
      <w:r w:rsidRPr="00EE62CE">
        <w:rPr>
          <w:rFonts w:ascii="Arial" w:hAnsi="Arial" w:cs="Arial"/>
          <w:sz w:val="24"/>
          <w:szCs w:val="24"/>
        </w:rPr>
        <w:t xml:space="preserve">Elliott, C. Quinn, F. (2014/15) </w:t>
      </w:r>
      <w:r w:rsidRPr="00EE62CE">
        <w:rPr>
          <w:rFonts w:ascii="Arial" w:hAnsi="Arial" w:cs="Arial"/>
          <w:i/>
          <w:iCs/>
          <w:sz w:val="24"/>
          <w:szCs w:val="24"/>
        </w:rPr>
        <w:t>English Legal System</w:t>
      </w:r>
      <w:r w:rsidRPr="00EE62CE">
        <w:rPr>
          <w:rFonts w:ascii="Arial" w:hAnsi="Arial" w:cs="Arial"/>
          <w:sz w:val="24"/>
          <w:szCs w:val="24"/>
        </w:rPr>
        <w:t>. 15</w:t>
      </w:r>
      <w:r w:rsidRPr="00EE62CE">
        <w:rPr>
          <w:rFonts w:ascii="Arial" w:hAnsi="Arial" w:cs="Arial"/>
          <w:sz w:val="24"/>
          <w:szCs w:val="24"/>
          <w:vertAlign w:val="superscript"/>
        </w:rPr>
        <w:t>th</w:t>
      </w:r>
      <w:r w:rsidRPr="00EE62CE">
        <w:rPr>
          <w:rFonts w:ascii="Arial" w:hAnsi="Arial" w:cs="Arial"/>
          <w:sz w:val="24"/>
          <w:szCs w:val="24"/>
        </w:rPr>
        <w:t xml:space="preserve"> </w:t>
      </w:r>
      <w:proofErr w:type="spellStart"/>
      <w:r w:rsidRPr="00EE62CE">
        <w:rPr>
          <w:rFonts w:ascii="Arial" w:hAnsi="Arial" w:cs="Arial"/>
          <w:sz w:val="24"/>
          <w:szCs w:val="24"/>
        </w:rPr>
        <w:t>edn</w:t>
      </w:r>
      <w:proofErr w:type="spellEnd"/>
      <w:r w:rsidRPr="00EE62CE">
        <w:rPr>
          <w:rFonts w:ascii="Arial" w:hAnsi="Arial" w:cs="Arial"/>
          <w:sz w:val="24"/>
          <w:szCs w:val="24"/>
        </w:rPr>
        <w:t>. Edinburgh: Pearson Education Limited.</w:t>
      </w:r>
    </w:p>
    <w:p w14:paraId="6B0D9F61" w14:textId="684B8330" w:rsidR="002C700C" w:rsidRPr="00EE62CE" w:rsidRDefault="00263CEE" w:rsidP="00201964">
      <w:pPr>
        <w:rPr>
          <w:rFonts w:ascii="Arial" w:hAnsi="Arial" w:cs="Arial"/>
          <w:sz w:val="24"/>
          <w:szCs w:val="24"/>
        </w:rPr>
      </w:pPr>
      <w:r w:rsidRPr="00EE62CE">
        <w:rPr>
          <w:rFonts w:ascii="Arial" w:hAnsi="Arial" w:cs="Arial"/>
          <w:sz w:val="24"/>
          <w:szCs w:val="24"/>
        </w:rPr>
        <w:t xml:space="preserve">Elliott, L. </w:t>
      </w:r>
      <w:r w:rsidR="00211F11" w:rsidRPr="00EE62CE">
        <w:rPr>
          <w:rFonts w:ascii="Arial" w:hAnsi="Arial" w:cs="Arial"/>
          <w:sz w:val="24"/>
          <w:szCs w:val="24"/>
        </w:rPr>
        <w:t xml:space="preserve">(2023) </w:t>
      </w:r>
      <w:r w:rsidR="00211F11" w:rsidRPr="00EE62CE">
        <w:rPr>
          <w:rFonts w:ascii="Arial" w:hAnsi="Arial" w:cs="Arial"/>
          <w:i/>
          <w:iCs/>
          <w:sz w:val="24"/>
          <w:szCs w:val="24"/>
        </w:rPr>
        <w:t>Common Law in England</w:t>
      </w:r>
      <w:r w:rsidR="00047975" w:rsidRPr="00EE62CE">
        <w:rPr>
          <w:rFonts w:ascii="Arial" w:hAnsi="Arial" w:cs="Arial"/>
          <w:sz w:val="24"/>
          <w:szCs w:val="24"/>
        </w:rPr>
        <w:t>.</w:t>
      </w:r>
      <w:r w:rsidR="005D3B54" w:rsidRPr="00EE62CE">
        <w:rPr>
          <w:rFonts w:ascii="Arial" w:hAnsi="Arial" w:cs="Arial"/>
          <w:sz w:val="24"/>
          <w:szCs w:val="24"/>
        </w:rPr>
        <w:t xml:space="preserve"> Available at: </w:t>
      </w:r>
      <w:hyperlink r:id="rId8" w:anchor=":~:text=By%3A%20Lorna%20Elliott%20LLB%20%28hons%29%2C%20Barrister%20-%20Updated%3A,of%20Parliament%2C%20the%20common%20law%20is%20constantly%20changing." w:history="1">
        <w:r w:rsidR="005D3B54" w:rsidRPr="00EE62CE">
          <w:rPr>
            <w:rStyle w:val="Hyperlink"/>
            <w:rFonts w:ascii="Arial" w:hAnsi="Arial" w:cs="Arial"/>
            <w:sz w:val="24"/>
            <w:szCs w:val="24"/>
          </w:rPr>
          <w:t>Common Law in England (courtroomadvice.co.uk)</w:t>
        </w:r>
      </w:hyperlink>
      <w:r w:rsidR="005D3B54" w:rsidRPr="00EE62CE">
        <w:rPr>
          <w:rFonts w:ascii="Arial" w:hAnsi="Arial" w:cs="Arial"/>
          <w:sz w:val="24"/>
          <w:szCs w:val="24"/>
        </w:rPr>
        <w:t xml:space="preserve"> (Accessed: </w:t>
      </w:r>
      <w:r w:rsidR="00DF358E" w:rsidRPr="00EE62CE">
        <w:rPr>
          <w:rFonts w:ascii="Arial" w:hAnsi="Arial" w:cs="Arial"/>
          <w:sz w:val="24"/>
          <w:szCs w:val="24"/>
        </w:rPr>
        <w:t>13 February 2023)</w:t>
      </w:r>
      <w:r w:rsidR="002F1E11">
        <w:rPr>
          <w:rFonts w:ascii="Arial" w:hAnsi="Arial" w:cs="Arial"/>
          <w:sz w:val="24"/>
          <w:szCs w:val="24"/>
        </w:rPr>
        <w:t>.</w:t>
      </w:r>
    </w:p>
    <w:p w14:paraId="5DEB9B6F" w14:textId="77777777" w:rsidR="007D32D1" w:rsidRDefault="004C4C78" w:rsidP="00201964">
      <w:pPr>
        <w:rPr>
          <w:rFonts w:ascii="Arial" w:hAnsi="Arial" w:cs="Arial"/>
          <w:sz w:val="24"/>
          <w:szCs w:val="24"/>
        </w:rPr>
      </w:pPr>
      <w:r w:rsidRPr="00EE62CE">
        <w:rPr>
          <w:rFonts w:ascii="Arial" w:hAnsi="Arial" w:cs="Arial"/>
          <w:sz w:val="24"/>
          <w:szCs w:val="24"/>
        </w:rPr>
        <w:t xml:space="preserve">Finch, E. Fafinski, S. </w:t>
      </w:r>
      <w:r w:rsidR="006E1A71" w:rsidRPr="00EE62CE">
        <w:rPr>
          <w:rFonts w:ascii="Arial" w:hAnsi="Arial" w:cs="Arial"/>
          <w:sz w:val="24"/>
          <w:szCs w:val="24"/>
        </w:rPr>
        <w:t xml:space="preserve">(2021) </w:t>
      </w:r>
      <w:r w:rsidR="006E1A71" w:rsidRPr="00EE62CE">
        <w:rPr>
          <w:rFonts w:ascii="Arial" w:hAnsi="Arial" w:cs="Arial"/>
          <w:i/>
          <w:iCs/>
          <w:sz w:val="24"/>
          <w:szCs w:val="24"/>
        </w:rPr>
        <w:t>Legal Skills</w:t>
      </w:r>
      <w:r w:rsidR="006E1A71" w:rsidRPr="00EE62CE">
        <w:rPr>
          <w:rFonts w:ascii="Arial" w:hAnsi="Arial" w:cs="Arial"/>
          <w:sz w:val="24"/>
          <w:szCs w:val="24"/>
        </w:rPr>
        <w:t>. 8</w:t>
      </w:r>
      <w:r w:rsidR="006E1A71" w:rsidRPr="00EE62CE">
        <w:rPr>
          <w:rFonts w:ascii="Arial" w:hAnsi="Arial" w:cs="Arial"/>
          <w:sz w:val="24"/>
          <w:szCs w:val="24"/>
          <w:vertAlign w:val="superscript"/>
        </w:rPr>
        <w:t>th</w:t>
      </w:r>
      <w:r w:rsidR="006E1A71" w:rsidRPr="00EE62CE">
        <w:rPr>
          <w:rFonts w:ascii="Arial" w:hAnsi="Arial" w:cs="Arial"/>
          <w:sz w:val="24"/>
          <w:szCs w:val="24"/>
        </w:rPr>
        <w:t xml:space="preserve"> </w:t>
      </w:r>
      <w:proofErr w:type="spellStart"/>
      <w:r w:rsidR="006E1A71" w:rsidRPr="00EE62CE">
        <w:rPr>
          <w:rFonts w:ascii="Arial" w:hAnsi="Arial" w:cs="Arial"/>
          <w:sz w:val="24"/>
          <w:szCs w:val="24"/>
        </w:rPr>
        <w:t>edn</w:t>
      </w:r>
      <w:proofErr w:type="spellEnd"/>
      <w:r w:rsidR="006E1A71" w:rsidRPr="00EE62CE">
        <w:rPr>
          <w:rFonts w:ascii="Arial" w:hAnsi="Arial" w:cs="Arial"/>
          <w:sz w:val="24"/>
          <w:szCs w:val="24"/>
        </w:rPr>
        <w:t xml:space="preserve">. </w:t>
      </w:r>
      <w:r w:rsidR="00627A63" w:rsidRPr="00EE62CE">
        <w:rPr>
          <w:rFonts w:ascii="Arial" w:hAnsi="Arial" w:cs="Arial"/>
          <w:sz w:val="24"/>
          <w:szCs w:val="24"/>
        </w:rPr>
        <w:t>Oxford: University Press.</w:t>
      </w:r>
    </w:p>
    <w:p w14:paraId="0BF9DD0B" w14:textId="7B93D340" w:rsidR="00AB2A35" w:rsidRDefault="007D32D1" w:rsidP="00201964">
      <w:pPr>
        <w:rPr>
          <w:rFonts w:ascii="Arial" w:hAnsi="Arial" w:cs="Arial"/>
          <w:sz w:val="24"/>
          <w:szCs w:val="24"/>
        </w:rPr>
      </w:pPr>
      <w:r w:rsidRPr="00EE62CE">
        <w:rPr>
          <w:rFonts w:ascii="Arial" w:hAnsi="Arial" w:cs="Arial"/>
          <w:sz w:val="24"/>
          <w:szCs w:val="24"/>
        </w:rPr>
        <w:t xml:space="preserve">Gillespie, A. (2013) </w:t>
      </w:r>
      <w:r w:rsidRPr="00EE62CE">
        <w:rPr>
          <w:rFonts w:ascii="Arial" w:hAnsi="Arial" w:cs="Arial"/>
          <w:i/>
          <w:iCs/>
          <w:sz w:val="24"/>
          <w:szCs w:val="24"/>
        </w:rPr>
        <w:t>The English Legal System</w:t>
      </w:r>
      <w:r w:rsidRPr="00EE62CE">
        <w:rPr>
          <w:rFonts w:ascii="Arial" w:hAnsi="Arial" w:cs="Arial"/>
          <w:sz w:val="24"/>
          <w:szCs w:val="24"/>
        </w:rPr>
        <w:t>. 4</w:t>
      </w:r>
      <w:r w:rsidRPr="00EE62CE">
        <w:rPr>
          <w:rFonts w:ascii="Arial" w:hAnsi="Arial" w:cs="Arial"/>
          <w:sz w:val="24"/>
          <w:szCs w:val="24"/>
          <w:vertAlign w:val="superscript"/>
        </w:rPr>
        <w:t>th</w:t>
      </w:r>
      <w:r w:rsidRPr="00EE62CE">
        <w:rPr>
          <w:rFonts w:ascii="Arial" w:hAnsi="Arial" w:cs="Arial"/>
          <w:sz w:val="24"/>
          <w:szCs w:val="24"/>
        </w:rPr>
        <w:t xml:space="preserve"> </w:t>
      </w:r>
      <w:proofErr w:type="spellStart"/>
      <w:r w:rsidRPr="00EE62CE">
        <w:rPr>
          <w:rFonts w:ascii="Arial" w:hAnsi="Arial" w:cs="Arial"/>
          <w:sz w:val="24"/>
          <w:szCs w:val="24"/>
        </w:rPr>
        <w:t>edn</w:t>
      </w:r>
      <w:proofErr w:type="spellEnd"/>
      <w:r w:rsidRPr="00EE62CE">
        <w:rPr>
          <w:rFonts w:ascii="Arial" w:hAnsi="Arial" w:cs="Arial"/>
          <w:sz w:val="24"/>
          <w:szCs w:val="24"/>
        </w:rPr>
        <w:t>. Oxford: University Press.</w:t>
      </w:r>
      <w:r w:rsidR="00627A63" w:rsidRPr="00EE62CE">
        <w:rPr>
          <w:rFonts w:ascii="Arial" w:hAnsi="Arial" w:cs="Arial"/>
          <w:sz w:val="24"/>
          <w:szCs w:val="24"/>
        </w:rPr>
        <w:t xml:space="preserve"> </w:t>
      </w:r>
    </w:p>
    <w:p w14:paraId="711C41BF" w14:textId="533BB5BB" w:rsidR="000A7BED" w:rsidRPr="00EE62CE" w:rsidRDefault="000A7BED" w:rsidP="00201964">
      <w:pPr>
        <w:rPr>
          <w:rFonts w:ascii="Arial" w:hAnsi="Arial" w:cs="Arial"/>
          <w:sz w:val="24"/>
          <w:szCs w:val="24"/>
        </w:rPr>
      </w:pPr>
      <w:r w:rsidRPr="00876899">
        <w:rPr>
          <w:rFonts w:ascii="Arial" w:hAnsi="Arial" w:cs="Arial"/>
          <w:color w:val="212121"/>
          <w:sz w:val="24"/>
          <w:szCs w:val="24"/>
          <w:shd w:val="clear" w:color="auto" w:fill="FFFFFF"/>
        </w:rPr>
        <w:t xml:space="preserve">House of Lords (1993) </w:t>
      </w:r>
      <w:r w:rsidRPr="00876899">
        <w:rPr>
          <w:rFonts w:ascii="Arial" w:hAnsi="Arial" w:cs="Arial"/>
          <w:i/>
          <w:iCs/>
          <w:color w:val="212121"/>
          <w:sz w:val="24"/>
          <w:szCs w:val="24"/>
          <w:shd w:val="clear" w:color="auto" w:fill="FFFFFF"/>
        </w:rPr>
        <w:t xml:space="preserve">Airedale NHS Trust v. Bland. All Engl Law Rep. </w:t>
      </w:r>
      <w:r w:rsidRPr="00876899">
        <w:rPr>
          <w:rFonts w:ascii="Arial" w:hAnsi="Arial" w:cs="Arial"/>
          <w:color w:val="212121"/>
          <w:sz w:val="24"/>
          <w:szCs w:val="24"/>
          <w:shd w:val="clear" w:color="auto" w:fill="FFFFFF"/>
        </w:rPr>
        <w:t xml:space="preserve">Available at: </w:t>
      </w:r>
      <w:hyperlink r:id="rId9" w:history="1">
        <w:r w:rsidRPr="00876899">
          <w:rPr>
            <w:rStyle w:val="Hyperlink"/>
            <w:rFonts w:ascii="Arial" w:hAnsi="Arial" w:cs="Arial"/>
            <w:sz w:val="24"/>
            <w:szCs w:val="24"/>
          </w:rPr>
          <w:t>Airedale NHS Trust v. Bland - PubMed (nih.gov)</w:t>
        </w:r>
      </w:hyperlink>
      <w:r w:rsidRPr="00876899">
        <w:rPr>
          <w:rFonts w:ascii="Arial" w:hAnsi="Arial" w:cs="Arial"/>
          <w:sz w:val="24"/>
          <w:szCs w:val="24"/>
        </w:rPr>
        <w:t xml:space="preserve"> (Accessed 14 February 2023). </w:t>
      </w:r>
    </w:p>
    <w:p w14:paraId="577B95D8" w14:textId="20BF351E" w:rsidR="00B10630" w:rsidRDefault="001428A3" w:rsidP="00201964">
      <w:pPr>
        <w:rPr>
          <w:rFonts w:ascii="Arial" w:hAnsi="Arial" w:cs="Arial"/>
          <w:sz w:val="24"/>
          <w:szCs w:val="24"/>
        </w:rPr>
      </w:pPr>
      <w:r w:rsidRPr="00EE62CE">
        <w:rPr>
          <w:rFonts w:ascii="Arial" w:hAnsi="Arial" w:cs="Arial"/>
          <w:sz w:val="24"/>
          <w:szCs w:val="24"/>
          <w:shd w:val="clear" w:color="auto" w:fill="FFFFFF"/>
        </w:rPr>
        <w:t>House of Lords</w:t>
      </w:r>
      <w:r w:rsidR="004316DC" w:rsidRPr="00EE62CE">
        <w:rPr>
          <w:rFonts w:ascii="Arial" w:hAnsi="Arial" w:cs="Arial"/>
          <w:sz w:val="24"/>
          <w:szCs w:val="24"/>
          <w:shd w:val="clear" w:color="auto" w:fill="FFFFFF"/>
        </w:rPr>
        <w:t xml:space="preserve"> (1999) </w:t>
      </w:r>
      <w:r w:rsidR="004316DC" w:rsidRPr="00EE62CE">
        <w:rPr>
          <w:rFonts w:ascii="Arial" w:hAnsi="Arial" w:cs="Arial"/>
          <w:i/>
          <w:iCs/>
          <w:sz w:val="24"/>
          <w:szCs w:val="24"/>
          <w:shd w:val="clear" w:color="auto" w:fill="FFFFFF"/>
        </w:rPr>
        <w:t>Opinions of the Lords of Appeal for Judgement in the Cause</w:t>
      </w:r>
      <w:r w:rsidR="004316DC" w:rsidRPr="00EE62CE">
        <w:rPr>
          <w:rFonts w:ascii="Arial" w:hAnsi="Arial" w:cs="Arial"/>
          <w:sz w:val="24"/>
          <w:szCs w:val="24"/>
          <w:shd w:val="clear" w:color="auto" w:fill="FFFFFF"/>
        </w:rPr>
        <w:t xml:space="preserve">. </w:t>
      </w:r>
      <w:r w:rsidRPr="00EE62CE">
        <w:rPr>
          <w:rFonts w:ascii="Arial" w:hAnsi="Arial" w:cs="Arial"/>
          <w:sz w:val="24"/>
          <w:szCs w:val="24"/>
          <w:shd w:val="clear" w:color="auto" w:fill="FFFFFF"/>
        </w:rPr>
        <w:t>Publications &amp; Reports</w:t>
      </w:r>
      <w:r w:rsidR="004316DC" w:rsidRPr="00EE62CE">
        <w:rPr>
          <w:rFonts w:ascii="Arial" w:hAnsi="Arial" w:cs="Arial"/>
          <w:sz w:val="24"/>
          <w:szCs w:val="24"/>
          <w:shd w:val="clear" w:color="auto" w:fill="FFFFFF"/>
        </w:rPr>
        <w:t xml:space="preserve">. </w:t>
      </w:r>
      <w:r w:rsidR="005B54EA" w:rsidRPr="00EE62CE">
        <w:rPr>
          <w:rFonts w:ascii="Arial" w:hAnsi="Arial" w:cs="Arial"/>
          <w:sz w:val="24"/>
          <w:szCs w:val="24"/>
          <w:shd w:val="clear" w:color="auto" w:fill="FFFFFF"/>
        </w:rPr>
        <w:t xml:space="preserve">Available at: </w:t>
      </w:r>
      <w:hyperlink r:id="rId10" w:history="1">
        <w:r w:rsidR="005B54EA" w:rsidRPr="00EE62CE">
          <w:rPr>
            <w:rStyle w:val="Hyperlink"/>
            <w:rFonts w:ascii="Arial" w:hAnsi="Arial" w:cs="Arial"/>
            <w:sz w:val="24"/>
            <w:szCs w:val="24"/>
          </w:rPr>
          <w:t>House of Lords - Fitzpatrick (A. P.) v. Sterling Housing Association Ltd. (parliament.uk)</w:t>
        </w:r>
      </w:hyperlink>
      <w:r w:rsidR="008D3A25" w:rsidRPr="00EE62CE">
        <w:rPr>
          <w:rFonts w:ascii="Arial" w:hAnsi="Arial" w:cs="Arial"/>
          <w:sz w:val="24"/>
          <w:szCs w:val="24"/>
        </w:rPr>
        <w:t xml:space="preserve"> (Accessed: </w:t>
      </w:r>
      <w:r w:rsidR="00671104" w:rsidRPr="00EE62CE">
        <w:rPr>
          <w:rFonts w:ascii="Arial" w:hAnsi="Arial" w:cs="Arial"/>
          <w:sz w:val="24"/>
          <w:szCs w:val="24"/>
        </w:rPr>
        <w:t>13 February 2023)</w:t>
      </w:r>
      <w:r w:rsidR="002F1E11">
        <w:rPr>
          <w:rFonts w:ascii="Arial" w:hAnsi="Arial" w:cs="Arial"/>
          <w:sz w:val="24"/>
          <w:szCs w:val="24"/>
        </w:rPr>
        <w:t>.</w:t>
      </w:r>
    </w:p>
    <w:p w14:paraId="62657B2A" w14:textId="26CA3C8E" w:rsidR="00B31DEF" w:rsidRPr="00EE62CE" w:rsidRDefault="00B31DEF" w:rsidP="00201964">
      <w:pPr>
        <w:rPr>
          <w:rFonts w:ascii="Arial" w:hAnsi="Arial" w:cs="Arial"/>
          <w:sz w:val="24"/>
          <w:szCs w:val="24"/>
        </w:rPr>
      </w:pPr>
      <w:r w:rsidRPr="002220BA">
        <w:rPr>
          <w:rFonts w:ascii="Arial" w:hAnsi="Arial" w:cs="Arial"/>
          <w:i/>
          <w:iCs/>
          <w:sz w:val="24"/>
          <w:szCs w:val="24"/>
        </w:rPr>
        <w:t>Law Teacher</w:t>
      </w:r>
      <w:r w:rsidRPr="002F1E11">
        <w:rPr>
          <w:rFonts w:ascii="Arial" w:hAnsi="Arial" w:cs="Arial"/>
          <w:sz w:val="24"/>
          <w:szCs w:val="24"/>
        </w:rPr>
        <w:t xml:space="preserve"> (2013) Available at: https://www.lawteacher.net/cases/donoghue-vstevenson.php?vref=1 (Accessed 14 February 2023).</w:t>
      </w:r>
    </w:p>
    <w:p w14:paraId="1166C114" w14:textId="3781EE2D" w:rsidR="004316DC" w:rsidRPr="00EE62CE" w:rsidRDefault="00166534" w:rsidP="00201964">
      <w:pPr>
        <w:rPr>
          <w:rFonts w:ascii="Arial" w:hAnsi="Arial" w:cs="Arial"/>
          <w:sz w:val="24"/>
          <w:szCs w:val="24"/>
        </w:rPr>
      </w:pPr>
      <w:r w:rsidRPr="00EE62CE">
        <w:rPr>
          <w:rFonts w:ascii="Arial" w:hAnsi="Arial" w:cs="Arial"/>
          <w:sz w:val="24"/>
          <w:szCs w:val="24"/>
        </w:rPr>
        <w:t xml:space="preserve">O’Connor, V. (2012) </w:t>
      </w:r>
      <w:r w:rsidRPr="00EE62CE">
        <w:rPr>
          <w:rFonts w:ascii="Arial" w:hAnsi="Arial" w:cs="Arial"/>
          <w:i/>
          <w:iCs/>
          <w:sz w:val="24"/>
          <w:szCs w:val="24"/>
        </w:rPr>
        <w:t>Common Law and Civil Law Traditions</w:t>
      </w:r>
      <w:r w:rsidRPr="00EE62CE">
        <w:rPr>
          <w:rFonts w:ascii="Arial" w:hAnsi="Arial" w:cs="Arial"/>
          <w:sz w:val="24"/>
          <w:szCs w:val="24"/>
        </w:rPr>
        <w:t xml:space="preserve">. </w:t>
      </w:r>
      <w:r w:rsidR="00C60C25" w:rsidRPr="00EE62CE">
        <w:rPr>
          <w:rFonts w:ascii="Arial" w:hAnsi="Arial" w:cs="Arial"/>
          <w:sz w:val="24"/>
          <w:szCs w:val="24"/>
        </w:rPr>
        <w:t>Available at:</w:t>
      </w:r>
      <w:r w:rsidR="00FE52E2" w:rsidRPr="00EE62CE">
        <w:rPr>
          <w:rFonts w:ascii="Arial" w:hAnsi="Arial" w:cs="Arial"/>
          <w:sz w:val="24"/>
          <w:szCs w:val="24"/>
        </w:rPr>
        <w:t xml:space="preserve"> </w:t>
      </w:r>
      <w:hyperlink r:id="rId11" w:tgtFrame="_blank" w:history="1">
        <w:r w:rsidR="00230204" w:rsidRPr="00EE62CE">
          <w:rPr>
            <w:rStyle w:val="Hyperlink"/>
            <w:rFonts w:ascii="Arial" w:hAnsi="Arial" w:cs="Arial"/>
            <w:color w:val="auto"/>
            <w:sz w:val="24"/>
            <w:szCs w:val="24"/>
            <w:shd w:val="clear" w:color="auto" w:fill="FFFFFF"/>
          </w:rPr>
          <w:t>http://dx.doi.org/10.2139/ssrn.2665675</w:t>
        </w:r>
      </w:hyperlink>
      <w:r w:rsidR="00A44326" w:rsidRPr="00EE62CE">
        <w:rPr>
          <w:rFonts w:ascii="Arial" w:hAnsi="Arial" w:cs="Arial"/>
          <w:sz w:val="24"/>
          <w:szCs w:val="24"/>
        </w:rPr>
        <w:t xml:space="preserve"> (Accessed: 13 February 2023)</w:t>
      </w:r>
      <w:r w:rsidR="002F1E11">
        <w:rPr>
          <w:rFonts w:ascii="Arial" w:hAnsi="Arial" w:cs="Arial"/>
          <w:sz w:val="24"/>
          <w:szCs w:val="24"/>
        </w:rPr>
        <w:t>.</w:t>
      </w:r>
    </w:p>
    <w:p w14:paraId="071B7D25" w14:textId="0E9AFEFB" w:rsidR="00864F8F" w:rsidRDefault="00953C40" w:rsidP="00201964">
      <w:pPr>
        <w:rPr>
          <w:rFonts w:ascii="Arial" w:hAnsi="Arial" w:cs="Arial"/>
          <w:sz w:val="24"/>
          <w:szCs w:val="24"/>
        </w:rPr>
      </w:pPr>
      <w:r w:rsidRPr="00EE62CE">
        <w:rPr>
          <w:rFonts w:ascii="Arial" w:hAnsi="Arial" w:cs="Arial"/>
          <w:sz w:val="24"/>
          <w:szCs w:val="24"/>
        </w:rPr>
        <w:t xml:space="preserve">Partington, M. </w:t>
      </w:r>
      <w:r w:rsidR="001F61C8" w:rsidRPr="00EE62CE">
        <w:rPr>
          <w:rFonts w:ascii="Arial" w:hAnsi="Arial" w:cs="Arial"/>
          <w:sz w:val="24"/>
          <w:szCs w:val="24"/>
        </w:rPr>
        <w:t>(2021</w:t>
      </w:r>
      <w:r w:rsidR="001F61C8" w:rsidRPr="00864F8F">
        <w:rPr>
          <w:rFonts w:ascii="Arial" w:hAnsi="Arial" w:cs="Arial"/>
          <w:sz w:val="24"/>
          <w:szCs w:val="24"/>
        </w:rPr>
        <w:t>)</w:t>
      </w:r>
      <w:r w:rsidR="001F61C8" w:rsidRPr="00EE62CE">
        <w:rPr>
          <w:rFonts w:ascii="Arial" w:hAnsi="Arial" w:cs="Arial"/>
          <w:i/>
          <w:iCs/>
          <w:sz w:val="24"/>
          <w:szCs w:val="24"/>
        </w:rPr>
        <w:t xml:space="preserve"> </w:t>
      </w:r>
      <w:r w:rsidRPr="00EE62CE">
        <w:rPr>
          <w:rFonts w:ascii="Arial" w:hAnsi="Arial" w:cs="Arial"/>
          <w:i/>
          <w:iCs/>
          <w:sz w:val="24"/>
          <w:szCs w:val="24"/>
        </w:rPr>
        <w:t>Introduction to the English Legal System</w:t>
      </w:r>
      <w:r w:rsidRPr="00EE62CE">
        <w:rPr>
          <w:rFonts w:ascii="Arial" w:hAnsi="Arial" w:cs="Arial"/>
          <w:sz w:val="24"/>
          <w:szCs w:val="24"/>
        </w:rPr>
        <w:t xml:space="preserve">. </w:t>
      </w:r>
      <w:r w:rsidR="001F61C8" w:rsidRPr="00EE62CE">
        <w:rPr>
          <w:rFonts w:ascii="Arial" w:hAnsi="Arial" w:cs="Arial"/>
          <w:sz w:val="24"/>
          <w:szCs w:val="24"/>
        </w:rPr>
        <w:t>15</w:t>
      </w:r>
      <w:r w:rsidR="001F61C8" w:rsidRPr="00EE62CE">
        <w:rPr>
          <w:rFonts w:ascii="Arial" w:hAnsi="Arial" w:cs="Arial"/>
          <w:sz w:val="24"/>
          <w:szCs w:val="24"/>
          <w:vertAlign w:val="superscript"/>
        </w:rPr>
        <w:t>th</w:t>
      </w:r>
      <w:r w:rsidR="001F61C8" w:rsidRPr="00EE62CE">
        <w:rPr>
          <w:rFonts w:ascii="Arial" w:hAnsi="Arial" w:cs="Arial"/>
          <w:sz w:val="24"/>
          <w:szCs w:val="24"/>
        </w:rPr>
        <w:t xml:space="preserve"> </w:t>
      </w:r>
      <w:proofErr w:type="spellStart"/>
      <w:r w:rsidR="001F61C8" w:rsidRPr="00EE62CE">
        <w:rPr>
          <w:rFonts w:ascii="Arial" w:hAnsi="Arial" w:cs="Arial"/>
          <w:sz w:val="24"/>
          <w:szCs w:val="24"/>
        </w:rPr>
        <w:t>edn</w:t>
      </w:r>
      <w:proofErr w:type="spellEnd"/>
      <w:r w:rsidR="001F61C8" w:rsidRPr="00EE62CE">
        <w:rPr>
          <w:rFonts w:ascii="Arial" w:hAnsi="Arial" w:cs="Arial"/>
          <w:sz w:val="24"/>
          <w:szCs w:val="24"/>
        </w:rPr>
        <w:t>. O</w:t>
      </w:r>
      <w:r w:rsidR="007816EA" w:rsidRPr="00EE62CE">
        <w:rPr>
          <w:rFonts w:ascii="Arial" w:hAnsi="Arial" w:cs="Arial"/>
          <w:sz w:val="24"/>
          <w:szCs w:val="24"/>
        </w:rPr>
        <w:t xml:space="preserve">xford: University Press. </w:t>
      </w:r>
    </w:p>
    <w:p w14:paraId="6B34935C" w14:textId="77777777" w:rsidR="00B31DEF" w:rsidRDefault="00B31DEF" w:rsidP="00201964">
      <w:pPr>
        <w:rPr>
          <w:rFonts w:ascii="Arial" w:hAnsi="Arial" w:cs="Arial"/>
          <w:color w:val="222222"/>
          <w:sz w:val="20"/>
          <w:szCs w:val="20"/>
          <w:shd w:val="clear" w:color="auto" w:fill="FFFFFF"/>
        </w:rPr>
      </w:pPr>
    </w:p>
    <w:p w14:paraId="6D4F11BF" w14:textId="7EB83345" w:rsidR="0040786F" w:rsidRPr="00876899" w:rsidRDefault="0040786F" w:rsidP="00201964">
      <w:pPr>
        <w:rPr>
          <w:rFonts w:ascii="Arial" w:hAnsi="Arial" w:cs="Arial"/>
          <w:sz w:val="24"/>
          <w:szCs w:val="24"/>
        </w:rPr>
      </w:pPr>
    </w:p>
    <w:sectPr w:rsidR="0040786F" w:rsidRPr="0087689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6404"/>
    <w:rsid w:val="000034E3"/>
    <w:rsid w:val="00004155"/>
    <w:rsid w:val="0000484B"/>
    <w:rsid w:val="000105D1"/>
    <w:rsid w:val="0002568A"/>
    <w:rsid w:val="00027462"/>
    <w:rsid w:val="000331F4"/>
    <w:rsid w:val="00036A9F"/>
    <w:rsid w:val="00040071"/>
    <w:rsid w:val="00046BA4"/>
    <w:rsid w:val="00047975"/>
    <w:rsid w:val="00062D44"/>
    <w:rsid w:val="00063103"/>
    <w:rsid w:val="00076109"/>
    <w:rsid w:val="00080E07"/>
    <w:rsid w:val="00082482"/>
    <w:rsid w:val="00084BB0"/>
    <w:rsid w:val="000979C6"/>
    <w:rsid w:val="000A7BED"/>
    <w:rsid w:val="000B6368"/>
    <w:rsid w:val="000C06DF"/>
    <w:rsid w:val="000C102D"/>
    <w:rsid w:val="000C4FD2"/>
    <w:rsid w:val="000D238D"/>
    <w:rsid w:val="000E3857"/>
    <w:rsid w:val="000E58B2"/>
    <w:rsid w:val="000F1E10"/>
    <w:rsid w:val="000F7144"/>
    <w:rsid w:val="001054AB"/>
    <w:rsid w:val="00113D65"/>
    <w:rsid w:val="0011789A"/>
    <w:rsid w:val="00121B50"/>
    <w:rsid w:val="0013724F"/>
    <w:rsid w:val="00140859"/>
    <w:rsid w:val="00141F87"/>
    <w:rsid w:val="001428A3"/>
    <w:rsid w:val="00162F51"/>
    <w:rsid w:val="0016486C"/>
    <w:rsid w:val="00166534"/>
    <w:rsid w:val="0017226A"/>
    <w:rsid w:val="00172FBD"/>
    <w:rsid w:val="0017453C"/>
    <w:rsid w:val="001B3EE2"/>
    <w:rsid w:val="001B4736"/>
    <w:rsid w:val="001C5E98"/>
    <w:rsid w:val="001E3B0E"/>
    <w:rsid w:val="001F61C8"/>
    <w:rsid w:val="00201964"/>
    <w:rsid w:val="00205439"/>
    <w:rsid w:val="002060A7"/>
    <w:rsid w:val="002111B8"/>
    <w:rsid w:val="00211F11"/>
    <w:rsid w:val="002220BA"/>
    <w:rsid w:val="00224296"/>
    <w:rsid w:val="00230204"/>
    <w:rsid w:val="00241002"/>
    <w:rsid w:val="002423D2"/>
    <w:rsid w:val="0024293C"/>
    <w:rsid w:val="0024539E"/>
    <w:rsid w:val="00251F8D"/>
    <w:rsid w:val="00260947"/>
    <w:rsid w:val="00262892"/>
    <w:rsid w:val="00263CEE"/>
    <w:rsid w:val="00264AEB"/>
    <w:rsid w:val="00271F3E"/>
    <w:rsid w:val="002861CD"/>
    <w:rsid w:val="0029497E"/>
    <w:rsid w:val="00294F02"/>
    <w:rsid w:val="002A0A97"/>
    <w:rsid w:val="002C700C"/>
    <w:rsid w:val="002D3041"/>
    <w:rsid w:val="002D37A4"/>
    <w:rsid w:val="002E654A"/>
    <w:rsid w:val="002F1E11"/>
    <w:rsid w:val="003124BA"/>
    <w:rsid w:val="00312898"/>
    <w:rsid w:val="00314352"/>
    <w:rsid w:val="00320CF9"/>
    <w:rsid w:val="003234F1"/>
    <w:rsid w:val="003262CF"/>
    <w:rsid w:val="00330589"/>
    <w:rsid w:val="00345240"/>
    <w:rsid w:val="00345C4A"/>
    <w:rsid w:val="00346243"/>
    <w:rsid w:val="00350C8B"/>
    <w:rsid w:val="00351600"/>
    <w:rsid w:val="00352D1B"/>
    <w:rsid w:val="0036291F"/>
    <w:rsid w:val="00375688"/>
    <w:rsid w:val="003A0047"/>
    <w:rsid w:val="003B0A98"/>
    <w:rsid w:val="003B2696"/>
    <w:rsid w:val="003F3896"/>
    <w:rsid w:val="003F3937"/>
    <w:rsid w:val="003F5C66"/>
    <w:rsid w:val="0040786F"/>
    <w:rsid w:val="00411762"/>
    <w:rsid w:val="00415372"/>
    <w:rsid w:val="00420050"/>
    <w:rsid w:val="00422DC2"/>
    <w:rsid w:val="0042668E"/>
    <w:rsid w:val="0043124E"/>
    <w:rsid w:val="004316DC"/>
    <w:rsid w:val="00431B40"/>
    <w:rsid w:val="00435337"/>
    <w:rsid w:val="0045646D"/>
    <w:rsid w:val="0045761F"/>
    <w:rsid w:val="00461D4B"/>
    <w:rsid w:val="00476CE9"/>
    <w:rsid w:val="004778DB"/>
    <w:rsid w:val="00477A62"/>
    <w:rsid w:val="00491FCF"/>
    <w:rsid w:val="004933C3"/>
    <w:rsid w:val="004940BE"/>
    <w:rsid w:val="00494D86"/>
    <w:rsid w:val="004A062A"/>
    <w:rsid w:val="004A3553"/>
    <w:rsid w:val="004A4B6C"/>
    <w:rsid w:val="004B227C"/>
    <w:rsid w:val="004B5A10"/>
    <w:rsid w:val="004C4C78"/>
    <w:rsid w:val="004C6F48"/>
    <w:rsid w:val="004D592F"/>
    <w:rsid w:val="004D79BA"/>
    <w:rsid w:val="004E2298"/>
    <w:rsid w:val="004E3655"/>
    <w:rsid w:val="004F3D9A"/>
    <w:rsid w:val="00504756"/>
    <w:rsid w:val="00506404"/>
    <w:rsid w:val="0050751E"/>
    <w:rsid w:val="00513F91"/>
    <w:rsid w:val="005316BD"/>
    <w:rsid w:val="00545DCC"/>
    <w:rsid w:val="00552365"/>
    <w:rsid w:val="0055593E"/>
    <w:rsid w:val="00597E2C"/>
    <w:rsid w:val="005A73A2"/>
    <w:rsid w:val="005B1E08"/>
    <w:rsid w:val="005B1E62"/>
    <w:rsid w:val="005B54EA"/>
    <w:rsid w:val="005B7BF7"/>
    <w:rsid w:val="005C471E"/>
    <w:rsid w:val="005D0C58"/>
    <w:rsid w:val="005D0CCE"/>
    <w:rsid w:val="005D3B54"/>
    <w:rsid w:val="005D478A"/>
    <w:rsid w:val="005E1025"/>
    <w:rsid w:val="005F21C3"/>
    <w:rsid w:val="005F55A3"/>
    <w:rsid w:val="006103D8"/>
    <w:rsid w:val="00612668"/>
    <w:rsid w:val="0061747B"/>
    <w:rsid w:val="0062081A"/>
    <w:rsid w:val="00627A63"/>
    <w:rsid w:val="00640AC5"/>
    <w:rsid w:val="00656578"/>
    <w:rsid w:val="0066121F"/>
    <w:rsid w:val="00662524"/>
    <w:rsid w:val="00671104"/>
    <w:rsid w:val="00676764"/>
    <w:rsid w:val="00677B45"/>
    <w:rsid w:val="0068332B"/>
    <w:rsid w:val="0069095D"/>
    <w:rsid w:val="006B67A5"/>
    <w:rsid w:val="006E1A71"/>
    <w:rsid w:val="006E2E94"/>
    <w:rsid w:val="007008D2"/>
    <w:rsid w:val="00701926"/>
    <w:rsid w:val="00704B82"/>
    <w:rsid w:val="00714D14"/>
    <w:rsid w:val="007164CB"/>
    <w:rsid w:val="00721CEB"/>
    <w:rsid w:val="007237AB"/>
    <w:rsid w:val="00725B3A"/>
    <w:rsid w:val="00727474"/>
    <w:rsid w:val="00732A19"/>
    <w:rsid w:val="00743C86"/>
    <w:rsid w:val="00754D69"/>
    <w:rsid w:val="00757E3A"/>
    <w:rsid w:val="00775A8C"/>
    <w:rsid w:val="0077714B"/>
    <w:rsid w:val="007816EA"/>
    <w:rsid w:val="00782BA8"/>
    <w:rsid w:val="007A191E"/>
    <w:rsid w:val="007A2EDB"/>
    <w:rsid w:val="007B2CC0"/>
    <w:rsid w:val="007C00D9"/>
    <w:rsid w:val="007C41AE"/>
    <w:rsid w:val="007C72FC"/>
    <w:rsid w:val="007D32D1"/>
    <w:rsid w:val="007D5A56"/>
    <w:rsid w:val="007D5F5E"/>
    <w:rsid w:val="007E7358"/>
    <w:rsid w:val="007F2869"/>
    <w:rsid w:val="00801223"/>
    <w:rsid w:val="00813A63"/>
    <w:rsid w:val="00817B94"/>
    <w:rsid w:val="00821720"/>
    <w:rsid w:val="008247B3"/>
    <w:rsid w:val="00831B2A"/>
    <w:rsid w:val="0083211D"/>
    <w:rsid w:val="00851DCF"/>
    <w:rsid w:val="00856DE4"/>
    <w:rsid w:val="008607EF"/>
    <w:rsid w:val="00864F8F"/>
    <w:rsid w:val="00874B18"/>
    <w:rsid w:val="00876899"/>
    <w:rsid w:val="00882A52"/>
    <w:rsid w:val="00885443"/>
    <w:rsid w:val="008B0FB4"/>
    <w:rsid w:val="008B661D"/>
    <w:rsid w:val="008B6CA2"/>
    <w:rsid w:val="008C08D9"/>
    <w:rsid w:val="008C1EE4"/>
    <w:rsid w:val="008D237F"/>
    <w:rsid w:val="008D3A25"/>
    <w:rsid w:val="008E273A"/>
    <w:rsid w:val="008E7239"/>
    <w:rsid w:val="008F08F5"/>
    <w:rsid w:val="008F5E69"/>
    <w:rsid w:val="008F7104"/>
    <w:rsid w:val="00922089"/>
    <w:rsid w:val="00927D05"/>
    <w:rsid w:val="009361C7"/>
    <w:rsid w:val="00946438"/>
    <w:rsid w:val="00950D7D"/>
    <w:rsid w:val="009528DA"/>
    <w:rsid w:val="00953C40"/>
    <w:rsid w:val="00963FE1"/>
    <w:rsid w:val="009719E0"/>
    <w:rsid w:val="009765E9"/>
    <w:rsid w:val="009A01EF"/>
    <w:rsid w:val="009A0283"/>
    <w:rsid w:val="009B0383"/>
    <w:rsid w:val="009B2451"/>
    <w:rsid w:val="009C393D"/>
    <w:rsid w:val="009C4119"/>
    <w:rsid w:val="009D270C"/>
    <w:rsid w:val="009D2BCB"/>
    <w:rsid w:val="009E1F75"/>
    <w:rsid w:val="009F4B78"/>
    <w:rsid w:val="00A225D5"/>
    <w:rsid w:val="00A32833"/>
    <w:rsid w:val="00A41290"/>
    <w:rsid w:val="00A44326"/>
    <w:rsid w:val="00A51870"/>
    <w:rsid w:val="00A631F2"/>
    <w:rsid w:val="00A73231"/>
    <w:rsid w:val="00A860B9"/>
    <w:rsid w:val="00A935B5"/>
    <w:rsid w:val="00A9597C"/>
    <w:rsid w:val="00A95AE5"/>
    <w:rsid w:val="00A96BFE"/>
    <w:rsid w:val="00AA0E57"/>
    <w:rsid w:val="00AB28C9"/>
    <w:rsid w:val="00AB2A35"/>
    <w:rsid w:val="00AB3632"/>
    <w:rsid w:val="00AB54F4"/>
    <w:rsid w:val="00AB58D8"/>
    <w:rsid w:val="00AB5D76"/>
    <w:rsid w:val="00AC4029"/>
    <w:rsid w:val="00AC4759"/>
    <w:rsid w:val="00AE08A5"/>
    <w:rsid w:val="00AE418C"/>
    <w:rsid w:val="00AE4A58"/>
    <w:rsid w:val="00AF283D"/>
    <w:rsid w:val="00AF576C"/>
    <w:rsid w:val="00B0213B"/>
    <w:rsid w:val="00B034D3"/>
    <w:rsid w:val="00B059A3"/>
    <w:rsid w:val="00B0619D"/>
    <w:rsid w:val="00B10630"/>
    <w:rsid w:val="00B31DEF"/>
    <w:rsid w:val="00B31E6A"/>
    <w:rsid w:val="00B46964"/>
    <w:rsid w:val="00B46FC2"/>
    <w:rsid w:val="00B50F85"/>
    <w:rsid w:val="00B522CB"/>
    <w:rsid w:val="00B52721"/>
    <w:rsid w:val="00B53188"/>
    <w:rsid w:val="00B57302"/>
    <w:rsid w:val="00B610F9"/>
    <w:rsid w:val="00B674BD"/>
    <w:rsid w:val="00B72518"/>
    <w:rsid w:val="00B730B0"/>
    <w:rsid w:val="00BA3AEE"/>
    <w:rsid w:val="00BA45C7"/>
    <w:rsid w:val="00BA7AF3"/>
    <w:rsid w:val="00BB033E"/>
    <w:rsid w:val="00BB7C55"/>
    <w:rsid w:val="00BD0C53"/>
    <w:rsid w:val="00BD5F72"/>
    <w:rsid w:val="00BE4B15"/>
    <w:rsid w:val="00BF29FF"/>
    <w:rsid w:val="00BF531A"/>
    <w:rsid w:val="00C00C61"/>
    <w:rsid w:val="00C017A8"/>
    <w:rsid w:val="00C1332F"/>
    <w:rsid w:val="00C15C28"/>
    <w:rsid w:val="00C2429D"/>
    <w:rsid w:val="00C24902"/>
    <w:rsid w:val="00C25C16"/>
    <w:rsid w:val="00C36D97"/>
    <w:rsid w:val="00C528C9"/>
    <w:rsid w:val="00C5435F"/>
    <w:rsid w:val="00C60289"/>
    <w:rsid w:val="00C60C25"/>
    <w:rsid w:val="00C7497E"/>
    <w:rsid w:val="00C7588A"/>
    <w:rsid w:val="00C763FD"/>
    <w:rsid w:val="00C77CB8"/>
    <w:rsid w:val="00C849BE"/>
    <w:rsid w:val="00C90673"/>
    <w:rsid w:val="00C942D5"/>
    <w:rsid w:val="00CA2526"/>
    <w:rsid w:val="00CA5E45"/>
    <w:rsid w:val="00CB1B84"/>
    <w:rsid w:val="00CB46F5"/>
    <w:rsid w:val="00CC07C6"/>
    <w:rsid w:val="00CD339B"/>
    <w:rsid w:val="00CD3907"/>
    <w:rsid w:val="00CD6927"/>
    <w:rsid w:val="00CD779E"/>
    <w:rsid w:val="00CE48E1"/>
    <w:rsid w:val="00CE7792"/>
    <w:rsid w:val="00CF7456"/>
    <w:rsid w:val="00CF751E"/>
    <w:rsid w:val="00D06F99"/>
    <w:rsid w:val="00D11103"/>
    <w:rsid w:val="00D12E0B"/>
    <w:rsid w:val="00D14343"/>
    <w:rsid w:val="00D20CCC"/>
    <w:rsid w:val="00D256D6"/>
    <w:rsid w:val="00D26F15"/>
    <w:rsid w:val="00D360F8"/>
    <w:rsid w:val="00D468EC"/>
    <w:rsid w:val="00D47CFF"/>
    <w:rsid w:val="00D7171E"/>
    <w:rsid w:val="00D75D48"/>
    <w:rsid w:val="00D80F6C"/>
    <w:rsid w:val="00D8585F"/>
    <w:rsid w:val="00DA43AE"/>
    <w:rsid w:val="00DA7F36"/>
    <w:rsid w:val="00DB1186"/>
    <w:rsid w:val="00DB2111"/>
    <w:rsid w:val="00DB27A9"/>
    <w:rsid w:val="00DE3E52"/>
    <w:rsid w:val="00DF358E"/>
    <w:rsid w:val="00E17A6E"/>
    <w:rsid w:val="00E343E6"/>
    <w:rsid w:val="00E3527A"/>
    <w:rsid w:val="00E46A0F"/>
    <w:rsid w:val="00E61720"/>
    <w:rsid w:val="00E7698E"/>
    <w:rsid w:val="00E80DDF"/>
    <w:rsid w:val="00E84C69"/>
    <w:rsid w:val="00E9367E"/>
    <w:rsid w:val="00E93D3A"/>
    <w:rsid w:val="00E97375"/>
    <w:rsid w:val="00EA0D94"/>
    <w:rsid w:val="00EA6AB4"/>
    <w:rsid w:val="00EB122E"/>
    <w:rsid w:val="00EC1987"/>
    <w:rsid w:val="00EC60A6"/>
    <w:rsid w:val="00ED3820"/>
    <w:rsid w:val="00EE0DD2"/>
    <w:rsid w:val="00EE62CE"/>
    <w:rsid w:val="00EF56C1"/>
    <w:rsid w:val="00EF7B82"/>
    <w:rsid w:val="00F13DC5"/>
    <w:rsid w:val="00F260C7"/>
    <w:rsid w:val="00F31A9B"/>
    <w:rsid w:val="00F31DE7"/>
    <w:rsid w:val="00F4581E"/>
    <w:rsid w:val="00F50DCB"/>
    <w:rsid w:val="00F55789"/>
    <w:rsid w:val="00F61CE9"/>
    <w:rsid w:val="00F63764"/>
    <w:rsid w:val="00F64BEB"/>
    <w:rsid w:val="00F71CBA"/>
    <w:rsid w:val="00F82609"/>
    <w:rsid w:val="00F85571"/>
    <w:rsid w:val="00F90C46"/>
    <w:rsid w:val="00F95D90"/>
    <w:rsid w:val="00FA1B44"/>
    <w:rsid w:val="00FB0CF6"/>
    <w:rsid w:val="00FB2766"/>
    <w:rsid w:val="00FD00F8"/>
    <w:rsid w:val="00FD41D4"/>
    <w:rsid w:val="00FE17AE"/>
    <w:rsid w:val="00FE52E2"/>
    <w:rsid w:val="00FF25E7"/>
    <w:rsid w:val="00FF6F10"/>
    <w:rsid w:val="00FF72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223487"/>
  <w15:chartTrackingRefBased/>
  <w15:docId w15:val="{481F96F7-B940-4521-A8EE-7928A7EA80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5B54EA"/>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7162666">
      <w:bodyDiv w:val="1"/>
      <w:marLeft w:val="0"/>
      <w:marRight w:val="0"/>
      <w:marTop w:val="0"/>
      <w:marBottom w:val="0"/>
      <w:divBdr>
        <w:top w:val="none" w:sz="0" w:space="0" w:color="auto"/>
        <w:left w:val="none" w:sz="0" w:space="0" w:color="auto"/>
        <w:bottom w:val="none" w:sz="0" w:space="0" w:color="auto"/>
        <w:right w:val="none" w:sz="0" w:space="0" w:color="auto"/>
      </w:divBdr>
    </w:div>
    <w:div w:id="3687245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urtroomadvice.co.uk/common-law-england.html" TargetMode="Externa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hyperlink" Target="https://www.scienzegiuridiche.uniroma1.it/sites/default/files/docenti/alpa/Donoghue_Stevenson.pdf" TargetMode="Externa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dx.doi.org/10.2139/ssrn.2665675" TargetMode="External"/><Relationship Id="rId5" Type="http://schemas.openxmlformats.org/officeDocument/2006/relationships/settings" Target="settings.xml"/><Relationship Id="rId10" Type="http://schemas.openxmlformats.org/officeDocument/2006/relationships/hyperlink" Target="https://publications.parliament.uk/pa/ld199899/ldjudgmt/jd991028/fitz01.htm" TargetMode="External"/><Relationship Id="rId4" Type="http://schemas.openxmlformats.org/officeDocument/2006/relationships/styles" Target="styles.xml"/><Relationship Id="rId9" Type="http://schemas.openxmlformats.org/officeDocument/2006/relationships/hyperlink" Target="https://pubmed.ncbi.nlm.nih.gov/1164860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3" ma:contentTypeDescription="Create a new document." ma:contentTypeScope="" ma:versionID="8ace6dd96b4973698129002cd52085b0">
  <xsd:schema xmlns:xsd="http://www.w3.org/2001/XMLSchema" xmlns:xs="http://www.w3.org/2001/XMLSchema" xmlns:p="http://schemas.microsoft.com/office/2006/metadata/properties" xmlns:ns3="d8e79d84-78fb-44a9-92e9-d04bdd8f0359" targetNamespace="http://schemas.microsoft.com/office/2006/metadata/properties" ma:root="true" ma:fieldsID="fa78d7c9d0521df640f8f2864a499ac5" ns3:_="">
    <xsd:import namespace="d8e79d84-78fb-44a9-92e9-d04bdd8f0359"/>
    <xsd:element name="properties">
      <xsd:complexType>
        <xsd:sequence>
          <xsd:element name="documentManagement">
            <xsd:complexType>
              <xsd:all>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06E03949-3D2E-476E-9899-543E61D596DE}">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C2D92E0C-B0C4-4812-A6BA-866BC15628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C33F36D-E82D-4800-B860-84405573E82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735</TotalTime>
  <Pages>4</Pages>
  <Words>1828</Words>
  <Characters>10425</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Phoebe Alexandra Olivia Emery (2224078)</dc:creator>
  <cp:keywords/>
  <dc:description/>
  <cp:lastModifiedBy>Phoebe Alexandra Olivia Emery</cp:lastModifiedBy>
  <cp:revision>389</cp:revision>
  <dcterms:created xsi:type="dcterms:W3CDTF">2023-02-07T19:46:00Z</dcterms:created>
  <dcterms:modified xsi:type="dcterms:W3CDTF">2023-02-22T21:39:00Z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