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1E0" w:rsidRDefault="002521E0" w:rsidP="00466BF9">
      <w:pPr>
        <w:jc w:val="center"/>
        <w:rPr>
          <w:rFonts w:cs="Arial"/>
          <w:b/>
          <w:sz w:val="28"/>
          <w:lang w:val="en-GB"/>
        </w:rPr>
      </w:pPr>
      <w:r>
        <w:rPr>
          <w:noProof/>
          <w:lang w:val="en-GB"/>
        </w:rPr>
        <w:drawing>
          <wp:inline distT="0" distB="0" distL="0" distR="0" wp14:anchorId="26331A0F" wp14:editId="117B8213">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rsidR="002521E0" w:rsidRDefault="002521E0" w:rsidP="00466BF9">
      <w:pPr>
        <w:jc w:val="center"/>
        <w:rPr>
          <w:rFonts w:cs="Arial"/>
          <w:b/>
          <w:sz w:val="28"/>
          <w:lang w:val="en-GB"/>
        </w:rPr>
      </w:pPr>
    </w:p>
    <w:p w:rsidR="0015663E" w:rsidRPr="002521E0" w:rsidRDefault="0015663E" w:rsidP="0015663E">
      <w:pPr>
        <w:jc w:val="center"/>
        <w:rPr>
          <w:rFonts w:cs="Arial"/>
          <w:b/>
          <w:sz w:val="28"/>
          <w:lang w:val="en-GB"/>
        </w:rPr>
      </w:pPr>
      <w:r w:rsidRPr="002521E0">
        <w:rPr>
          <w:rFonts w:cs="Arial"/>
          <w:b/>
          <w:sz w:val="28"/>
          <w:lang w:val="en-GB"/>
        </w:rPr>
        <w:t>BA</w:t>
      </w:r>
      <w:r>
        <w:rPr>
          <w:rFonts w:cs="Arial"/>
          <w:b/>
          <w:sz w:val="28"/>
          <w:lang w:val="en-GB"/>
        </w:rPr>
        <w:t xml:space="preserve"> </w:t>
      </w:r>
      <w:r w:rsidRPr="002521E0">
        <w:rPr>
          <w:rFonts w:cs="Arial"/>
          <w:b/>
          <w:sz w:val="28"/>
          <w:lang w:val="en-GB"/>
        </w:rPr>
        <w:t>(Hons) Business Management</w:t>
      </w:r>
    </w:p>
    <w:p w:rsidR="0015663E" w:rsidRPr="00F702D7" w:rsidRDefault="009C07DC" w:rsidP="0015663E">
      <w:pPr>
        <w:jc w:val="center"/>
        <w:rPr>
          <w:rFonts w:cs="Arial"/>
          <w:b/>
          <w:i/>
          <w:sz w:val="28"/>
          <w:lang w:val="en-GB"/>
        </w:rPr>
      </w:pPr>
      <w:r>
        <w:rPr>
          <w:rFonts w:cs="Arial"/>
          <w:b/>
          <w:i/>
          <w:sz w:val="28"/>
          <w:lang w:val="en-GB"/>
        </w:rPr>
        <w:t>Lloyds Bank</w:t>
      </w:r>
    </w:p>
    <w:p w:rsidR="0015663E" w:rsidRPr="002521E0" w:rsidRDefault="0015663E" w:rsidP="0015663E">
      <w:pPr>
        <w:jc w:val="center"/>
        <w:rPr>
          <w:rFonts w:cs="Arial"/>
          <w:b/>
          <w:sz w:val="28"/>
          <w:lang w:val="en-GB"/>
        </w:rPr>
      </w:pPr>
      <w:r>
        <w:rPr>
          <w:rFonts w:cs="Arial"/>
          <w:b/>
          <w:sz w:val="28"/>
          <w:lang w:val="en-GB"/>
        </w:rPr>
        <w:t>Student Name:</w:t>
      </w:r>
      <w:r w:rsidRPr="0022461A">
        <w:rPr>
          <w:rFonts w:cs="Arial"/>
          <w:b/>
          <w:sz w:val="28"/>
          <w:lang w:val="en-GB"/>
        </w:rPr>
        <w:t xml:space="preserve"> Irina Huides</w:t>
      </w:r>
    </w:p>
    <w:p w:rsidR="0015663E" w:rsidRPr="002521E0" w:rsidRDefault="0015663E" w:rsidP="0015663E">
      <w:pPr>
        <w:jc w:val="center"/>
        <w:rPr>
          <w:rFonts w:cs="Arial"/>
          <w:b/>
          <w:sz w:val="28"/>
          <w:lang w:val="en-GB"/>
        </w:rPr>
      </w:pPr>
      <w:r w:rsidRPr="002521E0">
        <w:rPr>
          <w:rFonts w:cs="Arial"/>
          <w:b/>
          <w:sz w:val="28"/>
          <w:lang w:val="en-GB"/>
        </w:rPr>
        <w:t xml:space="preserve">Student Number: </w:t>
      </w:r>
      <w:r w:rsidRPr="0022461A">
        <w:rPr>
          <w:rFonts w:cs="Arial"/>
          <w:b/>
          <w:sz w:val="28"/>
          <w:lang w:val="en-GB"/>
        </w:rPr>
        <w:t>2412669</w:t>
      </w:r>
    </w:p>
    <w:p w:rsidR="009C07DC" w:rsidRPr="002521E0" w:rsidRDefault="009C07DC" w:rsidP="009C07DC">
      <w:pPr>
        <w:jc w:val="center"/>
        <w:rPr>
          <w:rFonts w:cs="Arial"/>
          <w:b/>
          <w:sz w:val="28"/>
          <w:lang w:val="en-GB"/>
        </w:rPr>
      </w:pPr>
      <w:r w:rsidRPr="004B62CA">
        <w:rPr>
          <w:rFonts w:cs="Arial"/>
          <w:b/>
          <w:sz w:val="28"/>
          <w:lang w:val="en-GB"/>
        </w:rPr>
        <w:t>Module</w:t>
      </w:r>
      <w:r w:rsidRPr="002521E0">
        <w:rPr>
          <w:rFonts w:cs="Arial"/>
          <w:b/>
          <w:sz w:val="28"/>
          <w:lang w:val="en-GB"/>
        </w:rPr>
        <w:t xml:space="preserve"> Name</w:t>
      </w:r>
      <w:r>
        <w:rPr>
          <w:rFonts w:cs="Arial"/>
          <w:b/>
          <w:sz w:val="28"/>
          <w:lang w:val="en-GB"/>
        </w:rPr>
        <w:t xml:space="preserve"> and code</w:t>
      </w:r>
      <w:r w:rsidRPr="002521E0">
        <w:rPr>
          <w:rFonts w:cs="Arial"/>
          <w:b/>
          <w:sz w:val="28"/>
          <w:lang w:val="en-GB"/>
        </w:rPr>
        <w:t xml:space="preserve">: </w:t>
      </w:r>
      <w:r w:rsidRPr="004B62CA">
        <w:rPr>
          <w:rFonts w:cs="Arial"/>
          <w:b/>
          <w:sz w:val="28"/>
          <w:lang w:val="en-GB"/>
        </w:rPr>
        <w:t>Man</w:t>
      </w:r>
      <w:r>
        <w:rPr>
          <w:rFonts w:cs="Arial"/>
          <w:b/>
          <w:sz w:val="28"/>
          <w:lang w:val="en-GB"/>
        </w:rPr>
        <w:t xml:space="preserve">agement Accounting for Managers - </w:t>
      </w:r>
      <w:r w:rsidRPr="004B62CA">
        <w:rPr>
          <w:rFonts w:cs="Arial"/>
          <w:b/>
          <w:sz w:val="28"/>
          <w:lang w:val="en-GB"/>
        </w:rPr>
        <w:t>LCBB5010</w:t>
      </w:r>
    </w:p>
    <w:p w:rsidR="009C07DC" w:rsidRPr="002521E0" w:rsidRDefault="009C07DC" w:rsidP="009C07DC">
      <w:pPr>
        <w:jc w:val="center"/>
        <w:rPr>
          <w:rFonts w:cs="Arial"/>
          <w:b/>
          <w:sz w:val="28"/>
          <w:lang w:val="en-GB"/>
        </w:rPr>
      </w:pPr>
      <w:r w:rsidRPr="002521E0">
        <w:rPr>
          <w:rFonts w:cs="Arial"/>
          <w:b/>
          <w:sz w:val="28"/>
          <w:lang w:val="en-GB"/>
        </w:rPr>
        <w:t xml:space="preserve">Lecturer Name: </w:t>
      </w:r>
      <w:r>
        <w:rPr>
          <w:rFonts w:cs="Arial"/>
          <w:b/>
          <w:sz w:val="28"/>
          <w:lang w:val="en-GB"/>
        </w:rPr>
        <w:t>Zainab Atta</w:t>
      </w:r>
    </w:p>
    <w:p w:rsidR="0015663E" w:rsidRDefault="0015663E" w:rsidP="0015663E">
      <w:pPr>
        <w:jc w:val="center"/>
        <w:rPr>
          <w:rFonts w:cs="Arial"/>
          <w:b/>
          <w:sz w:val="28"/>
          <w:lang w:val="en-GB"/>
        </w:rPr>
      </w:pPr>
    </w:p>
    <w:p w:rsidR="002521E0" w:rsidRDefault="002521E0" w:rsidP="002464E5">
      <w:pPr>
        <w:jc w:val="center"/>
        <w:rPr>
          <w:rFonts w:cs="Arial"/>
          <w:b/>
          <w:sz w:val="28"/>
          <w:lang w:val="en-GB"/>
        </w:rPr>
      </w:pPr>
    </w:p>
    <w:p w:rsidR="002521E0" w:rsidRDefault="002521E0"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sdt>
      <w:sdtPr>
        <w:rPr>
          <w:rFonts w:asciiTheme="minorHAnsi" w:eastAsiaTheme="minorEastAsia" w:hAnsiTheme="minorHAnsi" w:cstheme="minorBidi"/>
          <w:b w:val="0"/>
          <w:color w:val="auto"/>
          <w:sz w:val="22"/>
          <w:szCs w:val="22"/>
          <w:lang w:val="ro-RO" w:eastAsia="zh-CN"/>
        </w:rPr>
        <w:id w:val="733747752"/>
        <w:docPartObj>
          <w:docPartGallery w:val="Table of Contents"/>
          <w:docPartUnique/>
        </w:docPartObj>
      </w:sdtPr>
      <w:sdtEndPr>
        <w:rPr>
          <w:rFonts w:ascii="Arial" w:hAnsi="Arial"/>
          <w:bCs/>
          <w:noProof/>
          <w:sz w:val="24"/>
        </w:rPr>
      </w:sdtEndPr>
      <w:sdtContent>
        <w:p w:rsidR="00951221" w:rsidRDefault="00951221">
          <w:pPr>
            <w:pStyle w:val="TOCHeading"/>
          </w:pPr>
          <w:r>
            <w:t>Cont</w:t>
          </w:r>
          <w:bookmarkStart w:id="0" w:name="_GoBack"/>
          <w:bookmarkEnd w:id="0"/>
          <w:r>
            <w:t>ents</w:t>
          </w:r>
        </w:p>
        <w:p w:rsidR="00EB07F6" w:rsidRDefault="00951221">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34846198" w:history="1">
            <w:r w:rsidR="00EB07F6" w:rsidRPr="006C3284">
              <w:rPr>
                <w:rStyle w:val="Hyperlink"/>
                <w:noProof/>
              </w:rPr>
              <w:t>Introduction</w:t>
            </w:r>
            <w:r w:rsidR="00EB07F6">
              <w:rPr>
                <w:noProof/>
                <w:webHidden/>
              </w:rPr>
              <w:tab/>
            </w:r>
            <w:r w:rsidR="00EB07F6">
              <w:rPr>
                <w:noProof/>
                <w:webHidden/>
              </w:rPr>
              <w:fldChar w:fldCharType="begin"/>
            </w:r>
            <w:r w:rsidR="00EB07F6">
              <w:rPr>
                <w:noProof/>
                <w:webHidden/>
              </w:rPr>
              <w:instrText xml:space="preserve"> PAGEREF _Toc234846198 \h </w:instrText>
            </w:r>
            <w:r w:rsidR="00EB07F6">
              <w:rPr>
                <w:noProof/>
                <w:webHidden/>
              </w:rPr>
            </w:r>
            <w:r w:rsidR="00EB07F6">
              <w:rPr>
                <w:noProof/>
                <w:webHidden/>
              </w:rPr>
              <w:fldChar w:fldCharType="separate"/>
            </w:r>
            <w:r w:rsidR="00AD1F15">
              <w:rPr>
                <w:noProof/>
                <w:webHidden/>
              </w:rPr>
              <w:t>3</w:t>
            </w:r>
            <w:r w:rsidR="00EB07F6">
              <w:rPr>
                <w:noProof/>
                <w:webHidden/>
              </w:rPr>
              <w:fldChar w:fldCharType="end"/>
            </w:r>
          </w:hyperlink>
        </w:p>
        <w:p w:rsidR="00EB07F6" w:rsidRDefault="00EB07F6">
          <w:pPr>
            <w:pStyle w:val="TOC1"/>
            <w:tabs>
              <w:tab w:val="right" w:leader="dot" w:pos="9016"/>
            </w:tabs>
            <w:rPr>
              <w:rFonts w:asciiTheme="minorHAnsi" w:hAnsiTheme="minorHAnsi"/>
              <w:noProof/>
              <w:sz w:val="22"/>
              <w:lang w:val="en-GB"/>
            </w:rPr>
          </w:pPr>
          <w:hyperlink w:anchor="_Toc234846199" w:history="1">
            <w:r w:rsidRPr="006C3284">
              <w:rPr>
                <w:rStyle w:val="Hyperlink"/>
                <w:noProof/>
              </w:rPr>
              <w:t>Main Body</w:t>
            </w:r>
            <w:r>
              <w:rPr>
                <w:noProof/>
                <w:webHidden/>
              </w:rPr>
              <w:tab/>
            </w:r>
            <w:r>
              <w:rPr>
                <w:noProof/>
                <w:webHidden/>
              </w:rPr>
              <w:fldChar w:fldCharType="begin"/>
            </w:r>
            <w:r>
              <w:rPr>
                <w:noProof/>
                <w:webHidden/>
              </w:rPr>
              <w:instrText xml:space="preserve"> PAGEREF _Toc234846199 \h </w:instrText>
            </w:r>
            <w:r>
              <w:rPr>
                <w:noProof/>
                <w:webHidden/>
              </w:rPr>
            </w:r>
            <w:r>
              <w:rPr>
                <w:noProof/>
                <w:webHidden/>
              </w:rPr>
              <w:fldChar w:fldCharType="separate"/>
            </w:r>
            <w:r w:rsidR="00AD1F15">
              <w:rPr>
                <w:noProof/>
                <w:webHidden/>
              </w:rPr>
              <w:t>3</w:t>
            </w:r>
            <w:r>
              <w:rPr>
                <w:noProof/>
                <w:webHidden/>
              </w:rPr>
              <w:fldChar w:fldCharType="end"/>
            </w:r>
          </w:hyperlink>
        </w:p>
        <w:p w:rsidR="00EB07F6" w:rsidRDefault="00EB07F6">
          <w:pPr>
            <w:pStyle w:val="TOC2"/>
            <w:tabs>
              <w:tab w:val="right" w:leader="dot" w:pos="9016"/>
            </w:tabs>
            <w:rPr>
              <w:rFonts w:asciiTheme="minorHAnsi" w:hAnsiTheme="minorHAnsi"/>
              <w:noProof/>
              <w:sz w:val="22"/>
              <w:lang w:val="en-GB"/>
            </w:rPr>
          </w:pPr>
          <w:hyperlink w:anchor="_Toc234846200" w:history="1">
            <w:r w:rsidRPr="006C3284">
              <w:rPr>
                <w:rStyle w:val="Hyperlink"/>
                <w:noProof/>
              </w:rPr>
              <w:t>Cost Analysis and Business Model</w:t>
            </w:r>
            <w:r>
              <w:rPr>
                <w:noProof/>
                <w:webHidden/>
              </w:rPr>
              <w:tab/>
            </w:r>
            <w:r>
              <w:rPr>
                <w:noProof/>
                <w:webHidden/>
              </w:rPr>
              <w:fldChar w:fldCharType="begin"/>
            </w:r>
            <w:r>
              <w:rPr>
                <w:noProof/>
                <w:webHidden/>
              </w:rPr>
              <w:instrText xml:space="preserve"> PAGEREF _Toc234846200 \h </w:instrText>
            </w:r>
            <w:r>
              <w:rPr>
                <w:noProof/>
                <w:webHidden/>
              </w:rPr>
            </w:r>
            <w:r>
              <w:rPr>
                <w:noProof/>
                <w:webHidden/>
              </w:rPr>
              <w:fldChar w:fldCharType="separate"/>
            </w:r>
            <w:r w:rsidR="00AD1F15">
              <w:rPr>
                <w:noProof/>
                <w:webHidden/>
              </w:rPr>
              <w:t>3</w:t>
            </w:r>
            <w:r>
              <w:rPr>
                <w:noProof/>
                <w:webHidden/>
              </w:rPr>
              <w:fldChar w:fldCharType="end"/>
            </w:r>
          </w:hyperlink>
        </w:p>
        <w:p w:rsidR="00EB07F6" w:rsidRDefault="00EB07F6">
          <w:pPr>
            <w:pStyle w:val="TOC2"/>
            <w:tabs>
              <w:tab w:val="right" w:leader="dot" w:pos="9016"/>
            </w:tabs>
            <w:rPr>
              <w:rFonts w:asciiTheme="minorHAnsi" w:hAnsiTheme="minorHAnsi"/>
              <w:noProof/>
              <w:sz w:val="22"/>
              <w:lang w:val="en-GB"/>
            </w:rPr>
          </w:pPr>
          <w:hyperlink w:anchor="_Toc234846201" w:history="1">
            <w:r w:rsidRPr="006C3284">
              <w:rPr>
                <w:rStyle w:val="Hyperlink"/>
                <w:noProof/>
              </w:rPr>
              <w:t>Budgeting and Financial Planning</w:t>
            </w:r>
            <w:r>
              <w:rPr>
                <w:noProof/>
                <w:webHidden/>
              </w:rPr>
              <w:tab/>
            </w:r>
            <w:r>
              <w:rPr>
                <w:noProof/>
                <w:webHidden/>
              </w:rPr>
              <w:fldChar w:fldCharType="begin"/>
            </w:r>
            <w:r>
              <w:rPr>
                <w:noProof/>
                <w:webHidden/>
              </w:rPr>
              <w:instrText xml:space="preserve"> PAGEREF _Toc234846201 \h </w:instrText>
            </w:r>
            <w:r>
              <w:rPr>
                <w:noProof/>
                <w:webHidden/>
              </w:rPr>
            </w:r>
            <w:r>
              <w:rPr>
                <w:noProof/>
                <w:webHidden/>
              </w:rPr>
              <w:fldChar w:fldCharType="separate"/>
            </w:r>
            <w:r w:rsidR="00AD1F15">
              <w:rPr>
                <w:noProof/>
                <w:webHidden/>
              </w:rPr>
              <w:t>5</w:t>
            </w:r>
            <w:r>
              <w:rPr>
                <w:noProof/>
                <w:webHidden/>
              </w:rPr>
              <w:fldChar w:fldCharType="end"/>
            </w:r>
          </w:hyperlink>
        </w:p>
        <w:p w:rsidR="00EB07F6" w:rsidRDefault="00EB07F6">
          <w:pPr>
            <w:pStyle w:val="TOC2"/>
            <w:tabs>
              <w:tab w:val="right" w:leader="dot" w:pos="9016"/>
            </w:tabs>
            <w:rPr>
              <w:rFonts w:asciiTheme="minorHAnsi" w:hAnsiTheme="minorHAnsi"/>
              <w:noProof/>
              <w:sz w:val="22"/>
              <w:lang w:val="en-GB"/>
            </w:rPr>
          </w:pPr>
          <w:hyperlink w:anchor="_Toc234846202" w:history="1">
            <w:r w:rsidRPr="006C3284">
              <w:rPr>
                <w:rStyle w:val="Hyperlink"/>
                <w:noProof/>
              </w:rPr>
              <w:t>Performance Measurement and Decision-Making</w:t>
            </w:r>
            <w:r>
              <w:rPr>
                <w:noProof/>
                <w:webHidden/>
              </w:rPr>
              <w:tab/>
            </w:r>
            <w:r>
              <w:rPr>
                <w:noProof/>
                <w:webHidden/>
              </w:rPr>
              <w:fldChar w:fldCharType="begin"/>
            </w:r>
            <w:r>
              <w:rPr>
                <w:noProof/>
                <w:webHidden/>
              </w:rPr>
              <w:instrText xml:space="preserve"> PAGEREF _Toc234846202 \h </w:instrText>
            </w:r>
            <w:r>
              <w:rPr>
                <w:noProof/>
                <w:webHidden/>
              </w:rPr>
            </w:r>
            <w:r>
              <w:rPr>
                <w:noProof/>
                <w:webHidden/>
              </w:rPr>
              <w:fldChar w:fldCharType="separate"/>
            </w:r>
            <w:r w:rsidR="00AD1F15">
              <w:rPr>
                <w:noProof/>
                <w:webHidden/>
              </w:rPr>
              <w:t>6</w:t>
            </w:r>
            <w:r>
              <w:rPr>
                <w:noProof/>
                <w:webHidden/>
              </w:rPr>
              <w:fldChar w:fldCharType="end"/>
            </w:r>
          </w:hyperlink>
        </w:p>
        <w:p w:rsidR="00EB07F6" w:rsidRDefault="00EB07F6">
          <w:pPr>
            <w:pStyle w:val="TOC2"/>
            <w:tabs>
              <w:tab w:val="right" w:leader="dot" w:pos="9016"/>
            </w:tabs>
            <w:rPr>
              <w:rFonts w:asciiTheme="minorHAnsi" w:hAnsiTheme="minorHAnsi"/>
              <w:noProof/>
              <w:sz w:val="22"/>
              <w:lang w:val="en-GB"/>
            </w:rPr>
          </w:pPr>
          <w:hyperlink w:anchor="_Toc234846203" w:history="1">
            <w:r w:rsidRPr="006C3284">
              <w:rPr>
                <w:rStyle w:val="Hyperlink"/>
                <w:noProof/>
              </w:rPr>
              <w:t>Sustainability and Ethical Considerations</w:t>
            </w:r>
            <w:r>
              <w:rPr>
                <w:noProof/>
                <w:webHidden/>
              </w:rPr>
              <w:tab/>
            </w:r>
            <w:r>
              <w:rPr>
                <w:noProof/>
                <w:webHidden/>
              </w:rPr>
              <w:fldChar w:fldCharType="begin"/>
            </w:r>
            <w:r>
              <w:rPr>
                <w:noProof/>
                <w:webHidden/>
              </w:rPr>
              <w:instrText xml:space="preserve"> PAGEREF _Toc234846203 \h </w:instrText>
            </w:r>
            <w:r>
              <w:rPr>
                <w:noProof/>
                <w:webHidden/>
              </w:rPr>
            </w:r>
            <w:r>
              <w:rPr>
                <w:noProof/>
                <w:webHidden/>
              </w:rPr>
              <w:fldChar w:fldCharType="separate"/>
            </w:r>
            <w:r w:rsidR="00AD1F15">
              <w:rPr>
                <w:noProof/>
                <w:webHidden/>
              </w:rPr>
              <w:t>8</w:t>
            </w:r>
            <w:r>
              <w:rPr>
                <w:noProof/>
                <w:webHidden/>
              </w:rPr>
              <w:fldChar w:fldCharType="end"/>
            </w:r>
          </w:hyperlink>
        </w:p>
        <w:p w:rsidR="00EB07F6" w:rsidRDefault="00EB07F6">
          <w:pPr>
            <w:pStyle w:val="TOC2"/>
            <w:tabs>
              <w:tab w:val="right" w:leader="dot" w:pos="9016"/>
            </w:tabs>
            <w:rPr>
              <w:rFonts w:asciiTheme="minorHAnsi" w:hAnsiTheme="minorHAnsi"/>
              <w:noProof/>
              <w:sz w:val="22"/>
              <w:lang w:val="en-GB"/>
            </w:rPr>
          </w:pPr>
          <w:hyperlink w:anchor="_Toc234846204" w:history="1">
            <w:r w:rsidRPr="006C3284">
              <w:rPr>
                <w:rStyle w:val="Hyperlink"/>
                <w:rFonts w:cs="Times New Roman"/>
                <w:noProof/>
              </w:rPr>
              <w:t>Conclusion and Recommendations</w:t>
            </w:r>
            <w:r>
              <w:rPr>
                <w:noProof/>
                <w:webHidden/>
              </w:rPr>
              <w:tab/>
            </w:r>
            <w:r>
              <w:rPr>
                <w:noProof/>
                <w:webHidden/>
              </w:rPr>
              <w:fldChar w:fldCharType="begin"/>
            </w:r>
            <w:r>
              <w:rPr>
                <w:noProof/>
                <w:webHidden/>
              </w:rPr>
              <w:instrText xml:space="preserve"> PAGEREF _Toc234846204 \h </w:instrText>
            </w:r>
            <w:r>
              <w:rPr>
                <w:noProof/>
                <w:webHidden/>
              </w:rPr>
            </w:r>
            <w:r>
              <w:rPr>
                <w:noProof/>
                <w:webHidden/>
              </w:rPr>
              <w:fldChar w:fldCharType="separate"/>
            </w:r>
            <w:r w:rsidR="00AD1F15">
              <w:rPr>
                <w:noProof/>
                <w:webHidden/>
              </w:rPr>
              <w:t>9</w:t>
            </w:r>
            <w:r>
              <w:rPr>
                <w:noProof/>
                <w:webHidden/>
              </w:rPr>
              <w:fldChar w:fldCharType="end"/>
            </w:r>
          </w:hyperlink>
        </w:p>
        <w:p w:rsidR="00EB07F6" w:rsidRDefault="00EB07F6">
          <w:pPr>
            <w:pStyle w:val="TOC1"/>
            <w:tabs>
              <w:tab w:val="right" w:leader="dot" w:pos="9016"/>
            </w:tabs>
            <w:rPr>
              <w:rFonts w:asciiTheme="minorHAnsi" w:hAnsiTheme="minorHAnsi"/>
              <w:noProof/>
              <w:sz w:val="22"/>
              <w:lang w:val="en-GB"/>
            </w:rPr>
          </w:pPr>
          <w:hyperlink w:anchor="_Toc234846205" w:history="1">
            <w:r w:rsidRPr="006C3284">
              <w:rPr>
                <w:rStyle w:val="Hyperlink"/>
                <w:noProof/>
              </w:rPr>
              <w:t>References</w:t>
            </w:r>
            <w:r>
              <w:rPr>
                <w:noProof/>
                <w:webHidden/>
              </w:rPr>
              <w:tab/>
            </w:r>
            <w:r>
              <w:rPr>
                <w:noProof/>
                <w:webHidden/>
              </w:rPr>
              <w:fldChar w:fldCharType="begin"/>
            </w:r>
            <w:r>
              <w:rPr>
                <w:noProof/>
                <w:webHidden/>
              </w:rPr>
              <w:instrText xml:space="preserve"> PAGEREF _Toc234846205 \h </w:instrText>
            </w:r>
            <w:r>
              <w:rPr>
                <w:noProof/>
                <w:webHidden/>
              </w:rPr>
            </w:r>
            <w:r>
              <w:rPr>
                <w:noProof/>
                <w:webHidden/>
              </w:rPr>
              <w:fldChar w:fldCharType="separate"/>
            </w:r>
            <w:r w:rsidR="00AD1F15">
              <w:rPr>
                <w:noProof/>
                <w:webHidden/>
              </w:rPr>
              <w:t>10</w:t>
            </w:r>
            <w:r>
              <w:rPr>
                <w:noProof/>
                <w:webHidden/>
              </w:rPr>
              <w:fldChar w:fldCharType="end"/>
            </w:r>
          </w:hyperlink>
        </w:p>
        <w:p w:rsidR="00951221" w:rsidRDefault="00951221">
          <w:r>
            <w:rPr>
              <w:b/>
              <w:bCs/>
              <w:noProof/>
            </w:rPr>
            <w:fldChar w:fldCharType="end"/>
          </w:r>
        </w:p>
      </w:sdtContent>
    </w:sdt>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2A51C9" w:rsidRDefault="002A51C9" w:rsidP="00934E4A">
      <w:pPr>
        <w:rPr>
          <w:rFonts w:cs="Times New Roman"/>
          <w:szCs w:val="24"/>
        </w:rPr>
      </w:pPr>
    </w:p>
    <w:p w:rsidR="002A51C9" w:rsidRDefault="002A51C9" w:rsidP="00934E4A">
      <w:pPr>
        <w:rPr>
          <w:rFonts w:cs="Times New Roman"/>
          <w:szCs w:val="24"/>
        </w:rPr>
      </w:pPr>
    </w:p>
    <w:p w:rsidR="00904AF8" w:rsidRDefault="00904AF8" w:rsidP="00934E4A">
      <w:pPr>
        <w:rPr>
          <w:rFonts w:cs="Times New Roman"/>
          <w:szCs w:val="24"/>
        </w:rPr>
      </w:pPr>
    </w:p>
    <w:p w:rsidR="00904AF8" w:rsidRDefault="00904AF8" w:rsidP="00934E4A">
      <w:pPr>
        <w:rPr>
          <w:rFonts w:cs="Times New Roman"/>
          <w:szCs w:val="24"/>
        </w:rPr>
      </w:pPr>
    </w:p>
    <w:p w:rsidR="00904AF8" w:rsidRDefault="00904AF8" w:rsidP="00934E4A">
      <w:pPr>
        <w:rPr>
          <w:rFonts w:cs="Times New Roman"/>
          <w:szCs w:val="24"/>
        </w:rPr>
      </w:pPr>
    </w:p>
    <w:p w:rsidR="00904AF8" w:rsidRDefault="00904AF8" w:rsidP="00934E4A">
      <w:pPr>
        <w:rPr>
          <w:rFonts w:cs="Times New Roman"/>
          <w:szCs w:val="24"/>
        </w:rPr>
      </w:pPr>
    </w:p>
    <w:p w:rsidR="00904AF8" w:rsidRDefault="00904AF8" w:rsidP="00934E4A">
      <w:pPr>
        <w:rPr>
          <w:rFonts w:cs="Times New Roman"/>
          <w:szCs w:val="24"/>
        </w:rPr>
      </w:pPr>
    </w:p>
    <w:p w:rsidR="00904AF8" w:rsidRDefault="00904AF8" w:rsidP="00934E4A">
      <w:pPr>
        <w:rPr>
          <w:rFonts w:cs="Times New Roman"/>
          <w:szCs w:val="24"/>
        </w:rPr>
      </w:pPr>
    </w:p>
    <w:p w:rsidR="00904AF8" w:rsidRDefault="00904AF8" w:rsidP="00934E4A">
      <w:pPr>
        <w:rPr>
          <w:rFonts w:cs="Times New Roman"/>
          <w:szCs w:val="24"/>
        </w:rPr>
      </w:pPr>
    </w:p>
    <w:p w:rsidR="002A51C9" w:rsidRDefault="002A51C9" w:rsidP="00934E4A">
      <w:pPr>
        <w:rPr>
          <w:rFonts w:cs="Times New Roman"/>
          <w:szCs w:val="24"/>
        </w:rPr>
      </w:pPr>
    </w:p>
    <w:p w:rsidR="00DA66A6" w:rsidRDefault="00DA66A6" w:rsidP="00934E4A">
      <w:pPr>
        <w:rPr>
          <w:rFonts w:cs="Times New Roman"/>
          <w:szCs w:val="24"/>
        </w:rPr>
      </w:pPr>
    </w:p>
    <w:p w:rsidR="009C07DC" w:rsidRDefault="009C07DC" w:rsidP="009C07DC">
      <w:pPr>
        <w:pStyle w:val="Heading1"/>
      </w:pPr>
      <w:bookmarkStart w:id="1" w:name="_Toc234846198"/>
      <w:r>
        <w:lastRenderedPageBreak/>
        <w:t>Introduction</w:t>
      </w:r>
      <w:bookmarkEnd w:id="1"/>
    </w:p>
    <w:p w:rsidR="009C07DC" w:rsidRDefault="009C07DC" w:rsidP="009C07DC">
      <w:r>
        <w:t>Lloyds Banking Group plc is the preeminent UK-centric retail and commercial financial services provider, catering to around 28 million clients through brands such as Lloyds Bank, Halifax, Bank of Scotland, and Scottish Widows. Its operations include retail and commercial banking, mortgages, consumer financing, insurance, pensions, and wealth management. By the conclusion of 2025, 23.6 million clients were digitally engaged, underscoring the significance of technology in the current business model</w:t>
      </w:r>
      <w:r>
        <w:t xml:space="preserve"> (Lloyds Banking Group, 2026a).</w:t>
      </w:r>
    </w:p>
    <w:p w:rsidR="009C07DC" w:rsidRPr="009C07DC" w:rsidRDefault="009C07DC" w:rsidP="009C07DC">
      <w:r>
        <w:t>Management accounting is crucial in banking since it enables managers to balance profitability, liquidity, capital sufficiency, credit risk, and regulatory compliance. Budgets, cost analyses, profitability metrics, and risk-adjusted performance indicators assist financial institutions in capital allocation and the assessment of products, consumers, and business divisions (Drury, 2021). At Lloyds, management accounting facilitates choices related to loan expansion, deposit pricing, digital investment, branch optimisation, and impairment provisions. This research assesses the Group's utilisation of cost analysis, budgeting, and performance assessment to facilitate modern financial decision-making, while taking into account sustainability and ethical responsibilities.</w:t>
      </w:r>
    </w:p>
    <w:p w:rsidR="009C07DC" w:rsidRDefault="009C07DC" w:rsidP="009C07DC">
      <w:pPr>
        <w:pStyle w:val="Heading1"/>
      </w:pPr>
      <w:bookmarkStart w:id="2" w:name="_Toc234846199"/>
      <w:r>
        <w:t>Main Body</w:t>
      </w:r>
      <w:bookmarkEnd w:id="2"/>
    </w:p>
    <w:p w:rsidR="009C07DC" w:rsidRDefault="009C07DC" w:rsidP="009C07DC">
      <w:pPr>
        <w:pStyle w:val="Heading2"/>
      </w:pPr>
      <w:bookmarkStart w:id="3" w:name="_Toc234846200"/>
      <w:r w:rsidRPr="009C07DC">
        <w:t>Cost Analysis and Business Model</w:t>
      </w:r>
      <w:bookmarkEnd w:id="3"/>
    </w:p>
    <w:p w:rsidR="009C07DC" w:rsidRDefault="009C07DC" w:rsidP="009C07DC">
      <w:r>
        <w:t>Lloyds Banking Group employs a cohesive financial services platform primarily centred on the UK market. The primary source of revenue is net interest income, which is the disparity between interest accrued from loans and investments and interest disbursed to depositors and wholesale financing sources. In 2025, net interest income amounted to £13.635 billion, reflecting a 6% increase from £12.845 billion in 2024. This enhancement indicated an increase in interest-earning assets and a banking net interest margin of 3.06%, in contrast to 2.95% in 2024</w:t>
      </w:r>
      <w:r>
        <w:t xml:space="preserve"> (Lloyds Banking Group, 2026a).</w:t>
      </w:r>
    </w:p>
    <w:p w:rsidR="009C07DC" w:rsidRDefault="009C07DC" w:rsidP="009C07DC">
      <w:r>
        <w:t xml:space="preserve">The Group derives additional revenue from current account and credit card fees, insurance and pension products, asset management fees, commercial banking services, vehicle financing, and other customer-related operations. Underlying other income rose by 9% to £6.120 billion in 2025. Lloyds has aimed to broaden these comparatively capital-efficient revenue sources as they diversify income beyond </w:t>
      </w:r>
      <w:r>
        <w:lastRenderedPageBreak/>
        <w:t>conventional interest-based lending and exhibit reduced direct dependence on fluctuations in the Bank of England base rate (Lloyds Banking Group, 2026a).</w:t>
      </w:r>
    </w:p>
    <w:p w:rsidR="009C07DC" w:rsidRDefault="009C07DC" w:rsidP="009C07DC">
      <w:r>
        <w:t>The Group's cost structure comprises both fixed and variable components. Significant fixed or semi-fixed expenses encompass personnel salaries, branch and office facilities, technological platforms, regulatory compliance operations, cybersecurity infrastructure, and depreciation. While certain expenses may diminish over time, they do not react promptly to short-term fluctuations in transaction volumes. The substantial expense of sustaining legacy information systems generates operational complexity and cons</w:t>
      </w:r>
      <w:r>
        <w:t>trains short-term adaptability</w:t>
      </w:r>
      <w:r w:rsidR="006B7866">
        <w:t xml:space="preserve"> (</w:t>
      </w:r>
      <w:r w:rsidR="006B7866" w:rsidRPr="006B7866">
        <w:rPr>
          <w:rFonts w:cs="Arial"/>
        </w:rPr>
        <w:t>Atrill</w:t>
      </w:r>
      <w:r w:rsidR="006B7866">
        <w:rPr>
          <w:rFonts w:cs="Arial"/>
        </w:rPr>
        <w:t xml:space="preserve"> and McLaney, </w:t>
      </w:r>
      <w:r w:rsidR="006B7866" w:rsidRPr="006B7866">
        <w:rPr>
          <w:rFonts w:cs="Arial"/>
        </w:rPr>
        <w:t>2022)</w:t>
      </w:r>
      <w:r w:rsidR="006B7866">
        <w:t>.</w:t>
      </w:r>
    </w:p>
    <w:p w:rsidR="009C07DC" w:rsidRDefault="009C07DC" w:rsidP="009C07DC">
      <w:r>
        <w:t>Investment in technology constitutes a significant fixed-cost obligation. Lloyds has employed almost 9,000 technology and data professionals since 2021 and allocated over 30,000 generative AI Copilot licenses. These initiatives augment current expenditures but aim to enhance productivity, customer service, and future operational leverage (Lloyds Banking Group, 2026a).</w:t>
      </w:r>
    </w:p>
    <w:p w:rsidR="009C07DC" w:rsidRDefault="009C07DC" w:rsidP="009C07DC">
      <w:r>
        <w:t xml:space="preserve">Variable expenses fluctuate more directly in response to client and transaction activity. This encompasses payment processing fees, card network charges, sales commissions, transaction-related technological expenses, and specific customer service costs. Credit impairment charges are contingent upon both volume and risk, however they are predominantly shaped by economic conditions rather than only transaction volumes. The underlying impairment charge rose from £433 million in 2024 to £795 million in 2025, indicating updated economic assumptions and evolving credit risks (Lloyds Banking </w:t>
      </w:r>
      <w:r>
        <w:t>Group, 2026a).</w:t>
      </w:r>
    </w:p>
    <w:p w:rsidR="009C07DC" w:rsidRPr="009C07DC" w:rsidRDefault="009C07DC" w:rsidP="009C07DC">
      <w:r>
        <w:t>Cost allocation in banking is more intricate than in traditional manufacturing due to the shared nature of many costs across products, channels, and customer segments. Activity-based costing can aid Lloyds in assigning technology, compliance, contact-center, and distribution expenses to the activities that utilise them (Cooper and Kaplan, 1991). Customer profitability analysis can determine if revenue from lending, deposits, and fees sufficiently offsets servicing expenses, anticipated credit losses, and capital consumption for the Group. However, an over focus on short-term product profitability may lead to branch closures or service reductions that adversely impact disadvantaged clients. Cost analysis must therefore be incorporated with customer outcomes and regulatory obligations.</w:t>
      </w:r>
    </w:p>
    <w:p w:rsidR="009C07DC" w:rsidRDefault="009C07DC" w:rsidP="009C07DC">
      <w:pPr>
        <w:pStyle w:val="Heading2"/>
      </w:pPr>
      <w:bookmarkStart w:id="4" w:name="_Toc234846201"/>
      <w:r w:rsidRPr="009C07DC">
        <w:lastRenderedPageBreak/>
        <w:t>Budgeting and Financial Planning</w:t>
      </w:r>
      <w:bookmarkEnd w:id="4"/>
    </w:p>
    <w:p w:rsidR="009C07DC" w:rsidRDefault="009C07DC" w:rsidP="009C07DC">
      <w:r>
        <w:t>Budgeting allows Lloyds Banking Group to convert strategic priorities into quantifiable financial and operational plans. The budgets encompass revenue, operational expenses, credit losses, investments, liquidity, and capital necessities. Budgeting is crucial as banks cannot assess growth based purely on revenue; increased lending may enhance income while simultaneously necessitating extra capital and exposing the institution to greater credit losses. Therefore, Lloyds must amalgamate profit budgeting with balance-sheet planning, stress testing, and r</w:t>
      </w:r>
      <w:r>
        <w:t>isk-weighted asset projections</w:t>
      </w:r>
      <w:r w:rsidR="000E4D3F">
        <w:t xml:space="preserve"> (</w:t>
      </w:r>
      <w:r w:rsidR="000E4D3F" w:rsidRPr="006B7866">
        <w:rPr>
          <w:rFonts w:cs="Arial"/>
        </w:rPr>
        <w:t>Simons</w:t>
      </w:r>
      <w:r w:rsidR="000E4D3F">
        <w:rPr>
          <w:rFonts w:cs="Arial"/>
        </w:rPr>
        <w:t>, 1995</w:t>
      </w:r>
      <w:r w:rsidR="000E4D3F">
        <w:t>)</w:t>
      </w:r>
      <w:r>
        <w:t>.</w:t>
      </w:r>
    </w:p>
    <w:p w:rsidR="009C07DC" w:rsidRDefault="009C07DC" w:rsidP="009C07DC">
      <w:r>
        <w:t>The Group is expected to apply rolling forecasts and scenario analysis in conjunction with annual budgets due to the quick fluctuations in interest rates, inflation, unemployment, housing prices, and regulatory requirements. Flexible budgeting enables managers to distinguish cost variances attributable to fluctuations in business activity from those arising from ineffective resource utilisation (Horngren, Datar, and Rajan, 2021). Scenario-based planning allows the Group to assess the impact of unfavourable economic conditions on loan defaults, deposit flows, and capital adequacy.</w:t>
      </w:r>
    </w:p>
    <w:p w:rsidR="009C07DC" w:rsidRDefault="009C07DC" w:rsidP="009C07DC">
      <w:r>
        <w:t>Lloyds recorded operating expenses of £9.761 billion in 2025, in contrast to £9.442 billion in 2024. This signifies an augmentation of almost £319 million, or 3%. Total costs, encompassing remediation, increased by 4%, from £10.341 billion to £10.729 billion. The rise was so regulated yet remained significant within the Group's financial planning framework (Lloyds Banking Group, 2026a). These estimates align with the trend of operating expenses given by external financial data providers</w:t>
      </w:r>
      <w:r>
        <w:t>, such as Yahoo Finance (2026).</w:t>
      </w:r>
    </w:p>
    <w:p w:rsidR="009C07DC" w:rsidRDefault="009C07DC" w:rsidP="009C07DC">
      <w:r>
        <w:t xml:space="preserve">A multitude of internal management actions facilitated the increase. Lloyds persisted in its investments in digital platforms, artificial intelligence, data capabilities, and product development. The Group also saw increased severance expenses as it streamlined operations and reorganised segments of its workforce. Business expansion incurred supplementary maintenance and technological expenses, necessitating ongoing investment to diminish the scale and intricacy of older systems. Management reported roughly £1.9 billion in gross cost savings since 2021, facilitated </w:t>
      </w:r>
      <w:r>
        <w:lastRenderedPageBreak/>
        <w:t>by digitisation, process simplification, and the transition to mobile banking (Lloyds Banking Group, 2026a).</w:t>
      </w:r>
    </w:p>
    <w:p w:rsidR="009C07DC" w:rsidRDefault="009C07DC" w:rsidP="009C07DC">
      <w:r>
        <w:t>External factors additionally influenced spending. Wage and supplier inflation increased employment and procurement expenses, while cybersecurity threats and regulatory demands necessitated ongoing investment in operational resilience. Economic uncertainty affected impaired planning since elevated living costs and sluggish growth may diminish borrowers' repayment ability. The Group acknowledged an extra £800 million motor-finance provision following an evaluation of the likely effects of the Financial Conduct Authority's proposed customer-redress schemes</w:t>
      </w:r>
      <w:r>
        <w:t xml:space="preserve"> (Lloyds Banking Group, 2026a).</w:t>
      </w:r>
    </w:p>
    <w:p w:rsidR="009C07DC" w:rsidRDefault="009C07DC" w:rsidP="009C07DC">
      <w:r>
        <w:t>Notwithstanding elevated expenses, net income rose by 7% to £18.301 billion, indicating that income growth surpassed the increase in operating costs. The favourable operating leverage resulted in an enhancement of the cost-to-income ratio from 60.4% to 58.6%. Lloyds aims for a ratio under 50% and operating expenses below £9.9 billion by 2026, demonstrating the integration of cost discipline with ongoing strategic investment through budgeting</w:t>
      </w:r>
      <w:r>
        <w:t xml:space="preserve"> (Lloyds Banking Group, 2026a).</w:t>
      </w:r>
    </w:p>
    <w:p w:rsidR="009C07DC" w:rsidRDefault="009C07DC" w:rsidP="009C07DC">
      <w:pPr>
        <w:pStyle w:val="Heading2"/>
      </w:pPr>
      <w:bookmarkStart w:id="5" w:name="_Toc234846202"/>
      <w:r w:rsidRPr="009C07DC">
        <w:t>Performance Measurement and Decision-Making</w:t>
      </w:r>
      <w:bookmarkEnd w:id="5"/>
    </w:p>
    <w:p w:rsidR="009C07DC" w:rsidRDefault="009C07DC" w:rsidP="009C07DC">
      <w:r w:rsidRPr="009C07DC">
        <w:t>Lloyds utilises financial and non-financial key performance metrics to assess profitability, efficiency, risk, capital resilience, and customer engagement. Below are five notably significant signs.</w:t>
      </w:r>
    </w:p>
    <w:p w:rsidR="006B7866" w:rsidRDefault="00EC6C07" w:rsidP="009C07DC">
      <w:r w:rsidRPr="00EC6C07">
        <w:drawing>
          <wp:inline distT="0" distB="0" distL="0" distR="0" wp14:anchorId="78E03A92" wp14:editId="58A6B05B">
            <wp:extent cx="4557138" cy="2804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5930" cy="2815723"/>
                    </a:xfrm>
                    <a:prstGeom prst="rect">
                      <a:avLst/>
                    </a:prstGeom>
                  </pic:spPr>
                </pic:pic>
              </a:graphicData>
            </a:graphic>
          </wp:inline>
        </w:drawing>
      </w:r>
    </w:p>
    <w:p w:rsidR="009C07DC" w:rsidRDefault="006B7866" w:rsidP="009C07DC">
      <w:r w:rsidRPr="006B7866">
        <w:t>Source: Lloyds Banking Group (2026a).</w:t>
      </w:r>
    </w:p>
    <w:p w:rsidR="006B7866" w:rsidRDefault="006B7866" w:rsidP="006B7866">
      <w:r>
        <w:lastRenderedPageBreak/>
        <w:t>Net income and return on tangible equity serve as indicators of revenue creation and shareholder returns. The cost-to-income ratio enhances these measures by evaluating the efficiency of income conversion into profit. The Common Equity Tier 1 ratio is crucial as it quantifies the highest-quality regulatory capital capable of absorbing financial losses. The Group's CET1 ratio of 14.0% exceeded minimum standards, facilitating company expansion and shareholder dividends</w:t>
      </w:r>
      <w:r>
        <w:t xml:space="preserve"> (Lloyds Banking Group, 2026a).</w:t>
      </w:r>
    </w:p>
    <w:p w:rsidR="006B7866" w:rsidRDefault="006B7866" w:rsidP="006B7866">
      <w:r>
        <w:t>Non-financial statistics has equal significance. Lloyds reported around 28 million clients, with 23.6 million digitally active users. Customer complaints amounted to 4.84 FCA-reportable complaints per 1,000 accounts, whilst employee engagement was 75% good. These variables can serve as leading indicators of future retention, conduct risk, and operational performance that may not yet be apparent in accounting profit</w:t>
      </w:r>
      <w:r>
        <w:t xml:space="preserve"> (Lloyds Banking Group, 2026a).</w:t>
      </w:r>
    </w:p>
    <w:p w:rsidR="006B7866" w:rsidRDefault="006B7866" w:rsidP="006B7866">
      <w:r>
        <w:t>Performance metrics have impacted numerous strategic decisions. Initially, persistent increase in digital usage has facilitated a mobile-first strategy and the ongoing optimisation of the physical branch network. Digital channels can diminish transaction costs and enhance customisation; nevertheless, reductions in branch services must be meticulously managed to prevent the exclusion of older, disabled, or financially fragile consumers.</w:t>
      </w:r>
    </w:p>
    <w:p w:rsidR="006B7866" w:rsidRDefault="006B7866" w:rsidP="006B7866">
      <w:r>
        <w:t>Secondly, augmented net interest income, loan expansion, and deposit growth prompted Lloyds to enhance its core banking franchise. Loans and advances rose by 5% to £481.1 billion, but customer deposits increased by 3% to £496.5 billion. The Group extended £17 billion in loans to first-time buyers in 2025, illustrating the impact of financial data and housing market information on mortgage growth (Lloyds Banking Group, 2026a</w:t>
      </w:r>
      <w:r>
        <w:t>; Lloyds Banking Group, 2026b).</w:t>
      </w:r>
    </w:p>
    <w:p w:rsidR="006B7866" w:rsidRDefault="006B7866" w:rsidP="006B7866">
      <w:r>
        <w:t>Third, data on operating costs and consumer channels justified investments in automation, artificial intelligence, and the simplification of outdated systems. Management anticipates that these improvements will enhance productivity and result in a cost-to-income ratio under 50% by 2026. The Group's strategic efforts are projected to yield almost £2 billion in new income by 2026, surpassing the prior objective of over £1.5 billion</w:t>
      </w:r>
      <w:r>
        <w:t xml:space="preserve"> (Lloyds Banking Group, 2026a).</w:t>
      </w:r>
    </w:p>
    <w:p w:rsidR="009C07DC" w:rsidRPr="009C07DC" w:rsidRDefault="006B7866" w:rsidP="009C07DC">
      <w:r>
        <w:lastRenderedPageBreak/>
        <w:t>Ultimately, capital and profitability metrics guided shareholder payouts. Lloyds has proposed a total dividend of 3.65 pence per share for 2025 and announced a £1.75 billion share buyback program, resulting in total payouts of about £3.9 billion. This move indicated enhanced profitability, capital generation, and management's assurance in prospective returns (Lloyds Banking Group, 2026a).</w:t>
      </w:r>
    </w:p>
    <w:p w:rsidR="009C07DC" w:rsidRDefault="009C07DC" w:rsidP="009C07DC">
      <w:pPr>
        <w:pStyle w:val="Heading2"/>
      </w:pPr>
      <w:bookmarkStart w:id="6" w:name="_Toc234846203"/>
      <w:r w:rsidRPr="009C07DC">
        <w:t>Sustainability and Ethical Considerations</w:t>
      </w:r>
      <w:bookmarkEnd w:id="6"/>
    </w:p>
    <w:p w:rsidR="006B7866" w:rsidRDefault="006B7866" w:rsidP="006B7866">
      <w:r>
        <w:t>Lloyds incorporates sustainability into financial decision-making by regarding social and environmental objectives as both risk factors and potential avenues for business expansion. Its purpose-driven strategy encompasses facilitating access to housing, enhancing financial resilience, promoting regional development, and aiding the UK's transition to a low-carbon economy. The Group has disclosed over £70 billion in sustainable finance since 2022 and in excess of £22 billion in financing for social housing since 2018 (Lloyds Banking Group, 2026b).</w:t>
      </w:r>
    </w:p>
    <w:p w:rsidR="006B7866" w:rsidRDefault="006B7866" w:rsidP="006B7866">
      <w:r>
        <w:t>Environmental management accounting enables the Group to assess climate-related risks, financed emissions, and the long-term financial implications of lending to carbon-intensive sectors (Burritt and Schaltegger, 2010). Lloyds' decisions encompass funding renewable energy infrastructure, energy-efficient homes, and low-carbon transportation. The study indicated operating carbon emissions of 103,148 tonnes of carbon dioxide equivalent, signifying a 42% decrease from the 2018/19 baseline (Lloyds Banking Group, 2026a).</w:t>
      </w:r>
    </w:p>
    <w:p w:rsidR="006B7866" w:rsidRDefault="006B7866" w:rsidP="006B7866">
      <w:r>
        <w:t>The most significant environmental impact of a bank originates from its financial activities rather than its physical offices. Lloyds must ensure that sustainability objectives impact credit evaluation, portfolio restrictions, and capital distribution. Sustainability-linked lending must be underpinned by quantifiable goals and independent validation to mitigate the risks of greenwashing</w:t>
      </w:r>
      <w:r w:rsidR="00750FD9">
        <w:t xml:space="preserve"> (</w:t>
      </w:r>
      <w:r w:rsidR="00750FD9" w:rsidRPr="006B7866">
        <w:rPr>
          <w:rFonts w:cs="Arial"/>
        </w:rPr>
        <w:t>Otley</w:t>
      </w:r>
      <w:r w:rsidR="00750FD9">
        <w:rPr>
          <w:rFonts w:cs="Arial"/>
        </w:rPr>
        <w:t>, 1999</w:t>
      </w:r>
      <w:r w:rsidR="00750FD9">
        <w:t>)</w:t>
      </w:r>
      <w:r>
        <w:t>.</w:t>
      </w:r>
    </w:p>
    <w:p w:rsidR="006B7866" w:rsidRDefault="006B7866" w:rsidP="006B7866">
      <w:r>
        <w:t>Ethical factors influence pricing and cost management. Banks hold an informational edge over numerous customers, thereby incurring a need to price mortgages, overdrafts, credit cards, and insurance goods with transparency. Risk-based pricing is economically reasonable as customers with elevated predicted default risk incur higher prices. However, unclear pricing or exorbitant fees may harm economically vulnerable clients.</w:t>
      </w:r>
    </w:p>
    <w:p w:rsidR="006B7866" w:rsidRDefault="006B7866" w:rsidP="006B7866">
      <w:r>
        <w:lastRenderedPageBreak/>
        <w:t>The motor-finance provision exemplifies the financial ramifications of conduct risk. Lloyds acknowledged an extra £800 million provision in 2025 for potential consumer compensation. While provisions are accounting estimates, they also illustrate that unethical or poorly regulated sales tactics can incur significant long-term financial and reputational expenses (Lloyds Banking Group, 2026a).</w:t>
      </w:r>
    </w:p>
    <w:p w:rsidR="006B7866" w:rsidRPr="006B7866" w:rsidRDefault="006B7866" w:rsidP="006B7866">
      <w:r>
        <w:t>Cost reduction must also be assessed in relation to stakeholder implications. Branch closures and workforce reorganisation may enhance efficiency but might diminish access to vital financial services. Ethical management accounting should thus integrate consumer vulnerability, staff wellness, complaint metrics, and financial inclusion alongside traditional cost reduction measures.</w:t>
      </w:r>
    </w:p>
    <w:p w:rsidR="009C07DC" w:rsidRDefault="009C07DC" w:rsidP="009C07DC">
      <w:pPr>
        <w:pStyle w:val="Heading2"/>
        <w:rPr>
          <w:rFonts w:cs="Times New Roman"/>
          <w:szCs w:val="24"/>
        </w:rPr>
      </w:pPr>
      <w:bookmarkStart w:id="7" w:name="_Toc234846204"/>
      <w:r w:rsidRPr="009C07DC">
        <w:rPr>
          <w:rFonts w:cs="Times New Roman"/>
          <w:szCs w:val="24"/>
        </w:rPr>
        <w:t>Conclusion and Recommendations</w:t>
      </w:r>
      <w:bookmarkEnd w:id="7"/>
    </w:p>
    <w:p w:rsidR="006B7866" w:rsidRPr="006B7866" w:rsidRDefault="006B7866" w:rsidP="006B7866">
      <w:pPr>
        <w:rPr>
          <w:rFonts w:cs="Times New Roman"/>
          <w:szCs w:val="24"/>
        </w:rPr>
      </w:pPr>
      <w:r w:rsidRPr="006B7866">
        <w:rPr>
          <w:rFonts w:cs="Times New Roman"/>
          <w:szCs w:val="24"/>
        </w:rPr>
        <w:t>Lloyds Banking Group illustrates why managerial accounting is crucial to decision-making in a contemporary financial company. The diversified revenue model integrates net interest income with insurance, wealth management, commercial banking, and fee-based income. Budgeting and variance analysis facilitate digital investment, cost management, and balance-sheet planning, whereas metrics such as return on tangible equity, cost-to-income ratio, capital sufficiency, and digital engagement inform strategic decisions. In 2025, income growth surpassed the increase in operational costs, despite rising expenditures due to inflation, investment, restructuring,</w:t>
      </w:r>
      <w:r>
        <w:rPr>
          <w:rFonts w:cs="Times New Roman"/>
          <w:szCs w:val="24"/>
        </w:rPr>
        <w:t xml:space="preserve"> and motor-finance remediation.</w:t>
      </w:r>
    </w:p>
    <w:p w:rsidR="009C07DC" w:rsidRDefault="006B7866" w:rsidP="006B7866">
      <w:pPr>
        <w:rPr>
          <w:rFonts w:cs="Times New Roman"/>
          <w:szCs w:val="24"/>
        </w:rPr>
      </w:pPr>
      <w:r w:rsidRPr="006B7866">
        <w:rPr>
          <w:rFonts w:cs="Times New Roman"/>
          <w:szCs w:val="24"/>
        </w:rPr>
        <w:t>Three recommendations are put forth. Lloyds should enhance activity-based and customer-profitability costing to ascertain the comprehensive cost of products, channels, and regulatory requirements. Secondly, rolling forecasts and scenario-based budgets must be enhanced to account for uncertainties related to interest rates, climate, and credit risk. The Group should incorporate customer results, financed emissions, and conduct-risk metrics into divisional scorecards. This would avert short-term cost or pricing decisions from undermining consumer trust, regulatory compliance, and sustainable long-term value development.</w:t>
      </w:r>
    </w:p>
    <w:p w:rsidR="009C07DC" w:rsidRDefault="009C07DC" w:rsidP="00934E4A">
      <w:pPr>
        <w:rPr>
          <w:rFonts w:cs="Times New Roman"/>
          <w:szCs w:val="24"/>
        </w:rPr>
      </w:pPr>
    </w:p>
    <w:p w:rsidR="009C07DC" w:rsidRDefault="009C07DC" w:rsidP="00934E4A">
      <w:pPr>
        <w:rPr>
          <w:rFonts w:cs="Times New Roman"/>
          <w:szCs w:val="24"/>
        </w:rPr>
      </w:pPr>
    </w:p>
    <w:p w:rsidR="009C07DC" w:rsidRDefault="009C07DC" w:rsidP="00934E4A">
      <w:pPr>
        <w:rPr>
          <w:rFonts w:cs="Times New Roman"/>
          <w:szCs w:val="24"/>
        </w:rPr>
      </w:pPr>
    </w:p>
    <w:p w:rsidR="006B7866" w:rsidRDefault="00B03F1D" w:rsidP="00EB07F6">
      <w:pPr>
        <w:pStyle w:val="Heading1"/>
      </w:pPr>
      <w:bookmarkStart w:id="8" w:name="_Toc234846205"/>
      <w:r>
        <w:lastRenderedPageBreak/>
        <w:t>References</w:t>
      </w:r>
      <w:bookmarkEnd w:id="8"/>
    </w:p>
    <w:p w:rsidR="002464E5" w:rsidRPr="00EB07F6" w:rsidRDefault="00EB07F6" w:rsidP="00EB07F6">
      <w:pPr>
        <w:pStyle w:val="NormalWeb"/>
        <w:spacing w:line="360" w:lineRule="auto"/>
        <w:jc w:val="both"/>
        <w:rPr>
          <w:rFonts w:ascii="Arial" w:hAnsi="Arial" w:cs="Arial"/>
        </w:rPr>
      </w:pPr>
      <w:r w:rsidRPr="00EB07F6">
        <w:rPr>
          <w:rFonts w:ascii="Arial" w:hAnsi="Arial" w:cs="Arial"/>
        </w:rPr>
        <w:drawing>
          <wp:inline distT="0" distB="0" distL="0" distR="0" wp14:anchorId="38ED3C4D" wp14:editId="70D8D2ED">
            <wp:extent cx="5731510" cy="52584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258435"/>
                    </a:xfrm>
                    <a:prstGeom prst="rect">
                      <a:avLst/>
                    </a:prstGeom>
                  </pic:spPr>
                </pic:pic>
              </a:graphicData>
            </a:graphic>
          </wp:inline>
        </w:drawing>
      </w:r>
      <w:r w:rsidRPr="00EB07F6">
        <w:rPr>
          <w:rFonts w:ascii="Arial" w:hAnsi="Arial" w:cs="Arial"/>
        </w:rPr>
        <w:t xml:space="preserve"> </w:t>
      </w:r>
      <w:r w:rsidRPr="00EB07F6">
        <w:rPr>
          <w:rFonts w:ascii="Arial" w:hAnsi="Arial" w:cs="Arial"/>
        </w:rPr>
        <w:drawing>
          <wp:inline distT="0" distB="0" distL="0" distR="0" wp14:anchorId="6CF53CA9" wp14:editId="40868E1B">
            <wp:extent cx="5731510" cy="26130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13025"/>
                    </a:xfrm>
                    <a:prstGeom prst="rect">
                      <a:avLst/>
                    </a:prstGeom>
                  </pic:spPr>
                </pic:pic>
              </a:graphicData>
            </a:graphic>
          </wp:inline>
        </w:drawing>
      </w:r>
    </w:p>
    <w:sectPr w:rsidR="002464E5" w:rsidRPr="00EB07F6" w:rsidSect="0095122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D78" w:rsidRDefault="00300D78" w:rsidP="00951221">
      <w:pPr>
        <w:spacing w:after="0" w:line="240" w:lineRule="auto"/>
      </w:pPr>
      <w:r>
        <w:separator/>
      </w:r>
    </w:p>
  </w:endnote>
  <w:endnote w:type="continuationSeparator" w:id="0">
    <w:p w:rsidR="00300D78" w:rsidRDefault="00300D78"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015861"/>
      <w:docPartObj>
        <w:docPartGallery w:val="Page Numbers (Bottom of Page)"/>
        <w:docPartUnique/>
      </w:docPartObj>
    </w:sdtPr>
    <w:sdtEndPr>
      <w:rPr>
        <w:color w:val="7F7F7F" w:themeColor="background1" w:themeShade="7F"/>
        <w:spacing w:val="60"/>
      </w:rPr>
    </w:sdtEndPr>
    <w:sdtContent>
      <w:p w:rsidR="00951221" w:rsidRDefault="00951221">
        <w:pPr>
          <w:pStyle w:val="Footer"/>
          <w:pBdr>
            <w:top w:val="single" w:sz="4" w:space="1" w:color="D9D9D9" w:themeColor="background1" w:themeShade="D9"/>
          </w:pBdr>
          <w:jc w:val="right"/>
        </w:pPr>
        <w:r>
          <w:fldChar w:fldCharType="begin"/>
        </w:r>
        <w:r>
          <w:instrText xml:space="preserve"> PAGE   \* MERGEFORMAT </w:instrText>
        </w:r>
        <w:r>
          <w:fldChar w:fldCharType="separate"/>
        </w:r>
        <w:r w:rsidR="00AD1F15">
          <w:rPr>
            <w:noProof/>
          </w:rPr>
          <w:t>2</w:t>
        </w:r>
        <w:r>
          <w:rPr>
            <w:noProof/>
          </w:rPr>
          <w:fldChar w:fldCharType="end"/>
        </w:r>
        <w:r>
          <w:t xml:space="preserve"> | </w:t>
        </w:r>
        <w:r>
          <w:rPr>
            <w:color w:val="7F7F7F" w:themeColor="background1" w:themeShade="7F"/>
            <w:spacing w:val="60"/>
          </w:rPr>
          <w:t>Page</w:t>
        </w:r>
      </w:p>
    </w:sdtContent>
  </w:sdt>
  <w:p w:rsidR="00951221" w:rsidRDefault="009512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D78" w:rsidRDefault="00300D78" w:rsidP="00951221">
      <w:pPr>
        <w:spacing w:after="0" w:line="240" w:lineRule="auto"/>
      </w:pPr>
      <w:r>
        <w:separator/>
      </w:r>
    </w:p>
  </w:footnote>
  <w:footnote w:type="continuationSeparator" w:id="0">
    <w:p w:rsidR="00300D78" w:rsidRDefault="00300D78" w:rsidP="009512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71713"/>
    <w:multiLevelType w:val="hybridMultilevel"/>
    <w:tmpl w:val="C810A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9233B"/>
    <w:multiLevelType w:val="hybridMultilevel"/>
    <w:tmpl w:val="A530C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B7148"/>
    <w:multiLevelType w:val="hybridMultilevel"/>
    <w:tmpl w:val="29E48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9B2072E"/>
    <w:multiLevelType w:val="hybridMultilevel"/>
    <w:tmpl w:val="28080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CD0"/>
    <w:rsid w:val="000015F1"/>
    <w:rsid w:val="00001997"/>
    <w:rsid w:val="0002240A"/>
    <w:rsid w:val="000477CB"/>
    <w:rsid w:val="00062CD0"/>
    <w:rsid w:val="00067F52"/>
    <w:rsid w:val="000E4D3F"/>
    <w:rsid w:val="000E7C13"/>
    <w:rsid w:val="00113C54"/>
    <w:rsid w:val="0015663E"/>
    <w:rsid w:val="00167103"/>
    <w:rsid w:val="00167951"/>
    <w:rsid w:val="00195784"/>
    <w:rsid w:val="001B0059"/>
    <w:rsid w:val="001B2CD5"/>
    <w:rsid w:val="001E1089"/>
    <w:rsid w:val="001F7A41"/>
    <w:rsid w:val="0022461A"/>
    <w:rsid w:val="002356AD"/>
    <w:rsid w:val="00244E21"/>
    <w:rsid w:val="002464E5"/>
    <w:rsid w:val="002521E0"/>
    <w:rsid w:val="0028263D"/>
    <w:rsid w:val="002A1686"/>
    <w:rsid w:val="002A51C9"/>
    <w:rsid w:val="002B0B0A"/>
    <w:rsid w:val="00300D78"/>
    <w:rsid w:val="00304D41"/>
    <w:rsid w:val="00310B77"/>
    <w:rsid w:val="003145E4"/>
    <w:rsid w:val="00321D10"/>
    <w:rsid w:val="00326B1C"/>
    <w:rsid w:val="00341CD1"/>
    <w:rsid w:val="00404E8D"/>
    <w:rsid w:val="00414F15"/>
    <w:rsid w:val="00447052"/>
    <w:rsid w:val="00466BF9"/>
    <w:rsid w:val="004700BA"/>
    <w:rsid w:val="00472A89"/>
    <w:rsid w:val="00475932"/>
    <w:rsid w:val="0048246F"/>
    <w:rsid w:val="0049466D"/>
    <w:rsid w:val="004A25BE"/>
    <w:rsid w:val="004C2CA6"/>
    <w:rsid w:val="00550DB0"/>
    <w:rsid w:val="0058302C"/>
    <w:rsid w:val="00586755"/>
    <w:rsid w:val="00590109"/>
    <w:rsid w:val="005A425F"/>
    <w:rsid w:val="005E26E6"/>
    <w:rsid w:val="005F0250"/>
    <w:rsid w:val="0063027B"/>
    <w:rsid w:val="00650862"/>
    <w:rsid w:val="00677491"/>
    <w:rsid w:val="006B7866"/>
    <w:rsid w:val="00750FD9"/>
    <w:rsid w:val="00754A8B"/>
    <w:rsid w:val="0076028A"/>
    <w:rsid w:val="00760641"/>
    <w:rsid w:val="00764BCA"/>
    <w:rsid w:val="007877E9"/>
    <w:rsid w:val="007A4C0B"/>
    <w:rsid w:val="007B2711"/>
    <w:rsid w:val="007F2099"/>
    <w:rsid w:val="00821968"/>
    <w:rsid w:val="00831841"/>
    <w:rsid w:val="008A4A70"/>
    <w:rsid w:val="00904AF8"/>
    <w:rsid w:val="00925A79"/>
    <w:rsid w:val="00934E4A"/>
    <w:rsid w:val="00945BDD"/>
    <w:rsid w:val="00951221"/>
    <w:rsid w:val="00964AD2"/>
    <w:rsid w:val="009817AC"/>
    <w:rsid w:val="009C07DC"/>
    <w:rsid w:val="009C122D"/>
    <w:rsid w:val="009D07CC"/>
    <w:rsid w:val="00A3307E"/>
    <w:rsid w:val="00A65189"/>
    <w:rsid w:val="00A82B9D"/>
    <w:rsid w:val="00A90454"/>
    <w:rsid w:val="00A9388F"/>
    <w:rsid w:val="00A978B2"/>
    <w:rsid w:val="00AD1F15"/>
    <w:rsid w:val="00B03F1D"/>
    <w:rsid w:val="00B10B87"/>
    <w:rsid w:val="00B12EE7"/>
    <w:rsid w:val="00B84C79"/>
    <w:rsid w:val="00B93D5F"/>
    <w:rsid w:val="00BB0A0A"/>
    <w:rsid w:val="00BB368E"/>
    <w:rsid w:val="00BE00C3"/>
    <w:rsid w:val="00BE0821"/>
    <w:rsid w:val="00C17A50"/>
    <w:rsid w:val="00CB7299"/>
    <w:rsid w:val="00CC7DAB"/>
    <w:rsid w:val="00CD3945"/>
    <w:rsid w:val="00CE1888"/>
    <w:rsid w:val="00D40831"/>
    <w:rsid w:val="00D605FA"/>
    <w:rsid w:val="00D70DCD"/>
    <w:rsid w:val="00D87510"/>
    <w:rsid w:val="00DA66A6"/>
    <w:rsid w:val="00DE4003"/>
    <w:rsid w:val="00DF7C02"/>
    <w:rsid w:val="00E71081"/>
    <w:rsid w:val="00EB07F6"/>
    <w:rsid w:val="00EB4DA9"/>
    <w:rsid w:val="00EC6C07"/>
    <w:rsid w:val="00EE67FE"/>
    <w:rsid w:val="00EF1DE8"/>
    <w:rsid w:val="00F13B5A"/>
    <w:rsid w:val="00F1622D"/>
    <w:rsid w:val="00F33CBF"/>
    <w:rsid w:val="00F702D7"/>
    <w:rsid w:val="00F77F22"/>
    <w:rsid w:val="00F87CA1"/>
    <w:rsid w:val="00F925AB"/>
    <w:rsid w:val="00FA7862"/>
    <w:rsid w:val="00FB649F"/>
    <w:rsid w:val="00FE28C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17AC"/>
    <w:pPr>
      <w:spacing w:line="360" w:lineRule="auto"/>
      <w:jc w:val="both"/>
    </w:pPr>
    <w:rPr>
      <w:rFonts w:ascii="Arial" w:hAnsi="Arial"/>
      <w:sz w:val="24"/>
    </w:rPr>
  </w:style>
  <w:style w:type="paragraph" w:styleId="Heading1">
    <w:name w:val="heading 1"/>
    <w:basedOn w:val="Normal"/>
    <w:next w:val="Normal"/>
    <w:link w:val="Heading1Char"/>
    <w:uiPriority w:val="9"/>
    <w:qFormat/>
    <w:rsid w:val="009817AC"/>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9817AC"/>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A9388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7AC"/>
    <w:rPr>
      <w:rFonts w:ascii="Arial" w:eastAsiaTheme="majorEastAsia" w:hAnsi="Arial" w:cstheme="majorBidi"/>
      <w:b/>
      <w:color w:val="2E74B5" w:themeColor="accent1" w:themeShade="BF"/>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9817AC"/>
    <w:rPr>
      <w:rFonts w:ascii="Arial" w:eastAsiaTheme="majorEastAsia" w:hAnsi="Arial" w:cstheme="majorBidi"/>
      <w:b/>
      <w:color w:val="2E74B5" w:themeColor="accent1" w:themeShade="BF"/>
      <w:sz w:val="26"/>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character" w:styleId="FollowedHyperlink">
    <w:name w:val="FollowedHyperlink"/>
    <w:basedOn w:val="DefaultParagraphFont"/>
    <w:uiPriority w:val="99"/>
    <w:semiHidden/>
    <w:unhideWhenUsed/>
    <w:rsid w:val="00A9388F"/>
    <w:rPr>
      <w:color w:val="954F72" w:themeColor="followedHyperlink"/>
      <w:u w:val="single"/>
    </w:rPr>
  </w:style>
  <w:style w:type="character" w:customStyle="1" w:styleId="Heading3Char">
    <w:name w:val="Heading 3 Char"/>
    <w:basedOn w:val="DefaultParagraphFont"/>
    <w:link w:val="Heading3"/>
    <w:uiPriority w:val="9"/>
    <w:rsid w:val="00A9388F"/>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787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6B7866"/>
    <w:pPr>
      <w:spacing w:before="100" w:beforeAutospacing="1" w:after="100" w:afterAutospacing="1" w:line="240" w:lineRule="auto"/>
      <w:jc w:val="left"/>
    </w:pPr>
    <w:rPr>
      <w:rFonts w:ascii="Times New Roman" w:eastAsia="Times New Roman" w:hAnsi="Times New Roman" w:cs="Times New Roman"/>
      <w:szCs w:val="24"/>
      <w:lang w:val="en-GB"/>
    </w:rPr>
  </w:style>
  <w:style w:type="character" w:styleId="Emphasis">
    <w:name w:val="Emphasis"/>
    <w:basedOn w:val="DefaultParagraphFont"/>
    <w:uiPriority w:val="20"/>
    <w:qFormat/>
    <w:rsid w:val="006B7866"/>
    <w:rPr>
      <w:i/>
      <w:iCs/>
    </w:rPr>
  </w:style>
  <w:style w:type="paragraph" w:styleId="NormalWeb">
    <w:name w:val="Normal (Web)"/>
    <w:basedOn w:val="Normal"/>
    <w:uiPriority w:val="99"/>
    <w:unhideWhenUsed/>
    <w:rsid w:val="006B7866"/>
    <w:pPr>
      <w:spacing w:before="100" w:beforeAutospacing="1" w:after="100" w:afterAutospacing="1" w:line="240" w:lineRule="auto"/>
      <w:jc w:val="left"/>
    </w:pPr>
    <w:rPr>
      <w:rFonts w:ascii="Times New Roman" w:eastAsia="Times New Roman" w:hAnsi="Times New Roman" w:cs="Times New Roman"/>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16292622">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210961123">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383339171">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485511008">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081223339">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320764408">
      <w:bodyDiv w:val="1"/>
      <w:marLeft w:val="0"/>
      <w:marRight w:val="0"/>
      <w:marTop w:val="0"/>
      <w:marBottom w:val="0"/>
      <w:divBdr>
        <w:top w:val="none" w:sz="0" w:space="0" w:color="auto"/>
        <w:left w:val="none" w:sz="0" w:space="0" w:color="auto"/>
        <w:bottom w:val="none" w:sz="0" w:space="0" w:color="auto"/>
        <w:right w:val="none" w:sz="0" w:space="0" w:color="auto"/>
      </w:divBdr>
    </w:div>
    <w:div w:id="14362917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24321619">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572543642">
      <w:bodyDiv w:val="1"/>
      <w:marLeft w:val="0"/>
      <w:marRight w:val="0"/>
      <w:marTop w:val="0"/>
      <w:marBottom w:val="0"/>
      <w:divBdr>
        <w:top w:val="none" w:sz="0" w:space="0" w:color="auto"/>
        <w:left w:val="none" w:sz="0" w:space="0" w:color="auto"/>
        <w:bottom w:val="none" w:sz="0" w:space="0" w:color="auto"/>
        <w:right w:val="none" w:sz="0" w:space="0" w:color="auto"/>
      </w:divBdr>
    </w:div>
    <w:div w:id="1577592252">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696535595">
      <w:bodyDiv w:val="1"/>
      <w:marLeft w:val="0"/>
      <w:marRight w:val="0"/>
      <w:marTop w:val="0"/>
      <w:marBottom w:val="0"/>
      <w:divBdr>
        <w:top w:val="none" w:sz="0" w:space="0" w:color="auto"/>
        <w:left w:val="none" w:sz="0" w:space="0" w:color="auto"/>
        <w:bottom w:val="none" w:sz="0" w:space="0" w:color="auto"/>
        <w:right w:val="none" w:sz="0" w:space="0" w:color="auto"/>
      </w:divBdr>
    </w:div>
    <w:div w:id="1720468612">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1901939844">
      <w:bodyDiv w:val="1"/>
      <w:marLeft w:val="0"/>
      <w:marRight w:val="0"/>
      <w:marTop w:val="0"/>
      <w:marBottom w:val="0"/>
      <w:divBdr>
        <w:top w:val="none" w:sz="0" w:space="0" w:color="auto"/>
        <w:left w:val="none" w:sz="0" w:space="0" w:color="auto"/>
        <w:bottom w:val="none" w:sz="0" w:space="0" w:color="auto"/>
        <w:right w:val="none" w:sz="0" w:space="0" w:color="auto"/>
      </w:divBdr>
    </w:div>
    <w:div w:id="2084328911">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 w:id="214434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209D6-BEBC-4786-B515-84C3CA55E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10</Pages>
  <Words>2450</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107</cp:revision>
  <dcterms:created xsi:type="dcterms:W3CDTF">2024-04-27T08:57:00Z</dcterms:created>
  <dcterms:modified xsi:type="dcterms:W3CDTF">2026-07-13T13:43:00Z</dcterms:modified>
</cp:coreProperties>
</file>