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7EF2C" w14:textId="56405FF3" w:rsidR="00772D74" w:rsidRDefault="00772D74" w:rsidP="00772D74">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221CE69E" wp14:editId="1F45DD1D">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APPENDIX GA36d</w:t>
      </w:r>
    </w:p>
    <w:p w14:paraId="162F5888" w14:textId="77777777" w:rsidR="00772D74" w:rsidRDefault="00772D74" w:rsidP="00772D74">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72D74" w14:paraId="698526C9" w14:textId="77777777" w:rsidTr="00772D74">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31642250" w14:textId="77777777" w:rsidR="00772D74" w:rsidRDefault="00772D74">
            <w:pPr>
              <w:pStyle w:val="Heading4"/>
              <w:rPr>
                <w:rFonts w:ascii="Arial" w:hAnsi="Arial" w:cs="Arial"/>
                <w:b/>
                <w:lang w:eastAsia="en-US"/>
              </w:rPr>
            </w:pPr>
            <w:r>
              <w:rPr>
                <w:rFonts w:ascii="Arial" w:hAnsi="Arial" w:cs="Arial"/>
                <w:b/>
                <w:lang w:eastAsia="en-US"/>
              </w:rPr>
              <w:t xml:space="preserve">LEVEL 7 ASSESSMENT SPECIFICATION </w:t>
            </w:r>
          </w:p>
        </w:tc>
      </w:tr>
    </w:tbl>
    <w:p w14:paraId="342DD10D" w14:textId="77777777" w:rsidR="00772D74" w:rsidRDefault="00772D74" w:rsidP="00772D74">
      <w:pPr>
        <w:jc w:val="center"/>
        <w:rPr>
          <w:rFonts w:ascii="Arial"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772D74" w14:paraId="45A229F4"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CB9A601" w14:textId="77777777" w:rsidR="00772D74" w:rsidRDefault="00772D74">
            <w:pPr>
              <w:spacing w:before="120" w:after="120"/>
              <w:jc w:val="both"/>
              <w:rPr>
                <w:rFonts w:ascii="Arial" w:hAnsi="Arial" w:cs="Arial"/>
                <w:b/>
              </w:rPr>
            </w:pPr>
            <w:r>
              <w:rPr>
                <w:rFonts w:ascii="Arial" w:hAnsi="Arial" w:cs="Arial"/>
                <w:b/>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9225CBD" w14:textId="014B7F29" w:rsidR="00772D74" w:rsidRDefault="00772D74">
            <w:pPr>
              <w:spacing w:before="120" w:after="120"/>
              <w:jc w:val="both"/>
              <w:rPr>
                <w:rFonts w:ascii="Arial" w:hAnsi="Arial" w:cs="Arial"/>
                <w:b/>
              </w:rPr>
            </w:pPr>
            <w:r>
              <w:rPr>
                <w:rFonts w:ascii="Arial" w:hAnsi="Arial" w:cs="Arial"/>
                <w:b/>
              </w:rPr>
              <w:t>Connor Steve Lowe</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64C997A" w14:textId="77777777" w:rsidR="00772D74" w:rsidRDefault="00772D74">
            <w:pPr>
              <w:spacing w:before="120" w:after="120"/>
              <w:jc w:val="both"/>
              <w:rPr>
                <w:rFonts w:ascii="Arial" w:hAnsi="Arial" w:cs="Arial"/>
                <w:b/>
              </w:rPr>
            </w:pPr>
            <w:r>
              <w:rPr>
                <w:rFonts w:ascii="Arial" w:hAnsi="Arial" w:cs="Arial"/>
                <w:b/>
              </w:rPr>
              <w:t>Student ID number:</w:t>
            </w:r>
          </w:p>
        </w:tc>
        <w:tc>
          <w:tcPr>
            <w:tcW w:w="2268" w:type="dxa"/>
            <w:tcBorders>
              <w:top w:val="single" w:sz="4" w:space="0" w:color="auto"/>
              <w:left w:val="single" w:sz="4" w:space="0" w:color="auto"/>
              <w:bottom w:val="single" w:sz="4" w:space="0" w:color="auto"/>
              <w:right w:val="single" w:sz="4" w:space="0" w:color="auto"/>
            </w:tcBorders>
          </w:tcPr>
          <w:p w14:paraId="13A8967E" w14:textId="42D0BE80" w:rsidR="00772D74" w:rsidRDefault="00772D74">
            <w:pPr>
              <w:spacing w:before="120" w:after="120"/>
              <w:jc w:val="both"/>
              <w:rPr>
                <w:rFonts w:ascii="Arial" w:hAnsi="Arial" w:cs="Arial"/>
                <w:b/>
              </w:rPr>
            </w:pPr>
            <w:r>
              <w:rPr>
                <w:rFonts w:ascii="Arial" w:hAnsi="Arial" w:cs="Arial"/>
                <w:b/>
              </w:rPr>
              <w:t>1804914</w:t>
            </w:r>
          </w:p>
        </w:tc>
      </w:tr>
      <w:tr w:rsidR="00772D74" w14:paraId="1674894B"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93048BC" w14:textId="77777777" w:rsidR="00772D74" w:rsidRDefault="00772D74">
            <w:pPr>
              <w:spacing w:before="120" w:after="120"/>
              <w:jc w:val="both"/>
              <w:rPr>
                <w:rFonts w:ascii="Arial" w:hAnsi="Arial" w:cs="Arial"/>
                <w:b/>
              </w:rPr>
            </w:pPr>
            <w:r>
              <w:rPr>
                <w:rFonts w:ascii="Arial" w:hAnsi="Arial" w:cs="Arial"/>
                <w:b/>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4C633EFF" w14:textId="77777777" w:rsidR="00772D74" w:rsidRDefault="00772D74">
            <w:pPr>
              <w:spacing w:before="120" w:after="120"/>
              <w:jc w:val="both"/>
              <w:rPr>
                <w:rFonts w:ascii="Arial" w:hAnsi="Arial" w:cs="Arial"/>
                <w:b/>
              </w:rPr>
            </w:pPr>
            <w:r>
              <w:rPr>
                <w:rFonts w:ascii="Arial" w:hAnsi="Arial" w:cs="Arial"/>
                <w:b/>
              </w:rPr>
              <w:t>Secondary PGCE</w:t>
            </w:r>
          </w:p>
        </w:tc>
      </w:tr>
      <w:tr w:rsidR="00772D74" w14:paraId="561A584C"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FC3AEC2" w14:textId="77777777" w:rsidR="00772D74" w:rsidRDefault="00772D74">
            <w:pPr>
              <w:spacing w:before="120" w:after="120"/>
              <w:jc w:val="both"/>
              <w:rPr>
                <w:rFonts w:ascii="Arial" w:hAnsi="Arial" w:cs="Arial"/>
                <w:b/>
              </w:rPr>
            </w:pPr>
            <w:r>
              <w:rPr>
                <w:rFonts w:ascii="Arial" w:hAnsi="Arial" w:cs="Arial"/>
                <w:b/>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6113F7E8" w14:textId="77777777" w:rsidR="00772D74" w:rsidRDefault="00772D7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tc>
      </w:tr>
      <w:tr w:rsidR="00772D74" w14:paraId="42E05ABC"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BBA2D5B" w14:textId="77777777" w:rsidR="00772D74" w:rsidRDefault="00772D74">
            <w:pPr>
              <w:spacing w:before="120" w:after="120"/>
              <w:jc w:val="both"/>
              <w:rPr>
                <w:rFonts w:ascii="Arial" w:hAnsi="Arial" w:cs="Arial"/>
                <w:b/>
              </w:rPr>
            </w:pPr>
            <w:r>
              <w:rPr>
                <w:rFonts w:ascii="Arial" w:hAnsi="Arial" w:cs="Arial"/>
                <w:b/>
              </w:rPr>
              <w:t>Module code:</w:t>
            </w:r>
          </w:p>
        </w:tc>
        <w:tc>
          <w:tcPr>
            <w:tcW w:w="3293" w:type="dxa"/>
            <w:tcBorders>
              <w:top w:val="single" w:sz="4" w:space="0" w:color="auto"/>
              <w:left w:val="single" w:sz="4" w:space="0" w:color="auto"/>
              <w:bottom w:val="single" w:sz="4" w:space="0" w:color="auto"/>
              <w:right w:val="single" w:sz="4" w:space="0" w:color="auto"/>
            </w:tcBorders>
            <w:hideMark/>
          </w:tcPr>
          <w:p w14:paraId="406ADC6B" w14:textId="77777777" w:rsidR="00772D74" w:rsidRDefault="00772D74">
            <w:pPr>
              <w:spacing w:before="120" w:after="120"/>
              <w:jc w:val="both"/>
              <w:rPr>
                <w:rFonts w:ascii="Arial" w:hAnsi="Arial" w:cs="Arial"/>
                <w:b/>
              </w:rPr>
            </w:pPr>
            <w:r>
              <w:rPr>
                <w:rFonts w:ascii="Arial" w:hAnsi="Arial" w:cs="Arial"/>
                <w:b/>
              </w:rPr>
              <w:t>ECSP7001</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E96BEF9" w14:textId="77777777" w:rsidR="00772D74" w:rsidRDefault="00772D74">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582948F2" w14:textId="77777777" w:rsidR="00772D74" w:rsidRDefault="00772D74">
            <w:pPr>
              <w:spacing w:before="120" w:after="120"/>
              <w:jc w:val="both"/>
              <w:rPr>
                <w:rFonts w:ascii="Arial" w:hAnsi="Arial" w:cs="Arial"/>
                <w:b/>
              </w:rPr>
            </w:pPr>
            <w:r>
              <w:rPr>
                <w:rFonts w:ascii="Arial" w:hAnsi="Arial" w:cs="Arial"/>
                <w:b/>
              </w:rPr>
              <w:t>100%</w:t>
            </w:r>
          </w:p>
        </w:tc>
      </w:tr>
      <w:tr w:rsidR="00772D74" w14:paraId="143D727D"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405AA93" w14:textId="77777777" w:rsidR="00772D74" w:rsidRDefault="00772D74">
            <w:pPr>
              <w:spacing w:before="120" w:after="120"/>
              <w:jc w:val="both"/>
              <w:rPr>
                <w:rFonts w:ascii="Arial" w:hAnsi="Arial" w:cs="Arial"/>
                <w:b/>
              </w:rPr>
            </w:pPr>
            <w:r>
              <w:rPr>
                <w:rFonts w:ascii="Arial" w:hAnsi="Arial" w:cs="Arial"/>
                <w:b/>
              </w:rPr>
              <w:t>Lecturer:</w:t>
            </w:r>
          </w:p>
        </w:tc>
        <w:tc>
          <w:tcPr>
            <w:tcW w:w="3293" w:type="dxa"/>
            <w:tcBorders>
              <w:top w:val="single" w:sz="4" w:space="0" w:color="auto"/>
              <w:left w:val="single" w:sz="4" w:space="0" w:color="auto"/>
              <w:bottom w:val="single" w:sz="4" w:space="0" w:color="auto"/>
              <w:right w:val="single" w:sz="4" w:space="0" w:color="auto"/>
            </w:tcBorders>
            <w:hideMark/>
          </w:tcPr>
          <w:p w14:paraId="586D9FCB" w14:textId="77777777" w:rsidR="00772D74" w:rsidRDefault="00772D74">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00981926" w14:textId="77777777" w:rsidR="00772D74" w:rsidRDefault="00772D74">
            <w:pPr>
              <w:spacing w:before="120" w:after="120"/>
              <w:jc w:val="both"/>
              <w:rPr>
                <w:rFonts w:ascii="Arial" w:hAnsi="Arial" w:cs="Arial"/>
                <w:b/>
              </w:rPr>
            </w:pPr>
            <w:r>
              <w:rPr>
                <w:rFonts w:ascii="Arial" w:hAnsi="Arial" w:cs="Arial"/>
                <w:b/>
              </w:rPr>
              <w:t>Internal Verifier:</w:t>
            </w:r>
          </w:p>
        </w:tc>
        <w:tc>
          <w:tcPr>
            <w:tcW w:w="2268" w:type="dxa"/>
            <w:tcBorders>
              <w:top w:val="single" w:sz="4" w:space="0" w:color="auto"/>
              <w:left w:val="single" w:sz="4" w:space="0" w:color="auto"/>
              <w:bottom w:val="single" w:sz="4" w:space="0" w:color="auto"/>
              <w:right w:val="single" w:sz="4" w:space="0" w:color="auto"/>
            </w:tcBorders>
          </w:tcPr>
          <w:p w14:paraId="66097795" w14:textId="77777777" w:rsidR="00772D74" w:rsidRDefault="00772D74">
            <w:pPr>
              <w:spacing w:before="120" w:after="120"/>
              <w:jc w:val="both"/>
              <w:rPr>
                <w:rFonts w:ascii="Arial" w:hAnsi="Arial" w:cs="Arial"/>
                <w:b/>
              </w:rPr>
            </w:pPr>
          </w:p>
        </w:tc>
      </w:tr>
      <w:tr w:rsidR="00772D74" w14:paraId="085D18EB"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45DDECF" w14:textId="77777777" w:rsidR="00772D74" w:rsidRDefault="00772D74">
            <w:pPr>
              <w:spacing w:before="120" w:after="120"/>
              <w:jc w:val="both"/>
              <w:rPr>
                <w:rFonts w:ascii="Arial" w:hAnsi="Arial" w:cs="Arial"/>
                <w:b/>
              </w:rPr>
            </w:pPr>
            <w:r>
              <w:rPr>
                <w:rFonts w:ascii="Arial" w:hAnsi="Arial" w:cs="Arial"/>
                <w:b/>
              </w:rPr>
              <w:t>Assignment Title:</w:t>
            </w:r>
          </w:p>
        </w:tc>
        <w:tc>
          <w:tcPr>
            <w:tcW w:w="3293" w:type="dxa"/>
            <w:tcBorders>
              <w:top w:val="single" w:sz="4" w:space="0" w:color="auto"/>
              <w:left w:val="single" w:sz="4" w:space="0" w:color="auto"/>
              <w:bottom w:val="single" w:sz="4" w:space="0" w:color="auto"/>
              <w:right w:val="single" w:sz="4" w:space="0" w:color="auto"/>
            </w:tcBorders>
          </w:tcPr>
          <w:p w14:paraId="703963EB" w14:textId="77777777" w:rsidR="00772D74" w:rsidRDefault="00772D74">
            <w:pPr>
              <w:spacing w:before="100" w:beforeAutospacing="1" w:after="100" w:afterAutospacing="1"/>
              <w:rPr>
                <w:rFonts w:ascii="Times New Roman" w:hAnsi="Times New Roman" w:cs="Times New Roman"/>
              </w:rPr>
            </w:pPr>
            <w:r>
              <w:rPr>
                <w:rFonts w:ascii="Arial" w:hAnsi="Arial" w:cs="Arial"/>
                <w:b/>
                <w:bCs/>
              </w:rPr>
              <w:t>Investigating Contemporary Issues in Secondary Education</w:t>
            </w:r>
          </w:p>
          <w:p w14:paraId="64BB1B77" w14:textId="77777777" w:rsidR="00772D74" w:rsidRDefault="00772D74">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919900D" w14:textId="77777777" w:rsidR="00772D74" w:rsidRDefault="00772D74">
            <w:pPr>
              <w:spacing w:before="120" w:after="120"/>
              <w:jc w:val="both"/>
              <w:rPr>
                <w:rFonts w:ascii="Arial" w:hAnsi="Arial" w:cs="Arial"/>
                <w:b/>
              </w:rPr>
            </w:pPr>
            <w:r>
              <w:rPr>
                <w:rFonts w:ascii="Arial" w:hAnsi="Arial" w:cs="Arial"/>
                <w:b/>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64B82B2C" w14:textId="77777777" w:rsidR="00772D74" w:rsidRDefault="00772D74">
            <w:pPr>
              <w:spacing w:before="120" w:after="120"/>
              <w:jc w:val="both"/>
              <w:rPr>
                <w:rFonts w:ascii="Arial" w:hAnsi="Arial" w:cs="Arial"/>
                <w:b/>
              </w:rPr>
            </w:pPr>
            <w:r>
              <w:rPr>
                <w:rFonts w:ascii="Arial" w:hAnsi="Arial" w:cs="Arial"/>
                <w:b/>
              </w:rPr>
              <w:t>5,000 words</w:t>
            </w:r>
          </w:p>
        </w:tc>
      </w:tr>
      <w:tr w:rsidR="00772D74" w14:paraId="278456BA"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691B25B" w14:textId="77777777" w:rsidR="00772D74" w:rsidRDefault="00772D74">
            <w:pPr>
              <w:spacing w:before="120" w:after="120"/>
              <w:jc w:val="both"/>
              <w:rPr>
                <w:rFonts w:ascii="Arial" w:hAnsi="Arial" w:cs="Arial"/>
                <w:b/>
              </w:rPr>
            </w:pPr>
            <w:r>
              <w:rPr>
                <w:rFonts w:ascii="Arial" w:hAnsi="Arial" w:cs="Arial"/>
                <w:b/>
              </w:rPr>
              <w:t>Submission deadline:</w:t>
            </w:r>
          </w:p>
        </w:tc>
        <w:tc>
          <w:tcPr>
            <w:tcW w:w="3293" w:type="dxa"/>
            <w:tcBorders>
              <w:top w:val="single" w:sz="4" w:space="0" w:color="auto"/>
              <w:left w:val="single" w:sz="4" w:space="0" w:color="auto"/>
              <w:bottom w:val="single" w:sz="4" w:space="0" w:color="auto"/>
              <w:right w:val="single" w:sz="4" w:space="0" w:color="auto"/>
            </w:tcBorders>
          </w:tcPr>
          <w:p w14:paraId="4E7435BC" w14:textId="77777777" w:rsidR="00772D74" w:rsidRDefault="00772D74">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5B3E3DB2" w14:textId="77777777" w:rsidR="00772D74" w:rsidRDefault="00772D74">
            <w:pPr>
              <w:spacing w:before="120" w:after="120"/>
              <w:jc w:val="both"/>
              <w:rPr>
                <w:rFonts w:ascii="Arial" w:hAnsi="Arial" w:cs="Arial"/>
                <w:b/>
              </w:rPr>
            </w:pP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DD1ABAE" w14:textId="77777777" w:rsidR="00772D74" w:rsidRDefault="00772D74">
            <w:pPr>
              <w:spacing w:before="120" w:after="120"/>
              <w:jc w:val="both"/>
              <w:rPr>
                <w:rFonts w:ascii="Arial" w:hAnsi="Arial" w:cs="Arial"/>
                <w:b/>
              </w:rPr>
            </w:pPr>
            <w:r>
              <w:rPr>
                <w:rFonts w:ascii="Arial" w:hAnsi="Arial" w:cs="Arial"/>
                <w:b/>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6FB42021" w14:textId="77777777" w:rsidR="00772D74" w:rsidRDefault="00772D74">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6C417DCF" w14:textId="77777777" w:rsidR="00772D74" w:rsidRDefault="00772D74">
            <w:pPr>
              <w:spacing w:before="120" w:after="120"/>
              <w:jc w:val="both"/>
              <w:rPr>
                <w:rFonts w:ascii="Arial" w:hAnsi="Arial" w:cs="Arial"/>
                <w:b/>
              </w:rPr>
            </w:pPr>
          </w:p>
        </w:tc>
      </w:tr>
      <w:tr w:rsidR="00772D74" w14:paraId="0D720F4C"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AFFE009" w14:textId="77777777" w:rsidR="00772D74" w:rsidRDefault="00772D74">
            <w:pPr>
              <w:spacing w:before="120" w:after="120"/>
              <w:jc w:val="both"/>
              <w:rPr>
                <w:rFonts w:ascii="Arial" w:hAnsi="Arial" w:cs="Arial"/>
                <w:b/>
              </w:rPr>
            </w:pPr>
            <w:r>
              <w:rPr>
                <w:rFonts w:ascii="Arial" w:hAnsi="Arial" w:cs="Arial"/>
                <w:b/>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6542712A" w14:textId="77777777" w:rsidR="00772D74" w:rsidRDefault="00772D74">
            <w:pPr>
              <w:rPr>
                <w:rFonts w:ascii="Arial" w:hAnsi="Arial" w:cs="Arial"/>
              </w:rPr>
            </w:pPr>
            <w:r>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FC456E" w14:textId="77777777" w:rsidR="00772D74" w:rsidRDefault="00772D74">
            <w:pPr>
              <w:spacing w:before="120" w:after="120"/>
              <w:jc w:val="both"/>
              <w:rPr>
                <w:rFonts w:ascii="Arial" w:hAnsi="Arial" w:cs="Arial"/>
                <w:b/>
              </w:rPr>
            </w:pPr>
            <w:r>
              <w:rPr>
                <w:rFonts w:ascii="Arial" w:hAnsi="Arial" w:cs="Arial"/>
                <w:b/>
              </w:rPr>
              <w:t xml:space="preserve">Alternative submission method (if applicable): </w:t>
            </w:r>
          </w:p>
          <w:p w14:paraId="29005964" w14:textId="77777777" w:rsidR="00772D74" w:rsidRDefault="00772D74">
            <w:pPr>
              <w:spacing w:before="120" w:after="120"/>
              <w:jc w:val="both"/>
              <w:rPr>
                <w:rFonts w:ascii="Arial" w:hAnsi="Arial" w:cs="Arial"/>
                <w:b/>
              </w:rPr>
            </w:pPr>
            <w:r>
              <w:rPr>
                <w:rFonts w:ascii="Arial" w:hAnsi="Arial" w:cs="Arial"/>
                <w:b/>
              </w:rPr>
              <w:t xml:space="preserve">Late submission of the assessment will result in a late penalty mark.  </w:t>
            </w:r>
            <w:r>
              <w:rPr>
                <w:rFonts w:ascii="Arial" w:hAnsi="Arial" w:cs="Arial"/>
              </w:rPr>
              <w:t>Penalties for late submission: Up to one week late, maximum mark of 50%.  Over one week late, 0%.  Only the Extenuating Circumstances Panel may approve a change to submission dates.</w:t>
            </w:r>
          </w:p>
        </w:tc>
      </w:tr>
      <w:tr w:rsidR="00772D74" w14:paraId="18AE2017" w14:textId="77777777" w:rsidTr="00772D74">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BC19266" w14:textId="77777777" w:rsidR="00772D74" w:rsidRDefault="00772D74">
            <w:pPr>
              <w:spacing w:before="120" w:after="120"/>
              <w:rPr>
                <w:rFonts w:ascii="Arial" w:hAnsi="Arial" w:cs="Arial"/>
                <w:b/>
              </w:rPr>
            </w:pPr>
            <w:r>
              <w:rPr>
                <w:rFonts w:ascii="Arial" w:hAnsi="Arial" w:cs="Arial"/>
                <w:b/>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7C1A514E" w14:textId="77777777" w:rsidR="00772D74" w:rsidRDefault="00772D74">
            <w:pPr>
              <w:spacing w:before="120" w:after="120"/>
              <w:jc w:val="both"/>
              <w:rPr>
                <w:rFonts w:ascii="Arial" w:hAnsi="Arial" w:cs="Arial"/>
              </w:rPr>
            </w:pPr>
            <w:r>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w:t>
            </w:r>
            <w:proofErr w:type="gramStart"/>
            <w:r>
              <w:rPr>
                <w:rFonts w:ascii="Arial" w:hAnsi="Arial" w:cs="Arial"/>
              </w:rPr>
              <w:t>in order to</w:t>
            </w:r>
            <w:proofErr w:type="gramEnd"/>
            <w:r>
              <w:rPr>
                <w:rFonts w:ascii="Arial" w:hAnsi="Arial" w:cs="Arial"/>
              </w:rPr>
              <w:t xml:space="preserve"> complete this assessment.  </w:t>
            </w:r>
          </w:p>
        </w:tc>
      </w:tr>
    </w:tbl>
    <w:p w14:paraId="5451192B" w14:textId="77777777" w:rsidR="000C525E" w:rsidRDefault="000C525E" w:rsidP="00642CA0">
      <w:pPr>
        <w:jc w:val="center"/>
        <w:rPr>
          <w:b/>
          <w:sz w:val="36"/>
          <w:u w:val="single"/>
        </w:rPr>
      </w:pPr>
    </w:p>
    <w:p w14:paraId="3436D530" w14:textId="77777777" w:rsidR="000C525E" w:rsidRDefault="000C525E" w:rsidP="00772D74">
      <w:pPr>
        <w:rPr>
          <w:b/>
          <w:sz w:val="36"/>
          <w:u w:val="single"/>
        </w:rPr>
      </w:pPr>
    </w:p>
    <w:p w14:paraId="0C1B4AD3" w14:textId="0178EB8D" w:rsidR="00C100A1" w:rsidRDefault="00642CA0" w:rsidP="00642CA0">
      <w:pPr>
        <w:jc w:val="center"/>
        <w:rPr>
          <w:b/>
          <w:sz w:val="36"/>
          <w:u w:val="single"/>
        </w:rPr>
      </w:pPr>
      <w:r>
        <w:rPr>
          <w:b/>
          <w:sz w:val="36"/>
          <w:u w:val="single"/>
        </w:rPr>
        <w:lastRenderedPageBreak/>
        <w:t>ECSP7001 – Investigating contemporary issues in secondary education – Report</w:t>
      </w:r>
    </w:p>
    <w:p w14:paraId="24FAF8F9" w14:textId="4D31CDA5" w:rsidR="00642CA0" w:rsidRDefault="00642CA0" w:rsidP="00642CA0">
      <w:pPr>
        <w:rPr>
          <w:b/>
          <w:sz w:val="28"/>
        </w:rPr>
      </w:pPr>
    </w:p>
    <w:p w14:paraId="78CD6B5E" w14:textId="0AAB21D7" w:rsidR="00124E21" w:rsidRDefault="00642CA0" w:rsidP="00642CA0">
      <w:pPr>
        <w:rPr>
          <w:sz w:val="24"/>
        </w:rPr>
      </w:pPr>
      <w:r>
        <w:rPr>
          <w:sz w:val="24"/>
        </w:rPr>
        <w:tab/>
        <w:t>This report will focus on the development of skills in secondary school pupils, in particular the literacy, numeracy</w:t>
      </w:r>
      <w:r w:rsidR="000B1087">
        <w:rPr>
          <w:sz w:val="24"/>
        </w:rPr>
        <w:t>, digital competency</w:t>
      </w:r>
      <w:r w:rsidR="003565B6">
        <w:rPr>
          <w:sz w:val="24"/>
        </w:rPr>
        <w:t>/literacy</w:t>
      </w:r>
      <w:r w:rsidR="000B1087">
        <w:rPr>
          <w:sz w:val="24"/>
        </w:rPr>
        <w:t xml:space="preserve">, and other skills </w:t>
      </w:r>
      <w:r w:rsidR="004F5040">
        <w:rPr>
          <w:sz w:val="24"/>
        </w:rPr>
        <w:t xml:space="preserve">outlined by Donaldson’s recommendations in the Successful Futures report. </w:t>
      </w:r>
      <w:r w:rsidR="004F5040">
        <w:rPr>
          <w:b/>
          <w:sz w:val="24"/>
        </w:rPr>
        <w:t>(Donaldson, 2015)</w:t>
      </w:r>
      <w:r w:rsidR="00FA4A32">
        <w:rPr>
          <w:b/>
          <w:sz w:val="24"/>
        </w:rPr>
        <w:t xml:space="preserve"> </w:t>
      </w:r>
      <w:r w:rsidR="00EC7E57">
        <w:rPr>
          <w:sz w:val="24"/>
        </w:rPr>
        <w:t>Both literacy and numeracy skills</w:t>
      </w:r>
      <w:r w:rsidR="00FA4A32">
        <w:rPr>
          <w:sz w:val="24"/>
        </w:rPr>
        <w:t xml:space="preserve"> are important to the development of pupils’ abilities on the whole</w:t>
      </w:r>
      <w:r w:rsidR="00EC7E57">
        <w:rPr>
          <w:sz w:val="24"/>
        </w:rPr>
        <w:t>. T</w:t>
      </w:r>
      <w:r w:rsidR="00FA4A32">
        <w:rPr>
          <w:sz w:val="24"/>
        </w:rPr>
        <w:t xml:space="preserve">he </w:t>
      </w:r>
      <w:r w:rsidR="00032307">
        <w:rPr>
          <w:sz w:val="24"/>
        </w:rPr>
        <w:t>most recent (</w:t>
      </w:r>
      <w:r w:rsidR="00FA4A32">
        <w:rPr>
          <w:sz w:val="24"/>
        </w:rPr>
        <w:t>2015</w:t>
      </w:r>
      <w:r w:rsidR="00032307">
        <w:rPr>
          <w:sz w:val="24"/>
        </w:rPr>
        <w:t>)</w:t>
      </w:r>
      <w:r w:rsidR="00FA4A32">
        <w:rPr>
          <w:sz w:val="24"/>
        </w:rPr>
        <w:t xml:space="preserve"> </w:t>
      </w:r>
      <w:r w:rsidR="00EC7E57">
        <w:rPr>
          <w:sz w:val="24"/>
        </w:rPr>
        <w:t xml:space="preserve">Programme for International Student Assessment (PISA) results </w:t>
      </w:r>
      <w:r w:rsidR="00032307">
        <w:rPr>
          <w:sz w:val="24"/>
        </w:rPr>
        <w:t>show</w:t>
      </w:r>
      <w:r w:rsidR="002D46DD">
        <w:rPr>
          <w:sz w:val="24"/>
        </w:rPr>
        <w:t xml:space="preserve"> that, in maths, Wales scored 491 which is the worst in the UK. In reading Wales scored 477, which again is the worst in the UK. </w:t>
      </w:r>
      <w:r w:rsidR="00FA3203">
        <w:rPr>
          <w:b/>
          <w:sz w:val="24"/>
        </w:rPr>
        <w:t>(OECD, 2015)</w:t>
      </w:r>
      <w:r w:rsidR="00124E21">
        <w:rPr>
          <w:b/>
          <w:sz w:val="24"/>
        </w:rPr>
        <w:t xml:space="preserve"> </w:t>
      </w:r>
      <w:r w:rsidR="00032307">
        <w:rPr>
          <w:sz w:val="24"/>
        </w:rPr>
        <w:t>The UK ranked 15</w:t>
      </w:r>
      <w:r w:rsidR="00032307" w:rsidRPr="00032307">
        <w:rPr>
          <w:sz w:val="24"/>
          <w:vertAlign w:val="superscript"/>
        </w:rPr>
        <w:t>th</w:t>
      </w:r>
      <w:r w:rsidR="00032307">
        <w:rPr>
          <w:sz w:val="24"/>
        </w:rPr>
        <w:t xml:space="preserve"> overall in these tests, which shows that </w:t>
      </w:r>
      <w:r w:rsidR="00FA3203">
        <w:rPr>
          <w:sz w:val="24"/>
        </w:rPr>
        <w:t xml:space="preserve">Wales is falling behind </w:t>
      </w:r>
      <w:r w:rsidR="00DE6CCE">
        <w:rPr>
          <w:sz w:val="24"/>
        </w:rPr>
        <w:t>in both numeracy and literacy</w:t>
      </w:r>
      <w:r w:rsidR="00032307">
        <w:rPr>
          <w:sz w:val="24"/>
        </w:rPr>
        <w:t>, not only in terms of the countries within the UK</w:t>
      </w:r>
      <w:r w:rsidR="00124E21">
        <w:rPr>
          <w:sz w:val="24"/>
        </w:rPr>
        <w:t>,</w:t>
      </w:r>
      <w:r w:rsidR="00032307">
        <w:rPr>
          <w:sz w:val="24"/>
        </w:rPr>
        <w:t xml:space="preserve"> but also compared to the rest of the countries within the </w:t>
      </w:r>
      <w:r w:rsidR="00124E21">
        <w:rPr>
          <w:sz w:val="24"/>
        </w:rPr>
        <w:t>Office of Economic Cooperation and Development (OECD) sample countries.</w:t>
      </w:r>
      <w:r w:rsidR="003565B6">
        <w:rPr>
          <w:sz w:val="24"/>
        </w:rPr>
        <w:t xml:space="preserve"> Whilst there is no formal ranking for Wales in terms of digital competency/literacy, in a world where digital competency/literacy is required for not only the workplace but life in general</w:t>
      </w:r>
      <w:r w:rsidR="0035795A">
        <w:rPr>
          <w:sz w:val="24"/>
        </w:rPr>
        <w:t xml:space="preserve">, it is ever increasingly important to include elements of digital competency in our national curriculum. This is made abundantly clear, again, within the recommendations of Donaldson in his “Successful Futures” report </w:t>
      </w:r>
      <w:r w:rsidR="0035795A">
        <w:rPr>
          <w:b/>
          <w:sz w:val="24"/>
        </w:rPr>
        <w:t xml:space="preserve">(Donaldson, 2015) </w:t>
      </w:r>
      <w:r w:rsidR="00842346">
        <w:rPr>
          <w:sz w:val="24"/>
        </w:rPr>
        <w:t>These reports and recommendations clearly show that the development of skills in secondary pupils is paramount to their success in the modern world.</w:t>
      </w:r>
      <w:r w:rsidR="0035795A">
        <w:rPr>
          <w:sz w:val="24"/>
        </w:rPr>
        <w:t xml:space="preserve"> </w:t>
      </w:r>
    </w:p>
    <w:p w14:paraId="623DE1FC" w14:textId="77777777" w:rsidR="0054654A" w:rsidRDefault="0054654A" w:rsidP="00642CA0">
      <w:pPr>
        <w:rPr>
          <w:sz w:val="24"/>
        </w:rPr>
      </w:pPr>
    </w:p>
    <w:p w14:paraId="27D68EF2" w14:textId="7C6C27FE" w:rsidR="004F5040" w:rsidRDefault="006F603D" w:rsidP="00642CA0">
      <w:pPr>
        <w:rPr>
          <w:b/>
          <w:sz w:val="24"/>
        </w:rPr>
      </w:pPr>
      <w:r>
        <w:rPr>
          <w:b/>
          <w:sz w:val="24"/>
        </w:rPr>
        <w:tab/>
      </w:r>
      <w:r w:rsidR="00011CD4">
        <w:rPr>
          <w:sz w:val="24"/>
        </w:rPr>
        <w:t xml:space="preserve">In my first Professional Teaching Experience (PTE1) school’s departmental improvement plan, </w:t>
      </w:r>
      <w:r w:rsidR="00E44496">
        <w:rPr>
          <w:sz w:val="24"/>
        </w:rPr>
        <w:t xml:space="preserve">many recommendations are outlined based on the Estyn inspection areas. </w:t>
      </w:r>
      <w:r w:rsidR="00471F8E">
        <w:rPr>
          <w:sz w:val="24"/>
        </w:rPr>
        <w:t xml:space="preserve">The development of literacy, numeracy and digital skills falls under Estyn’s Inspection Area 3: Teaching and learning, and into the sub-category for the provision of skills. The departmental improvement plan states that these skills, along with </w:t>
      </w:r>
      <w:r w:rsidR="00CA59B6">
        <w:rPr>
          <w:sz w:val="24"/>
        </w:rPr>
        <w:t>the other skills that were recommended by Donaldson in his report, can be further improved upon through several means. These include continuing the successful use of Literacy and Numeracy Framework (LNF) booklets</w:t>
      </w:r>
      <w:r w:rsidR="00AE03EF">
        <w:rPr>
          <w:sz w:val="24"/>
        </w:rPr>
        <w:t>, which are printed booklets that contain activities that not only follow the science scheme of work, but these activities are designed to improve both the literacy and numeracy skills of pupils in the context of science</w:t>
      </w:r>
      <w:r w:rsidR="00535493">
        <w:rPr>
          <w:sz w:val="24"/>
        </w:rPr>
        <w:t xml:space="preserve"> learning</w:t>
      </w:r>
      <w:r w:rsidR="00AE03EF">
        <w:rPr>
          <w:sz w:val="24"/>
        </w:rPr>
        <w:t>.</w:t>
      </w:r>
      <w:r w:rsidR="00471F8E">
        <w:rPr>
          <w:sz w:val="24"/>
        </w:rPr>
        <w:t xml:space="preserve"> </w:t>
      </w:r>
      <w:r w:rsidR="0015195E">
        <w:rPr>
          <w:sz w:val="24"/>
        </w:rPr>
        <w:t>The departmental plan also outlines how digital competency skills can be improved in pupils by considering the digital competency framework when developing the new key stage 3 (KS3) homework tasks.</w:t>
      </w:r>
      <w:r w:rsidR="00750853">
        <w:rPr>
          <w:sz w:val="24"/>
        </w:rPr>
        <w:t xml:space="preserve"> The plan states that the expected impact/success evidence of these steps will be “improved levels of literacy and numeracy </w:t>
      </w:r>
      <w:r w:rsidR="000F2EED">
        <w:rPr>
          <w:sz w:val="24"/>
        </w:rPr>
        <w:t xml:space="preserve">and staff understanding of areas of strength and weakness”. </w:t>
      </w:r>
      <w:r w:rsidR="000F2EED">
        <w:rPr>
          <w:b/>
          <w:sz w:val="24"/>
        </w:rPr>
        <w:t>(see</w:t>
      </w:r>
      <w:r w:rsidR="00CF07C7">
        <w:rPr>
          <w:b/>
          <w:sz w:val="24"/>
        </w:rPr>
        <w:t xml:space="preserve"> Appendix -</w:t>
      </w:r>
      <w:r w:rsidR="000F2EED">
        <w:rPr>
          <w:b/>
          <w:sz w:val="24"/>
        </w:rPr>
        <w:t xml:space="preserve"> Departmental Plan) </w:t>
      </w:r>
      <w:r w:rsidR="000F2EED">
        <w:rPr>
          <w:sz w:val="24"/>
        </w:rPr>
        <w:t xml:space="preserve">The science department’s self-evaluation document details the many ways in which the provision of skills is very successful within the department. Such as successful incorporation of the LNF, reading/writing behaviours, and </w:t>
      </w:r>
      <w:r w:rsidR="00BF57C2">
        <w:rPr>
          <w:sz w:val="24"/>
        </w:rPr>
        <w:t>numerical reasoning strategies into both KS3 and KS4 schemes of work. Another strength within the department was the use of skills week (week dedicated to the development of skills outlined in the Donaldson report) for KS3 pupils in developing the three cross-</w:t>
      </w:r>
      <w:r w:rsidR="00BF57C2">
        <w:rPr>
          <w:sz w:val="24"/>
        </w:rPr>
        <w:lastRenderedPageBreak/>
        <w:t xml:space="preserve">curricular and four wider skills </w:t>
      </w:r>
      <w:r w:rsidR="00BF57C2">
        <w:rPr>
          <w:b/>
          <w:sz w:val="24"/>
        </w:rPr>
        <w:t xml:space="preserve">(Donaldson, 2015) </w:t>
      </w:r>
      <w:r w:rsidR="00BF57C2">
        <w:rPr>
          <w:sz w:val="24"/>
        </w:rPr>
        <w:t>whilst maintaining links to digital competency</w:t>
      </w:r>
      <w:r w:rsidR="0013733A">
        <w:rPr>
          <w:sz w:val="24"/>
        </w:rPr>
        <w:t>.</w:t>
      </w:r>
      <w:r w:rsidR="00EF431E">
        <w:rPr>
          <w:sz w:val="24"/>
        </w:rPr>
        <w:t xml:space="preserve"> Other strengths include: encouraging groupwork and thinking skills, developing research skills in pupils and directing pupils in the use of the skills pages in their planners – reading behaviours, learning styles, text types and research triangulation. Whilst the self-evaluation does detail many strengths within the department, evident by the </w:t>
      </w:r>
      <w:r w:rsidR="00CC1E20">
        <w:rPr>
          <w:sz w:val="24"/>
        </w:rPr>
        <w:t>“</w:t>
      </w:r>
      <w:r w:rsidR="00EF431E">
        <w:rPr>
          <w:sz w:val="24"/>
        </w:rPr>
        <w:t>excellent</w:t>
      </w:r>
      <w:r w:rsidR="00CC1E20">
        <w:rPr>
          <w:sz w:val="24"/>
        </w:rPr>
        <w:t>”</w:t>
      </w:r>
      <w:r w:rsidR="00EF431E">
        <w:rPr>
          <w:sz w:val="24"/>
        </w:rPr>
        <w:t xml:space="preserve"> score in this category, there are also areas to improve on. These areas are the </w:t>
      </w:r>
      <w:r w:rsidR="009F2A42">
        <w:rPr>
          <w:sz w:val="24"/>
        </w:rPr>
        <w:t xml:space="preserve">additional </w:t>
      </w:r>
      <w:r w:rsidR="00EF431E">
        <w:rPr>
          <w:sz w:val="24"/>
        </w:rPr>
        <w:t xml:space="preserve">development </w:t>
      </w:r>
      <w:r w:rsidR="009F2A42">
        <w:rPr>
          <w:sz w:val="24"/>
        </w:rPr>
        <w:t xml:space="preserve">of </w:t>
      </w:r>
      <w:r w:rsidR="00EF431E">
        <w:rPr>
          <w:sz w:val="24"/>
        </w:rPr>
        <w:t xml:space="preserve">digital competency/literacy </w:t>
      </w:r>
      <w:r w:rsidR="009F2A42">
        <w:rPr>
          <w:sz w:val="24"/>
        </w:rPr>
        <w:t xml:space="preserve">through the use of INSET days and also the consolidation of learning using effective plenaries. </w:t>
      </w:r>
      <w:r w:rsidR="009F2A42">
        <w:rPr>
          <w:b/>
          <w:sz w:val="24"/>
        </w:rPr>
        <w:t xml:space="preserve">(see </w:t>
      </w:r>
      <w:r w:rsidR="00CF07C7">
        <w:rPr>
          <w:b/>
          <w:sz w:val="24"/>
        </w:rPr>
        <w:t xml:space="preserve">Appendix - </w:t>
      </w:r>
      <w:r w:rsidR="009F2A42">
        <w:rPr>
          <w:b/>
          <w:sz w:val="24"/>
        </w:rPr>
        <w:t xml:space="preserve">Department Self-evaluation) </w:t>
      </w:r>
      <w:r w:rsidR="009F2A42">
        <w:rPr>
          <w:sz w:val="24"/>
        </w:rPr>
        <w:t xml:space="preserve">Both </w:t>
      </w:r>
      <w:r w:rsidR="00AE7CF6">
        <w:rPr>
          <w:sz w:val="24"/>
        </w:rPr>
        <w:t>the departmental plan and the self-evaluation</w:t>
      </w:r>
      <w:r w:rsidR="009F2A42">
        <w:rPr>
          <w:sz w:val="24"/>
        </w:rPr>
        <w:t xml:space="preserve"> tie in with the school’s “whole school development plan”</w:t>
      </w:r>
      <w:r w:rsidR="0082511E">
        <w:rPr>
          <w:sz w:val="24"/>
        </w:rPr>
        <w:t xml:space="preserve"> (WSDP) as the WSDP outlines many ways in which the provision of skills can be improved across all departments.</w:t>
      </w:r>
      <w:r w:rsidR="00AE7CF6">
        <w:rPr>
          <w:sz w:val="24"/>
        </w:rPr>
        <w:t xml:space="preserve"> It details strategies such as reviewing schemes of work; which links to the department’s plan to improve LNF booklets in the context of the science scheme of work</w:t>
      </w:r>
      <w:r w:rsidR="00CC1E20">
        <w:rPr>
          <w:sz w:val="24"/>
        </w:rPr>
        <w:t>. It also</w:t>
      </w:r>
      <w:r w:rsidR="002D2B9E">
        <w:rPr>
          <w:sz w:val="24"/>
        </w:rPr>
        <w:t xml:space="preserve"> states that there is need to develop and support the KS3 accelerated reader programme, to improve literacy skills; mainly reading. Whilst this doesn’t directly link to any of the science department’s recommendations, it does link to the need to improve literacy skills throughout all departments; which the science department is doing through</w:t>
      </w:r>
      <w:r w:rsidR="008A2B06">
        <w:rPr>
          <w:b/>
          <w:sz w:val="24"/>
        </w:rPr>
        <w:t xml:space="preserve"> </w:t>
      </w:r>
      <w:r w:rsidR="002D2B9E" w:rsidRPr="002D2B9E">
        <w:rPr>
          <w:sz w:val="24"/>
        </w:rPr>
        <w:t>the improvement</w:t>
      </w:r>
      <w:r w:rsidR="002D2B9E">
        <w:rPr>
          <w:sz w:val="24"/>
        </w:rPr>
        <w:t xml:space="preserve"> of their LNF booklets. The WSDP also outlines the need </w:t>
      </w:r>
      <w:r w:rsidR="00F40F12">
        <w:rPr>
          <w:sz w:val="24"/>
        </w:rPr>
        <w:t xml:space="preserve">further improve the skills weeks to make sure teachers are effective in teaching literacy and numeracy skills, </w:t>
      </w:r>
      <w:r w:rsidR="001E4117">
        <w:rPr>
          <w:sz w:val="24"/>
        </w:rPr>
        <w:t xml:space="preserve">and also for teachers to be able to use “excellent teaching” and be able to identify aspects of good/excellent teaching. These two aims link to the science department’s self-evaluation recommendations, in that the science department plans to use INSET days to improve upon similar issues. </w:t>
      </w:r>
      <w:r w:rsidR="001E4117">
        <w:rPr>
          <w:b/>
          <w:sz w:val="24"/>
        </w:rPr>
        <w:t xml:space="preserve">(see Whole School Development Plan) </w:t>
      </w:r>
    </w:p>
    <w:p w14:paraId="351CC47C" w14:textId="77777777" w:rsidR="0054654A" w:rsidRDefault="0054654A" w:rsidP="00642CA0">
      <w:pPr>
        <w:rPr>
          <w:b/>
          <w:sz w:val="24"/>
        </w:rPr>
      </w:pPr>
    </w:p>
    <w:p w14:paraId="26180998" w14:textId="7B13792E" w:rsidR="00C87974" w:rsidRPr="00E40937" w:rsidRDefault="00C87974" w:rsidP="00642CA0">
      <w:pPr>
        <w:rPr>
          <w:b/>
          <w:sz w:val="24"/>
        </w:rPr>
      </w:pPr>
      <w:r>
        <w:rPr>
          <w:sz w:val="24"/>
        </w:rPr>
        <w:tab/>
      </w:r>
      <w:r w:rsidR="007F4F84">
        <w:rPr>
          <w:sz w:val="24"/>
        </w:rPr>
        <w:t xml:space="preserve">The departmental plan, self-evaluation and the WSDP are all examples of how strategic planning is conducted within schools to encourage the improvement of learning/teaching standards. There are other important </w:t>
      </w:r>
      <w:r w:rsidR="00E8505A">
        <w:rPr>
          <w:sz w:val="24"/>
        </w:rPr>
        <w:t>elements</w:t>
      </w:r>
      <w:r w:rsidR="007F4F84">
        <w:rPr>
          <w:sz w:val="24"/>
        </w:rPr>
        <w:t xml:space="preserve"> that must be considered when conducting strategic planning, these include: minutes from meetings, </w:t>
      </w:r>
      <w:r w:rsidR="00E8505A">
        <w:rPr>
          <w:sz w:val="24"/>
        </w:rPr>
        <w:t>evaluation of pupils’ previous work, previous test/exam scores, lesson observations</w:t>
      </w:r>
      <w:r w:rsidR="00D233D7">
        <w:rPr>
          <w:sz w:val="24"/>
        </w:rPr>
        <w:t>, and reviews of budgets</w:t>
      </w:r>
      <w:r w:rsidR="00E8505A">
        <w:rPr>
          <w:sz w:val="24"/>
        </w:rPr>
        <w:t>.</w:t>
      </w:r>
      <w:r w:rsidR="007A0C08">
        <w:rPr>
          <w:sz w:val="24"/>
        </w:rPr>
        <w:t xml:space="preserve"> </w:t>
      </w:r>
      <w:r w:rsidR="00E8505A">
        <w:rPr>
          <w:sz w:val="24"/>
        </w:rPr>
        <w:t>The review of these documents forms the first step(s) for strategic planning</w:t>
      </w:r>
      <w:r w:rsidR="00D233D7">
        <w:rPr>
          <w:sz w:val="24"/>
        </w:rPr>
        <w:t>: gathering of data and identification of possible issues, where both of these steps happen simultaneously.</w:t>
      </w:r>
      <w:r w:rsidR="007A0C08">
        <w:rPr>
          <w:sz w:val="24"/>
        </w:rPr>
        <w:t xml:space="preserve"> The implementation of initial planning steps has been shown to have a significant impact on the implementation of successful change in school practice and policy. </w:t>
      </w:r>
      <w:r w:rsidR="007A0C08">
        <w:rPr>
          <w:b/>
          <w:sz w:val="24"/>
        </w:rPr>
        <w:t>(</w:t>
      </w:r>
      <w:r w:rsidR="005562C8">
        <w:rPr>
          <w:b/>
          <w:sz w:val="24"/>
        </w:rPr>
        <w:t>Rutherford, 2009</w:t>
      </w:r>
      <w:r w:rsidR="007A0C08">
        <w:rPr>
          <w:b/>
          <w:sz w:val="24"/>
        </w:rPr>
        <w:t>)</w:t>
      </w:r>
      <w:r w:rsidR="005562C8">
        <w:rPr>
          <w:b/>
          <w:sz w:val="24"/>
        </w:rPr>
        <w:t xml:space="preserve"> </w:t>
      </w:r>
      <w:r w:rsidR="007D6198">
        <w:rPr>
          <w:sz w:val="24"/>
        </w:rPr>
        <w:t>On the other hand,</w:t>
      </w:r>
      <w:r w:rsidR="007D6198">
        <w:rPr>
          <w:b/>
          <w:sz w:val="24"/>
        </w:rPr>
        <w:t xml:space="preserve"> </w:t>
      </w:r>
      <w:r w:rsidR="00191E20">
        <w:rPr>
          <w:sz w:val="24"/>
        </w:rPr>
        <w:t>Chang explains how there is not any one perfect way to carry out strategic planning</w:t>
      </w:r>
      <w:r w:rsidR="00B23839">
        <w:rPr>
          <w:sz w:val="24"/>
        </w:rPr>
        <w:t xml:space="preserve"> as it can be difficult to plan for every aspect that requires attention. They also recommend that the planning process needs to be conducted “through a balanced decision-making process” </w:t>
      </w:r>
      <w:r w:rsidR="00B23839">
        <w:rPr>
          <w:b/>
          <w:sz w:val="24"/>
        </w:rPr>
        <w:t xml:space="preserve">(Chang, 2008) </w:t>
      </w:r>
      <w:r w:rsidR="007D6198">
        <w:rPr>
          <w:sz w:val="24"/>
        </w:rPr>
        <w:t xml:space="preserve">The various steps involved in the strategic planning process have been described in a multitude </w:t>
      </w:r>
      <w:r w:rsidR="00AA3E82">
        <w:rPr>
          <w:sz w:val="24"/>
        </w:rPr>
        <w:t xml:space="preserve">of ways, for example, Chang describes strategic planning as a three step process: (1) system analysis, (2) policy formulation, and (3) action planning. </w:t>
      </w:r>
      <w:r w:rsidR="00AA3E82">
        <w:rPr>
          <w:b/>
          <w:sz w:val="24"/>
        </w:rPr>
        <w:t>(Chang, 2006)</w:t>
      </w:r>
      <w:r w:rsidR="007D6198">
        <w:rPr>
          <w:sz w:val="24"/>
        </w:rPr>
        <w:t xml:space="preserve"> </w:t>
      </w:r>
      <w:r w:rsidR="000543F6">
        <w:rPr>
          <w:sz w:val="24"/>
        </w:rPr>
        <w:t xml:space="preserve">However, it has also been described as a four-step process of vision, mission, strategy, and action. </w:t>
      </w:r>
      <w:r w:rsidR="000543F6">
        <w:rPr>
          <w:b/>
          <w:sz w:val="24"/>
        </w:rPr>
        <w:t xml:space="preserve">(Ozdem, 2011) </w:t>
      </w:r>
      <w:r w:rsidR="000543F6">
        <w:rPr>
          <w:sz w:val="24"/>
        </w:rPr>
        <w:t>Whilst the extra step may indicate a more intricate planning process, I prefer Chang’s description of a three</w:t>
      </w:r>
      <w:r w:rsidR="003D2D53">
        <w:rPr>
          <w:sz w:val="24"/>
        </w:rPr>
        <w:t>-st</w:t>
      </w:r>
      <w:r w:rsidR="000543F6">
        <w:rPr>
          <w:sz w:val="24"/>
        </w:rPr>
        <w:t>age planning method.</w:t>
      </w:r>
      <w:r w:rsidR="003D2D53">
        <w:rPr>
          <w:sz w:val="24"/>
        </w:rPr>
        <w:t xml:space="preserve"> Due to its simplicity, and it being to difficult to plan for every aspect </w:t>
      </w:r>
      <w:r w:rsidR="003D2D53">
        <w:rPr>
          <w:sz w:val="24"/>
        </w:rPr>
        <w:lastRenderedPageBreak/>
        <w:t>that needs attention, the three-stage process is more adaptable to change. Firstly, the relevant data is analysed and the shortcomings are identified</w:t>
      </w:r>
      <w:r w:rsidR="00665F6B">
        <w:rPr>
          <w:sz w:val="24"/>
        </w:rPr>
        <w:t>. This then leads to the policies of the school being changed/updated in line with the recommendations of the analysis, which leads on to the final stage, action planning, which is the logistical plan detailing how to implement the new/updated policies in a practical and successful way.</w:t>
      </w:r>
      <w:r w:rsidR="006B58C3">
        <w:rPr>
          <w:sz w:val="24"/>
        </w:rPr>
        <w:t xml:space="preserve"> Due to the dynamic nature of education policy it is crucial for strategic planning methods to </w:t>
      </w:r>
      <w:r w:rsidR="00742B04">
        <w:rPr>
          <w:sz w:val="24"/>
        </w:rPr>
        <w:t xml:space="preserve">be just as dynamic. </w:t>
      </w:r>
      <w:r w:rsidR="00A70380">
        <w:rPr>
          <w:sz w:val="24"/>
        </w:rPr>
        <w:t>One of the most important features of education policy is assessment, which is an important part of keeping strategic planning dynamic due to the sheer amount of assessment that goes on in schools.</w:t>
      </w:r>
      <w:r w:rsidR="006C3A68">
        <w:rPr>
          <w:sz w:val="24"/>
        </w:rPr>
        <w:t xml:space="preserve"> Combining assessment with the planning process moves the assessment process from a student improvement tool into a tool for the improvement of school policy. </w:t>
      </w:r>
      <w:r w:rsidR="005A64AA">
        <w:rPr>
          <w:sz w:val="24"/>
        </w:rPr>
        <w:t xml:space="preserve">It also creates a systematic cycle of continuous improvement where inquiries raised through assessment are dealt with by well informed faculty members. </w:t>
      </w:r>
      <w:r w:rsidR="005A64AA">
        <w:rPr>
          <w:b/>
          <w:sz w:val="24"/>
        </w:rPr>
        <w:t xml:space="preserve">(Maki, 2002) </w:t>
      </w:r>
      <w:r w:rsidR="00742B04">
        <w:rPr>
          <w:sz w:val="24"/>
        </w:rPr>
        <w:t xml:space="preserve">Research has showed that there are many </w:t>
      </w:r>
      <w:r w:rsidR="005A64AA">
        <w:rPr>
          <w:sz w:val="24"/>
        </w:rPr>
        <w:t xml:space="preserve">other </w:t>
      </w:r>
      <w:r w:rsidR="00742B04">
        <w:rPr>
          <w:sz w:val="24"/>
        </w:rPr>
        <w:t xml:space="preserve">factors that can influence the </w:t>
      </w:r>
      <w:r w:rsidR="005A01F4">
        <w:rPr>
          <w:sz w:val="24"/>
        </w:rPr>
        <w:t>planning stages</w:t>
      </w:r>
      <w:r w:rsidR="005C1F3C">
        <w:rPr>
          <w:sz w:val="24"/>
        </w:rPr>
        <w:t xml:space="preserve">, such as: ever changing curriculum needs, evolution of technology and its use in the classroom, and economic trends. </w:t>
      </w:r>
      <w:r w:rsidR="005C1F3C">
        <w:rPr>
          <w:b/>
          <w:sz w:val="24"/>
        </w:rPr>
        <w:t>(</w:t>
      </w:r>
      <w:r w:rsidR="000B15F5">
        <w:rPr>
          <w:b/>
          <w:sz w:val="24"/>
        </w:rPr>
        <w:t>Howel et al., 2003</w:t>
      </w:r>
      <w:r w:rsidR="005C1F3C">
        <w:rPr>
          <w:b/>
          <w:sz w:val="24"/>
        </w:rPr>
        <w:t>)</w:t>
      </w:r>
      <w:r w:rsidR="000B15F5">
        <w:rPr>
          <w:b/>
          <w:sz w:val="24"/>
        </w:rPr>
        <w:t xml:space="preserve"> </w:t>
      </w:r>
      <w:r w:rsidR="003908A6">
        <w:rPr>
          <w:sz w:val="24"/>
        </w:rPr>
        <w:t xml:space="preserve">The evolution of technology is an important factor, the business opportunities that the advancement of teaching technology brings about is a double-edged sword. On one hand, the new technologies could be incredibly useful for implementing new styles of teaching and learning. On the other hand, these technological advancements leave educators in the dark, how can we know it the new technology will have any effect on teaching and learning or if businesses will take advantage </w:t>
      </w:r>
      <w:r w:rsidR="00726AEE">
        <w:rPr>
          <w:sz w:val="24"/>
        </w:rPr>
        <w:t xml:space="preserve">to sell ‘miracle’ teaching tools that have no proven effect. </w:t>
      </w:r>
      <w:r w:rsidR="00726AEE">
        <w:rPr>
          <w:b/>
          <w:sz w:val="24"/>
        </w:rPr>
        <w:t>(Hach</w:t>
      </w:r>
      <w:r w:rsidR="00726AEE" w:rsidRPr="00726AEE">
        <w:rPr>
          <w:b/>
          <w:sz w:val="24"/>
        </w:rPr>
        <w:t>é</w:t>
      </w:r>
      <w:r w:rsidR="00726AEE">
        <w:rPr>
          <w:b/>
          <w:sz w:val="24"/>
        </w:rPr>
        <w:t xml:space="preserve">, 2000) </w:t>
      </w:r>
      <w:r w:rsidR="000F55E7">
        <w:rPr>
          <w:sz w:val="24"/>
        </w:rPr>
        <w:t xml:space="preserve">Overall, </w:t>
      </w:r>
      <w:r w:rsidR="005A64AA">
        <w:rPr>
          <w:sz w:val="24"/>
        </w:rPr>
        <w:t xml:space="preserve">there are obviously no downsides to </w:t>
      </w:r>
      <w:r w:rsidR="000F55E7">
        <w:rPr>
          <w:sz w:val="24"/>
        </w:rPr>
        <w:t>strategic planning</w:t>
      </w:r>
      <w:r w:rsidR="005A64AA">
        <w:rPr>
          <w:sz w:val="24"/>
        </w:rPr>
        <w:t xml:space="preserve"> in schools</w:t>
      </w:r>
      <w:r w:rsidR="00FE1564">
        <w:rPr>
          <w:sz w:val="24"/>
        </w:rPr>
        <w:t>,</w:t>
      </w:r>
      <w:r w:rsidR="005A64AA">
        <w:rPr>
          <w:sz w:val="24"/>
        </w:rPr>
        <w:t xml:space="preserve"> </w:t>
      </w:r>
      <w:r w:rsidR="00FE1564">
        <w:rPr>
          <w:sz w:val="24"/>
        </w:rPr>
        <w:t>however,</w:t>
      </w:r>
      <w:r w:rsidR="005A64AA">
        <w:rPr>
          <w:sz w:val="24"/>
        </w:rPr>
        <w:t xml:space="preserve"> it is important to keep track of all the different </w:t>
      </w:r>
      <w:r w:rsidR="00FE1564">
        <w:rPr>
          <w:sz w:val="24"/>
        </w:rPr>
        <w:t xml:space="preserve">elements that have an impact on said planning. Taking care to avoid potholes in the planning process that </w:t>
      </w:r>
      <w:r w:rsidR="004A1F19">
        <w:rPr>
          <w:sz w:val="24"/>
        </w:rPr>
        <w:t>could either slow down the process or lead school staff down the wrong avenues all together, leading to the wasting of valuable faculty time.</w:t>
      </w:r>
      <w:r w:rsidR="00DE4E6F">
        <w:rPr>
          <w:sz w:val="24"/>
        </w:rPr>
        <w:t xml:space="preserve"> </w:t>
      </w:r>
      <w:r w:rsidR="00E40937">
        <w:rPr>
          <w:sz w:val="24"/>
        </w:rPr>
        <w:t xml:space="preserve">When strategic planning is implemented successfully it has a direct impact on both the learning of pupils and the overall effectiveness of the school. </w:t>
      </w:r>
      <w:r w:rsidR="00E40937">
        <w:rPr>
          <w:b/>
          <w:sz w:val="24"/>
        </w:rPr>
        <w:t>(Jenkins, 2007)</w:t>
      </w:r>
    </w:p>
    <w:p w14:paraId="4B4BFABE" w14:textId="77777777" w:rsidR="0054654A" w:rsidRDefault="0054654A" w:rsidP="00642CA0">
      <w:pPr>
        <w:rPr>
          <w:b/>
          <w:sz w:val="24"/>
        </w:rPr>
      </w:pPr>
    </w:p>
    <w:p w14:paraId="63F4C92F" w14:textId="2BAA9CBE" w:rsidR="0020214B" w:rsidRDefault="008D7E57" w:rsidP="00642CA0">
      <w:pPr>
        <w:rPr>
          <w:b/>
          <w:sz w:val="24"/>
        </w:rPr>
      </w:pPr>
      <w:r>
        <w:rPr>
          <w:sz w:val="24"/>
        </w:rPr>
        <w:tab/>
        <w:t xml:space="preserve">As discussed previously, the pupil skills that require development are: Literacy, numeracy, and digital competency. Literacy skills in Wales are in dire need for improvement as outlined by the 2015 PISA results </w:t>
      </w:r>
      <w:r>
        <w:rPr>
          <w:b/>
          <w:sz w:val="24"/>
        </w:rPr>
        <w:t xml:space="preserve">(OECD, 2015) </w:t>
      </w:r>
      <w:r w:rsidR="001037C4">
        <w:rPr>
          <w:sz w:val="24"/>
        </w:rPr>
        <w:t xml:space="preserve">Review of relevant literature </w:t>
      </w:r>
      <w:r w:rsidR="009939DE">
        <w:rPr>
          <w:sz w:val="24"/>
        </w:rPr>
        <w:t>has detailed both the need for need for improving literacy skills, and how it has been achieved through pedagogical methods.</w:t>
      </w:r>
      <w:r w:rsidR="00254E43">
        <w:rPr>
          <w:sz w:val="24"/>
        </w:rPr>
        <w:t xml:space="preserve"> It is important for elements of literacy to be included throughout a school’s curriculum </w:t>
      </w:r>
      <w:r w:rsidR="00920F59">
        <w:rPr>
          <w:sz w:val="24"/>
        </w:rPr>
        <w:t xml:space="preserve">for literacy skills to be </w:t>
      </w:r>
      <w:r w:rsidR="00412D65">
        <w:rPr>
          <w:sz w:val="24"/>
        </w:rPr>
        <w:t xml:space="preserve">properly absorbed by pupils. This is helped by the fact that many different literacy skills are allowed to be incorporated into a variety of different subject’s tasks; whilst also being taught by a variety of different educators, all with different backgrounds and expertise. </w:t>
      </w:r>
      <w:r w:rsidR="00412D65">
        <w:rPr>
          <w:b/>
          <w:sz w:val="24"/>
        </w:rPr>
        <w:t>(Ehren</w:t>
      </w:r>
      <w:r w:rsidR="00EA62CA">
        <w:rPr>
          <w:b/>
          <w:sz w:val="24"/>
        </w:rPr>
        <w:t>, 2010</w:t>
      </w:r>
      <w:r w:rsidR="00412D65">
        <w:rPr>
          <w:b/>
          <w:sz w:val="24"/>
        </w:rPr>
        <w:t>)</w:t>
      </w:r>
      <w:r w:rsidR="00EA62CA">
        <w:rPr>
          <w:b/>
          <w:sz w:val="24"/>
        </w:rPr>
        <w:t xml:space="preserve"> </w:t>
      </w:r>
      <w:r w:rsidR="00EA62CA">
        <w:rPr>
          <w:sz w:val="24"/>
        </w:rPr>
        <w:t>This paper also details how the use of a five</w:t>
      </w:r>
      <w:r w:rsidR="006D3CDB">
        <w:rPr>
          <w:sz w:val="24"/>
        </w:rPr>
        <w:t>-</w:t>
      </w:r>
      <w:r w:rsidR="00EA62CA">
        <w:rPr>
          <w:sz w:val="24"/>
        </w:rPr>
        <w:t xml:space="preserve">level continuum for </w:t>
      </w:r>
      <w:r w:rsidR="009E575F">
        <w:rPr>
          <w:sz w:val="24"/>
        </w:rPr>
        <w:t>direct intervention of pupil’s literacy skills has been implemented in several schools with relative success</w:t>
      </w:r>
      <w:r w:rsidR="006D3CDB">
        <w:rPr>
          <w:sz w:val="24"/>
        </w:rPr>
        <w:t>. It is also crucial that standards of literacy</w:t>
      </w:r>
      <w:r w:rsidR="008631D3">
        <w:rPr>
          <w:sz w:val="24"/>
        </w:rPr>
        <w:t xml:space="preserve"> in lessons be properly maintained by the teachers themselves. An older study, pertaining to the views and knowledge of literacy in schools, showed</w:t>
      </w:r>
      <w:r w:rsidR="009360BA">
        <w:rPr>
          <w:sz w:val="24"/>
        </w:rPr>
        <w:t xml:space="preserve"> that teachers in the UK knew how important their role in supporting pupils’ literacy skills was, but were uncertain how they could achieve this. The study recognised that teachers needed to improve their own literacy skills </w:t>
      </w:r>
      <w:r w:rsidR="003D10A3">
        <w:rPr>
          <w:sz w:val="24"/>
        </w:rPr>
        <w:t xml:space="preserve">whilst </w:t>
      </w:r>
      <w:r w:rsidR="003D10A3">
        <w:rPr>
          <w:sz w:val="24"/>
        </w:rPr>
        <w:lastRenderedPageBreak/>
        <w:t xml:space="preserve">sharing good practice within schools and between schools. </w:t>
      </w:r>
      <w:r w:rsidR="003D10A3">
        <w:rPr>
          <w:b/>
          <w:sz w:val="24"/>
        </w:rPr>
        <w:t>(Lewis</w:t>
      </w:r>
      <w:r w:rsidR="009729ED">
        <w:rPr>
          <w:b/>
          <w:sz w:val="24"/>
        </w:rPr>
        <w:t xml:space="preserve"> &amp; Wray</w:t>
      </w:r>
      <w:r w:rsidR="003D10A3">
        <w:rPr>
          <w:b/>
          <w:sz w:val="24"/>
        </w:rPr>
        <w:t xml:space="preserve">, 1999) </w:t>
      </w:r>
      <w:r w:rsidR="003D10A3">
        <w:rPr>
          <w:sz w:val="24"/>
        </w:rPr>
        <w:t xml:space="preserve">However, the UK’s PISA results in reading from 2000 </w:t>
      </w:r>
      <w:r w:rsidR="00885FF3">
        <w:rPr>
          <w:sz w:val="24"/>
        </w:rPr>
        <w:t>are higher than the 2015 results</w:t>
      </w:r>
      <w:r w:rsidR="007B28F9">
        <w:rPr>
          <w:sz w:val="24"/>
        </w:rPr>
        <w:t xml:space="preserve"> </w:t>
      </w:r>
      <w:r w:rsidR="007B28F9">
        <w:rPr>
          <w:b/>
          <w:sz w:val="24"/>
        </w:rPr>
        <w:t xml:space="preserve">(NCES, 2002), (OECD, 2015) </w:t>
      </w:r>
      <w:r w:rsidR="007B28F9">
        <w:rPr>
          <w:sz w:val="24"/>
        </w:rPr>
        <w:t xml:space="preserve">This shows that literacy skills had declined during this time, therefore, either </w:t>
      </w:r>
      <w:r w:rsidR="00FA50E8">
        <w:rPr>
          <w:sz w:val="24"/>
        </w:rPr>
        <w:t xml:space="preserve">the recommendations discussed previously were not heeded, or it didn’t have an effect/had a negative effect on pupil’s literacy skills. On the other hand, this also shows just how complicated this issue really is, many different methods have been used to try to improve literacy skills in </w:t>
      </w:r>
      <w:r w:rsidR="00731BE7">
        <w:rPr>
          <w:sz w:val="24"/>
        </w:rPr>
        <w:t>pupils,</w:t>
      </w:r>
      <w:r w:rsidR="00FA50E8">
        <w:rPr>
          <w:sz w:val="24"/>
        </w:rPr>
        <w:t xml:space="preserve"> yet it seems to have had a negative effect</w:t>
      </w:r>
      <w:r w:rsidR="00731BE7">
        <w:rPr>
          <w:sz w:val="24"/>
        </w:rPr>
        <w:t>. It is hard to tell why this is the case, it could be the methods, it could be the reliability of the PISA tests, or it could be other factor(s) all together. Now onto numeracy skills, it is hard to not continue to reference the various PISA results from previous years, but it is the metric by which we judge the skills of pupils across the world</w:t>
      </w:r>
      <w:r w:rsidR="00367FF0">
        <w:rPr>
          <w:sz w:val="24"/>
        </w:rPr>
        <w:t xml:space="preserve">. As discussed previously, numeracy skills in Wales are in need of improvement seeing as though Wales scored the worst out of the UK in the 2015 test. </w:t>
      </w:r>
      <w:r w:rsidR="00367FF0">
        <w:rPr>
          <w:b/>
          <w:sz w:val="24"/>
        </w:rPr>
        <w:t xml:space="preserve">(OECD, 2015) </w:t>
      </w:r>
      <w:r w:rsidR="00551D88">
        <w:rPr>
          <w:sz w:val="24"/>
        </w:rPr>
        <w:t>The quality of literacy skills is linked, somewhat, to pupil’s numeracy skills; more specifically the worded mathematical problems. These skills can be improved by considering Newman’s Error Analysis (NEA) which has successfully provided a framework for improving linked literacy and numeracy skills</w:t>
      </w:r>
      <w:r w:rsidR="00C20295">
        <w:rPr>
          <w:sz w:val="24"/>
        </w:rPr>
        <w:t xml:space="preserve"> in the past. One such example of its success is the “Counting On Program” which helped to improve not only the pupil’s skills, but also positively affected the teacher’s learning outcomes. </w:t>
      </w:r>
      <w:r w:rsidR="00C20295">
        <w:rPr>
          <w:b/>
          <w:sz w:val="24"/>
        </w:rPr>
        <w:t>(White, 2010)</w:t>
      </w:r>
      <w:r w:rsidR="00C20295">
        <w:rPr>
          <w:sz w:val="24"/>
        </w:rPr>
        <w:t xml:space="preserve"> J</w:t>
      </w:r>
      <w:r w:rsidR="00432D3D">
        <w:rPr>
          <w:sz w:val="24"/>
        </w:rPr>
        <w:t>ust like in literacy, it is important for teachers to model good numeracy skills to see an improvement in pupil learning. For teachers to be able to model good numeracy skills it is crucial for the leadership within schools to support progression in pedagogical</w:t>
      </w:r>
      <w:r w:rsidR="00C11611">
        <w:rPr>
          <w:sz w:val="24"/>
        </w:rPr>
        <w:t xml:space="preserve"> </w:t>
      </w:r>
      <w:r w:rsidR="00432D3D">
        <w:rPr>
          <w:sz w:val="24"/>
        </w:rPr>
        <w:t>numeracy knowledge</w:t>
      </w:r>
      <w:r w:rsidR="00C11611">
        <w:rPr>
          <w:sz w:val="24"/>
        </w:rPr>
        <w:t xml:space="preserve">; not only within the individual school but also across other schools to share this progression. </w:t>
      </w:r>
      <w:r w:rsidR="00C11611">
        <w:rPr>
          <w:b/>
          <w:sz w:val="24"/>
        </w:rPr>
        <w:t>(</w:t>
      </w:r>
      <w:r w:rsidR="009729ED">
        <w:rPr>
          <w:b/>
          <w:sz w:val="24"/>
        </w:rPr>
        <w:t>Vale et al., 2010</w:t>
      </w:r>
      <w:r w:rsidR="00C11611">
        <w:rPr>
          <w:b/>
          <w:sz w:val="24"/>
        </w:rPr>
        <w:t>)</w:t>
      </w:r>
      <w:r w:rsidR="009729ED">
        <w:rPr>
          <w:b/>
          <w:sz w:val="24"/>
        </w:rPr>
        <w:t xml:space="preserve"> </w:t>
      </w:r>
      <w:r w:rsidR="00BF33B1">
        <w:rPr>
          <w:sz w:val="24"/>
        </w:rPr>
        <w:t xml:space="preserve">Both of these studies (white, 2010 and Vales et al., 2010) show that a key factor for improving pupils’ numeracy skills is good modelling of skills from the teachers. </w:t>
      </w:r>
      <w:r w:rsidR="00857E55">
        <w:rPr>
          <w:sz w:val="24"/>
        </w:rPr>
        <w:t xml:space="preserve">Another interesting approach </w:t>
      </w:r>
      <w:r w:rsidR="006365E7">
        <w:rPr>
          <w:sz w:val="24"/>
        </w:rPr>
        <w:t xml:space="preserve">is the separation of numeracy from mathematics, this involves treating the need for numeracy as an interdisciplinary skill that should be incorporated into all aspects of a school’s curriculum. </w:t>
      </w:r>
      <w:r w:rsidR="006365E7">
        <w:rPr>
          <w:b/>
          <w:sz w:val="24"/>
        </w:rPr>
        <w:t xml:space="preserve">(Steen, 2001) </w:t>
      </w:r>
      <w:r w:rsidR="006365E7">
        <w:rPr>
          <w:sz w:val="24"/>
        </w:rPr>
        <w:t>I strongly agree with this model, as numeracy skills do permeate through all different subjects’ curriculums, making it our job as teachers to encourage the identification of these numeracy aspects as important, instead of just writing them of as the “boring maths bits”. This attitude towards numeracy will help to improve pupils</w:t>
      </w:r>
      <w:r w:rsidR="007823B3">
        <w:rPr>
          <w:sz w:val="24"/>
        </w:rPr>
        <w:t>’</w:t>
      </w:r>
      <w:r w:rsidR="006365E7">
        <w:rPr>
          <w:sz w:val="24"/>
        </w:rPr>
        <w:t xml:space="preserve"> understanding of </w:t>
      </w:r>
      <w:r w:rsidR="007823B3">
        <w:rPr>
          <w:sz w:val="24"/>
        </w:rPr>
        <w:t>all</w:t>
      </w:r>
      <w:r w:rsidR="006365E7">
        <w:rPr>
          <w:sz w:val="24"/>
        </w:rPr>
        <w:t xml:space="preserve"> their subjects by helping them understand how numeracy permeates through all </w:t>
      </w:r>
      <w:r w:rsidR="007823B3">
        <w:rPr>
          <w:sz w:val="24"/>
        </w:rPr>
        <w:t>of them</w:t>
      </w:r>
      <w:r w:rsidR="006365E7">
        <w:rPr>
          <w:sz w:val="24"/>
        </w:rPr>
        <w:t>.</w:t>
      </w:r>
      <w:r w:rsidR="007823B3">
        <w:rPr>
          <w:sz w:val="24"/>
        </w:rPr>
        <w:t xml:space="preserve"> </w:t>
      </w:r>
      <w:r w:rsidR="0020214B">
        <w:rPr>
          <w:sz w:val="24"/>
        </w:rPr>
        <w:t>Finally, digital skills and their importance in education, as mentioned at the beginning of this report; digital literacy/competency has an ever-increasing role in allowing people to be successful individuals both during their time at school and after. To encourage the development of digital skills it is paramount</w:t>
      </w:r>
      <w:r w:rsidR="00FC0F82">
        <w:rPr>
          <w:sz w:val="24"/>
        </w:rPr>
        <w:t xml:space="preserve">, yet again, to improve the quality of skills further up the chain. Simply, to increase the quality and quantity of digital support that teachers are able to provide, this is made possible by assisting schools </w:t>
      </w:r>
      <w:r w:rsidR="0077543F">
        <w:rPr>
          <w:sz w:val="24"/>
        </w:rPr>
        <w:t>in becoming</w:t>
      </w:r>
      <w:r w:rsidR="00FC0F82">
        <w:rPr>
          <w:sz w:val="24"/>
        </w:rPr>
        <w:t xml:space="preserve"> digitally s</w:t>
      </w:r>
      <w:r w:rsidR="0077543F">
        <w:rPr>
          <w:sz w:val="24"/>
        </w:rPr>
        <w:t xml:space="preserve">upportive environments. </w:t>
      </w:r>
      <w:r w:rsidR="0077543F">
        <w:rPr>
          <w:b/>
          <w:sz w:val="24"/>
        </w:rPr>
        <w:t xml:space="preserve">(Wastiau et al., 2013) </w:t>
      </w:r>
      <w:r w:rsidR="0077543F">
        <w:rPr>
          <w:sz w:val="24"/>
        </w:rPr>
        <w:t xml:space="preserve">However, in some cases it seems that even when policy is changed to encourage this increase in digital support, and therefore increase digital literacy/competency, the benefits are lost when the teaching culture fails to adapt to this change. This makes it essential for </w:t>
      </w:r>
      <w:r w:rsidR="0040103A">
        <w:rPr>
          <w:sz w:val="24"/>
        </w:rPr>
        <w:t xml:space="preserve">there to be an open dialogue about these issues/changes between all levels of the education system, including the pupils themselves, allowing potential problems to be quashed before they have chance to impact the pupils’ learning. </w:t>
      </w:r>
      <w:r w:rsidR="0040103A">
        <w:rPr>
          <w:b/>
          <w:sz w:val="24"/>
        </w:rPr>
        <w:t xml:space="preserve">(Sancho Gil, 2016) </w:t>
      </w:r>
      <w:r w:rsidR="0000333F">
        <w:rPr>
          <w:sz w:val="24"/>
        </w:rPr>
        <w:t xml:space="preserve">This </w:t>
      </w:r>
      <w:r w:rsidR="0000333F">
        <w:rPr>
          <w:sz w:val="24"/>
        </w:rPr>
        <w:lastRenderedPageBreak/>
        <w:t xml:space="preserve">problem may also be fixed </w:t>
      </w:r>
      <w:r w:rsidR="00CD4904">
        <w:rPr>
          <w:sz w:val="24"/>
        </w:rPr>
        <w:t xml:space="preserve">by catching it even earlier, during the teacher training process itself. Extensive research has gone into this field and the consensus is that by teaching student teachers how to incorporate various ICT elements throughout their teaching may be </w:t>
      </w:r>
      <w:r w:rsidR="00042250">
        <w:rPr>
          <w:sz w:val="24"/>
        </w:rPr>
        <w:t>key</w:t>
      </w:r>
      <w:r w:rsidR="00CD4904">
        <w:rPr>
          <w:sz w:val="24"/>
        </w:rPr>
        <w:t xml:space="preserve"> </w:t>
      </w:r>
      <w:r w:rsidR="00042250">
        <w:rPr>
          <w:sz w:val="24"/>
        </w:rPr>
        <w:t>in</w:t>
      </w:r>
      <w:r w:rsidR="00CD4904">
        <w:rPr>
          <w:sz w:val="24"/>
        </w:rPr>
        <w:t xml:space="preserve"> improving overall digital skills in both teachers and pupils. </w:t>
      </w:r>
      <w:r w:rsidR="00CD4904">
        <w:rPr>
          <w:b/>
          <w:sz w:val="24"/>
        </w:rPr>
        <w:t>(R</w:t>
      </w:r>
      <w:r w:rsidR="00CD4904" w:rsidRPr="00CD4904">
        <w:rPr>
          <w:b/>
          <w:sz w:val="24"/>
        </w:rPr>
        <w:t>ø</w:t>
      </w:r>
      <w:r w:rsidR="00CD4904">
        <w:rPr>
          <w:b/>
          <w:sz w:val="24"/>
        </w:rPr>
        <w:t xml:space="preserve">kenes &amp; Krumsvik, 2014) </w:t>
      </w:r>
      <w:r w:rsidR="0040103A">
        <w:rPr>
          <w:sz w:val="24"/>
        </w:rPr>
        <w:t xml:space="preserve">The majority of pupils and teachers have access to ICT (e.g.: computers, laptops, smartphones…) but this does not seem to correlate </w:t>
      </w:r>
      <w:r w:rsidR="0000333F">
        <w:rPr>
          <w:sz w:val="24"/>
        </w:rPr>
        <w:t xml:space="preserve">with pupils being digitally competent, this suggests that more attention needs to be paid to teaching how these technologies operate, rather than just having these technologies to hand in the educational setting. </w:t>
      </w:r>
      <w:r w:rsidR="0000333F">
        <w:rPr>
          <w:b/>
          <w:sz w:val="24"/>
        </w:rPr>
        <w:t xml:space="preserve">(Li &amp; Ranieri, 2010) </w:t>
      </w:r>
      <w:r w:rsidR="00042250">
        <w:rPr>
          <w:sz w:val="24"/>
        </w:rPr>
        <w:t xml:space="preserve">All of these points elude to the fact that digital literacy/competency in education is not fully understood and requires further study for successful improvements to be made in pupils’ digital skills and that these improvements won’t come from a “one stop fix” </w:t>
      </w:r>
      <w:r w:rsidR="00107D60">
        <w:rPr>
          <w:sz w:val="24"/>
        </w:rPr>
        <w:t>as there are many elements to consider.</w:t>
      </w:r>
      <w:r w:rsidR="00776DA1">
        <w:rPr>
          <w:sz w:val="24"/>
        </w:rPr>
        <w:t xml:space="preserve"> In conclusion, there is one element that arcs through all three skills: The role of the teacher in modelling good use of these skills.</w:t>
      </w:r>
      <w:r w:rsidR="00274485">
        <w:rPr>
          <w:sz w:val="24"/>
        </w:rPr>
        <w:t xml:space="preserve"> </w:t>
      </w:r>
      <w:r w:rsidR="00274485" w:rsidRPr="00274485">
        <w:rPr>
          <w:sz w:val="24"/>
        </w:rPr>
        <w:t>The points made above, and likely many others, seem to have been considered in Donaldson’s “Successful Futures” report; as he also outlined the importance of improving the teacher’</w:t>
      </w:r>
      <w:r w:rsidR="00274485">
        <w:rPr>
          <w:sz w:val="24"/>
        </w:rPr>
        <w:t xml:space="preserve">s </w:t>
      </w:r>
      <w:r w:rsidR="00274485" w:rsidRPr="00274485">
        <w:rPr>
          <w:sz w:val="24"/>
        </w:rPr>
        <w:t xml:space="preserve">skills in order to promote good use of these skills by pupils. </w:t>
      </w:r>
      <w:r w:rsidR="00274485" w:rsidRPr="00274485">
        <w:rPr>
          <w:b/>
          <w:sz w:val="24"/>
        </w:rPr>
        <w:t>(Donaldson, 2015)</w:t>
      </w:r>
    </w:p>
    <w:p w14:paraId="566B1168" w14:textId="77777777" w:rsidR="0054654A" w:rsidRDefault="0054654A" w:rsidP="00642CA0">
      <w:pPr>
        <w:rPr>
          <w:b/>
          <w:sz w:val="24"/>
        </w:rPr>
      </w:pPr>
    </w:p>
    <w:p w14:paraId="42123428" w14:textId="3CDF1D12" w:rsidR="00D96D3B" w:rsidRDefault="00A714FA" w:rsidP="00642CA0">
      <w:pPr>
        <w:rPr>
          <w:sz w:val="24"/>
        </w:rPr>
      </w:pPr>
      <w:r>
        <w:rPr>
          <w:b/>
          <w:sz w:val="24"/>
        </w:rPr>
        <w:tab/>
      </w:r>
      <w:r w:rsidR="00B9474C">
        <w:rPr>
          <w:sz w:val="24"/>
        </w:rPr>
        <w:t xml:space="preserve">There are many different metrics by which schools in Wales can be judged on, there are the Estyn inspection results, GCSE results data, local government data, and even the development/self-evaluation plans that the schools comprise. Firstly, I will talk about the Estyn inspection results in relation to the development of pupils’ skills. </w:t>
      </w:r>
      <w:r w:rsidR="00C50AB5">
        <w:rPr>
          <w:sz w:val="24"/>
        </w:rPr>
        <w:t xml:space="preserve">Development of pupil skills falls under the “teaching and learning experiences” category, which my PTE1 school scored excellent. </w:t>
      </w:r>
      <w:r w:rsidR="00B873AD">
        <w:rPr>
          <w:sz w:val="24"/>
        </w:rPr>
        <w:t>Regarding the development of pupil skills, Estyn inspectors suggested that the pupils in the school have their progress in skill development hindered by lessons that are over-directed by the teacher, with a pace that is too fast or too slow. However, the report also states that this is only the case in very few lessons</w:t>
      </w:r>
      <w:r w:rsidR="006755DB">
        <w:rPr>
          <w:sz w:val="24"/>
        </w:rPr>
        <w:t xml:space="preserve">, and all the other comments on teaching and learning are positive. </w:t>
      </w:r>
      <w:r w:rsidR="006755DB">
        <w:rPr>
          <w:b/>
          <w:sz w:val="24"/>
        </w:rPr>
        <w:t>(Estyn, 2017)</w:t>
      </w:r>
      <w:r w:rsidR="0061302D">
        <w:rPr>
          <w:b/>
          <w:sz w:val="24"/>
        </w:rPr>
        <w:t xml:space="preserve"> </w:t>
      </w:r>
      <w:r w:rsidR="00390138">
        <w:rPr>
          <w:sz w:val="24"/>
        </w:rPr>
        <w:t xml:space="preserve">The Welsh school categorisation system rated my PTE1 school as “Green 1A” in 2017 which is the highest score available for a school to achieve. </w:t>
      </w:r>
      <w:r w:rsidR="00390138">
        <w:rPr>
          <w:b/>
          <w:sz w:val="24"/>
        </w:rPr>
        <w:t>(</w:t>
      </w:r>
      <w:r w:rsidR="00456793">
        <w:rPr>
          <w:b/>
          <w:sz w:val="24"/>
        </w:rPr>
        <w:t>Welsh government, 2018</w:t>
      </w:r>
      <w:r w:rsidR="00390138">
        <w:rPr>
          <w:b/>
          <w:sz w:val="24"/>
        </w:rPr>
        <w:t xml:space="preserve">) </w:t>
      </w:r>
      <w:r w:rsidR="00390138">
        <w:rPr>
          <w:sz w:val="24"/>
        </w:rPr>
        <w:t>The score was the same in 2016, which suggests that</w:t>
      </w:r>
      <w:r w:rsidR="00456793">
        <w:rPr>
          <w:sz w:val="24"/>
        </w:rPr>
        <w:t xml:space="preserve"> the leadership, learning, and teaching within the school is well adapted to perform self-evaluation and use this self-evaluation to successfully improve the standards within the school at a consistent level. This is because these factors are what govern the Welsh school categorisation system’s scores. </w:t>
      </w:r>
      <w:r w:rsidR="00456793">
        <w:rPr>
          <w:b/>
          <w:sz w:val="24"/>
        </w:rPr>
        <w:t>(Welsh government, 2018)</w:t>
      </w:r>
      <w:r w:rsidR="00D96D3B">
        <w:rPr>
          <w:b/>
          <w:sz w:val="24"/>
        </w:rPr>
        <w:t xml:space="preserve"> </w:t>
      </w:r>
      <w:r w:rsidR="0061302D">
        <w:rPr>
          <w:sz w:val="24"/>
        </w:rPr>
        <w:t>The school’s percentage of pupils that achieve GCSE grade A*-C in English was a respectable 84.2% in 2017. However, this has been on the decrease since 91.5% of pupils achieved these grades in 2015, this suggests that the quality of literacy skills (which are crucial for pupils to succeed in GCSE English) in pupils has been decreasing</w:t>
      </w:r>
      <w:r w:rsidR="00741987">
        <w:rPr>
          <w:sz w:val="24"/>
        </w:rPr>
        <w:t>.</w:t>
      </w:r>
      <w:r w:rsidR="0061302D">
        <w:rPr>
          <w:sz w:val="24"/>
        </w:rPr>
        <w:t xml:space="preserve"> </w:t>
      </w:r>
      <w:r w:rsidR="00741987">
        <w:rPr>
          <w:sz w:val="24"/>
        </w:rPr>
        <w:t>T</w:t>
      </w:r>
      <w:r w:rsidR="0061302D">
        <w:rPr>
          <w:sz w:val="24"/>
        </w:rPr>
        <w:t>herefore</w:t>
      </w:r>
      <w:r w:rsidR="00741987">
        <w:rPr>
          <w:sz w:val="24"/>
        </w:rPr>
        <w:t>,</w:t>
      </w:r>
      <w:r w:rsidR="0061302D">
        <w:rPr>
          <w:sz w:val="24"/>
        </w:rPr>
        <w:t xml:space="preserve"> the need for improving these skills should be a priority </w:t>
      </w:r>
      <w:r w:rsidR="00741987">
        <w:rPr>
          <w:sz w:val="24"/>
        </w:rPr>
        <w:t xml:space="preserve">to raise GCSE grades back to the excellent standard they were at. </w:t>
      </w:r>
      <w:r w:rsidR="00741987">
        <w:rPr>
          <w:b/>
          <w:sz w:val="24"/>
        </w:rPr>
        <w:t xml:space="preserve">(MyLocalSchool, 2017) </w:t>
      </w:r>
      <w:r w:rsidR="00741987">
        <w:rPr>
          <w:sz w:val="24"/>
        </w:rPr>
        <w:t>Similarly, the school’s percentage of pupils achieving grades A*-C in maths for 2017 was</w:t>
      </w:r>
      <w:r w:rsidR="006755DB">
        <w:rPr>
          <w:sz w:val="24"/>
        </w:rPr>
        <w:t xml:space="preserve"> </w:t>
      </w:r>
      <w:r w:rsidR="00741987">
        <w:rPr>
          <w:sz w:val="24"/>
        </w:rPr>
        <w:t xml:space="preserve">82.4%, which has been decreasing since 94.3% of pupils achieved these grades in 2015. Again, suggesting that the quality of numeracy skills is going downhill. </w:t>
      </w:r>
      <w:r w:rsidR="00D96D3B">
        <w:rPr>
          <w:b/>
          <w:sz w:val="24"/>
        </w:rPr>
        <w:t>(</w:t>
      </w:r>
      <w:r w:rsidR="00741987">
        <w:rPr>
          <w:b/>
          <w:sz w:val="24"/>
        </w:rPr>
        <w:t>MyLocalSchool, 2017)</w:t>
      </w:r>
      <w:r w:rsidR="00D96D3B">
        <w:rPr>
          <w:b/>
          <w:sz w:val="24"/>
        </w:rPr>
        <w:t xml:space="preserve"> </w:t>
      </w:r>
      <w:r w:rsidR="00D96D3B">
        <w:rPr>
          <w:sz w:val="24"/>
        </w:rPr>
        <w:t>This however, disagrees with my previous point about the quality of leadership, learning, and teaching, because if the school is well adapted to self-</w:t>
      </w:r>
      <w:r w:rsidR="00D96D3B">
        <w:rPr>
          <w:sz w:val="24"/>
        </w:rPr>
        <w:lastRenderedPageBreak/>
        <w:t>evaluate and self-improve then surely, they would be working to improve these slowly declining grades in GCSE English and maths.</w:t>
      </w:r>
    </w:p>
    <w:p w14:paraId="427C06D4" w14:textId="77777777" w:rsidR="0054654A" w:rsidRDefault="0054654A" w:rsidP="00B60193">
      <w:pPr>
        <w:ind w:firstLine="720"/>
        <w:rPr>
          <w:b/>
          <w:sz w:val="24"/>
        </w:rPr>
      </w:pPr>
    </w:p>
    <w:p w14:paraId="6942A700" w14:textId="3A677059" w:rsidR="00B93232" w:rsidRDefault="00A64E7F" w:rsidP="00B60193">
      <w:pPr>
        <w:ind w:firstLine="720"/>
        <w:rPr>
          <w:sz w:val="24"/>
        </w:rPr>
      </w:pPr>
      <w:r>
        <w:rPr>
          <w:sz w:val="24"/>
        </w:rPr>
        <w:t>T</w:t>
      </w:r>
      <w:r w:rsidR="00D96D3B">
        <w:rPr>
          <w:sz w:val="24"/>
        </w:rPr>
        <w:t xml:space="preserve">he self-evaluation plans from </w:t>
      </w:r>
      <w:r w:rsidR="00AA5473">
        <w:rPr>
          <w:sz w:val="24"/>
        </w:rPr>
        <w:t xml:space="preserve">the science department </w:t>
      </w:r>
      <w:r w:rsidR="00816EC1">
        <w:rPr>
          <w:b/>
          <w:sz w:val="24"/>
        </w:rPr>
        <w:t xml:space="preserve">(see </w:t>
      </w:r>
      <w:r w:rsidR="00CF07C7">
        <w:rPr>
          <w:b/>
          <w:sz w:val="24"/>
        </w:rPr>
        <w:t xml:space="preserve">Appendix - </w:t>
      </w:r>
      <w:r w:rsidR="00816EC1">
        <w:rPr>
          <w:b/>
          <w:sz w:val="24"/>
        </w:rPr>
        <w:t>departmental self-evalu</w:t>
      </w:r>
      <w:r w:rsidR="00C363E6">
        <w:rPr>
          <w:b/>
          <w:sz w:val="24"/>
        </w:rPr>
        <w:t>at</w:t>
      </w:r>
      <w:r w:rsidR="00816EC1">
        <w:rPr>
          <w:b/>
          <w:sz w:val="24"/>
        </w:rPr>
        <w:t>ion</w:t>
      </w:r>
      <w:r w:rsidR="00C363E6">
        <w:rPr>
          <w:b/>
          <w:sz w:val="24"/>
        </w:rPr>
        <w:t xml:space="preserve">) </w:t>
      </w:r>
      <w:r w:rsidR="00AA5473">
        <w:rPr>
          <w:sz w:val="24"/>
        </w:rPr>
        <w:t>in my PTE1 school states that digital literacy needs to be further improved in both pupils and teachers. It recommends that INSET days could be used to improve teacher’s digital literacy</w:t>
      </w:r>
      <w:r w:rsidR="00CC1152">
        <w:rPr>
          <w:sz w:val="24"/>
        </w:rPr>
        <w:t>; and therefore</w:t>
      </w:r>
      <w:r w:rsidR="00CC7A0B">
        <w:rPr>
          <w:sz w:val="24"/>
        </w:rPr>
        <w:t>,</w:t>
      </w:r>
      <w:r w:rsidR="00CC1152">
        <w:rPr>
          <w:sz w:val="24"/>
        </w:rPr>
        <w:t xml:space="preserve"> </w:t>
      </w:r>
      <w:r w:rsidR="00CC7A0B">
        <w:rPr>
          <w:sz w:val="24"/>
        </w:rPr>
        <w:t xml:space="preserve">develop pupil’s digital skills. These recommendations do follow the recommendations that I have found within the literature, which were to improve teacher’s digital skills in order to improve pupil’s digital skills. </w:t>
      </w:r>
      <w:r w:rsidR="00CC7A0B">
        <w:rPr>
          <w:b/>
          <w:sz w:val="24"/>
        </w:rPr>
        <w:t xml:space="preserve">(Wastiau et al., 2013) </w:t>
      </w:r>
      <w:r w:rsidR="00284CE4">
        <w:rPr>
          <w:sz w:val="24"/>
        </w:rPr>
        <w:t xml:space="preserve">The departmental self-evaluation plan also mentions how learning can be further developed through the use of effective plenaries, which will help to consolidate the pupils’ learning. Whilst, this type of action is not directly mentioned in my literature review, if these plenaries manage to successfully link science topics to the key skills that run throughout science then they will also successfully consolidate the pupils’ use of skills into appropriate example tasks. Luckily, science lends itself quite well to be able to achieve this, as all three of the mentioned key skills feature heavily throughout; such as: Scientific literacy within experimental method writing or even the Quality of Extended Response (QER) questions that feature in GCSE papers in Wales, numeracy skills are vital for pupils to be able to </w:t>
      </w:r>
      <w:r w:rsidR="009C758E">
        <w:rPr>
          <w:sz w:val="24"/>
        </w:rPr>
        <w:t xml:space="preserve">use equations effectively, and digital skills allow pupils to research scientific topics efficiently and also to compile and display data from experiments. My PTE1 school also has a whole school self-evaluation plan </w:t>
      </w:r>
      <w:r w:rsidR="00C363E6">
        <w:rPr>
          <w:b/>
          <w:sz w:val="24"/>
        </w:rPr>
        <w:t xml:space="preserve">(see </w:t>
      </w:r>
      <w:r w:rsidR="00B3362F">
        <w:rPr>
          <w:b/>
          <w:sz w:val="24"/>
        </w:rPr>
        <w:t xml:space="preserve">Appendix - </w:t>
      </w:r>
      <w:r w:rsidR="00C363E6">
        <w:rPr>
          <w:b/>
          <w:sz w:val="24"/>
        </w:rPr>
        <w:t>whole school self-</w:t>
      </w:r>
      <w:r w:rsidR="00B3362F">
        <w:rPr>
          <w:b/>
          <w:sz w:val="24"/>
        </w:rPr>
        <w:t>evaluation</w:t>
      </w:r>
      <w:r w:rsidR="00C363E6">
        <w:rPr>
          <w:b/>
          <w:sz w:val="24"/>
        </w:rPr>
        <w:t xml:space="preserve">) </w:t>
      </w:r>
      <w:r w:rsidR="009C758E">
        <w:rPr>
          <w:sz w:val="24"/>
        </w:rPr>
        <w:t>which, under the “provision for skills” section, details how they deliver cross curricular and wider skills throughout KS3 and KS4, giving pupils a chance to apply these skills in every subject. This follows the recommendations of the literature</w:t>
      </w:r>
      <w:r w:rsidR="003404FC">
        <w:rPr>
          <w:sz w:val="24"/>
        </w:rPr>
        <w:t xml:space="preserve">, which states that these key skills must permeate through all elements of the curriculum to be properly absorbed and maintained by pupils. </w:t>
      </w:r>
      <w:r w:rsidR="003404FC">
        <w:rPr>
          <w:b/>
          <w:sz w:val="24"/>
        </w:rPr>
        <w:t xml:space="preserve">(Ehren, 2010) &amp; (Steen, 2001) </w:t>
      </w:r>
      <w:r w:rsidR="003404FC">
        <w:rPr>
          <w:sz w:val="24"/>
        </w:rPr>
        <w:t xml:space="preserve">My PTE1 school also employs the use of a “skills week” which, as detailed in the school’s self-evaluation, provides a focus on developing skills in KS3 pupils across all subjects/departments </w:t>
      </w:r>
      <w:r w:rsidR="005D20D8">
        <w:rPr>
          <w:sz w:val="24"/>
        </w:rPr>
        <w:t xml:space="preserve">whilst encouraging teachers to make explicit use of these skills within their subjects. This also follows the recommendations found in the literature pertaining to including the skills throughout the curriculum in all subjects. </w:t>
      </w:r>
      <w:r w:rsidR="005D20D8">
        <w:rPr>
          <w:b/>
          <w:sz w:val="24"/>
        </w:rPr>
        <w:t xml:space="preserve">(Ehren, 2010) &amp; (Steen, 2001) </w:t>
      </w:r>
      <w:r w:rsidR="00551E00">
        <w:rPr>
          <w:sz w:val="24"/>
        </w:rPr>
        <w:t xml:space="preserve">The plan also details how successful, strategic audits of their LNF booklets and how they are able to provide good coverage across all areas of all subjects. This, again, follows the same recommendations from the same literature as before. </w:t>
      </w:r>
      <w:r w:rsidR="003B6AC3">
        <w:rPr>
          <w:sz w:val="24"/>
        </w:rPr>
        <w:t>The plan also explains how staff will undergo staff development in literacy/reading</w:t>
      </w:r>
      <w:r w:rsidR="00C22562">
        <w:rPr>
          <w:sz w:val="24"/>
        </w:rPr>
        <w:t xml:space="preserve"> to encourage similar development of literacy skills in pupils, this action follows the recommendations of the literature too, as teacher skill development is paramount to improving the skills of the pupils. </w:t>
      </w:r>
      <w:r w:rsidR="00C22562">
        <w:rPr>
          <w:b/>
          <w:sz w:val="24"/>
        </w:rPr>
        <w:t>(Lewis &amp; Wray, 1999)</w:t>
      </w:r>
      <w:r w:rsidR="00824596">
        <w:rPr>
          <w:b/>
          <w:sz w:val="24"/>
        </w:rPr>
        <w:t xml:space="preserve"> </w:t>
      </w:r>
      <w:r w:rsidR="00824596">
        <w:rPr>
          <w:sz w:val="24"/>
        </w:rPr>
        <w:t>The school also offers further targeted support to pupils who are in extra need of improving their skills through the use of a variety of intervention programmes. One such intervention program</w:t>
      </w:r>
      <w:r w:rsidR="003631FF">
        <w:rPr>
          <w:sz w:val="24"/>
        </w:rPr>
        <w:t>me</w:t>
      </w:r>
      <w:r w:rsidR="00824596">
        <w:rPr>
          <w:sz w:val="24"/>
        </w:rPr>
        <w:t xml:space="preserve"> is the Successmaker Literacy program, which is being piloted in this school. This program </w:t>
      </w:r>
      <w:r w:rsidR="003631FF">
        <w:rPr>
          <w:sz w:val="24"/>
        </w:rPr>
        <w:t xml:space="preserve">supports pupils on individual terms and covers pupils of all abilities. The school also makes use of the Successmaker Numeracy programme, which gets pupils to redo the Basic Skills Test and the scores are then send to the maths department who arrange for sessions either </w:t>
      </w:r>
      <w:r w:rsidR="003631FF">
        <w:rPr>
          <w:sz w:val="24"/>
        </w:rPr>
        <w:lastRenderedPageBreak/>
        <w:t xml:space="preserve">before or during school. These Successmaker programmes should help to develop both literacy and numeracy in pupils due to the personal nature of them, they allow individual advice/planning on pupil progression in these key skills. The school also boasts a dedicated </w:t>
      </w:r>
      <w:r w:rsidR="004702EF">
        <w:rPr>
          <w:sz w:val="24"/>
        </w:rPr>
        <w:t>literacy and numeracy room, which hosts individual intervention for the two skills in a safe space where pupils can improve in an engaging environment. This, again, allows for more personalised advice/planning whilst trying to quash any worries</w:t>
      </w:r>
      <w:r w:rsidR="00B60193">
        <w:rPr>
          <w:sz w:val="24"/>
        </w:rPr>
        <w:t xml:space="preserve"> that</w:t>
      </w:r>
      <w:r w:rsidR="004702EF">
        <w:rPr>
          <w:sz w:val="24"/>
        </w:rPr>
        <w:t xml:space="preserve"> the pupil may have about the need for their intervention. </w:t>
      </w:r>
      <w:r w:rsidR="00B60193">
        <w:rPr>
          <w:sz w:val="24"/>
        </w:rPr>
        <w:t>Another programme the school is using is paired maths and literacy, wherein volunteer year 10/11 pupils are matched with younger pupils who need extra support with their literacy and numeracy. This programme is an excellent idea, as not only do the younger pupils get to improve their skills by learning from someone who is more “on their level”, but also the older pupils get to further develop their skills through the medium of teaching</w:t>
      </w:r>
      <w:r w:rsidR="00575696">
        <w:rPr>
          <w:sz w:val="24"/>
        </w:rPr>
        <w:t xml:space="preserve">, an excellent learning tool. </w:t>
      </w:r>
      <w:r w:rsidR="002920A8">
        <w:rPr>
          <w:sz w:val="24"/>
        </w:rPr>
        <w:t>Also, the paired maths programme allows year 10 pupils to use this experience as a part of their Welsh Baccalaureate qualification</w:t>
      </w:r>
      <w:r w:rsidR="00B93232">
        <w:rPr>
          <w:sz w:val="24"/>
        </w:rPr>
        <w:t xml:space="preserve">, almost killing two birds with one stone. </w:t>
      </w:r>
      <w:r w:rsidR="008B7558">
        <w:rPr>
          <w:sz w:val="24"/>
        </w:rPr>
        <w:t xml:space="preserve">These intervention-based programmes are all very useful to pupils and follow the recommendations of literature, which details how similar intervention programmes have improved pupils’ skills in the past. </w:t>
      </w:r>
      <w:r w:rsidR="008B7558">
        <w:rPr>
          <w:b/>
          <w:sz w:val="24"/>
        </w:rPr>
        <w:t xml:space="preserve">(Ehren, 2010) </w:t>
      </w:r>
      <w:r w:rsidR="009D41C2">
        <w:rPr>
          <w:sz w:val="24"/>
        </w:rPr>
        <w:t>The school</w:t>
      </w:r>
      <w:r w:rsidR="00037AC4">
        <w:rPr>
          <w:sz w:val="24"/>
        </w:rPr>
        <w:t>’</w:t>
      </w:r>
      <w:r w:rsidR="009D41C2">
        <w:rPr>
          <w:sz w:val="24"/>
        </w:rPr>
        <w:t xml:space="preserve">s self-evaluation plan also outlines the steps that they are taking to improve digital </w:t>
      </w:r>
      <w:r w:rsidR="00037AC4">
        <w:rPr>
          <w:sz w:val="24"/>
        </w:rPr>
        <w:t xml:space="preserve">literacy/competency. One such method they are employing is the continued development of the resources available to both pupils and teachers/staff on Moodle, </w:t>
      </w:r>
      <w:r w:rsidR="006806F5">
        <w:rPr>
          <w:sz w:val="24"/>
        </w:rPr>
        <w:t>several departments use this platform to set homework, share resources, and provide feedback for pupils. The</w:t>
      </w:r>
      <w:r w:rsidR="0030495F">
        <w:rPr>
          <w:sz w:val="24"/>
        </w:rPr>
        <w:t xml:space="preserve"> use and development of this platform follows the recommendations of the literature, as </w:t>
      </w:r>
      <w:r w:rsidR="00CC095F">
        <w:rPr>
          <w:sz w:val="24"/>
        </w:rPr>
        <w:t xml:space="preserve">communication between </w:t>
      </w:r>
      <w:r w:rsidR="007E7C5C">
        <w:rPr>
          <w:sz w:val="24"/>
        </w:rPr>
        <w:t xml:space="preserve">pupils and teachers about and through the use of such digital platforms helps both parties to improve their digital skills. </w:t>
      </w:r>
      <w:r w:rsidR="007E7C5C">
        <w:rPr>
          <w:b/>
          <w:sz w:val="24"/>
        </w:rPr>
        <w:t xml:space="preserve">(Sancho Gil, 2016) </w:t>
      </w:r>
      <w:r w:rsidR="007E7C5C">
        <w:rPr>
          <w:sz w:val="24"/>
        </w:rPr>
        <w:t xml:space="preserve">The school is also performing cross-curricular audits to develop digital learning resources for the schemes of work in all subjects </w:t>
      </w:r>
      <w:r w:rsidR="00F0328D">
        <w:rPr>
          <w:sz w:val="24"/>
        </w:rPr>
        <w:t xml:space="preserve">and to identify </w:t>
      </w:r>
      <w:r w:rsidR="00D86B45">
        <w:rPr>
          <w:sz w:val="24"/>
        </w:rPr>
        <w:t>targets for future training in digital literacy/competency. This permeation of digital skill</w:t>
      </w:r>
      <w:r w:rsidR="00936A07">
        <w:rPr>
          <w:sz w:val="24"/>
        </w:rPr>
        <w:t>s</w:t>
      </w:r>
      <w:r w:rsidR="00D86B45">
        <w:rPr>
          <w:sz w:val="24"/>
        </w:rPr>
        <w:t xml:space="preserve"> throughout the curriculum is similar to what is suggested by the literature to improve the other skills, literacy and numeracy,</w:t>
      </w:r>
      <w:r w:rsidR="00936A07">
        <w:rPr>
          <w:sz w:val="24"/>
        </w:rPr>
        <w:t xml:space="preserve"> which outlines how improving skills is made easier by realising that these skills run throughout all subjects. </w:t>
      </w:r>
      <w:r w:rsidR="00936A07">
        <w:rPr>
          <w:b/>
          <w:sz w:val="24"/>
        </w:rPr>
        <w:t xml:space="preserve">(Ehren, 2010) &amp; (Steen, 2001) </w:t>
      </w:r>
      <w:r w:rsidR="00662B3F">
        <w:rPr>
          <w:sz w:val="24"/>
        </w:rPr>
        <w:t xml:space="preserve">Another way in which the school is improving digital skills is through the use of </w:t>
      </w:r>
      <w:r w:rsidR="00997DEA">
        <w:rPr>
          <w:sz w:val="24"/>
        </w:rPr>
        <w:t xml:space="preserve">INSET for all staff on the use of other digital learning platforms such as Hwb and office 365. This, once again, agrees with the what the literature details in improving pupils’ digital skills, as how can the pupils be expected to pick up and understand these digital skills if the teachers haven’t done so themselves. </w:t>
      </w:r>
      <w:r w:rsidR="00997DEA">
        <w:rPr>
          <w:b/>
          <w:sz w:val="24"/>
        </w:rPr>
        <w:t xml:space="preserve">(Wastiau et al., 2013) </w:t>
      </w:r>
      <w:r w:rsidR="00355119">
        <w:rPr>
          <w:sz w:val="24"/>
        </w:rPr>
        <w:t xml:space="preserve">Within the ICT lessons in the school </w:t>
      </w:r>
      <w:r w:rsidR="007831BB">
        <w:rPr>
          <w:sz w:val="24"/>
        </w:rPr>
        <w:t xml:space="preserve">there is an increased focus on developing pupils’ digital skills in the context of </w:t>
      </w:r>
      <w:r w:rsidR="000F2095">
        <w:rPr>
          <w:sz w:val="24"/>
        </w:rPr>
        <w:t xml:space="preserve">helping them to apply these skills to the rest of their subjects across all their schoolwork. Which also fits into the literature recommendations pertaining to the use of these skills to enhance learning across the whole curriculum. Finally, there are ICT lessons dedicated to how these digital skills </w:t>
      </w:r>
      <w:r w:rsidR="007633CD">
        <w:rPr>
          <w:sz w:val="24"/>
        </w:rPr>
        <w:t>can be used to prevent cyber-bullying and also to promote e-safety which are both ever-increasing issues in this day and age.</w:t>
      </w:r>
    </w:p>
    <w:p w14:paraId="58AE3355" w14:textId="77777777" w:rsidR="0054654A" w:rsidRDefault="0054654A" w:rsidP="00816EC1">
      <w:pPr>
        <w:rPr>
          <w:b/>
          <w:sz w:val="24"/>
        </w:rPr>
      </w:pPr>
    </w:p>
    <w:p w14:paraId="527B8BE3" w14:textId="2B1ED3C0" w:rsidR="00816EC1" w:rsidRPr="001B4527" w:rsidRDefault="00816EC1" w:rsidP="00816EC1">
      <w:pPr>
        <w:rPr>
          <w:b/>
          <w:sz w:val="24"/>
        </w:rPr>
      </w:pPr>
      <w:r>
        <w:rPr>
          <w:b/>
          <w:sz w:val="24"/>
        </w:rPr>
        <w:tab/>
      </w:r>
      <w:r>
        <w:rPr>
          <w:sz w:val="24"/>
        </w:rPr>
        <w:t xml:space="preserve">To conclude, there are several recommendations I can make to further improve the provision for pupils’ skills in the school where I am completing my PTE1. </w:t>
      </w:r>
      <w:r w:rsidR="00C363E6">
        <w:rPr>
          <w:sz w:val="24"/>
        </w:rPr>
        <w:t xml:space="preserve">Firstly, for the </w:t>
      </w:r>
      <w:r w:rsidR="00C363E6">
        <w:rPr>
          <w:sz w:val="24"/>
        </w:rPr>
        <w:lastRenderedPageBreak/>
        <w:t>continued encouragement for literacy skills to be further incorporated throughout the schemes of work in all subjects</w:t>
      </w:r>
      <w:r w:rsidR="00E02332">
        <w:rPr>
          <w:sz w:val="24"/>
        </w:rPr>
        <w:t>. This shouldn’t be too difficult a task, seeing as though aspects of literacy can already be found throughout numerous aspects of the curriculum. If this can be done successfully</w:t>
      </w:r>
      <w:r w:rsidR="008B7558">
        <w:rPr>
          <w:sz w:val="24"/>
        </w:rPr>
        <w:t xml:space="preserve"> then pupils will be more naturally exposed to using literacy in different contexts, which should improve their literacy skills and in turn, improve GCSE grades. </w:t>
      </w:r>
      <w:r w:rsidR="00616347">
        <w:rPr>
          <w:sz w:val="24"/>
        </w:rPr>
        <w:t xml:space="preserve">Another recommendation I can make is, as for literacy, numeracy skills should be pushed to be incorporated into all aspects of the curriculum across all subjects. Once again, this should not be difficult as numeracy can be found throughout life, let alone in the subjects the pupils are taught. Successful numeracy integration should see a more natural learning process when it comes to numeracy, as numeracy skills can only be developed through constant practice, which this solution provides perfectly. The way in which literacy skills and numeracy skills are linked should also be a focus of this effort, as they can often go hand-in-hand, such as: Worded maths problems, QER style exam questions, and scientific style reports. </w:t>
      </w:r>
      <w:r w:rsidR="008B7558">
        <w:rPr>
          <w:sz w:val="24"/>
        </w:rPr>
        <w:t xml:space="preserve">I also recommend that the school continue its excellent work in providing intervention programmes for </w:t>
      </w:r>
      <w:r w:rsidR="00AA52B9">
        <w:rPr>
          <w:sz w:val="24"/>
        </w:rPr>
        <w:t xml:space="preserve">pupils in improving both literacy and numeracy skills. One improvement to the programmes could be to incorporate a digital skills element, however, the development of literacy and numeracy should not be compromised by this. The school should also continue to plan INSET days for teachers focussed on training on developing their own literacy, numeracy, and digital skills; as well as developing these skills in the pupils too. </w:t>
      </w:r>
      <w:r w:rsidR="00616347">
        <w:rPr>
          <w:sz w:val="24"/>
        </w:rPr>
        <w:t xml:space="preserve">The development of numeracy skills should be focussed on, as it is the only type of training that is currently not in the school’s planning efforts. </w:t>
      </w:r>
      <w:r w:rsidR="00AA52B9">
        <w:rPr>
          <w:sz w:val="24"/>
        </w:rPr>
        <w:t>This</w:t>
      </w:r>
      <w:r w:rsidR="00616347">
        <w:rPr>
          <w:sz w:val="24"/>
        </w:rPr>
        <w:t xml:space="preserve"> level of</w:t>
      </w:r>
      <w:r w:rsidR="00AA52B9">
        <w:rPr>
          <w:sz w:val="24"/>
        </w:rPr>
        <w:t xml:space="preserve"> training should see a major improvement in the quality of skills across the board, as long as there is clear communication between all levels: leaders, teachers, and students.</w:t>
      </w:r>
      <w:r w:rsidR="007E3B9F">
        <w:rPr>
          <w:sz w:val="24"/>
        </w:rPr>
        <w:t xml:space="preserve"> My recommendation concerning the improvement of pupils’ digital skills is slightly convoluted, whilst it can be made easier by providing teachers and pupils with increased access to technologies to aid in developing these skills; this issue is, as mentioned earlier, a double-edged sword. T</w:t>
      </w:r>
      <w:r w:rsidR="00490550">
        <w:rPr>
          <w:sz w:val="24"/>
        </w:rPr>
        <w:t xml:space="preserve">hese technologies should not be acquired just for the sake of having them, careful analysis should go into the potential cost-benefit relationship. This is doubly important in my PTE1 school as there is currently a limited budget available, therefore there is a case to be made for the use of the existing technology that the school has by providing additional training for teachers on how to properly use them. This type of action has already started in the school, however my recommendation is that this training should include a provision for </w:t>
      </w:r>
      <w:r w:rsidR="00891DAB">
        <w:rPr>
          <w:sz w:val="24"/>
        </w:rPr>
        <w:t>teachers to be able to transfer these skills to pupils to aid them in the rest of their learning. Overall, I believe that my PTE1 has excellent standards, and their provision for skills is no exception. I think they should continue the</w:t>
      </w:r>
      <w:r w:rsidR="0054654A">
        <w:rPr>
          <w:sz w:val="24"/>
        </w:rPr>
        <w:t>ir</w:t>
      </w:r>
      <w:r w:rsidR="00891DAB">
        <w:rPr>
          <w:sz w:val="24"/>
        </w:rPr>
        <w:t xml:space="preserve"> outstanding performance</w:t>
      </w:r>
      <w:r w:rsidR="0054654A">
        <w:rPr>
          <w:sz w:val="24"/>
        </w:rPr>
        <w:t xml:space="preserve"> with only those few changes as they are already an excellent school.</w:t>
      </w:r>
      <w:r w:rsidR="00891DAB">
        <w:rPr>
          <w:sz w:val="24"/>
        </w:rPr>
        <w:t xml:space="preserve"> </w:t>
      </w:r>
    </w:p>
    <w:p w14:paraId="77287F6C" w14:textId="1D20F4F6" w:rsidR="00FF69A6" w:rsidRPr="00824596" w:rsidRDefault="00FF69A6" w:rsidP="00B60193">
      <w:pPr>
        <w:rPr>
          <w:sz w:val="24"/>
        </w:rPr>
      </w:pPr>
    </w:p>
    <w:p w14:paraId="6E34E6C4" w14:textId="77777777" w:rsidR="0054654A" w:rsidRDefault="0054654A" w:rsidP="0054654A">
      <w:pPr>
        <w:jc w:val="center"/>
        <w:rPr>
          <w:b/>
          <w:sz w:val="32"/>
        </w:rPr>
      </w:pPr>
    </w:p>
    <w:p w14:paraId="70763D2E" w14:textId="77777777" w:rsidR="0054654A" w:rsidRDefault="0054654A" w:rsidP="0054654A">
      <w:pPr>
        <w:jc w:val="center"/>
        <w:rPr>
          <w:b/>
          <w:sz w:val="32"/>
        </w:rPr>
      </w:pPr>
    </w:p>
    <w:p w14:paraId="033DC332" w14:textId="77777777" w:rsidR="00B3362F" w:rsidRDefault="00B3362F" w:rsidP="0054654A">
      <w:pPr>
        <w:jc w:val="center"/>
        <w:rPr>
          <w:b/>
          <w:sz w:val="32"/>
        </w:rPr>
      </w:pPr>
    </w:p>
    <w:p w14:paraId="1C7548AF" w14:textId="4B25C685" w:rsidR="000543F6" w:rsidRPr="0054654A" w:rsidRDefault="004F5040" w:rsidP="0054654A">
      <w:pPr>
        <w:jc w:val="center"/>
        <w:rPr>
          <w:b/>
          <w:sz w:val="32"/>
        </w:rPr>
      </w:pPr>
      <w:r>
        <w:rPr>
          <w:b/>
          <w:sz w:val="32"/>
        </w:rPr>
        <w:lastRenderedPageBreak/>
        <w:t>References:</w:t>
      </w:r>
    </w:p>
    <w:p w14:paraId="3F89A7DA" w14:textId="77777777" w:rsidR="000543F6" w:rsidRDefault="000543F6" w:rsidP="004F5040">
      <w:pPr>
        <w:rPr>
          <w:sz w:val="24"/>
        </w:rPr>
      </w:pPr>
    </w:p>
    <w:p w14:paraId="4716A04F" w14:textId="06559657" w:rsidR="00B23839" w:rsidRPr="00AA3E82" w:rsidRDefault="00AA3E82" w:rsidP="004F5040">
      <w:pPr>
        <w:rPr>
          <w:sz w:val="24"/>
        </w:rPr>
      </w:pPr>
      <w:r w:rsidRPr="00AA3E82">
        <w:rPr>
          <w:sz w:val="24"/>
        </w:rPr>
        <w:t>Chang, G.C., 2006. Strategic planning in education: some concepts and steps. </w:t>
      </w:r>
      <w:r w:rsidRPr="00AA3E82">
        <w:rPr>
          <w:iCs/>
          <w:sz w:val="24"/>
        </w:rPr>
        <w:t>United Nations Educational, Scientific and Cultural Organization</w:t>
      </w:r>
      <w:r w:rsidRPr="00AA3E82">
        <w:rPr>
          <w:sz w:val="24"/>
        </w:rPr>
        <w:t>, </w:t>
      </w:r>
      <w:r w:rsidRPr="00AA3E82">
        <w:rPr>
          <w:iCs/>
          <w:sz w:val="24"/>
        </w:rPr>
        <w:t>5</w:t>
      </w:r>
      <w:r w:rsidRPr="00AA3E82">
        <w:rPr>
          <w:sz w:val="24"/>
        </w:rPr>
        <w:t>.</w:t>
      </w:r>
    </w:p>
    <w:p w14:paraId="04563634" w14:textId="30A94B7D" w:rsidR="00B23839" w:rsidRPr="00B23839" w:rsidRDefault="00B23839" w:rsidP="004F5040">
      <w:pPr>
        <w:rPr>
          <w:sz w:val="24"/>
        </w:rPr>
      </w:pPr>
      <w:r w:rsidRPr="00B23839">
        <w:rPr>
          <w:sz w:val="24"/>
        </w:rPr>
        <w:t>Chang, G.C., 2008. Strategic planning in education: Some concepts and methods. In </w:t>
      </w:r>
      <w:r w:rsidRPr="00B23839">
        <w:rPr>
          <w:iCs/>
          <w:sz w:val="24"/>
        </w:rPr>
        <w:t>Directions in educational planning: symposium to honour the work of Françoise Caillods</w:t>
      </w:r>
      <w:r w:rsidRPr="00B23839">
        <w:rPr>
          <w:sz w:val="24"/>
        </w:rPr>
        <w:t>.</w:t>
      </w:r>
    </w:p>
    <w:p w14:paraId="1F32502C" w14:textId="4F82E48F" w:rsidR="004F5040" w:rsidRDefault="004F5040" w:rsidP="004F5040">
      <w:pPr>
        <w:rPr>
          <w:sz w:val="24"/>
        </w:rPr>
      </w:pPr>
      <w:r>
        <w:rPr>
          <w:sz w:val="24"/>
        </w:rPr>
        <w:t>Donaldson, G</w:t>
      </w:r>
      <w:r w:rsidR="00A6280E">
        <w:rPr>
          <w:sz w:val="24"/>
        </w:rPr>
        <w:t>.</w:t>
      </w:r>
      <w:r>
        <w:rPr>
          <w:sz w:val="24"/>
        </w:rPr>
        <w:t xml:space="preserve"> (2015) Successful Futures ; Independent review of curriculum and assessment arrangements in Wales.</w:t>
      </w:r>
    </w:p>
    <w:p w14:paraId="6B87321D" w14:textId="5280B938" w:rsidR="00412D65" w:rsidRDefault="00412D65" w:rsidP="004F5040">
      <w:pPr>
        <w:rPr>
          <w:sz w:val="24"/>
        </w:rPr>
      </w:pPr>
      <w:r w:rsidRPr="00412D65">
        <w:rPr>
          <w:sz w:val="24"/>
        </w:rPr>
        <w:t>Ehren, B.J., Deshler, D.D. and Graner, P.S., 2010. Using the content literacy continuum as a framework for implementing RTI in secondary schools. </w:t>
      </w:r>
      <w:r w:rsidRPr="00412D65">
        <w:rPr>
          <w:iCs/>
          <w:sz w:val="24"/>
        </w:rPr>
        <w:t>Theory Into Practice</w:t>
      </w:r>
      <w:r w:rsidRPr="00412D65">
        <w:rPr>
          <w:sz w:val="24"/>
        </w:rPr>
        <w:t>, </w:t>
      </w:r>
      <w:r w:rsidRPr="00412D65">
        <w:rPr>
          <w:iCs/>
          <w:sz w:val="24"/>
        </w:rPr>
        <w:t>49</w:t>
      </w:r>
      <w:r w:rsidRPr="00412D65">
        <w:rPr>
          <w:sz w:val="24"/>
        </w:rPr>
        <w:t>(4), pp.315-322.</w:t>
      </w:r>
    </w:p>
    <w:p w14:paraId="2F4E8192" w14:textId="41781E49" w:rsidR="006755DB" w:rsidRPr="00412D65" w:rsidRDefault="006755DB" w:rsidP="004F5040">
      <w:pPr>
        <w:rPr>
          <w:sz w:val="24"/>
        </w:rPr>
      </w:pPr>
      <w:r>
        <w:rPr>
          <w:sz w:val="24"/>
        </w:rPr>
        <w:t xml:space="preserve">Estyn. (2017), A report on Bishopston Comprehensive School December 2017. [www] </w:t>
      </w:r>
      <w:hyperlink r:id="rId7" w:history="1">
        <w:r w:rsidRPr="00D72A24">
          <w:rPr>
            <w:rStyle w:val="Hyperlink"/>
            <w:sz w:val="24"/>
          </w:rPr>
          <w:t>https://www.estyn.gov.wales/sites/default/files/documents/Bishopston%20Comprehensive%20School.pdf</w:t>
        </w:r>
      </w:hyperlink>
      <w:r>
        <w:rPr>
          <w:sz w:val="24"/>
        </w:rPr>
        <w:t xml:space="preserve"> (date accessed: 24/01/19)</w:t>
      </w:r>
    </w:p>
    <w:p w14:paraId="3EF226CC" w14:textId="68464BAF" w:rsidR="00726AEE" w:rsidRPr="00726AEE" w:rsidRDefault="00726AEE" w:rsidP="004F5040">
      <w:pPr>
        <w:rPr>
          <w:sz w:val="24"/>
        </w:rPr>
      </w:pPr>
      <w:r w:rsidRPr="00726AEE">
        <w:rPr>
          <w:sz w:val="24"/>
        </w:rPr>
        <w:t>Hach</w:t>
      </w:r>
      <w:bookmarkStart w:id="0" w:name="_Hlk535684942"/>
      <w:r w:rsidRPr="00726AEE">
        <w:rPr>
          <w:sz w:val="24"/>
        </w:rPr>
        <w:t>é</w:t>
      </w:r>
      <w:bookmarkEnd w:id="0"/>
      <w:r w:rsidRPr="00726AEE">
        <w:rPr>
          <w:sz w:val="24"/>
        </w:rPr>
        <w:t>, D., 2000. Strategic planning of distance education in the age of teleinformatics. </w:t>
      </w:r>
      <w:r w:rsidRPr="00726AEE">
        <w:rPr>
          <w:iCs/>
          <w:sz w:val="24"/>
        </w:rPr>
        <w:t>The Online Journal of Distance Learning Administration</w:t>
      </w:r>
      <w:r w:rsidRPr="00726AEE">
        <w:rPr>
          <w:sz w:val="24"/>
        </w:rPr>
        <w:t>, </w:t>
      </w:r>
      <w:r w:rsidRPr="00726AEE">
        <w:rPr>
          <w:iCs/>
          <w:sz w:val="24"/>
        </w:rPr>
        <w:t>1</w:t>
      </w:r>
      <w:r w:rsidRPr="00726AEE">
        <w:rPr>
          <w:sz w:val="24"/>
        </w:rPr>
        <w:t>(2), pp.1-4.</w:t>
      </w:r>
    </w:p>
    <w:p w14:paraId="27E08424" w14:textId="20023B69" w:rsidR="005C1F3C" w:rsidRDefault="005C1F3C" w:rsidP="004F5040">
      <w:pPr>
        <w:rPr>
          <w:sz w:val="24"/>
        </w:rPr>
      </w:pPr>
      <w:r w:rsidRPr="005C1F3C">
        <w:rPr>
          <w:sz w:val="24"/>
        </w:rPr>
        <w:t>Howell, S.L., Williams, P.B. and Lindsay, N.K., 2003. Thirty-two trends affecting distance education: An informed foundation for strategic planning. </w:t>
      </w:r>
      <w:r w:rsidRPr="005C1F3C">
        <w:rPr>
          <w:iCs/>
          <w:sz w:val="24"/>
        </w:rPr>
        <w:t>Online Journal of Distance Learning Administration</w:t>
      </w:r>
      <w:r w:rsidRPr="005C1F3C">
        <w:rPr>
          <w:sz w:val="24"/>
        </w:rPr>
        <w:t>, </w:t>
      </w:r>
      <w:r w:rsidRPr="005C1F3C">
        <w:rPr>
          <w:iCs/>
          <w:sz w:val="24"/>
        </w:rPr>
        <w:t>6</w:t>
      </w:r>
      <w:r w:rsidRPr="005C1F3C">
        <w:rPr>
          <w:sz w:val="24"/>
        </w:rPr>
        <w:t>(3), pp.1-18.</w:t>
      </w:r>
    </w:p>
    <w:p w14:paraId="10ADF39A" w14:textId="544C64D7" w:rsidR="00E40937" w:rsidRDefault="00E40937" w:rsidP="004F5040">
      <w:pPr>
        <w:rPr>
          <w:sz w:val="24"/>
        </w:rPr>
      </w:pPr>
      <w:r w:rsidRPr="00E40937">
        <w:rPr>
          <w:sz w:val="24"/>
        </w:rPr>
        <w:t>Jenkins, D., 2007. Institutional effectiveness and student success: A study of high-and low-impact community colleges. </w:t>
      </w:r>
      <w:r w:rsidRPr="00E40937">
        <w:rPr>
          <w:iCs/>
          <w:sz w:val="24"/>
        </w:rPr>
        <w:t>Community College Journal of Research and Practice</w:t>
      </w:r>
      <w:r w:rsidRPr="00E40937">
        <w:rPr>
          <w:sz w:val="24"/>
        </w:rPr>
        <w:t>, </w:t>
      </w:r>
      <w:r w:rsidRPr="00E40937">
        <w:rPr>
          <w:iCs/>
          <w:sz w:val="24"/>
        </w:rPr>
        <w:t>31</w:t>
      </w:r>
      <w:r w:rsidRPr="00E40937">
        <w:rPr>
          <w:sz w:val="24"/>
        </w:rPr>
        <w:t>(12), pp.945-962.</w:t>
      </w:r>
    </w:p>
    <w:p w14:paraId="11C5602E" w14:textId="4E4DEC38" w:rsidR="003D10A3" w:rsidRDefault="003D10A3" w:rsidP="004F5040">
      <w:pPr>
        <w:rPr>
          <w:sz w:val="24"/>
        </w:rPr>
      </w:pPr>
      <w:r w:rsidRPr="003D10A3">
        <w:rPr>
          <w:sz w:val="24"/>
        </w:rPr>
        <w:t>Lewis, M. and Wray, D., 1999. Secondary teachers' views and actions concerning literacy and literacy teaching. </w:t>
      </w:r>
      <w:r w:rsidRPr="003D10A3">
        <w:rPr>
          <w:iCs/>
          <w:sz w:val="24"/>
        </w:rPr>
        <w:t>Educational Review</w:t>
      </w:r>
      <w:r w:rsidRPr="003D10A3">
        <w:rPr>
          <w:sz w:val="24"/>
        </w:rPr>
        <w:t>, </w:t>
      </w:r>
      <w:r w:rsidRPr="003D10A3">
        <w:rPr>
          <w:iCs/>
          <w:sz w:val="24"/>
        </w:rPr>
        <w:t>51</w:t>
      </w:r>
      <w:r w:rsidRPr="003D10A3">
        <w:rPr>
          <w:sz w:val="24"/>
        </w:rPr>
        <w:t>(3), pp.273-281.</w:t>
      </w:r>
    </w:p>
    <w:p w14:paraId="1E6BF4F1" w14:textId="7CC4531F" w:rsidR="0000333F" w:rsidRPr="0000333F" w:rsidRDefault="0000333F" w:rsidP="004F5040">
      <w:pPr>
        <w:rPr>
          <w:sz w:val="24"/>
        </w:rPr>
      </w:pPr>
      <w:r w:rsidRPr="0000333F">
        <w:rPr>
          <w:sz w:val="24"/>
        </w:rPr>
        <w:t>Li, Y. and Ranieri, M., 2010. Are ‘digital natives’ really digitally competent?—A study on Chinese teenagers. </w:t>
      </w:r>
      <w:r w:rsidRPr="0000333F">
        <w:rPr>
          <w:iCs/>
          <w:sz w:val="24"/>
        </w:rPr>
        <w:t>British Journal of Educational Technology</w:t>
      </w:r>
      <w:r w:rsidRPr="0000333F">
        <w:rPr>
          <w:sz w:val="24"/>
        </w:rPr>
        <w:t>, </w:t>
      </w:r>
      <w:r w:rsidRPr="0000333F">
        <w:rPr>
          <w:iCs/>
          <w:sz w:val="24"/>
        </w:rPr>
        <w:t>41</w:t>
      </w:r>
      <w:r w:rsidRPr="0000333F">
        <w:rPr>
          <w:sz w:val="24"/>
        </w:rPr>
        <w:t>(6), pp.1029-1042.</w:t>
      </w:r>
    </w:p>
    <w:p w14:paraId="320A61C6" w14:textId="4C9E1A01" w:rsidR="005A64AA" w:rsidRDefault="005A64AA" w:rsidP="004F5040">
      <w:pPr>
        <w:rPr>
          <w:sz w:val="24"/>
        </w:rPr>
      </w:pPr>
      <w:r w:rsidRPr="005A64AA">
        <w:rPr>
          <w:sz w:val="24"/>
        </w:rPr>
        <w:t>Maki, P.L., 2002. Developing an assessment plan to learn about student learning. </w:t>
      </w:r>
      <w:r w:rsidRPr="005A64AA">
        <w:rPr>
          <w:iCs/>
          <w:sz w:val="24"/>
        </w:rPr>
        <w:t>The Journal of Academic Librarianship</w:t>
      </w:r>
      <w:r w:rsidRPr="005A64AA">
        <w:rPr>
          <w:sz w:val="24"/>
        </w:rPr>
        <w:t>, </w:t>
      </w:r>
      <w:r w:rsidRPr="005A64AA">
        <w:rPr>
          <w:iCs/>
          <w:sz w:val="24"/>
        </w:rPr>
        <w:t>28</w:t>
      </w:r>
      <w:r w:rsidRPr="005A64AA">
        <w:rPr>
          <w:sz w:val="24"/>
        </w:rPr>
        <w:t>(1-2), pp.8-13.</w:t>
      </w:r>
    </w:p>
    <w:p w14:paraId="6858635D" w14:textId="5EFEB2BE" w:rsidR="00741987" w:rsidRDefault="00741987" w:rsidP="004F5040">
      <w:pPr>
        <w:rPr>
          <w:sz w:val="24"/>
        </w:rPr>
      </w:pPr>
      <w:r>
        <w:rPr>
          <w:sz w:val="24"/>
        </w:rPr>
        <w:t xml:space="preserve">MyLocalSchool. (2017), Bishopston Comprehensive Ref: 6704069. [www] </w:t>
      </w:r>
      <w:hyperlink r:id="rId8" w:history="1">
        <w:r w:rsidRPr="00D72A24">
          <w:rPr>
            <w:rStyle w:val="Hyperlink"/>
            <w:sz w:val="24"/>
          </w:rPr>
          <w:t>http://mylocalschool.wales.gov.uk/School/6704069?lang=en</w:t>
        </w:r>
      </w:hyperlink>
      <w:r>
        <w:rPr>
          <w:sz w:val="24"/>
        </w:rPr>
        <w:t xml:space="preserve"> (date accessed: 25/01/19)</w:t>
      </w:r>
    </w:p>
    <w:p w14:paraId="397340AE" w14:textId="4A0815A5" w:rsidR="007544A1" w:rsidRPr="005A64AA" w:rsidRDefault="007544A1" w:rsidP="004F5040">
      <w:pPr>
        <w:rPr>
          <w:sz w:val="24"/>
        </w:rPr>
      </w:pPr>
      <w:r>
        <w:rPr>
          <w:sz w:val="24"/>
        </w:rPr>
        <w:t xml:space="preserve">NCES. (2002), Highlights from the 2000 Program for International Student Assessment (PISA). [www] </w:t>
      </w:r>
      <w:hyperlink r:id="rId9" w:history="1">
        <w:r w:rsidRPr="00EE564C">
          <w:rPr>
            <w:rStyle w:val="Hyperlink"/>
            <w:sz w:val="24"/>
          </w:rPr>
          <w:t>https://nces.ed.gov/pubs2002/2002116.pdf</w:t>
        </w:r>
      </w:hyperlink>
      <w:r>
        <w:rPr>
          <w:sz w:val="24"/>
        </w:rPr>
        <w:t xml:space="preserve"> (date accessed: 23/01/19)</w:t>
      </w:r>
    </w:p>
    <w:p w14:paraId="60EBE8F9" w14:textId="6817D0C3" w:rsidR="00FA3203" w:rsidRDefault="00FA3203" w:rsidP="004F5040">
      <w:pPr>
        <w:rPr>
          <w:sz w:val="24"/>
        </w:rPr>
      </w:pPr>
      <w:r>
        <w:rPr>
          <w:sz w:val="24"/>
        </w:rPr>
        <w:t>OECD. (2015)</w:t>
      </w:r>
      <w:r w:rsidR="00A6280E">
        <w:rPr>
          <w:sz w:val="24"/>
        </w:rPr>
        <w:t>,</w:t>
      </w:r>
      <w:r>
        <w:rPr>
          <w:sz w:val="24"/>
        </w:rPr>
        <w:t xml:space="preserve"> Programme for International Student Assessment (PISA) results from PISA 2015. [www] </w:t>
      </w:r>
      <w:hyperlink r:id="rId10" w:history="1">
        <w:r w:rsidRPr="00BE212D">
          <w:rPr>
            <w:rStyle w:val="Hyperlink"/>
            <w:sz w:val="24"/>
          </w:rPr>
          <w:t>http://www.oecd.org/pisa/PISA-2015-United-Kingdom.pdf</w:t>
        </w:r>
      </w:hyperlink>
      <w:r>
        <w:rPr>
          <w:sz w:val="24"/>
        </w:rPr>
        <w:t xml:space="preserve"> (date accessed: 10/01/19)</w:t>
      </w:r>
    </w:p>
    <w:p w14:paraId="74B0AA65" w14:textId="69BE6EA2" w:rsidR="000543F6" w:rsidRDefault="000543F6" w:rsidP="004F5040">
      <w:pPr>
        <w:rPr>
          <w:sz w:val="24"/>
        </w:rPr>
      </w:pPr>
      <w:r w:rsidRPr="000543F6">
        <w:rPr>
          <w:sz w:val="24"/>
        </w:rPr>
        <w:lastRenderedPageBreak/>
        <w:t>Ozdem, G., 2011. An analysis of the mission and vision statements on the strategic plans of higher education institutions. </w:t>
      </w:r>
      <w:r w:rsidRPr="000543F6">
        <w:rPr>
          <w:iCs/>
          <w:sz w:val="24"/>
        </w:rPr>
        <w:t>Educational Sciences: Theory and Practice</w:t>
      </w:r>
      <w:r w:rsidRPr="000543F6">
        <w:rPr>
          <w:sz w:val="24"/>
        </w:rPr>
        <w:t>, </w:t>
      </w:r>
      <w:r w:rsidRPr="000543F6">
        <w:rPr>
          <w:iCs/>
          <w:sz w:val="24"/>
        </w:rPr>
        <w:t>11</w:t>
      </w:r>
      <w:r w:rsidRPr="000543F6">
        <w:rPr>
          <w:sz w:val="24"/>
        </w:rPr>
        <w:t>(4), pp.1887-1894.</w:t>
      </w:r>
    </w:p>
    <w:p w14:paraId="49A73736" w14:textId="5FDC43AC" w:rsidR="00CD4904" w:rsidRPr="00CD4904" w:rsidRDefault="00CD4904" w:rsidP="004F5040">
      <w:pPr>
        <w:rPr>
          <w:sz w:val="24"/>
        </w:rPr>
      </w:pPr>
      <w:r w:rsidRPr="00CD4904">
        <w:rPr>
          <w:sz w:val="24"/>
        </w:rPr>
        <w:t>R</w:t>
      </w:r>
      <w:bookmarkStart w:id="1" w:name="_Hlk536099602"/>
      <w:r w:rsidRPr="00CD4904">
        <w:rPr>
          <w:sz w:val="24"/>
        </w:rPr>
        <w:t>ø</w:t>
      </w:r>
      <w:bookmarkEnd w:id="1"/>
      <w:r w:rsidRPr="00CD4904">
        <w:rPr>
          <w:sz w:val="24"/>
        </w:rPr>
        <w:t>kenes, F.M. and Krumsvik, R.J., 2014. Development of student teachers’ digital competence in teacher education-A literature review. </w:t>
      </w:r>
      <w:r w:rsidRPr="00CD4904">
        <w:rPr>
          <w:iCs/>
          <w:sz w:val="24"/>
        </w:rPr>
        <w:t>Nordic Journal of Digital Literacy</w:t>
      </w:r>
      <w:r w:rsidRPr="00CD4904">
        <w:rPr>
          <w:sz w:val="24"/>
        </w:rPr>
        <w:t>, </w:t>
      </w:r>
      <w:r w:rsidRPr="00CD4904">
        <w:rPr>
          <w:iCs/>
          <w:sz w:val="24"/>
        </w:rPr>
        <w:t>9</w:t>
      </w:r>
      <w:r w:rsidRPr="00CD4904">
        <w:rPr>
          <w:sz w:val="24"/>
        </w:rPr>
        <w:t>(04), pp.250-280.</w:t>
      </w:r>
    </w:p>
    <w:p w14:paraId="3C975214" w14:textId="1234BA81" w:rsidR="00A6280E" w:rsidRDefault="00A6280E" w:rsidP="004F5040">
      <w:pPr>
        <w:rPr>
          <w:sz w:val="24"/>
        </w:rPr>
      </w:pPr>
      <w:r>
        <w:rPr>
          <w:sz w:val="24"/>
        </w:rPr>
        <w:t>Rutherford, C. 2009</w:t>
      </w:r>
      <w:r w:rsidR="000B15F5">
        <w:rPr>
          <w:sz w:val="24"/>
        </w:rPr>
        <w:t>.</w:t>
      </w:r>
      <w:r>
        <w:rPr>
          <w:sz w:val="24"/>
        </w:rPr>
        <w:t xml:space="preserve"> </w:t>
      </w:r>
      <w:r w:rsidR="005562C8">
        <w:rPr>
          <w:sz w:val="24"/>
        </w:rPr>
        <w:t>“</w:t>
      </w:r>
      <w:r>
        <w:rPr>
          <w:sz w:val="24"/>
        </w:rPr>
        <w:t>Planning to change: strategic planning and comprehensive school reform</w:t>
      </w:r>
      <w:r w:rsidR="005562C8">
        <w:rPr>
          <w:sz w:val="24"/>
        </w:rPr>
        <w:t xml:space="preserve">”, The Journal of the International Society for Educational Planning., 18(1), </w:t>
      </w:r>
      <w:r w:rsidR="000B15F5">
        <w:rPr>
          <w:sz w:val="24"/>
        </w:rPr>
        <w:t>pp.</w:t>
      </w:r>
      <w:r w:rsidR="005562C8">
        <w:rPr>
          <w:sz w:val="24"/>
        </w:rPr>
        <w:t>1-10.</w:t>
      </w:r>
    </w:p>
    <w:p w14:paraId="0BE3A223" w14:textId="5DC08555" w:rsidR="0040103A" w:rsidRPr="0040103A" w:rsidRDefault="0040103A" w:rsidP="004F5040">
      <w:pPr>
        <w:rPr>
          <w:sz w:val="24"/>
        </w:rPr>
      </w:pPr>
      <w:r w:rsidRPr="0040103A">
        <w:rPr>
          <w:sz w:val="24"/>
        </w:rPr>
        <w:t>Sancho Gil, J.M. and Padilla Petry, P., 2016. Promoting digital competence in secondary education: are schools there? Insights from a case study.</w:t>
      </w:r>
    </w:p>
    <w:p w14:paraId="697DD3D8" w14:textId="463C128F" w:rsidR="006365E7" w:rsidRPr="006365E7" w:rsidRDefault="006365E7" w:rsidP="004F5040">
      <w:pPr>
        <w:rPr>
          <w:sz w:val="24"/>
        </w:rPr>
      </w:pPr>
      <w:r w:rsidRPr="006365E7">
        <w:rPr>
          <w:sz w:val="24"/>
        </w:rPr>
        <w:t>Steen, L.A., 2001. Embracing numeracy. </w:t>
      </w:r>
      <w:r w:rsidRPr="006365E7">
        <w:rPr>
          <w:iCs/>
          <w:sz w:val="24"/>
        </w:rPr>
        <w:t>Mathematics and democracy: The case for quantitative literacy</w:t>
      </w:r>
      <w:r w:rsidRPr="006365E7">
        <w:rPr>
          <w:sz w:val="24"/>
        </w:rPr>
        <w:t>, pp.107-116.</w:t>
      </w:r>
    </w:p>
    <w:p w14:paraId="3F100EDD" w14:textId="4286042D" w:rsidR="009729ED" w:rsidRDefault="009729ED" w:rsidP="004F5040">
      <w:pPr>
        <w:rPr>
          <w:sz w:val="24"/>
        </w:rPr>
      </w:pPr>
      <w:r w:rsidRPr="009729ED">
        <w:rPr>
          <w:sz w:val="24"/>
        </w:rPr>
        <w:t>Vale, C., Davies, A., Weaven, M., Hooley, N., Davidson, K. and Loton, D., 2010. Leadership to improve mathematics outcomes in low SES schools and school networks. </w:t>
      </w:r>
      <w:r w:rsidRPr="009729ED">
        <w:rPr>
          <w:iCs/>
          <w:sz w:val="24"/>
        </w:rPr>
        <w:t>Mathematics teacher education and development</w:t>
      </w:r>
      <w:r w:rsidRPr="009729ED">
        <w:rPr>
          <w:sz w:val="24"/>
        </w:rPr>
        <w:t>, </w:t>
      </w:r>
      <w:r w:rsidRPr="009729ED">
        <w:rPr>
          <w:iCs/>
          <w:sz w:val="24"/>
        </w:rPr>
        <w:t>12</w:t>
      </w:r>
      <w:r w:rsidRPr="009729ED">
        <w:rPr>
          <w:sz w:val="24"/>
        </w:rPr>
        <w:t>(2), pp.47-71.</w:t>
      </w:r>
    </w:p>
    <w:p w14:paraId="2A5B1328" w14:textId="2DF421C4" w:rsidR="0077543F" w:rsidRDefault="0077543F" w:rsidP="004F5040">
      <w:pPr>
        <w:rPr>
          <w:sz w:val="24"/>
        </w:rPr>
      </w:pPr>
      <w:r w:rsidRPr="0077543F">
        <w:rPr>
          <w:sz w:val="24"/>
        </w:rPr>
        <w:t>Wastiau, P., Blamire, R., Kearney, C., Quittre, V., Van de Gaer, E. and Monseur, C., 2013. The Use of ICT in Education: a survey of schools in Europe. </w:t>
      </w:r>
      <w:r w:rsidRPr="0077543F">
        <w:rPr>
          <w:iCs/>
          <w:sz w:val="24"/>
        </w:rPr>
        <w:t>European Journal of Education</w:t>
      </w:r>
      <w:r w:rsidRPr="0077543F">
        <w:rPr>
          <w:sz w:val="24"/>
        </w:rPr>
        <w:t>, </w:t>
      </w:r>
      <w:r w:rsidRPr="0077543F">
        <w:rPr>
          <w:iCs/>
          <w:sz w:val="24"/>
        </w:rPr>
        <w:t>48</w:t>
      </w:r>
      <w:r w:rsidRPr="0077543F">
        <w:rPr>
          <w:sz w:val="24"/>
        </w:rPr>
        <w:t>(1), pp.11-27.</w:t>
      </w:r>
    </w:p>
    <w:p w14:paraId="6742B149" w14:textId="2DAE7F32" w:rsidR="00456793" w:rsidRDefault="00456793" w:rsidP="004F5040">
      <w:pPr>
        <w:rPr>
          <w:sz w:val="24"/>
        </w:rPr>
      </w:pPr>
      <w:r>
        <w:rPr>
          <w:sz w:val="24"/>
        </w:rPr>
        <w:t xml:space="preserve">Welsh government. (2018), National School Categorisation System: Guidance document for School, local authorities and regional consortia. [www] </w:t>
      </w:r>
      <w:hyperlink r:id="rId11" w:history="1">
        <w:r w:rsidRPr="00D72A24">
          <w:rPr>
            <w:rStyle w:val="Hyperlink"/>
            <w:sz w:val="24"/>
          </w:rPr>
          <w:t>https://beta.gov.wales/sites/default/files/publications/2018-03/guidance-document-for-schools-local-authorities-and-regional-consortia-national-school-categorisation-system.pdf</w:t>
        </w:r>
      </w:hyperlink>
      <w:r>
        <w:rPr>
          <w:sz w:val="24"/>
        </w:rPr>
        <w:t xml:space="preserve"> (date accessed: 25/01/19)</w:t>
      </w:r>
    </w:p>
    <w:p w14:paraId="35CC495C" w14:textId="13CA9907" w:rsidR="00390138" w:rsidRPr="00390138" w:rsidRDefault="00390138" w:rsidP="004F5040">
      <w:pPr>
        <w:rPr>
          <w:iCs/>
          <w:sz w:val="24"/>
        </w:rPr>
      </w:pPr>
      <w:r>
        <w:rPr>
          <w:iCs/>
          <w:sz w:val="24"/>
        </w:rPr>
        <w:t>Welsh government</w:t>
      </w:r>
      <w:r w:rsidR="00456793">
        <w:rPr>
          <w:iCs/>
          <w:sz w:val="24"/>
        </w:rPr>
        <w:t xml:space="preserve">. (2018), National School Categorisation System: support categories. [www] </w:t>
      </w:r>
      <w:hyperlink r:id="rId12" w:history="1">
        <w:r w:rsidR="00456793" w:rsidRPr="00D72A24">
          <w:rPr>
            <w:rStyle w:val="Hyperlink"/>
            <w:iCs/>
            <w:sz w:val="24"/>
          </w:rPr>
          <w:t>https://beta.gov.wales/national-school-categorisation-system-support-categories</w:t>
        </w:r>
      </w:hyperlink>
      <w:r w:rsidR="00456793">
        <w:rPr>
          <w:iCs/>
          <w:sz w:val="24"/>
        </w:rPr>
        <w:t xml:space="preserve"> (date accessed: 25/01/19)</w:t>
      </w:r>
    </w:p>
    <w:p w14:paraId="0B85356B" w14:textId="6A654093" w:rsidR="00C20295" w:rsidRDefault="00C20295" w:rsidP="004F5040">
      <w:pPr>
        <w:rPr>
          <w:sz w:val="24"/>
        </w:rPr>
      </w:pPr>
      <w:r w:rsidRPr="00C20295">
        <w:rPr>
          <w:sz w:val="24"/>
        </w:rPr>
        <w:t xml:space="preserve">White, A.L., 2010. Numeracy, literacy and </w:t>
      </w:r>
      <w:r w:rsidR="0054654A" w:rsidRPr="00C20295">
        <w:rPr>
          <w:sz w:val="24"/>
        </w:rPr>
        <w:t>Newman’s</w:t>
      </w:r>
      <w:r w:rsidRPr="00C20295">
        <w:rPr>
          <w:sz w:val="24"/>
        </w:rPr>
        <w:t xml:space="preserve"> error analysis. </w:t>
      </w:r>
      <w:r w:rsidRPr="00C20295">
        <w:rPr>
          <w:iCs/>
          <w:sz w:val="24"/>
        </w:rPr>
        <w:t>Journal of Science and Mathematics Education in Southeast Asia</w:t>
      </w:r>
      <w:r w:rsidRPr="00C20295">
        <w:rPr>
          <w:sz w:val="24"/>
        </w:rPr>
        <w:t>, </w:t>
      </w:r>
      <w:r w:rsidRPr="00C20295">
        <w:rPr>
          <w:iCs/>
          <w:sz w:val="24"/>
        </w:rPr>
        <w:t>33</w:t>
      </w:r>
      <w:r w:rsidRPr="00C20295">
        <w:rPr>
          <w:sz w:val="24"/>
        </w:rPr>
        <w:t>(2), pp.129-148.</w:t>
      </w:r>
    </w:p>
    <w:p w14:paraId="496B2E21" w14:textId="2FD582F4" w:rsidR="00D77565" w:rsidRDefault="00D77565" w:rsidP="004F5040">
      <w:pPr>
        <w:rPr>
          <w:sz w:val="24"/>
        </w:rPr>
      </w:pPr>
    </w:p>
    <w:p w14:paraId="2D0D91C0" w14:textId="1BAD4CA6" w:rsidR="00D77565" w:rsidRDefault="00D77565" w:rsidP="004F5040">
      <w:pPr>
        <w:rPr>
          <w:b/>
          <w:sz w:val="32"/>
        </w:rPr>
      </w:pPr>
      <w:r>
        <w:rPr>
          <w:b/>
          <w:sz w:val="32"/>
        </w:rPr>
        <w:t>Appendix</w:t>
      </w:r>
    </w:p>
    <w:p w14:paraId="1307208A" w14:textId="77777777" w:rsidR="00D77565" w:rsidRDefault="00D77565" w:rsidP="00D77565">
      <w:pPr>
        <w:rPr>
          <w:sz w:val="24"/>
        </w:rPr>
      </w:pPr>
      <w:r>
        <w:rPr>
          <w:sz w:val="24"/>
        </w:rPr>
        <w:t>Departmental Plan – emailed to tutor</w:t>
      </w:r>
    </w:p>
    <w:p w14:paraId="62623360" w14:textId="5F527335" w:rsidR="00D77565" w:rsidRDefault="00D77565" w:rsidP="004F5040">
      <w:pPr>
        <w:rPr>
          <w:sz w:val="24"/>
        </w:rPr>
      </w:pPr>
      <w:r>
        <w:rPr>
          <w:sz w:val="24"/>
        </w:rPr>
        <w:t>Department Self-Evaluation – emailed to tutor</w:t>
      </w:r>
    </w:p>
    <w:p w14:paraId="7F1B6D17" w14:textId="419B7FFD" w:rsidR="00D77565" w:rsidRDefault="00D77565" w:rsidP="004F5040">
      <w:pPr>
        <w:rPr>
          <w:sz w:val="24"/>
        </w:rPr>
      </w:pPr>
      <w:r>
        <w:rPr>
          <w:sz w:val="24"/>
        </w:rPr>
        <w:t>Whole School Developmen</w:t>
      </w:r>
      <w:bookmarkStart w:id="2" w:name="_GoBack"/>
      <w:bookmarkEnd w:id="2"/>
      <w:r>
        <w:rPr>
          <w:sz w:val="24"/>
        </w:rPr>
        <w:t>t plan – emailed to tutor</w:t>
      </w:r>
    </w:p>
    <w:p w14:paraId="0589DFDC" w14:textId="513A9BD5" w:rsidR="00D77565" w:rsidRPr="00D77565" w:rsidRDefault="00D77565" w:rsidP="004F5040">
      <w:pPr>
        <w:rPr>
          <w:sz w:val="24"/>
        </w:rPr>
      </w:pPr>
      <w:r>
        <w:rPr>
          <w:sz w:val="24"/>
        </w:rPr>
        <w:t>Whole School Self-Evaluation – emailed to tutor</w:t>
      </w:r>
    </w:p>
    <w:sectPr w:rsidR="00D77565" w:rsidRPr="00D775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CA0"/>
    <w:rsid w:val="0000333F"/>
    <w:rsid w:val="00011CD4"/>
    <w:rsid w:val="00027B8D"/>
    <w:rsid w:val="00032307"/>
    <w:rsid w:val="00037AC4"/>
    <w:rsid w:val="00042250"/>
    <w:rsid w:val="000543F6"/>
    <w:rsid w:val="000A127C"/>
    <w:rsid w:val="000B1087"/>
    <w:rsid w:val="000B15F5"/>
    <w:rsid w:val="000C525E"/>
    <w:rsid w:val="000E1FF6"/>
    <w:rsid w:val="000F2095"/>
    <w:rsid w:val="000F2EED"/>
    <w:rsid w:val="000F55E7"/>
    <w:rsid w:val="001037C4"/>
    <w:rsid w:val="00107D60"/>
    <w:rsid w:val="00123DBA"/>
    <w:rsid w:val="00124E21"/>
    <w:rsid w:val="0013733A"/>
    <w:rsid w:val="0015195E"/>
    <w:rsid w:val="00191E20"/>
    <w:rsid w:val="001B4527"/>
    <w:rsid w:val="001E4117"/>
    <w:rsid w:val="0020214B"/>
    <w:rsid w:val="00254E43"/>
    <w:rsid w:val="00274485"/>
    <w:rsid w:val="00284CE4"/>
    <w:rsid w:val="002920A8"/>
    <w:rsid w:val="002B6DD8"/>
    <w:rsid w:val="002D2B9E"/>
    <w:rsid w:val="002D46DD"/>
    <w:rsid w:val="0030495F"/>
    <w:rsid w:val="003404FC"/>
    <w:rsid w:val="00355119"/>
    <w:rsid w:val="003565B6"/>
    <w:rsid w:val="0035795A"/>
    <w:rsid w:val="003631FF"/>
    <w:rsid w:val="00367FF0"/>
    <w:rsid w:val="00390138"/>
    <w:rsid w:val="003908A6"/>
    <w:rsid w:val="003B6AC3"/>
    <w:rsid w:val="003D10A3"/>
    <w:rsid w:val="003D23E1"/>
    <w:rsid w:val="003D2D53"/>
    <w:rsid w:val="003E11F2"/>
    <w:rsid w:val="0040103A"/>
    <w:rsid w:val="00412D65"/>
    <w:rsid w:val="00432D3D"/>
    <w:rsid w:val="00456793"/>
    <w:rsid w:val="004702EF"/>
    <w:rsid w:val="00471F8E"/>
    <w:rsid w:val="00490550"/>
    <w:rsid w:val="004A1F19"/>
    <w:rsid w:val="004F5040"/>
    <w:rsid w:val="005139F6"/>
    <w:rsid w:val="00533979"/>
    <w:rsid w:val="00535493"/>
    <w:rsid w:val="0054654A"/>
    <w:rsid w:val="00551D88"/>
    <w:rsid w:val="00551E00"/>
    <w:rsid w:val="005562C8"/>
    <w:rsid w:val="00575696"/>
    <w:rsid w:val="00585E88"/>
    <w:rsid w:val="005A01F4"/>
    <w:rsid w:val="005A64AA"/>
    <w:rsid w:val="005A75DB"/>
    <w:rsid w:val="005C1F3C"/>
    <w:rsid w:val="005D20D8"/>
    <w:rsid w:val="0061302D"/>
    <w:rsid w:val="00616347"/>
    <w:rsid w:val="006365E7"/>
    <w:rsid w:val="00642CA0"/>
    <w:rsid w:val="00662B3F"/>
    <w:rsid w:val="00665F6B"/>
    <w:rsid w:val="006755DB"/>
    <w:rsid w:val="006806F5"/>
    <w:rsid w:val="006B58C3"/>
    <w:rsid w:val="006C3A68"/>
    <w:rsid w:val="006D3CDB"/>
    <w:rsid w:val="006F603D"/>
    <w:rsid w:val="0071196B"/>
    <w:rsid w:val="00726AEE"/>
    <w:rsid w:val="00731BE7"/>
    <w:rsid w:val="00741987"/>
    <w:rsid w:val="00742B04"/>
    <w:rsid w:val="00750853"/>
    <w:rsid w:val="007544A1"/>
    <w:rsid w:val="007633CD"/>
    <w:rsid w:val="00772D74"/>
    <w:rsid w:val="0077543F"/>
    <w:rsid w:val="00776DA1"/>
    <w:rsid w:val="007823B3"/>
    <w:rsid w:val="007831BB"/>
    <w:rsid w:val="007857B3"/>
    <w:rsid w:val="007A0C08"/>
    <w:rsid w:val="007B2631"/>
    <w:rsid w:val="007B28F9"/>
    <w:rsid w:val="007D35DD"/>
    <w:rsid w:val="007D6198"/>
    <w:rsid w:val="007E3B9F"/>
    <w:rsid w:val="007E7C5C"/>
    <w:rsid w:val="007F4F84"/>
    <w:rsid w:val="008146A7"/>
    <w:rsid w:val="00816EC1"/>
    <w:rsid w:val="00824596"/>
    <w:rsid w:val="0082511E"/>
    <w:rsid w:val="008318C2"/>
    <w:rsid w:val="00842346"/>
    <w:rsid w:val="00850B96"/>
    <w:rsid w:val="00857E55"/>
    <w:rsid w:val="008631D3"/>
    <w:rsid w:val="008637C4"/>
    <w:rsid w:val="00885FF3"/>
    <w:rsid w:val="00891DAB"/>
    <w:rsid w:val="008A2B06"/>
    <w:rsid w:val="008B7558"/>
    <w:rsid w:val="008D3ED0"/>
    <w:rsid w:val="008D7E57"/>
    <w:rsid w:val="00920F59"/>
    <w:rsid w:val="00921E32"/>
    <w:rsid w:val="009360BA"/>
    <w:rsid w:val="00936A07"/>
    <w:rsid w:val="009729ED"/>
    <w:rsid w:val="009939DE"/>
    <w:rsid w:val="00997DEA"/>
    <w:rsid w:val="009C758E"/>
    <w:rsid w:val="009D41C2"/>
    <w:rsid w:val="009E575F"/>
    <w:rsid w:val="009F2A42"/>
    <w:rsid w:val="00A6280E"/>
    <w:rsid w:val="00A64E7F"/>
    <w:rsid w:val="00A70380"/>
    <w:rsid w:val="00A714FA"/>
    <w:rsid w:val="00AA3E82"/>
    <w:rsid w:val="00AA52B9"/>
    <w:rsid w:val="00AA5473"/>
    <w:rsid w:val="00AC6019"/>
    <w:rsid w:val="00AE03EF"/>
    <w:rsid w:val="00AE405D"/>
    <w:rsid w:val="00AE7CF6"/>
    <w:rsid w:val="00AF7572"/>
    <w:rsid w:val="00B23839"/>
    <w:rsid w:val="00B3362F"/>
    <w:rsid w:val="00B60193"/>
    <w:rsid w:val="00B71F1A"/>
    <w:rsid w:val="00B873AD"/>
    <w:rsid w:val="00B93232"/>
    <w:rsid w:val="00B9474C"/>
    <w:rsid w:val="00B94D35"/>
    <w:rsid w:val="00BF33B1"/>
    <w:rsid w:val="00BF57C2"/>
    <w:rsid w:val="00BF7119"/>
    <w:rsid w:val="00C02B1D"/>
    <w:rsid w:val="00C100A1"/>
    <w:rsid w:val="00C11611"/>
    <w:rsid w:val="00C20295"/>
    <w:rsid w:val="00C22562"/>
    <w:rsid w:val="00C363E6"/>
    <w:rsid w:val="00C50AB5"/>
    <w:rsid w:val="00C87974"/>
    <w:rsid w:val="00CA59B6"/>
    <w:rsid w:val="00CC095F"/>
    <w:rsid w:val="00CC1152"/>
    <w:rsid w:val="00CC1E20"/>
    <w:rsid w:val="00CC7A0B"/>
    <w:rsid w:val="00CD4904"/>
    <w:rsid w:val="00CF07C7"/>
    <w:rsid w:val="00D10B57"/>
    <w:rsid w:val="00D233D7"/>
    <w:rsid w:val="00D43DF6"/>
    <w:rsid w:val="00D77565"/>
    <w:rsid w:val="00D84710"/>
    <w:rsid w:val="00D86B45"/>
    <w:rsid w:val="00D96D3B"/>
    <w:rsid w:val="00D96E80"/>
    <w:rsid w:val="00DA5C48"/>
    <w:rsid w:val="00DC107F"/>
    <w:rsid w:val="00DE4E6F"/>
    <w:rsid w:val="00DE6CCE"/>
    <w:rsid w:val="00E02332"/>
    <w:rsid w:val="00E2583F"/>
    <w:rsid w:val="00E40937"/>
    <w:rsid w:val="00E44496"/>
    <w:rsid w:val="00E8505A"/>
    <w:rsid w:val="00EA62CA"/>
    <w:rsid w:val="00EB66EF"/>
    <w:rsid w:val="00EC7E57"/>
    <w:rsid w:val="00ED5B51"/>
    <w:rsid w:val="00EF431E"/>
    <w:rsid w:val="00F0328D"/>
    <w:rsid w:val="00F40F12"/>
    <w:rsid w:val="00FA3203"/>
    <w:rsid w:val="00FA4A32"/>
    <w:rsid w:val="00FA50E8"/>
    <w:rsid w:val="00FC0F82"/>
    <w:rsid w:val="00FE1564"/>
    <w:rsid w:val="00FF6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137C"/>
  <w15:chartTrackingRefBased/>
  <w15:docId w15:val="{927E84B1-AEAF-451B-9DFD-A444EAB95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772D74"/>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semiHidden/>
    <w:unhideWhenUsed/>
    <w:qFormat/>
    <w:rsid w:val="00772D74"/>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3203"/>
    <w:rPr>
      <w:color w:val="0563C1" w:themeColor="hyperlink"/>
      <w:u w:val="single"/>
    </w:rPr>
  </w:style>
  <w:style w:type="character" w:styleId="UnresolvedMention">
    <w:name w:val="Unresolved Mention"/>
    <w:basedOn w:val="DefaultParagraphFont"/>
    <w:uiPriority w:val="99"/>
    <w:semiHidden/>
    <w:unhideWhenUsed/>
    <w:rsid w:val="00FA3203"/>
    <w:rPr>
      <w:color w:val="605E5C"/>
      <w:shd w:val="clear" w:color="auto" w:fill="E1DFDD"/>
    </w:rPr>
  </w:style>
  <w:style w:type="character" w:styleId="FollowedHyperlink">
    <w:name w:val="FollowedHyperlink"/>
    <w:basedOn w:val="DefaultParagraphFont"/>
    <w:uiPriority w:val="99"/>
    <w:semiHidden/>
    <w:unhideWhenUsed/>
    <w:rsid w:val="007544A1"/>
    <w:rPr>
      <w:color w:val="954F72" w:themeColor="followedHyperlink"/>
      <w:u w:val="single"/>
    </w:rPr>
  </w:style>
  <w:style w:type="character" w:customStyle="1" w:styleId="Heading2Char">
    <w:name w:val="Heading 2 Char"/>
    <w:basedOn w:val="DefaultParagraphFont"/>
    <w:link w:val="Heading2"/>
    <w:semiHidden/>
    <w:rsid w:val="00772D7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semiHidden/>
    <w:rsid w:val="00772D74"/>
    <w:rPr>
      <w:rFonts w:ascii="Times New Roman" w:eastAsia="Times New Roman" w:hAnsi="Times New Roman" w:cs="Times New Roman"/>
      <w:sz w:val="40"/>
      <w:szCs w:val="20"/>
      <w:lang w:eastAsia="en-GB"/>
    </w:rPr>
  </w:style>
  <w:style w:type="paragraph" w:styleId="Header">
    <w:name w:val="header"/>
    <w:basedOn w:val="Normal"/>
    <w:link w:val="HeaderChar"/>
    <w:semiHidden/>
    <w:unhideWhenUsed/>
    <w:rsid w:val="00772D74"/>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semiHidden/>
    <w:rsid w:val="00772D74"/>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75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localschool.wales.gov.uk/School/6704069?lan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styn.gov.wales/sites/default/files/documents/Bishopston%20Comprehensive%20School.pdf" TargetMode="External"/><Relationship Id="rId12" Type="http://schemas.openxmlformats.org/officeDocument/2006/relationships/hyperlink" Target="https://beta.gov.wales/national-school-categorisation-system-support-categori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1.png@01D0EA4A.2BD679A0" TargetMode="External"/><Relationship Id="rId11" Type="http://schemas.openxmlformats.org/officeDocument/2006/relationships/hyperlink" Target="https://beta.gov.wales/sites/default/files/publications/2018-03/guidance-document-for-schools-local-authorities-and-regional-consortia-national-school-categorisation-system.pdf" TargetMode="External"/><Relationship Id="rId5" Type="http://schemas.openxmlformats.org/officeDocument/2006/relationships/image" Target="media/image1.png"/><Relationship Id="rId10" Type="http://schemas.openxmlformats.org/officeDocument/2006/relationships/hyperlink" Target="http://www.oecd.org/pisa/PISA-2015-United-Kingdom.pdf" TargetMode="External"/><Relationship Id="rId4" Type="http://schemas.openxmlformats.org/officeDocument/2006/relationships/webSettings" Target="webSettings.xml"/><Relationship Id="rId9" Type="http://schemas.openxmlformats.org/officeDocument/2006/relationships/hyperlink" Target="https://nces.ed.gov/pubs2002/2002116.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0092E-9EDA-49FD-BB07-2763A587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10161</TotalTime>
  <Pages>11</Pages>
  <Words>5332</Words>
  <Characters>30395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 No</dc:creator>
  <cp:keywords/>
  <dc:description/>
  <cp:lastModifiedBy>Yes No</cp:lastModifiedBy>
  <cp:revision>54</cp:revision>
  <dcterms:created xsi:type="dcterms:W3CDTF">2019-01-10T15:53:00Z</dcterms:created>
  <dcterms:modified xsi:type="dcterms:W3CDTF">2019-01-28T17:14:00Z</dcterms:modified>
</cp:coreProperties>
</file>