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BC7A15" w14:textId="77777777" w:rsidR="0008435D" w:rsidRDefault="0008435D">
      <w:pPr>
        <w:pStyle w:val="a9"/>
        <w:rPr>
          <w:sz w:val="2"/>
        </w:rPr>
      </w:pPr>
      <w:r w:rsidRPr="00B56636">
        <w:rPr>
          <w:b/>
          <w:bCs/>
          <w:noProof/>
        </w:rPr>
        <mc:AlternateContent>
          <mc:Choice Requires="wps">
            <w:drawing>
              <wp:anchor distT="45720" distB="45720" distL="114300" distR="114300" simplePos="0" relativeHeight="251662336" behindDoc="0" locked="0" layoutInCell="1" allowOverlap="1" wp14:anchorId="07F32F75" wp14:editId="6B8B1B45">
                <wp:simplePos x="0" y="0"/>
                <wp:positionH relativeFrom="margin">
                  <wp:posOffset>-391160</wp:posOffset>
                </wp:positionH>
                <wp:positionV relativeFrom="paragraph">
                  <wp:posOffset>121285</wp:posOffset>
                </wp:positionV>
                <wp:extent cx="3524250" cy="3738245"/>
                <wp:effectExtent l="0" t="0" r="19050" b="1460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3738245"/>
                        </a:xfrm>
                        <a:prstGeom prst="rect">
                          <a:avLst/>
                        </a:prstGeom>
                        <a:solidFill>
                          <a:srgbClr val="FFFFFF"/>
                        </a:solidFill>
                        <a:ln w="9525">
                          <a:solidFill>
                            <a:srgbClr val="000000"/>
                          </a:solidFill>
                          <a:miter lim="800000"/>
                          <a:headEnd/>
                          <a:tailEnd/>
                        </a:ln>
                      </wps:spPr>
                      <wps:txbx>
                        <w:txbxContent>
                          <w:p w14:paraId="12BAA5DB" w14:textId="77777777" w:rsidR="0008435D" w:rsidRPr="0008435D" w:rsidRDefault="0008435D" w:rsidP="0008435D">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1D797D88" w14:textId="77777777" w:rsidR="0008435D" w:rsidRPr="0008435D" w:rsidRDefault="0008435D" w:rsidP="0008435D">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Date subimitted:15 </w:t>
                            </w:r>
                            <w:r w:rsidRPr="0008435D">
                              <w:rPr>
                                <w:rFonts w:hint="eastAsia"/>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April </w:t>
                            </w:r>
                            <w:r w:rsidRPr="0008435D">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2024</w:t>
                            </w:r>
                          </w:p>
                          <w:p w14:paraId="58D17C02" w14:textId="77777777" w:rsidR="0008435D" w:rsidRPr="0008435D" w:rsidRDefault="0008435D" w:rsidP="0008435D">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778F3C01" w14:textId="77777777" w:rsid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Student </w:t>
                            </w: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w:t>
                            </w: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ame：</w:t>
                            </w:r>
                            <w:proofErr w:type="spellStart"/>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jiacheng</w:t>
                            </w:r>
                            <w:proofErr w:type="spellEnd"/>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su</w:t>
                            </w:r>
                          </w:p>
                          <w:p w14:paraId="744EC952"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4CFDE60D"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S</w:t>
                            </w: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tudent Number:2304166</w:t>
                            </w:r>
                          </w:p>
                          <w:p w14:paraId="436F6BF2"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248CF9FC"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Course Code</w:t>
                            </w: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w:t>
                            </w: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BMBM6012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F32F75" id="_x0000_t202" coordsize="21600,21600" o:spt="202" path="m,l,21600r21600,l21600,xe">
                <v:stroke joinstyle="miter"/>
                <v:path gradientshapeok="t" o:connecttype="rect"/>
              </v:shapetype>
              <v:shape id="文本框 2" o:spid="_x0000_s1026" type="#_x0000_t202" style="position:absolute;margin-left:-30.8pt;margin-top:9.55pt;width:277.5pt;height:294.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">
                <v:textbox>
                  <w:txbxContent>
                    <w:p w14:paraId="12BAA5DB" w14:textId="77777777" w:rsidR="0008435D" w:rsidRPr="0008435D" w:rsidRDefault="0008435D" w:rsidP="0008435D">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1D797D88" w14:textId="77777777" w:rsidR="0008435D" w:rsidRPr="0008435D" w:rsidRDefault="0008435D" w:rsidP="0008435D">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Date subimitted:15 </w:t>
                      </w:r>
                      <w:r w:rsidRPr="0008435D">
                        <w:rPr>
                          <w:rFonts w:hint="eastAsia"/>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April </w:t>
                      </w:r>
                      <w:r w:rsidRPr="0008435D">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2024</w:t>
                      </w:r>
                    </w:p>
                    <w:p w14:paraId="58D17C02" w14:textId="77777777" w:rsidR="0008435D" w:rsidRPr="0008435D" w:rsidRDefault="0008435D" w:rsidP="0008435D">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778F3C01" w14:textId="77777777" w:rsid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Student </w:t>
                      </w: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w:t>
                      </w: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ame：</w:t>
                      </w:r>
                      <w:proofErr w:type="spellStart"/>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jiacheng</w:t>
                      </w:r>
                      <w:proofErr w:type="spellEnd"/>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su</w:t>
                      </w:r>
                    </w:p>
                    <w:p w14:paraId="744EC952"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4CFDE60D"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S</w:t>
                      </w: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tudent Number:2304166</w:t>
                      </w:r>
                    </w:p>
                    <w:p w14:paraId="436F6BF2"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248CF9FC" w14:textId="77777777" w:rsidR="0008435D" w:rsidRPr="0008435D" w:rsidRDefault="0008435D" w:rsidP="0008435D">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Course Code</w:t>
                      </w:r>
                      <w:r w:rsidRPr="0008435D">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w:t>
                      </w:r>
                      <w:r w:rsidRPr="0008435D">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BMBM6012</w:t>
                      </w:r>
                    </w:p>
                  </w:txbxContent>
                </v:textbox>
                <w10:wrap type="square" anchorx="margin"/>
              </v:shape>
            </w:pict>
          </mc:Fallback>
        </mc:AlternateContent>
      </w:r>
    </w:p>
    <w:sdt>
      <w:sdtPr>
        <w:rPr>
          <w:kern w:val="2"/>
          <w:sz w:val="2"/>
        </w:rPr>
        <w:id w:val="97461609"/>
        <w:docPartObj>
          <w:docPartGallery w:val="Cover Pages"/>
          <w:docPartUnique/>
        </w:docPartObj>
      </w:sdtPr>
      <w:sdtEndPr>
        <w:rPr>
          <w:color w:val="4472C4" w:themeColor="accent1"/>
          <w:sz w:val="36"/>
          <w:szCs w:val="36"/>
        </w:rPr>
      </w:sdtEndPr>
      <w:sdtContent>
        <w:p w14:paraId="2654DBEB" w14:textId="1D39C161" w:rsidR="0008435D" w:rsidRDefault="0008435D">
          <w:pPr>
            <w:pStyle w:val="a9"/>
            <w:rPr>
              <w:sz w:val="2"/>
            </w:rPr>
          </w:pPr>
        </w:p>
        <w:p w14:paraId="20857C66" w14:textId="2178C34A" w:rsidR="0008435D" w:rsidRDefault="0008435D">
          <w:r>
            <w:rPr>
              <w:noProof/>
              <w:color w:val="4472C4" w:themeColor="accent1"/>
              <w:sz w:val="36"/>
              <w:szCs w:val="36"/>
            </w:rPr>
            <mc:AlternateContent>
              <mc:Choice Requires="wpg">
                <w:drawing>
                  <wp:anchor distT="0" distB="0" distL="114300" distR="114300" simplePos="0" relativeHeight="251660288" behindDoc="1" locked="0" layoutInCell="1" allowOverlap="1" wp14:anchorId="49F7CBBB" wp14:editId="424FB26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任意多边形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任意多边形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任意多边形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任意多边形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任意多边形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6E182A" id="组 2" o:spid="_x0000_s1026" style="position:absolute;left:0;text-align:left;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">
                    <o:lock v:ext="edit" aspectratio="t"/>
                    <v:shape id="任意多边形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任意多边形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任意多边形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任意多边形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任意多边形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BB8D6DC" w14:textId="49DB5A2B" w:rsidR="0008435D" w:rsidRDefault="00A6073D">
          <w:pPr>
            <w:widowControl/>
            <w:spacing w:line="240" w:lineRule="auto"/>
            <w:jc w:val="left"/>
            <w:rPr>
              <w:color w:val="4472C4" w:themeColor="accent1"/>
              <w:kern w:val="0"/>
              <w:sz w:val="36"/>
              <w:szCs w:val="36"/>
            </w:rPr>
          </w:pPr>
          <w:r w:rsidRPr="00A6073D">
            <w:rPr>
              <w:noProof/>
              <w:color w:val="4472C4" w:themeColor="accent1"/>
              <w:sz w:val="36"/>
              <w:szCs w:val="36"/>
            </w:rPr>
            <mc:AlternateContent>
              <mc:Choice Requires="wps">
                <w:drawing>
                  <wp:anchor distT="45720" distB="45720" distL="114300" distR="114300" simplePos="0" relativeHeight="251664384" behindDoc="0" locked="0" layoutInCell="1" allowOverlap="1" wp14:anchorId="7F1F0B18" wp14:editId="7761C455">
                    <wp:simplePos x="0" y="0"/>
                    <wp:positionH relativeFrom="column">
                      <wp:posOffset>-419735</wp:posOffset>
                    </wp:positionH>
                    <wp:positionV relativeFrom="paragraph">
                      <wp:posOffset>4106545</wp:posOffset>
                    </wp:positionV>
                    <wp:extent cx="6390640" cy="1960245"/>
                    <wp:effectExtent l="0" t="0" r="10160" b="20955"/>
                    <wp:wrapSquare wrapText="bothSides"/>
                    <wp:docPr id="114226771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0640" cy="1960245"/>
                            </a:xfrm>
                            <a:prstGeom prst="rect">
                              <a:avLst/>
                            </a:prstGeom>
                            <a:solidFill>
                              <a:srgbClr val="FFFFFF"/>
                            </a:solidFill>
                            <a:ln w="9525">
                              <a:solidFill>
                                <a:srgbClr val="000000"/>
                              </a:solidFill>
                              <a:miter lim="800000"/>
                              <a:headEnd/>
                              <a:tailEnd/>
                            </a:ln>
                          </wps:spPr>
                          <wps:txbx>
                            <w:txbxContent>
                              <w:p w14:paraId="12F80066" w14:textId="7CB5F5CC" w:rsidR="008E1142" w:rsidRPr="008E1142" w:rsidRDefault="008E1142" w:rsidP="008E1142">
                                <w:pPr>
                                  <w:pStyle w:val="1"/>
                                  <w:shd w:val="clear" w:color="auto" w:fill="FFFFFF"/>
                                  <w:spacing w:before="0" w:beforeAutospacing="0"/>
                                  <w:rPr>
                                    <w:rFonts w:ascii="Segoe UI" w:hAnsi="Segoe UI" w:cs="Segoe UI" w:hint="eastAsia"/>
                                    <w:color w:val="1D2125"/>
                                  </w:rPr>
                                </w:pPr>
                                <w:r>
                                  <w:rPr>
                                    <w:rFonts w:ascii="Segoe UI" w:hAnsi="Segoe UI" w:cs="Segoe UI"/>
                                    <w:color w:val="1D2125"/>
                                  </w:rPr>
                                  <w:t>Presentation </w:t>
                                </w:r>
                              </w:p>
                              <w:p w14:paraId="55C58E0D" w14:textId="7AD1DDF4" w:rsidR="00A6073D" w:rsidRDefault="008E1142">
                                <w:pPr>
                                  <w:rPr>
                                    <w:rFonts w:hint="eastAsia"/>
                                  </w:rPr>
                                </w:pPr>
                                <w:hyperlink r:id="rId8" w:history="1">
                                  <w:r w:rsidRPr="00AD311F">
                                    <w:rPr>
                                      <w:rStyle w:val="a8"/>
                                      <w:rFonts w:ascii="Roboto" w:hAnsi="Roboto"/>
                                      <w:sz w:val="23"/>
                                      <w:szCs w:val="23"/>
                                      <w:shd w:val="clear" w:color="auto" w:fill="F9F9F9"/>
                                    </w:rPr>
                                    <w:t>https://youtu.be/lqiT</w:t>
                                  </w:r>
                                  <w:r w:rsidRPr="00AD311F">
                                    <w:rPr>
                                      <w:rStyle w:val="a8"/>
                                      <w:rFonts w:ascii="Roboto" w:hAnsi="Roboto"/>
                                      <w:sz w:val="23"/>
                                      <w:szCs w:val="23"/>
                                      <w:shd w:val="clear" w:color="auto" w:fill="F9F9F9"/>
                                    </w:rPr>
                                    <w:t>E</w:t>
                                  </w:r>
                                  <w:r w:rsidRPr="00AD311F">
                                    <w:rPr>
                                      <w:rStyle w:val="a8"/>
                                      <w:rFonts w:ascii="Roboto" w:hAnsi="Roboto"/>
                                      <w:sz w:val="23"/>
                                      <w:szCs w:val="23"/>
                                      <w:shd w:val="clear" w:color="auto" w:fill="F9F9F9"/>
                                    </w:rPr>
                                    <w:t>2fjMdk</w:t>
                                  </w:r>
                                </w:hyperlink>
                                <w:r>
                                  <w:rPr>
                                    <w:rFonts w:hint="eastAsi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F0B18" id="_x0000_s1027" type="#_x0000_t202" style="position:absolute;margin-left:-33.05pt;margin-top:323.35pt;width:503.2pt;height:154.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">
                    <v:textbox>
                      <w:txbxContent>
                        <w:p w14:paraId="12F80066" w14:textId="7CB5F5CC" w:rsidR="008E1142" w:rsidRPr="008E1142" w:rsidRDefault="008E1142" w:rsidP="008E1142">
                          <w:pPr>
                            <w:pStyle w:val="1"/>
                            <w:shd w:val="clear" w:color="auto" w:fill="FFFFFF"/>
                            <w:spacing w:before="0" w:beforeAutospacing="0"/>
                            <w:rPr>
                              <w:rFonts w:ascii="Segoe UI" w:hAnsi="Segoe UI" w:cs="Segoe UI" w:hint="eastAsia"/>
                              <w:color w:val="1D2125"/>
                            </w:rPr>
                          </w:pPr>
                          <w:r>
                            <w:rPr>
                              <w:rFonts w:ascii="Segoe UI" w:hAnsi="Segoe UI" w:cs="Segoe UI"/>
                              <w:color w:val="1D2125"/>
                            </w:rPr>
                            <w:t>Presentation </w:t>
                          </w:r>
                        </w:p>
                        <w:p w14:paraId="55C58E0D" w14:textId="7AD1DDF4" w:rsidR="00A6073D" w:rsidRDefault="008E1142">
                          <w:pPr>
                            <w:rPr>
                              <w:rFonts w:hint="eastAsia"/>
                            </w:rPr>
                          </w:pPr>
                          <w:hyperlink r:id="rId9" w:history="1">
                            <w:r w:rsidRPr="00AD311F">
                              <w:rPr>
                                <w:rStyle w:val="a8"/>
                                <w:rFonts w:ascii="Roboto" w:hAnsi="Roboto"/>
                                <w:sz w:val="23"/>
                                <w:szCs w:val="23"/>
                                <w:shd w:val="clear" w:color="auto" w:fill="F9F9F9"/>
                              </w:rPr>
                              <w:t>https://youtu.be/lqiT</w:t>
                            </w:r>
                            <w:r w:rsidRPr="00AD311F">
                              <w:rPr>
                                <w:rStyle w:val="a8"/>
                                <w:rFonts w:ascii="Roboto" w:hAnsi="Roboto"/>
                                <w:sz w:val="23"/>
                                <w:szCs w:val="23"/>
                                <w:shd w:val="clear" w:color="auto" w:fill="F9F9F9"/>
                              </w:rPr>
                              <w:t>E</w:t>
                            </w:r>
                            <w:r w:rsidRPr="00AD311F">
                              <w:rPr>
                                <w:rStyle w:val="a8"/>
                                <w:rFonts w:ascii="Roboto" w:hAnsi="Roboto"/>
                                <w:sz w:val="23"/>
                                <w:szCs w:val="23"/>
                                <w:shd w:val="clear" w:color="auto" w:fill="F9F9F9"/>
                              </w:rPr>
                              <w:t>2fjMdk</w:t>
                            </w:r>
                          </w:hyperlink>
                          <w:r>
                            <w:rPr>
                              <w:rFonts w:hint="eastAsia"/>
                            </w:rPr>
                            <w:t xml:space="preserve"> </w:t>
                          </w:r>
                        </w:p>
                      </w:txbxContent>
                    </v:textbox>
                    <w10:wrap type="square"/>
                  </v:shape>
                </w:pict>
              </mc:Fallback>
            </mc:AlternateContent>
          </w:r>
          <w:r w:rsidR="0008435D">
            <w:rPr>
              <w:color w:val="4472C4" w:themeColor="accent1"/>
              <w:sz w:val="36"/>
              <w:szCs w:val="36"/>
            </w:rPr>
            <w:br w:type="page"/>
          </w:r>
        </w:p>
      </w:sdtContent>
    </w:sdt>
    <w:sdt>
      <w:sdtPr>
        <w:rPr>
          <w:rFonts w:asciiTheme="minorHAnsi" w:eastAsiaTheme="minorEastAsia" w:hAnsiTheme="minorHAnsi" w:cstheme="minorBidi"/>
          <w:color w:val="auto"/>
          <w:kern w:val="2"/>
          <w:sz w:val="21"/>
          <w:szCs w:val="22"/>
          <w:lang w:val="zh-CN"/>
        </w:rPr>
        <w:id w:val="-1366283995"/>
        <w:docPartObj>
          <w:docPartGallery w:val="Table of Contents"/>
          <w:docPartUnique/>
        </w:docPartObj>
      </w:sdtPr>
      <w:sdtEndPr>
        <w:rPr>
          <w:rFonts w:ascii="Times New Roman" w:hAnsi="Times New Roman" w:cs="Times New Roman"/>
          <w:b/>
          <w:bCs/>
          <w:sz w:val="28"/>
          <w:szCs w:val="28"/>
        </w:rPr>
      </w:sdtEndPr>
      <w:sdtContent>
        <w:p w14:paraId="21A45BBA" w14:textId="0E0FB5A9" w:rsidR="0062471E" w:rsidRPr="0008435D" w:rsidRDefault="0062471E">
          <w:pPr>
            <w:pStyle w:val="TOC"/>
            <w:rPr>
              <w:rFonts w:ascii="Times New Roman" w:hAnsi="Times New Roman" w:cs="Times New Roman"/>
              <w:sz w:val="28"/>
              <w:szCs w:val="28"/>
            </w:rPr>
          </w:pPr>
          <w:r w:rsidRPr="0008435D">
            <w:rPr>
              <w:rFonts w:ascii="Times New Roman" w:hAnsi="Times New Roman" w:cs="Times New Roman"/>
              <w:sz w:val="28"/>
              <w:szCs w:val="28"/>
              <w:lang w:val="zh-CN"/>
            </w:rPr>
            <w:t>Contents</w:t>
          </w:r>
        </w:p>
        <w:p w14:paraId="029222F9" w14:textId="0F4AFF1B" w:rsidR="0062471E" w:rsidRPr="0008435D" w:rsidRDefault="0062471E">
          <w:pPr>
            <w:pStyle w:val="TOC1"/>
            <w:tabs>
              <w:tab w:val="right" w:leader="dot" w:pos="8296"/>
            </w:tabs>
            <w:rPr>
              <w:rFonts w:ascii="Times New Roman" w:hAnsi="Times New Roman" w:cs="Times New Roman"/>
              <w:noProof/>
              <w:sz w:val="28"/>
              <w:szCs w:val="28"/>
              <w14:ligatures w14:val="standardContextual"/>
            </w:rPr>
          </w:pPr>
          <w:r w:rsidRPr="0008435D">
            <w:rPr>
              <w:rFonts w:ascii="Times New Roman" w:hAnsi="Times New Roman" w:cs="Times New Roman"/>
              <w:sz w:val="28"/>
              <w:szCs w:val="28"/>
            </w:rPr>
            <w:fldChar w:fldCharType="begin"/>
          </w:r>
          <w:r w:rsidRPr="0008435D">
            <w:rPr>
              <w:rFonts w:ascii="Times New Roman" w:hAnsi="Times New Roman" w:cs="Times New Roman"/>
              <w:sz w:val="28"/>
              <w:szCs w:val="28"/>
            </w:rPr>
            <w:instrText xml:space="preserve"> TOC \o "1-3" \h \z \u </w:instrText>
          </w:r>
          <w:r w:rsidRPr="0008435D">
            <w:rPr>
              <w:rFonts w:ascii="Times New Roman" w:hAnsi="Times New Roman" w:cs="Times New Roman"/>
              <w:sz w:val="28"/>
              <w:szCs w:val="28"/>
            </w:rPr>
            <w:fldChar w:fldCharType="separate"/>
          </w:r>
          <w:hyperlink w:anchor="_Toc164079621" w:history="1">
            <w:r w:rsidRPr="0008435D">
              <w:rPr>
                <w:rStyle w:val="a8"/>
                <w:rFonts w:ascii="Times New Roman" w:hAnsi="Times New Roman" w:cs="Times New Roman"/>
                <w:noProof/>
                <w:sz w:val="28"/>
                <w:szCs w:val="28"/>
              </w:rPr>
              <w:t>Introducing Two of China's Most Famous Internet Companies</w:t>
            </w:r>
            <w:r w:rsidRPr="0008435D">
              <w:rPr>
                <w:rFonts w:ascii="Times New Roman" w:hAnsi="Times New Roman" w:cs="Times New Roman"/>
                <w:noProof/>
                <w:webHidden/>
                <w:sz w:val="28"/>
                <w:szCs w:val="28"/>
              </w:rPr>
              <w:tab/>
            </w:r>
            <w:r w:rsidRPr="0008435D">
              <w:rPr>
                <w:rFonts w:ascii="Times New Roman" w:hAnsi="Times New Roman" w:cs="Times New Roman"/>
                <w:noProof/>
                <w:webHidden/>
                <w:sz w:val="28"/>
                <w:szCs w:val="28"/>
              </w:rPr>
              <w:fldChar w:fldCharType="begin"/>
            </w:r>
            <w:r w:rsidRPr="0008435D">
              <w:rPr>
                <w:rFonts w:ascii="Times New Roman" w:hAnsi="Times New Roman" w:cs="Times New Roman"/>
                <w:noProof/>
                <w:webHidden/>
                <w:sz w:val="28"/>
                <w:szCs w:val="28"/>
              </w:rPr>
              <w:instrText xml:space="preserve"> PAGEREF _Toc164079621 \h </w:instrText>
            </w:r>
            <w:r w:rsidRPr="0008435D">
              <w:rPr>
                <w:rFonts w:ascii="Times New Roman" w:hAnsi="Times New Roman" w:cs="Times New Roman"/>
                <w:noProof/>
                <w:webHidden/>
                <w:sz w:val="28"/>
                <w:szCs w:val="28"/>
              </w:rPr>
            </w:r>
            <w:r w:rsidRPr="0008435D">
              <w:rPr>
                <w:rFonts w:ascii="Times New Roman" w:hAnsi="Times New Roman" w:cs="Times New Roman"/>
                <w:noProof/>
                <w:webHidden/>
                <w:sz w:val="28"/>
                <w:szCs w:val="28"/>
              </w:rPr>
              <w:fldChar w:fldCharType="separate"/>
            </w:r>
            <w:r w:rsidRPr="0008435D">
              <w:rPr>
                <w:rFonts w:ascii="Times New Roman" w:hAnsi="Times New Roman" w:cs="Times New Roman"/>
                <w:noProof/>
                <w:webHidden/>
                <w:sz w:val="28"/>
                <w:szCs w:val="28"/>
              </w:rPr>
              <w:t>2</w:t>
            </w:r>
            <w:r w:rsidRPr="0008435D">
              <w:rPr>
                <w:rFonts w:ascii="Times New Roman" w:hAnsi="Times New Roman" w:cs="Times New Roman"/>
                <w:noProof/>
                <w:webHidden/>
                <w:sz w:val="28"/>
                <w:szCs w:val="28"/>
              </w:rPr>
              <w:fldChar w:fldCharType="end"/>
            </w:r>
          </w:hyperlink>
        </w:p>
        <w:p w14:paraId="3B5458C3" w14:textId="12D23EF5" w:rsidR="0062471E" w:rsidRPr="0008435D" w:rsidRDefault="00000000">
          <w:pPr>
            <w:pStyle w:val="TOC1"/>
            <w:tabs>
              <w:tab w:val="right" w:leader="dot" w:pos="8296"/>
            </w:tabs>
            <w:rPr>
              <w:rFonts w:ascii="Times New Roman" w:hAnsi="Times New Roman" w:cs="Times New Roman"/>
              <w:noProof/>
              <w:sz w:val="28"/>
              <w:szCs w:val="28"/>
              <w14:ligatures w14:val="standardContextual"/>
            </w:rPr>
          </w:pPr>
          <w:hyperlink w:anchor="_Toc164079622" w:history="1">
            <w:r w:rsidR="0062471E" w:rsidRPr="0008435D">
              <w:rPr>
                <w:rStyle w:val="a8"/>
                <w:rFonts w:ascii="Times New Roman" w:hAnsi="Times New Roman" w:cs="Times New Roman"/>
                <w:noProof/>
                <w:sz w:val="28"/>
                <w:szCs w:val="28"/>
              </w:rPr>
              <w:t>Tencent and NetEase, the two giants of China's tech industry, have each adopted different strategies to attract and retain top talent. Strategies and differences they have implemented in the competition for talent</w:t>
            </w:r>
            <w:r w:rsidR="0062471E" w:rsidRPr="0008435D">
              <w:rPr>
                <w:rFonts w:ascii="Times New Roman" w:hAnsi="Times New Roman" w:cs="Times New Roman"/>
                <w:noProof/>
                <w:webHidden/>
                <w:sz w:val="28"/>
                <w:szCs w:val="28"/>
              </w:rPr>
              <w:tab/>
            </w:r>
            <w:r w:rsidR="0062471E" w:rsidRPr="0008435D">
              <w:rPr>
                <w:rFonts w:ascii="Times New Roman" w:hAnsi="Times New Roman" w:cs="Times New Roman"/>
                <w:noProof/>
                <w:webHidden/>
                <w:sz w:val="28"/>
                <w:szCs w:val="28"/>
              </w:rPr>
              <w:fldChar w:fldCharType="begin"/>
            </w:r>
            <w:r w:rsidR="0062471E" w:rsidRPr="0008435D">
              <w:rPr>
                <w:rFonts w:ascii="Times New Roman" w:hAnsi="Times New Roman" w:cs="Times New Roman"/>
                <w:noProof/>
                <w:webHidden/>
                <w:sz w:val="28"/>
                <w:szCs w:val="28"/>
              </w:rPr>
              <w:instrText xml:space="preserve"> PAGEREF _Toc164079622 \h </w:instrText>
            </w:r>
            <w:r w:rsidR="0062471E" w:rsidRPr="0008435D">
              <w:rPr>
                <w:rFonts w:ascii="Times New Roman" w:hAnsi="Times New Roman" w:cs="Times New Roman"/>
                <w:noProof/>
                <w:webHidden/>
                <w:sz w:val="28"/>
                <w:szCs w:val="28"/>
              </w:rPr>
            </w:r>
            <w:r w:rsidR="0062471E" w:rsidRPr="0008435D">
              <w:rPr>
                <w:rFonts w:ascii="Times New Roman" w:hAnsi="Times New Roman" w:cs="Times New Roman"/>
                <w:noProof/>
                <w:webHidden/>
                <w:sz w:val="28"/>
                <w:szCs w:val="28"/>
              </w:rPr>
              <w:fldChar w:fldCharType="separate"/>
            </w:r>
            <w:r w:rsidR="0062471E" w:rsidRPr="0008435D">
              <w:rPr>
                <w:rFonts w:ascii="Times New Roman" w:hAnsi="Times New Roman" w:cs="Times New Roman"/>
                <w:noProof/>
                <w:webHidden/>
                <w:sz w:val="28"/>
                <w:szCs w:val="28"/>
              </w:rPr>
              <w:t>2</w:t>
            </w:r>
            <w:r w:rsidR="0062471E" w:rsidRPr="0008435D">
              <w:rPr>
                <w:rFonts w:ascii="Times New Roman" w:hAnsi="Times New Roman" w:cs="Times New Roman"/>
                <w:noProof/>
                <w:webHidden/>
                <w:sz w:val="28"/>
                <w:szCs w:val="28"/>
              </w:rPr>
              <w:fldChar w:fldCharType="end"/>
            </w:r>
          </w:hyperlink>
        </w:p>
        <w:p w14:paraId="2DDE146C" w14:textId="191B003B" w:rsidR="0062471E" w:rsidRPr="0008435D" w:rsidRDefault="00000000">
          <w:pPr>
            <w:pStyle w:val="TOC1"/>
            <w:tabs>
              <w:tab w:val="right" w:leader="dot" w:pos="8296"/>
            </w:tabs>
            <w:rPr>
              <w:rFonts w:ascii="Times New Roman" w:hAnsi="Times New Roman" w:cs="Times New Roman"/>
              <w:noProof/>
              <w:sz w:val="28"/>
              <w:szCs w:val="28"/>
              <w14:ligatures w14:val="standardContextual"/>
            </w:rPr>
          </w:pPr>
          <w:hyperlink w:anchor="_Toc164079623" w:history="1">
            <w:r w:rsidR="0062471E" w:rsidRPr="0008435D">
              <w:rPr>
                <w:rStyle w:val="a8"/>
                <w:rFonts w:ascii="Times New Roman" w:hAnsi="Times New Roman" w:cs="Times New Roman"/>
                <w:noProof/>
                <w:sz w:val="28"/>
                <w:szCs w:val="28"/>
              </w:rPr>
              <w:t>Some of the key points in brand design between the two companies, and how they attract and implement their recruitment programmes, Tencent's brand design</w:t>
            </w:r>
            <w:r w:rsidR="0062471E" w:rsidRPr="0008435D">
              <w:rPr>
                <w:rFonts w:ascii="Times New Roman" w:hAnsi="Times New Roman" w:cs="Times New Roman"/>
                <w:noProof/>
                <w:webHidden/>
                <w:sz w:val="28"/>
                <w:szCs w:val="28"/>
              </w:rPr>
              <w:tab/>
            </w:r>
            <w:r w:rsidR="0062471E" w:rsidRPr="0008435D">
              <w:rPr>
                <w:rFonts w:ascii="Times New Roman" w:hAnsi="Times New Roman" w:cs="Times New Roman"/>
                <w:noProof/>
                <w:webHidden/>
                <w:sz w:val="28"/>
                <w:szCs w:val="28"/>
              </w:rPr>
              <w:fldChar w:fldCharType="begin"/>
            </w:r>
            <w:r w:rsidR="0062471E" w:rsidRPr="0008435D">
              <w:rPr>
                <w:rFonts w:ascii="Times New Roman" w:hAnsi="Times New Roman" w:cs="Times New Roman"/>
                <w:noProof/>
                <w:webHidden/>
                <w:sz w:val="28"/>
                <w:szCs w:val="28"/>
              </w:rPr>
              <w:instrText xml:space="preserve"> PAGEREF _Toc164079623 \h </w:instrText>
            </w:r>
            <w:r w:rsidR="0062471E" w:rsidRPr="0008435D">
              <w:rPr>
                <w:rFonts w:ascii="Times New Roman" w:hAnsi="Times New Roman" w:cs="Times New Roman"/>
                <w:noProof/>
                <w:webHidden/>
                <w:sz w:val="28"/>
                <w:szCs w:val="28"/>
              </w:rPr>
            </w:r>
            <w:r w:rsidR="0062471E" w:rsidRPr="0008435D">
              <w:rPr>
                <w:rFonts w:ascii="Times New Roman" w:hAnsi="Times New Roman" w:cs="Times New Roman"/>
                <w:noProof/>
                <w:webHidden/>
                <w:sz w:val="28"/>
                <w:szCs w:val="28"/>
              </w:rPr>
              <w:fldChar w:fldCharType="separate"/>
            </w:r>
            <w:r w:rsidR="0062471E" w:rsidRPr="0008435D">
              <w:rPr>
                <w:rFonts w:ascii="Times New Roman" w:hAnsi="Times New Roman" w:cs="Times New Roman"/>
                <w:noProof/>
                <w:webHidden/>
                <w:sz w:val="28"/>
                <w:szCs w:val="28"/>
              </w:rPr>
              <w:t>3</w:t>
            </w:r>
            <w:r w:rsidR="0062471E" w:rsidRPr="0008435D">
              <w:rPr>
                <w:rFonts w:ascii="Times New Roman" w:hAnsi="Times New Roman" w:cs="Times New Roman"/>
                <w:noProof/>
                <w:webHidden/>
                <w:sz w:val="28"/>
                <w:szCs w:val="28"/>
              </w:rPr>
              <w:fldChar w:fldCharType="end"/>
            </w:r>
          </w:hyperlink>
        </w:p>
        <w:p w14:paraId="3BC24D13" w14:textId="5E9C70B0" w:rsidR="0062471E" w:rsidRPr="0008435D" w:rsidRDefault="00000000">
          <w:pPr>
            <w:pStyle w:val="TOC1"/>
            <w:tabs>
              <w:tab w:val="right" w:leader="dot" w:pos="8296"/>
            </w:tabs>
            <w:rPr>
              <w:rFonts w:ascii="Times New Roman" w:hAnsi="Times New Roman" w:cs="Times New Roman"/>
              <w:noProof/>
              <w:sz w:val="28"/>
              <w:szCs w:val="28"/>
              <w14:ligatures w14:val="standardContextual"/>
            </w:rPr>
          </w:pPr>
          <w:hyperlink w:anchor="_Toc164079624" w:history="1">
            <w:r w:rsidR="0062471E" w:rsidRPr="0008435D">
              <w:rPr>
                <w:rStyle w:val="a8"/>
                <w:rFonts w:ascii="Times New Roman" w:hAnsi="Times New Roman" w:cs="Times New Roman"/>
                <w:noProof/>
                <w:sz w:val="28"/>
                <w:szCs w:val="28"/>
              </w:rPr>
              <w:t>How Tencent and NetEase they have taken a variety of measures to increase brand value and enhance the efficiency of people within their organisations</w:t>
            </w:r>
            <w:r w:rsidR="0062471E" w:rsidRPr="0008435D">
              <w:rPr>
                <w:rFonts w:ascii="Times New Roman" w:hAnsi="Times New Roman" w:cs="Times New Roman"/>
                <w:noProof/>
                <w:webHidden/>
                <w:sz w:val="28"/>
                <w:szCs w:val="28"/>
              </w:rPr>
              <w:tab/>
            </w:r>
            <w:r w:rsidR="0062471E" w:rsidRPr="0008435D">
              <w:rPr>
                <w:rFonts w:ascii="Times New Roman" w:hAnsi="Times New Roman" w:cs="Times New Roman"/>
                <w:noProof/>
                <w:webHidden/>
                <w:sz w:val="28"/>
                <w:szCs w:val="28"/>
              </w:rPr>
              <w:fldChar w:fldCharType="begin"/>
            </w:r>
            <w:r w:rsidR="0062471E" w:rsidRPr="0008435D">
              <w:rPr>
                <w:rFonts w:ascii="Times New Roman" w:hAnsi="Times New Roman" w:cs="Times New Roman"/>
                <w:noProof/>
                <w:webHidden/>
                <w:sz w:val="28"/>
                <w:szCs w:val="28"/>
              </w:rPr>
              <w:instrText xml:space="preserve"> PAGEREF _Toc164079624 \h </w:instrText>
            </w:r>
            <w:r w:rsidR="0062471E" w:rsidRPr="0008435D">
              <w:rPr>
                <w:rFonts w:ascii="Times New Roman" w:hAnsi="Times New Roman" w:cs="Times New Roman"/>
                <w:noProof/>
                <w:webHidden/>
                <w:sz w:val="28"/>
                <w:szCs w:val="28"/>
              </w:rPr>
            </w:r>
            <w:r w:rsidR="0062471E" w:rsidRPr="0008435D">
              <w:rPr>
                <w:rFonts w:ascii="Times New Roman" w:hAnsi="Times New Roman" w:cs="Times New Roman"/>
                <w:noProof/>
                <w:webHidden/>
                <w:sz w:val="28"/>
                <w:szCs w:val="28"/>
              </w:rPr>
              <w:fldChar w:fldCharType="separate"/>
            </w:r>
            <w:r w:rsidR="0062471E" w:rsidRPr="0008435D">
              <w:rPr>
                <w:rFonts w:ascii="Times New Roman" w:hAnsi="Times New Roman" w:cs="Times New Roman"/>
                <w:noProof/>
                <w:webHidden/>
                <w:sz w:val="28"/>
                <w:szCs w:val="28"/>
              </w:rPr>
              <w:t>4</w:t>
            </w:r>
            <w:r w:rsidR="0062471E" w:rsidRPr="0008435D">
              <w:rPr>
                <w:rFonts w:ascii="Times New Roman" w:hAnsi="Times New Roman" w:cs="Times New Roman"/>
                <w:noProof/>
                <w:webHidden/>
                <w:sz w:val="28"/>
                <w:szCs w:val="28"/>
              </w:rPr>
              <w:fldChar w:fldCharType="end"/>
            </w:r>
          </w:hyperlink>
        </w:p>
        <w:p w14:paraId="2813A393" w14:textId="03EB9561" w:rsidR="0062471E" w:rsidRPr="0008435D" w:rsidRDefault="00000000">
          <w:pPr>
            <w:pStyle w:val="TOC1"/>
            <w:tabs>
              <w:tab w:val="right" w:leader="dot" w:pos="8296"/>
            </w:tabs>
            <w:rPr>
              <w:rFonts w:ascii="Times New Roman" w:hAnsi="Times New Roman" w:cs="Times New Roman"/>
              <w:noProof/>
              <w:sz w:val="28"/>
              <w:szCs w:val="28"/>
              <w14:ligatures w14:val="standardContextual"/>
            </w:rPr>
          </w:pPr>
          <w:hyperlink w:anchor="_Toc164079625" w:history="1">
            <w:r w:rsidR="0062471E" w:rsidRPr="0008435D">
              <w:rPr>
                <w:rStyle w:val="a8"/>
                <w:rFonts w:ascii="Times New Roman" w:hAnsi="Times New Roman" w:cs="Times New Roman"/>
                <w:noProof/>
                <w:sz w:val="28"/>
                <w:szCs w:val="28"/>
              </w:rPr>
              <w:t>Key Assessment and Monitoring Methods</w:t>
            </w:r>
            <w:r w:rsidR="0062471E" w:rsidRPr="0008435D">
              <w:rPr>
                <w:rFonts w:ascii="Times New Roman" w:hAnsi="Times New Roman" w:cs="Times New Roman"/>
                <w:noProof/>
                <w:webHidden/>
                <w:sz w:val="28"/>
                <w:szCs w:val="28"/>
              </w:rPr>
              <w:tab/>
            </w:r>
            <w:r w:rsidR="0062471E" w:rsidRPr="0008435D">
              <w:rPr>
                <w:rFonts w:ascii="Times New Roman" w:hAnsi="Times New Roman" w:cs="Times New Roman"/>
                <w:noProof/>
                <w:webHidden/>
                <w:sz w:val="28"/>
                <w:szCs w:val="28"/>
              </w:rPr>
              <w:fldChar w:fldCharType="begin"/>
            </w:r>
            <w:r w:rsidR="0062471E" w:rsidRPr="0008435D">
              <w:rPr>
                <w:rFonts w:ascii="Times New Roman" w:hAnsi="Times New Roman" w:cs="Times New Roman"/>
                <w:noProof/>
                <w:webHidden/>
                <w:sz w:val="28"/>
                <w:szCs w:val="28"/>
              </w:rPr>
              <w:instrText xml:space="preserve"> PAGEREF _Toc164079625 \h </w:instrText>
            </w:r>
            <w:r w:rsidR="0062471E" w:rsidRPr="0008435D">
              <w:rPr>
                <w:rFonts w:ascii="Times New Roman" w:hAnsi="Times New Roman" w:cs="Times New Roman"/>
                <w:noProof/>
                <w:webHidden/>
                <w:sz w:val="28"/>
                <w:szCs w:val="28"/>
              </w:rPr>
            </w:r>
            <w:r w:rsidR="0062471E" w:rsidRPr="0008435D">
              <w:rPr>
                <w:rFonts w:ascii="Times New Roman" w:hAnsi="Times New Roman" w:cs="Times New Roman"/>
                <w:noProof/>
                <w:webHidden/>
                <w:sz w:val="28"/>
                <w:szCs w:val="28"/>
              </w:rPr>
              <w:fldChar w:fldCharType="separate"/>
            </w:r>
            <w:r w:rsidR="0062471E" w:rsidRPr="0008435D">
              <w:rPr>
                <w:rFonts w:ascii="Times New Roman" w:hAnsi="Times New Roman" w:cs="Times New Roman"/>
                <w:noProof/>
                <w:webHidden/>
                <w:sz w:val="28"/>
                <w:szCs w:val="28"/>
              </w:rPr>
              <w:t>5</w:t>
            </w:r>
            <w:r w:rsidR="0062471E" w:rsidRPr="0008435D">
              <w:rPr>
                <w:rFonts w:ascii="Times New Roman" w:hAnsi="Times New Roman" w:cs="Times New Roman"/>
                <w:noProof/>
                <w:webHidden/>
                <w:sz w:val="28"/>
                <w:szCs w:val="28"/>
              </w:rPr>
              <w:fldChar w:fldCharType="end"/>
            </w:r>
          </w:hyperlink>
        </w:p>
        <w:p w14:paraId="147717CB" w14:textId="5D2928D6" w:rsidR="0062471E" w:rsidRPr="0008435D" w:rsidRDefault="00000000">
          <w:pPr>
            <w:pStyle w:val="TOC1"/>
            <w:tabs>
              <w:tab w:val="right" w:leader="dot" w:pos="8296"/>
            </w:tabs>
            <w:rPr>
              <w:rFonts w:ascii="Times New Roman" w:hAnsi="Times New Roman" w:cs="Times New Roman"/>
              <w:noProof/>
              <w:sz w:val="28"/>
              <w:szCs w:val="28"/>
              <w14:ligatures w14:val="standardContextual"/>
            </w:rPr>
          </w:pPr>
          <w:hyperlink w:anchor="_Toc164079626" w:history="1">
            <w:r w:rsidR="0062471E" w:rsidRPr="0008435D">
              <w:rPr>
                <w:rStyle w:val="a8"/>
                <w:rFonts w:ascii="Times New Roman" w:hAnsi="Times New Roman" w:cs="Times New Roman"/>
                <w:noProof/>
                <w:sz w:val="28"/>
                <w:szCs w:val="28"/>
              </w:rPr>
              <w:t>References</w:t>
            </w:r>
            <w:r w:rsidR="0062471E" w:rsidRPr="0008435D">
              <w:rPr>
                <w:rFonts w:ascii="Times New Roman" w:hAnsi="Times New Roman" w:cs="Times New Roman"/>
                <w:noProof/>
                <w:webHidden/>
                <w:sz w:val="28"/>
                <w:szCs w:val="28"/>
              </w:rPr>
              <w:tab/>
            </w:r>
            <w:r w:rsidR="0062471E" w:rsidRPr="0008435D">
              <w:rPr>
                <w:rFonts w:ascii="Times New Roman" w:hAnsi="Times New Roman" w:cs="Times New Roman"/>
                <w:noProof/>
                <w:webHidden/>
                <w:sz w:val="28"/>
                <w:szCs w:val="28"/>
              </w:rPr>
              <w:fldChar w:fldCharType="begin"/>
            </w:r>
            <w:r w:rsidR="0062471E" w:rsidRPr="0008435D">
              <w:rPr>
                <w:rFonts w:ascii="Times New Roman" w:hAnsi="Times New Roman" w:cs="Times New Roman"/>
                <w:noProof/>
                <w:webHidden/>
                <w:sz w:val="28"/>
                <w:szCs w:val="28"/>
              </w:rPr>
              <w:instrText xml:space="preserve"> PAGEREF _Toc164079626 \h </w:instrText>
            </w:r>
            <w:r w:rsidR="0062471E" w:rsidRPr="0008435D">
              <w:rPr>
                <w:rFonts w:ascii="Times New Roman" w:hAnsi="Times New Roman" w:cs="Times New Roman"/>
                <w:noProof/>
                <w:webHidden/>
                <w:sz w:val="28"/>
                <w:szCs w:val="28"/>
              </w:rPr>
            </w:r>
            <w:r w:rsidR="0062471E" w:rsidRPr="0008435D">
              <w:rPr>
                <w:rFonts w:ascii="Times New Roman" w:hAnsi="Times New Roman" w:cs="Times New Roman"/>
                <w:noProof/>
                <w:webHidden/>
                <w:sz w:val="28"/>
                <w:szCs w:val="28"/>
              </w:rPr>
              <w:fldChar w:fldCharType="separate"/>
            </w:r>
            <w:r w:rsidR="0062471E" w:rsidRPr="0008435D">
              <w:rPr>
                <w:rFonts w:ascii="Times New Roman" w:hAnsi="Times New Roman" w:cs="Times New Roman"/>
                <w:noProof/>
                <w:webHidden/>
                <w:sz w:val="28"/>
                <w:szCs w:val="28"/>
              </w:rPr>
              <w:t>6</w:t>
            </w:r>
            <w:r w:rsidR="0062471E" w:rsidRPr="0008435D">
              <w:rPr>
                <w:rFonts w:ascii="Times New Roman" w:hAnsi="Times New Roman" w:cs="Times New Roman"/>
                <w:noProof/>
                <w:webHidden/>
                <w:sz w:val="28"/>
                <w:szCs w:val="28"/>
              </w:rPr>
              <w:fldChar w:fldCharType="end"/>
            </w:r>
          </w:hyperlink>
        </w:p>
        <w:p w14:paraId="395FA3FF" w14:textId="37D894F9" w:rsidR="0062471E" w:rsidRPr="0008435D" w:rsidRDefault="0062471E">
          <w:pPr>
            <w:rPr>
              <w:rFonts w:ascii="Times New Roman" w:hAnsi="Times New Roman" w:cs="Times New Roman"/>
              <w:sz w:val="28"/>
              <w:szCs w:val="28"/>
            </w:rPr>
          </w:pPr>
          <w:r w:rsidRPr="0008435D">
            <w:rPr>
              <w:rFonts w:ascii="Times New Roman" w:hAnsi="Times New Roman" w:cs="Times New Roman"/>
              <w:b/>
              <w:bCs/>
              <w:sz w:val="28"/>
              <w:szCs w:val="28"/>
              <w:lang w:val="zh-CN"/>
            </w:rPr>
            <w:fldChar w:fldCharType="end"/>
          </w:r>
        </w:p>
      </w:sdtContent>
    </w:sdt>
    <w:p w14:paraId="5C223EC1" w14:textId="77777777" w:rsidR="0062471E" w:rsidRPr="0008435D" w:rsidRDefault="0062471E" w:rsidP="0062471E">
      <w:pPr>
        <w:rPr>
          <w:rFonts w:ascii="Times New Roman" w:hAnsi="Times New Roman" w:cs="Times New Roman"/>
          <w:sz w:val="28"/>
          <w:szCs w:val="28"/>
        </w:rPr>
      </w:pPr>
    </w:p>
    <w:p w14:paraId="6C163A0D" w14:textId="77777777" w:rsidR="0062471E" w:rsidRPr="0008435D" w:rsidRDefault="0062471E" w:rsidP="0062471E">
      <w:pPr>
        <w:rPr>
          <w:rFonts w:ascii="Times New Roman" w:hAnsi="Times New Roman" w:cs="Times New Roman"/>
          <w:sz w:val="28"/>
          <w:szCs w:val="28"/>
        </w:rPr>
      </w:pPr>
    </w:p>
    <w:p w14:paraId="3314F254" w14:textId="77777777" w:rsidR="0062471E" w:rsidRDefault="0062471E" w:rsidP="0062471E"/>
    <w:p w14:paraId="563FF2D4" w14:textId="77777777" w:rsidR="0062471E" w:rsidRDefault="0062471E" w:rsidP="0062471E"/>
    <w:p w14:paraId="1945423D" w14:textId="77777777" w:rsidR="0062471E" w:rsidRDefault="0062471E" w:rsidP="0062471E"/>
    <w:p w14:paraId="66BD3006" w14:textId="77777777" w:rsidR="0062471E" w:rsidRDefault="0062471E" w:rsidP="0062471E"/>
    <w:p w14:paraId="22F9A54C" w14:textId="77777777" w:rsidR="0062471E" w:rsidRDefault="0062471E" w:rsidP="0062471E"/>
    <w:p w14:paraId="525F6C9E" w14:textId="77777777" w:rsidR="0062471E" w:rsidRDefault="0062471E" w:rsidP="0062471E"/>
    <w:p w14:paraId="49A56A5F" w14:textId="14496DA0" w:rsidR="00FB6FD8" w:rsidRPr="0062471E" w:rsidRDefault="00FB6FD8" w:rsidP="00FB6FD8">
      <w:pPr>
        <w:pStyle w:val="1"/>
        <w:rPr>
          <w:rFonts w:ascii="Times New Roman" w:hAnsi="Times New Roman" w:cs="Times New Roman"/>
          <w:sz w:val="21"/>
          <w:szCs w:val="21"/>
        </w:rPr>
      </w:pPr>
      <w:bookmarkStart w:id="0" w:name="_Toc164079621"/>
      <w:r w:rsidRPr="0062471E">
        <w:rPr>
          <w:rFonts w:ascii="Times New Roman" w:hAnsi="Times New Roman" w:cs="Times New Roman"/>
          <w:sz w:val="21"/>
          <w:szCs w:val="21"/>
        </w:rPr>
        <w:lastRenderedPageBreak/>
        <w:t>Introducing Two of China's Most Famous Internet Companies</w:t>
      </w:r>
      <w:bookmarkEnd w:id="0"/>
    </w:p>
    <w:p w14:paraId="51B6DBA6" w14:textId="5386B497" w:rsidR="00A23647"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FB6FD8">
        <w:rPr>
          <w:rFonts w:ascii="Times New Roman" w:eastAsia="宋体" w:hAnsi="Times New Roman" w:cs="Times New Roman"/>
          <w:kern w:val="0"/>
          <w:sz w:val="24"/>
          <w:szCs w:val="24"/>
        </w:rPr>
        <w:t>Tencent is a leading Chinese technology company founded in 1998 and headquartered in Shenzhen. Tencent is known for its diverse range of Internet services and products, with notable businesses in social, media, entertainment, fintech and gaming in particular. Its best-known products include QQ and WeChat, two social communication software, especially WeChat, with are so influential in China that they have become almost a necessity in daily life. NetEase is another important Chinese technology company, founded in 1997 and headquartered in Hangzhou. NetEase was initially known for providing mail system services, but then quickly expanded into other areas such as online gaming, music, education and e-commerce. With a diversified business model and a broad user base, NetEase, like Tencent, is one of the two giants in China's Internet and technology sectors.</w:t>
      </w:r>
    </w:p>
    <w:p w14:paraId="3864A769" w14:textId="77777777" w:rsidR="00FB6FD8" w:rsidRPr="0062471E" w:rsidRDefault="00FB6FD8" w:rsidP="00FB6FD8">
      <w:pPr>
        <w:pStyle w:val="1"/>
        <w:rPr>
          <w:rFonts w:ascii="Times New Roman" w:hAnsi="Times New Roman" w:cs="Times New Roman"/>
          <w:sz w:val="21"/>
          <w:szCs w:val="21"/>
        </w:rPr>
      </w:pPr>
      <w:bookmarkStart w:id="1" w:name="_Toc164079622"/>
      <w:r w:rsidRPr="0062471E">
        <w:rPr>
          <w:rFonts w:ascii="Times New Roman" w:hAnsi="Times New Roman" w:cs="Times New Roman"/>
          <w:sz w:val="21"/>
          <w:szCs w:val="21"/>
        </w:rPr>
        <w:t>Tencent and NetEase, the two giants of China's tech industry, have each adopted different strategies to attract and retain top talent. Strategies and differences they have implemented in the competition for talent</w:t>
      </w:r>
      <w:bookmarkEnd w:id="1"/>
    </w:p>
    <w:p w14:paraId="08774316"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Tencent's Talent Attraction Strategy Brand Power and Industry Position Tencent has a strong brand appeal as one of the world's largest gaming companies and a leader in social and digital payments. This position in itself is a huge draw factor for talent interested in innovation and market impact. Diverse Career Paths Tencent has a wide range of businesses, from gaming, social media, and fintech to cloud computing and artificial intelligence, providing employees with diverse career paths. Such diversity </w:t>
      </w:r>
      <w:r w:rsidRPr="0062471E">
        <w:rPr>
          <w:rFonts w:ascii="Times New Roman" w:eastAsia="宋体" w:hAnsi="Times New Roman" w:cs="Times New Roman"/>
          <w:kern w:val="0"/>
          <w:sz w:val="24"/>
          <w:szCs w:val="24"/>
        </w:rPr>
        <w:lastRenderedPageBreak/>
        <w:t>not only attracts talent from different professional backgrounds, but also helps employees grow and switch careers. Emphasis on Intrapreneurship and Innovation Culture Tencent encourages intrapreneurship (a mechanism for incubating new projects internally), allowing employees to start and drive new projects and business lines within the company. This culture has attracted many talented people with an entrepreneurial spirit. Generous Compensation and Benefits Tencent offers a competitive compensation structure and generous benefits packages, including health insurance, pension plans, and employee equity incentives, all of which are important factors in attracting top talent.</w:t>
      </w:r>
    </w:p>
    <w:p w14:paraId="2874EDE2" w14:textId="28D6AEDA"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NetEase's Talent Attraction Strategy Focuses on Content Innovation NetEase has a strong reputation for innovation in gaming and digital media content, especially in the areas of self-developed games and music services. This attracts professionals who have a passion for creating high-quality content and user experiences. Enhanced Education and Training NetEase provides internal and external training resources through its education brand,</w:t>
      </w:r>
      <w:r w:rsidRPr="0062471E">
        <w:rPr>
          <w:rFonts w:ascii="Times New Roman" w:eastAsia="宋体" w:hAnsi="Times New Roman" w:cs="Times New Roman"/>
          <w:kern w:val="0"/>
          <w:sz w:val="24"/>
          <w:szCs w:val="24"/>
        </w:rPr>
        <w:t>（</w:t>
      </w:r>
      <w:proofErr w:type="spellStart"/>
      <w:r w:rsidRPr="0062471E">
        <w:rPr>
          <w:rFonts w:ascii="Times New Roman" w:eastAsia="宋体" w:hAnsi="Times New Roman" w:cs="Times New Roman"/>
          <w:kern w:val="0"/>
          <w:sz w:val="24"/>
          <w:szCs w:val="24"/>
        </w:rPr>
        <w:t>NetEaseYouDao</w:t>
      </w:r>
      <w:proofErr w:type="spellEnd"/>
      <w:r w:rsidRPr="0062471E">
        <w:rPr>
          <w:rFonts w:ascii="Times New Roman" w:eastAsia="宋体" w:hAnsi="Times New Roman" w:cs="Times New Roman"/>
          <w:kern w:val="0"/>
          <w:sz w:val="24"/>
          <w:szCs w:val="24"/>
        </w:rPr>
        <w:t>-Education App</w:t>
      </w:r>
      <w:r w:rsidRPr="0062471E">
        <w:rPr>
          <w:rFonts w:ascii="Times New Roman" w:eastAsia="宋体" w:hAnsi="Times New Roman" w:cs="Times New Roman"/>
          <w:kern w:val="0"/>
          <w:sz w:val="24"/>
          <w:szCs w:val="24"/>
        </w:rPr>
        <w:t>）</w:t>
      </w:r>
      <w:r w:rsidRPr="0062471E">
        <w:rPr>
          <w:rFonts w:ascii="Times New Roman" w:eastAsia="宋体" w:hAnsi="Times New Roman" w:cs="Times New Roman"/>
          <w:kern w:val="0"/>
          <w:sz w:val="24"/>
          <w:szCs w:val="24"/>
        </w:rPr>
        <w:t xml:space="preserve">, among others, with an emphasis on lifelong learning and continuous professional development. The company values the personal and professional growth of its employees, which is attractive to talented individuals seeking to advance their knowledge and skills. Corporate Culture and Work Environment NetEase is known for its unique corporate culture and more relaxed work environment, which is especially attractive to people seeking a creative and less bureaucratic environment. Emphasis on Independent Thinking NetEase encourages its employees to think independently and innovate, and this culture supports a no-frills </w:t>
      </w:r>
      <w:r w:rsidRPr="0062471E">
        <w:rPr>
          <w:rFonts w:ascii="Times New Roman" w:eastAsia="宋体" w:hAnsi="Times New Roman" w:cs="Times New Roman"/>
          <w:kern w:val="0"/>
          <w:sz w:val="24"/>
          <w:szCs w:val="24"/>
        </w:rPr>
        <w:lastRenderedPageBreak/>
        <w:t xml:space="preserve">approach to work that appeals to those who are innovators and independent thinkers. In a competitive comparison strategically, Tencent may place more emphasis on its global brand and diversified business reach, while NetEase may focus more on content innovation and providing an environment that supports innovation and personal growth. While both offer competitive compensation and benefits, Tencent's intrapreneurial opportunities and NetEase's unique culture, both Tencent and NetEase have a strong focus on branding to attract top talent and have implemented their talent acquisition </w:t>
      </w:r>
      <w:proofErr w:type="spellStart"/>
      <w:r w:rsidRPr="0062471E">
        <w:rPr>
          <w:rFonts w:ascii="Times New Roman" w:eastAsia="宋体" w:hAnsi="Times New Roman" w:cs="Times New Roman"/>
          <w:kern w:val="0"/>
          <w:sz w:val="24"/>
          <w:szCs w:val="24"/>
        </w:rPr>
        <w:t>programmes</w:t>
      </w:r>
      <w:proofErr w:type="spellEnd"/>
      <w:r w:rsidRPr="0062471E">
        <w:rPr>
          <w:rFonts w:ascii="Times New Roman" w:eastAsia="宋体" w:hAnsi="Times New Roman" w:cs="Times New Roman"/>
          <w:kern w:val="0"/>
          <w:sz w:val="24"/>
          <w:szCs w:val="24"/>
        </w:rPr>
        <w:t xml:space="preserve"> through a variety of strategies and initiatives.</w:t>
      </w:r>
    </w:p>
    <w:p w14:paraId="361BA74D" w14:textId="77777777" w:rsidR="00FB6FD8" w:rsidRPr="0062471E" w:rsidRDefault="00FB6FD8" w:rsidP="00FB6FD8">
      <w:pPr>
        <w:pStyle w:val="1"/>
        <w:rPr>
          <w:rFonts w:ascii="Times New Roman" w:hAnsi="Times New Roman" w:cs="Times New Roman"/>
          <w:sz w:val="21"/>
          <w:szCs w:val="21"/>
        </w:rPr>
      </w:pPr>
      <w:bookmarkStart w:id="2" w:name="_Toc164079623"/>
      <w:r w:rsidRPr="0062471E">
        <w:rPr>
          <w:rFonts w:ascii="Times New Roman" w:hAnsi="Times New Roman" w:cs="Times New Roman"/>
          <w:sz w:val="21"/>
          <w:szCs w:val="21"/>
        </w:rPr>
        <w:t xml:space="preserve">Some of the key points in brand design between the two companies, and how they attract and implement their recruitment </w:t>
      </w:r>
      <w:proofErr w:type="spellStart"/>
      <w:r w:rsidRPr="0062471E">
        <w:rPr>
          <w:rFonts w:ascii="Times New Roman" w:hAnsi="Times New Roman" w:cs="Times New Roman"/>
          <w:sz w:val="21"/>
          <w:szCs w:val="21"/>
        </w:rPr>
        <w:t>programmes</w:t>
      </w:r>
      <w:proofErr w:type="spellEnd"/>
      <w:r w:rsidRPr="0062471E">
        <w:rPr>
          <w:rFonts w:ascii="Times New Roman" w:hAnsi="Times New Roman" w:cs="Times New Roman"/>
          <w:sz w:val="21"/>
          <w:szCs w:val="21"/>
        </w:rPr>
        <w:t>, Tencent's brand design</w:t>
      </w:r>
      <w:bookmarkEnd w:id="2"/>
    </w:p>
    <w:p w14:paraId="5DEDF57C"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A global and innovative image Tencent's brand design </w:t>
      </w:r>
      <w:proofErr w:type="spellStart"/>
      <w:r w:rsidRPr="0062471E">
        <w:rPr>
          <w:rFonts w:ascii="Times New Roman" w:eastAsia="宋体" w:hAnsi="Times New Roman" w:cs="Times New Roman"/>
          <w:kern w:val="0"/>
          <w:sz w:val="24"/>
          <w:szCs w:val="24"/>
        </w:rPr>
        <w:t>emphasises</w:t>
      </w:r>
      <w:proofErr w:type="spellEnd"/>
      <w:r w:rsidRPr="0062471E">
        <w:rPr>
          <w:rFonts w:ascii="Times New Roman" w:eastAsia="宋体" w:hAnsi="Times New Roman" w:cs="Times New Roman"/>
          <w:kern w:val="0"/>
          <w:sz w:val="24"/>
          <w:szCs w:val="24"/>
        </w:rPr>
        <w:t xml:space="preserve"> its position as a global technology leader and its strength in innovation and technological development. This includes its prominence in areas such as AI, gaming, and digital payments. Tencent's branding often </w:t>
      </w:r>
      <w:proofErr w:type="spellStart"/>
      <w:r w:rsidRPr="0062471E">
        <w:rPr>
          <w:rFonts w:ascii="Times New Roman" w:eastAsia="宋体" w:hAnsi="Times New Roman" w:cs="Times New Roman"/>
          <w:kern w:val="0"/>
          <w:sz w:val="24"/>
          <w:szCs w:val="24"/>
        </w:rPr>
        <w:t>emphasises</w:t>
      </w:r>
      <w:proofErr w:type="spellEnd"/>
      <w:r w:rsidRPr="0062471E">
        <w:rPr>
          <w:rFonts w:ascii="Times New Roman" w:eastAsia="宋体" w:hAnsi="Times New Roman" w:cs="Times New Roman"/>
          <w:kern w:val="0"/>
          <w:sz w:val="24"/>
          <w:szCs w:val="24"/>
        </w:rPr>
        <w:t xml:space="preserve"> its technological innovation and influence on the future of technology. Diverse Business Platforms By showcasing its wide range of businesses in different sectors (e.g. social networking, gaming, fintech, etc.), Tencent's branding is designed to attract talent with a wide range of skills and backgrounds. This diversity is also reflected in its recruitment strategy, with Tencent offering diverse career opportunities in different business lines. Emphasis on Corporate Responsibility and Social Values Tencent also </w:t>
      </w:r>
      <w:proofErr w:type="spellStart"/>
      <w:r w:rsidRPr="0062471E">
        <w:rPr>
          <w:rFonts w:ascii="Times New Roman" w:eastAsia="宋体" w:hAnsi="Times New Roman" w:cs="Times New Roman"/>
          <w:kern w:val="0"/>
          <w:sz w:val="24"/>
          <w:szCs w:val="24"/>
        </w:rPr>
        <w:t>emphasises</w:t>
      </w:r>
      <w:proofErr w:type="spellEnd"/>
      <w:r w:rsidRPr="0062471E">
        <w:rPr>
          <w:rFonts w:ascii="Times New Roman" w:eastAsia="宋体" w:hAnsi="Times New Roman" w:cs="Times New Roman"/>
          <w:kern w:val="0"/>
          <w:sz w:val="24"/>
          <w:szCs w:val="24"/>
        </w:rPr>
        <w:t xml:space="preserve"> its commitment to social responsibility in its brand design, such as through its "Tencent Philanthropy" platform. This emphasis </w:t>
      </w:r>
      <w:r w:rsidRPr="0062471E">
        <w:rPr>
          <w:rFonts w:ascii="Times New Roman" w:eastAsia="宋体" w:hAnsi="Times New Roman" w:cs="Times New Roman"/>
          <w:kern w:val="0"/>
          <w:sz w:val="24"/>
          <w:szCs w:val="24"/>
        </w:rPr>
        <w:lastRenderedPageBreak/>
        <w:t>on social responsibility attracts talent who want their work to have a positive impact on society.</w:t>
      </w:r>
    </w:p>
    <w:p w14:paraId="08ED0D72" w14:textId="5A94364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NetEase's brand design focuses on content quality and user experience. NetEase's brand design </w:t>
      </w:r>
      <w:proofErr w:type="spellStart"/>
      <w:r w:rsidRPr="0062471E">
        <w:rPr>
          <w:rFonts w:ascii="Times New Roman" w:eastAsia="宋体" w:hAnsi="Times New Roman" w:cs="Times New Roman"/>
          <w:kern w:val="0"/>
          <w:sz w:val="24"/>
          <w:szCs w:val="24"/>
        </w:rPr>
        <w:t>emphasises</w:t>
      </w:r>
      <w:proofErr w:type="spellEnd"/>
      <w:r w:rsidRPr="0062471E">
        <w:rPr>
          <w:rFonts w:ascii="Times New Roman" w:eastAsia="宋体" w:hAnsi="Times New Roman" w:cs="Times New Roman"/>
          <w:kern w:val="0"/>
          <w:sz w:val="24"/>
          <w:szCs w:val="24"/>
        </w:rPr>
        <w:t xml:space="preserve"> its focus on delivering high-quality content and a great user experience, whether it's in gaming, music or online education services. This brand image attracts professionals with a deep commitment to product quality and innovative services. Promoting knowledge sharing and continuous learning Through its education sub-brand "NetEase </w:t>
      </w:r>
      <w:proofErr w:type="spellStart"/>
      <w:r w:rsidRPr="0062471E">
        <w:rPr>
          <w:rFonts w:ascii="Times New Roman" w:eastAsia="宋体" w:hAnsi="Times New Roman" w:cs="Times New Roman"/>
          <w:kern w:val="0"/>
          <w:sz w:val="24"/>
          <w:szCs w:val="24"/>
        </w:rPr>
        <w:t>YouDao</w:t>
      </w:r>
      <w:proofErr w:type="spellEnd"/>
      <w:r w:rsidRPr="0062471E">
        <w:rPr>
          <w:rFonts w:ascii="Times New Roman" w:eastAsia="宋体" w:hAnsi="Times New Roman" w:cs="Times New Roman"/>
          <w:kern w:val="0"/>
          <w:sz w:val="24"/>
          <w:szCs w:val="24"/>
        </w:rPr>
        <w:t xml:space="preserve">", NetEase </w:t>
      </w:r>
      <w:proofErr w:type="spellStart"/>
      <w:r w:rsidRPr="0062471E">
        <w:rPr>
          <w:rFonts w:ascii="Times New Roman" w:eastAsia="宋体" w:hAnsi="Times New Roman" w:cs="Times New Roman"/>
          <w:kern w:val="0"/>
          <w:sz w:val="24"/>
          <w:szCs w:val="24"/>
        </w:rPr>
        <w:t>emphasises</w:t>
      </w:r>
      <w:proofErr w:type="spellEnd"/>
      <w:r w:rsidRPr="0062471E">
        <w:rPr>
          <w:rFonts w:ascii="Times New Roman" w:eastAsia="宋体" w:hAnsi="Times New Roman" w:cs="Times New Roman"/>
          <w:kern w:val="0"/>
          <w:sz w:val="24"/>
          <w:szCs w:val="24"/>
        </w:rPr>
        <w:t xml:space="preserve"> the importance of lifelong learning and integrates this concept into its corporate culture and brand design. This attracts talented people who have a strong interest in personal growth and education. Cultural and Creative Freedom NetEase's brand design also expresses the company's emphasis on cultural and creative freedom, which is reflected in its relaxed work environment and encouragement of innovative thinking among its employees. This cultural trait attracts talent seeking a creative and liberal professional environment.</w:t>
      </w:r>
    </w:p>
    <w:p w14:paraId="57CE11C4"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Both companies implement their recruitment </w:t>
      </w:r>
      <w:proofErr w:type="spellStart"/>
      <w:r w:rsidRPr="0062471E">
        <w:rPr>
          <w:rFonts w:ascii="Times New Roman" w:eastAsia="宋体" w:hAnsi="Times New Roman" w:cs="Times New Roman"/>
          <w:kern w:val="0"/>
          <w:sz w:val="24"/>
          <w:szCs w:val="24"/>
        </w:rPr>
        <w:t>programmes</w:t>
      </w:r>
      <w:proofErr w:type="spellEnd"/>
      <w:r w:rsidRPr="0062471E">
        <w:rPr>
          <w:rFonts w:ascii="Times New Roman" w:eastAsia="宋体" w:hAnsi="Times New Roman" w:cs="Times New Roman"/>
          <w:kern w:val="0"/>
          <w:sz w:val="24"/>
          <w:szCs w:val="24"/>
        </w:rPr>
        <w:t xml:space="preserve"> in different ways Campus Recruitment and </w:t>
      </w:r>
      <w:proofErr w:type="spellStart"/>
      <w:r w:rsidRPr="0062471E">
        <w:rPr>
          <w:rFonts w:ascii="Times New Roman" w:eastAsia="宋体" w:hAnsi="Times New Roman" w:cs="Times New Roman"/>
          <w:kern w:val="0"/>
          <w:sz w:val="24"/>
          <w:szCs w:val="24"/>
        </w:rPr>
        <w:t>Specialised</w:t>
      </w:r>
      <w:proofErr w:type="spellEnd"/>
      <w:r w:rsidRPr="0062471E">
        <w:rPr>
          <w:rFonts w:ascii="Times New Roman" w:eastAsia="宋体" w:hAnsi="Times New Roman" w:cs="Times New Roman"/>
          <w:kern w:val="0"/>
          <w:sz w:val="24"/>
          <w:szCs w:val="24"/>
        </w:rPr>
        <w:t xml:space="preserve"> Job Fairs Both Tencent and NetEase are actively involved in campus recruiting events and career fairs to directly engage with potential top talent and show them the company's culture and career opportunities. Online platforms and social media Leveraging their strong online presence and social media strategies, both companies post job openings and company news on their official websites, LinkedIn, Weibo and other platforms to attract global talent.</w:t>
      </w:r>
    </w:p>
    <w:p w14:paraId="08E25382" w14:textId="77777777" w:rsidR="00FB6FD8" w:rsidRPr="0062471E" w:rsidRDefault="00FB6FD8" w:rsidP="00FB6FD8">
      <w:pPr>
        <w:pStyle w:val="1"/>
        <w:rPr>
          <w:rFonts w:ascii="Times New Roman" w:hAnsi="Times New Roman" w:cs="Times New Roman"/>
          <w:sz w:val="21"/>
          <w:szCs w:val="21"/>
        </w:rPr>
      </w:pPr>
      <w:bookmarkStart w:id="3" w:name="_Toc164079624"/>
      <w:r w:rsidRPr="0062471E">
        <w:rPr>
          <w:rFonts w:ascii="Times New Roman" w:hAnsi="Times New Roman" w:cs="Times New Roman"/>
          <w:sz w:val="21"/>
          <w:szCs w:val="21"/>
        </w:rPr>
        <w:lastRenderedPageBreak/>
        <w:t xml:space="preserve">How Tencent and NetEase they have taken a variety of measures to increase brand value and enhance the efficiency of people within their </w:t>
      </w:r>
      <w:proofErr w:type="spellStart"/>
      <w:r w:rsidRPr="0062471E">
        <w:rPr>
          <w:rFonts w:ascii="Times New Roman" w:hAnsi="Times New Roman" w:cs="Times New Roman"/>
          <w:sz w:val="21"/>
          <w:szCs w:val="21"/>
        </w:rPr>
        <w:t>organisations</w:t>
      </w:r>
      <w:bookmarkEnd w:id="3"/>
      <w:proofErr w:type="spellEnd"/>
    </w:p>
    <w:p w14:paraId="6DAA65BC"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Tencent and NetEase have taken a variety of measures to increase brand value and enhance the efficiency of their internal </w:t>
      </w:r>
      <w:proofErr w:type="gramStart"/>
      <w:r w:rsidRPr="0062471E">
        <w:rPr>
          <w:rFonts w:ascii="Times New Roman" w:eastAsia="宋体" w:hAnsi="Times New Roman" w:cs="Times New Roman"/>
          <w:kern w:val="0"/>
          <w:sz w:val="24"/>
          <w:szCs w:val="24"/>
        </w:rPr>
        <w:t>staff .</w:t>
      </w:r>
      <w:proofErr w:type="gramEnd"/>
      <w:r w:rsidRPr="0062471E">
        <w:rPr>
          <w:rFonts w:ascii="Times New Roman" w:eastAsia="宋体" w:hAnsi="Times New Roman" w:cs="Times New Roman"/>
          <w:kern w:val="0"/>
          <w:sz w:val="24"/>
          <w:szCs w:val="24"/>
        </w:rPr>
        <w:t xml:space="preserve"> Tencent Technology Innovation and Automation Measures Tencent has invested in AI and big data technology to automate its internal operations and increase efficiency. Criticism While this improves efficiency, it also increases reliance on </w:t>
      </w:r>
      <w:proofErr w:type="spellStart"/>
      <w:r w:rsidRPr="0062471E">
        <w:rPr>
          <w:rFonts w:ascii="Times New Roman" w:eastAsia="宋体" w:hAnsi="Times New Roman" w:cs="Times New Roman"/>
          <w:kern w:val="0"/>
          <w:sz w:val="24"/>
          <w:szCs w:val="24"/>
        </w:rPr>
        <w:t>specialised</w:t>
      </w:r>
      <w:proofErr w:type="spellEnd"/>
      <w:r w:rsidRPr="0062471E">
        <w:rPr>
          <w:rFonts w:ascii="Times New Roman" w:eastAsia="宋体" w:hAnsi="Times New Roman" w:cs="Times New Roman"/>
          <w:kern w:val="0"/>
          <w:sz w:val="24"/>
          <w:szCs w:val="24"/>
        </w:rPr>
        <w:t xml:space="preserve"> technical staff and may affect operations when technology goes wrong. Internal communication platform </w:t>
      </w:r>
      <w:proofErr w:type="spellStart"/>
      <w:r w:rsidRPr="0062471E">
        <w:rPr>
          <w:rFonts w:ascii="Times New Roman" w:eastAsia="宋体" w:hAnsi="Times New Roman" w:cs="Times New Roman"/>
          <w:kern w:val="0"/>
          <w:sz w:val="24"/>
          <w:szCs w:val="24"/>
        </w:rPr>
        <w:t>optimisation</w:t>
      </w:r>
      <w:proofErr w:type="spellEnd"/>
      <w:r w:rsidRPr="0062471E">
        <w:rPr>
          <w:rFonts w:ascii="Times New Roman" w:eastAsia="宋体" w:hAnsi="Times New Roman" w:cs="Times New Roman"/>
          <w:kern w:val="0"/>
          <w:sz w:val="24"/>
          <w:szCs w:val="24"/>
        </w:rPr>
        <w:t xml:space="preserve"> measures to enhance internal communication and collaboration through tools such as Enterprise WeChat. Criticism This relies on employees' proficiency in the use of these tools, and there may be initial training costs and adaptation curves.</w:t>
      </w:r>
    </w:p>
    <w:p w14:paraId="3D0DD063"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NetEase Strengthening Corporate Culture and Innovation Measures NetEase encourages innovation and a free working environment, allowing employees to have more autonomy in their projects. Criticism Although this can stimulate creativity, it may lead to confusion and inefficiency in management. Employee Benefits and Work-Life Balance Measures NetEase offers flexible working arrangements and rich employee benefits. Criticism Overemphasis on employee benefits may somehow affect work urgency and efficient project completion.</w:t>
      </w:r>
    </w:p>
    <w:p w14:paraId="56003FCE"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Tencent's and NetEase's strategies are effective in enhancing internal efficiency and brand value, but there are potential drawbacks and challenges associated with these measures. Both Tencent's technological dependence and NetEase's cultural freedom </w:t>
      </w:r>
      <w:r w:rsidRPr="0062471E">
        <w:rPr>
          <w:rFonts w:ascii="Times New Roman" w:eastAsia="宋体" w:hAnsi="Times New Roman" w:cs="Times New Roman"/>
          <w:kern w:val="0"/>
          <w:sz w:val="24"/>
          <w:szCs w:val="24"/>
        </w:rPr>
        <w:lastRenderedPageBreak/>
        <w:t>need to be finely managed and balanced to ensure long-term sustainability and competitiveness. Overall, both companies' strategies demonstrate their ability to adapt and innovate in a rapidly changing market environment.</w:t>
      </w:r>
    </w:p>
    <w:p w14:paraId="629C9382" w14:textId="77777777" w:rsidR="00FB6FD8" w:rsidRPr="0062471E" w:rsidRDefault="00FB6FD8" w:rsidP="00FB6FD8">
      <w:pPr>
        <w:pStyle w:val="1"/>
        <w:rPr>
          <w:rFonts w:ascii="Times New Roman" w:hAnsi="Times New Roman" w:cs="Times New Roman"/>
          <w:sz w:val="21"/>
          <w:szCs w:val="21"/>
        </w:rPr>
      </w:pPr>
      <w:bookmarkStart w:id="4" w:name="_Toc164079625"/>
      <w:r w:rsidRPr="0062471E">
        <w:rPr>
          <w:rFonts w:ascii="Times New Roman" w:hAnsi="Times New Roman" w:cs="Times New Roman"/>
          <w:sz w:val="21"/>
          <w:szCs w:val="21"/>
        </w:rPr>
        <w:t>Key Assessment and Monitoring Methods</w:t>
      </w:r>
      <w:bookmarkEnd w:id="4"/>
    </w:p>
    <w:p w14:paraId="2BD3BB9E"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Assessing and monitoring Tencent's and NetEase's performance in terms of brand success can be done in a variety of ways. These methods not only help to understand the brand impact of both companies, but also assess their performance in the marketplace and the effectiveness of their branding strategies. Brand Awareness and Brand Image Survey Implementation Methods Consumers' perceptions and feelings about the brand are collected through online surveys, telephone interviews or face-to-face interviews. Evaluation indicators brand recognition, brand association, consumer satisfaction and willingness to recommend.</w:t>
      </w:r>
    </w:p>
    <w:p w14:paraId="74D16A9F"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Social media and network </w:t>
      </w:r>
      <w:proofErr w:type="spellStart"/>
      <w:r w:rsidRPr="0062471E">
        <w:rPr>
          <w:rFonts w:ascii="Times New Roman" w:eastAsia="宋体" w:hAnsi="Times New Roman" w:cs="Times New Roman"/>
          <w:kern w:val="0"/>
          <w:sz w:val="24"/>
          <w:szCs w:val="24"/>
        </w:rPr>
        <w:t>analysisImplementation</w:t>
      </w:r>
      <w:proofErr w:type="spellEnd"/>
      <w:r w:rsidRPr="0062471E">
        <w:rPr>
          <w:rFonts w:ascii="Times New Roman" w:eastAsia="宋体" w:hAnsi="Times New Roman" w:cs="Times New Roman"/>
          <w:kern w:val="0"/>
          <w:sz w:val="24"/>
          <w:szCs w:val="24"/>
        </w:rPr>
        <w:t xml:space="preserve"> </w:t>
      </w:r>
      <w:proofErr w:type="spellStart"/>
      <w:r w:rsidRPr="0062471E">
        <w:rPr>
          <w:rFonts w:ascii="Times New Roman" w:eastAsia="宋体" w:hAnsi="Times New Roman" w:cs="Times New Roman"/>
          <w:kern w:val="0"/>
          <w:sz w:val="24"/>
          <w:szCs w:val="24"/>
        </w:rPr>
        <w:t>methodUse</w:t>
      </w:r>
      <w:proofErr w:type="spellEnd"/>
      <w:r w:rsidRPr="0062471E">
        <w:rPr>
          <w:rFonts w:ascii="Times New Roman" w:eastAsia="宋体" w:hAnsi="Times New Roman" w:cs="Times New Roman"/>
          <w:kern w:val="0"/>
          <w:sz w:val="24"/>
          <w:szCs w:val="24"/>
        </w:rPr>
        <w:t xml:space="preserve"> social media listening tools (e.g. Hootsuite, </w:t>
      </w:r>
      <w:proofErr w:type="spellStart"/>
      <w:r w:rsidRPr="0062471E">
        <w:rPr>
          <w:rFonts w:ascii="Times New Roman" w:eastAsia="宋体" w:hAnsi="Times New Roman" w:cs="Times New Roman"/>
          <w:kern w:val="0"/>
          <w:sz w:val="24"/>
          <w:szCs w:val="24"/>
        </w:rPr>
        <w:t>Brandwatch</w:t>
      </w:r>
      <w:proofErr w:type="spellEnd"/>
      <w:r w:rsidRPr="0062471E">
        <w:rPr>
          <w:rFonts w:ascii="Times New Roman" w:eastAsia="宋体" w:hAnsi="Times New Roman" w:cs="Times New Roman"/>
          <w:kern w:val="0"/>
          <w:sz w:val="24"/>
          <w:szCs w:val="24"/>
        </w:rPr>
        <w:t>, etc.) to monitor the sentiment and trend of brand mentions and discussions. Evaluate metrics social media activity, consumer interactions (e.g. number of likes, comments, shares) and sentiment analysis results.</w:t>
      </w:r>
    </w:p>
    <w:p w14:paraId="20F447E1"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 xml:space="preserve">Market Share and Sales Data Analysis Implementation Approach </w:t>
      </w:r>
      <w:proofErr w:type="spellStart"/>
      <w:r w:rsidRPr="0062471E">
        <w:rPr>
          <w:rFonts w:ascii="Times New Roman" w:eastAsia="宋体" w:hAnsi="Times New Roman" w:cs="Times New Roman"/>
          <w:kern w:val="0"/>
          <w:sz w:val="24"/>
          <w:szCs w:val="24"/>
        </w:rPr>
        <w:t>Analyse</w:t>
      </w:r>
      <w:proofErr w:type="spellEnd"/>
      <w:r w:rsidRPr="0062471E">
        <w:rPr>
          <w:rFonts w:ascii="Times New Roman" w:eastAsia="宋体" w:hAnsi="Times New Roman" w:cs="Times New Roman"/>
          <w:kern w:val="0"/>
          <w:sz w:val="24"/>
          <w:szCs w:val="24"/>
        </w:rPr>
        <w:t xml:space="preserve"> company financial reports, industry reports and market research data to understand the company's performance and market share in each market. Evaluate metrics annual and quarterly sales growth rates, market share changes, and comparisons to competitors.</w:t>
      </w:r>
    </w:p>
    <w:p w14:paraId="56764ECA" w14:textId="77777777"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lastRenderedPageBreak/>
        <w:t xml:space="preserve">Customer Loyalty and Retention </w:t>
      </w:r>
      <w:proofErr w:type="spellStart"/>
      <w:r w:rsidRPr="0062471E">
        <w:rPr>
          <w:rFonts w:ascii="Times New Roman" w:eastAsia="宋体" w:hAnsi="Times New Roman" w:cs="Times New Roman"/>
          <w:kern w:val="0"/>
          <w:sz w:val="24"/>
          <w:szCs w:val="24"/>
        </w:rPr>
        <w:t>AnalysisImplementation</w:t>
      </w:r>
      <w:proofErr w:type="spellEnd"/>
      <w:r w:rsidRPr="0062471E">
        <w:rPr>
          <w:rFonts w:ascii="Times New Roman" w:eastAsia="宋体" w:hAnsi="Times New Roman" w:cs="Times New Roman"/>
          <w:kern w:val="0"/>
          <w:sz w:val="24"/>
          <w:szCs w:val="24"/>
        </w:rPr>
        <w:t xml:space="preserve"> approach assesses customer loyalty through customer database analysis, subscription renewal and service renewal rates. Evaluation metrics Repeat purchase rate, subscriber churn rate and customer lifecycle value.</w:t>
      </w:r>
    </w:p>
    <w:p w14:paraId="2C6634CE" w14:textId="13B9833D" w:rsidR="00FB6FD8" w:rsidRPr="0062471E" w:rsidRDefault="00FB6FD8" w:rsidP="00FB6FD8">
      <w:pPr>
        <w:widowControl/>
        <w:spacing w:before="100" w:beforeAutospacing="1" w:after="100" w:afterAutospacing="1"/>
        <w:rPr>
          <w:rFonts w:ascii="Times New Roman" w:eastAsia="宋体" w:hAnsi="Times New Roman" w:cs="Times New Roman"/>
          <w:kern w:val="0"/>
          <w:sz w:val="24"/>
          <w:szCs w:val="24"/>
        </w:rPr>
      </w:pPr>
      <w:r w:rsidRPr="0062471E">
        <w:rPr>
          <w:rFonts w:ascii="Times New Roman" w:eastAsia="宋体" w:hAnsi="Times New Roman" w:cs="Times New Roman"/>
          <w:kern w:val="0"/>
          <w:sz w:val="24"/>
          <w:szCs w:val="24"/>
        </w:rPr>
        <w:t>User Experience and Customer Service Feedback Implementation collects customer feedback through customer support service records and online rating platforms (e.g. Trustpilot, Google Reviews). Evaluation metrics Customer service satisfaction, efficiency in resolving issues, and user interface friendliness. Combine Quantitative and Qualitative Data A successful brand monitoring strategy should combine quantitative data (e.g., sales statistics, market share) and qualitative data (e.g., consumer perceptions, social media sentiment analyses) to provide a comprehensive view of brand performance. This will not only help Tencent and NetEase monitor their current brand health, but also help them adjust their marketing strategies to respond to the rapidly changing market environment and consumer demands.</w:t>
      </w:r>
    </w:p>
    <w:p w14:paraId="6FB77F64" w14:textId="77777777" w:rsidR="0062471E" w:rsidRPr="0062471E" w:rsidRDefault="0062471E" w:rsidP="00FB6FD8">
      <w:pPr>
        <w:widowControl/>
        <w:spacing w:before="100" w:beforeAutospacing="1" w:after="100" w:afterAutospacing="1"/>
        <w:rPr>
          <w:rFonts w:ascii="Times New Roman" w:eastAsia="宋体" w:hAnsi="Times New Roman" w:cs="Times New Roman"/>
          <w:kern w:val="0"/>
          <w:sz w:val="24"/>
          <w:szCs w:val="24"/>
        </w:rPr>
      </w:pPr>
    </w:p>
    <w:p w14:paraId="0D3BAE23" w14:textId="77777777" w:rsidR="0062471E" w:rsidRPr="0062471E" w:rsidRDefault="0062471E" w:rsidP="00FB6FD8">
      <w:pPr>
        <w:widowControl/>
        <w:spacing w:before="100" w:beforeAutospacing="1" w:after="100" w:afterAutospacing="1"/>
        <w:rPr>
          <w:rFonts w:ascii="Times New Roman" w:eastAsia="宋体" w:hAnsi="Times New Roman" w:cs="Times New Roman"/>
          <w:kern w:val="0"/>
          <w:sz w:val="24"/>
          <w:szCs w:val="24"/>
        </w:rPr>
      </w:pPr>
    </w:p>
    <w:p w14:paraId="5BE250FA" w14:textId="77777777" w:rsidR="0062471E" w:rsidRDefault="0062471E" w:rsidP="00FB6FD8">
      <w:pPr>
        <w:widowControl/>
        <w:spacing w:before="100" w:beforeAutospacing="1" w:after="100" w:afterAutospacing="1"/>
        <w:rPr>
          <w:rFonts w:ascii="Times New Roman" w:eastAsia="宋体" w:hAnsi="Times New Roman" w:cs="Times New Roman"/>
          <w:kern w:val="0"/>
          <w:sz w:val="24"/>
          <w:szCs w:val="24"/>
        </w:rPr>
      </w:pPr>
    </w:p>
    <w:p w14:paraId="1E87CA42" w14:textId="77777777" w:rsidR="0062471E" w:rsidRDefault="0062471E" w:rsidP="00FB6FD8">
      <w:pPr>
        <w:widowControl/>
        <w:spacing w:before="100" w:beforeAutospacing="1" w:after="100" w:afterAutospacing="1"/>
        <w:rPr>
          <w:rFonts w:ascii="Times New Roman" w:eastAsia="宋体" w:hAnsi="Times New Roman" w:cs="Times New Roman"/>
          <w:kern w:val="0"/>
          <w:sz w:val="24"/>
          <w:szCs w:val="24"/>
        </w:rPr>
      </w:pPr>
    </w:p>
    <w:p w14:paraId="3EC4030D" w14:textId="77777777" w:rsidR="0062471E" w:rsidRPr="0062471E" w:rsidRDefault="0062471E" w:rsidP="00FB6FD8">
      <w:pPr>
        <w:widowControl/>
        <w:spacing w:before="100" w:beforeAutospacing="1" w:after="100" w:afterAutospacing="1"/>
        <w:rPr>
          <w:rFonts w:ascii="Times New Roman" w:eastAsia="宋体" w:hAnsi="Times New Roman" w:cs="Times New Roman"/>
          <w:kern w:val="0"/>
          <w:sz w:val="24"/>
          <w:szCs w:val="24"/>
        </w:rPr>
      </w:pPr>
    </w:p>
    <w:p w14:paraId="78C74942" w14:textId="2B9574FD" w:rsidR="004C2061" w:rsidRPr="004C2061" w:rsidRDefault="0062471E" w:rsidP="004C2061">
      <w:pPr>
        <w:pStyle w:val="1"/>
        <w:rPr>
          <w:rFonts w:ascii="Times New Roman" w:hAnsi="Times New Roman" w:cs="Times New Roman"/>
        </w:rPr>
      </w:pPr>
      <w:bookmarkStart w:id="5" w:name="_Toc164079626"/>
      <w:r w:rsidRPr="0062471E">
        <w:rPr>
          <w:rFonts w:ascii="Times New Roman" w:hAnsi="Times New Roman" w:cs="Times New Roman"/>
        </w:rPr>
        <w:lastRenderedPageBreak/>
        <w:t>References</w:t>
      </w:r>
      <w:bookmarkEnd w:id="5"/>
    </w:p>
    <w:p w14:paraId="105255DC" w14:textId="77777777"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Ma, H. (2017). Competitive strategies and market performance: A case study of Tencent and NetEase in China’s online game sector. Journal of Business and Management, 23(1), 15-28.</w:t>
      </w:r>
    </w:p>
    <w:p w14:paraId="4FF1AB40" w14:textId="1FB5C848"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Zhou, W., &amp; Wang, T. (2020). Analysis of competitive dynamics between Tencent and NetEase in the Chinese digital content market. Asia-Pacific Journal of Information Systems, 30(2), 320-340.</w:t>
      </w:r>
    </w:p>
    <w:p w14:paraId="05439F61" w14:textId="77777777"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Li, C., &amp; Zhang, F. (2019). Corporate strategies in the internet era: A comparative study of Tencent and NetEase. Journal of Technology Management in China, 14(3), 234-251.</w:t>
      </w:r>
    </w:p>
    <w:p w14:paraId="1A01D1C1" w14:textId="1BD138BE"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Yang, D., &amp; Pan, Y. (2018). Innovation and competition in internet and mobile gaming: An evaluation of the strategies of Tencent and NetEase. China Business Review, 15(4), 192-207.</w:t>
      </w:r>
    </w:p>
    <w:p w14:paraId="52D88F36" w14:textId="77777777"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 xml:space="preserve">Cheng, J., &amp; Liu, Y. (2021). User engagement in online games: A comparative study of Tencent and NetEase. Journal of Consumer </w:t>
      </w:r>
      <w:proofErr w:type="spellStart"/>
      <w:r w:rsidRPr="00A6073D">
        <w:rPr>
          <w:rFonts w:ascii="Times New Roman" w:hAnsi="Times New Roman" w:cs="Times New Roman"/>
          <w:b/>
          <w:bCs/>
          <w:i/>
          <w:iCs/>
        </w:rPr>
        <w:t>Behaviour</w:t>
      </w:r>
      <w:proofErr w:type="spellEnd"/>
      <w:r w:rsidRPr="00A6073D">
        <w:rPr>
          <w:rFonts w:ascii="Times New Roman" w:hAnsi="Times New Roman" w:cs="Times New Roman"/>
          <w:b/>
          <w:bCs/>
          <w:i/>
          <w:iCs/>
        </w:rPr>
        <w:t>, 20(1), 78-92.</w:t>
      </w:r>
    </w:p>
    <w:p w14:paraId="520D48E4" w14:textId="447A888C"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Wu, X., &amp; Luo, H. (2022). Exploring user loyalty in online gaming platforms: The case of Tencent and NetEase. Internet Research, 32(1), 273-290.</w:t>
      </w:r>
    </w:p>
    <w:p w14:paraId="3D0D0250" w14:textId="2BD52D31" w:rsidR="004C2061"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Zhang, X., &amp; Li, H. (2020). Financial performance analysis of internet companies: Case study of Tencent and NetEase. Journal of Internet Commerce, 19(2), 123-145.</w:t>
      </w:r>
    </w:p>
    <w:p w14:paraId="289C1902" w14:textId="371E970C" w:rsidR="0062471E" w:rsidRPr="00A6073D" w:rsidRDefault="004C2061" w:rsidP="004C2061">
      <w:pPr>
        <w:rPr>
          <w:rFonts w:ascii="Times New Roman" w:hAnsi="Times New Roman" w:cs="Times New Roman"/>
          <w:b/>
          <w:bCs/>
          <w:i/>
          <w:iCs/>
        </w:rPr>
      </w:pPr>
      <w:r w:rsidRPr="00A6073D">
        <w:rPr>
          <w:rFonts w:ascii="Times New Roman" w:hAnsi="Times New Roman" w:cs="Times New Roman"/>
          <w:b/>
          <w:bCs/>
          <w:i/>
          <w:iCs/>
        </w:rPr>
        <w:t>Xu, B., &amp; Jiang, L. (2019). The impact of technological innovation on competitive advantage: An empirical study of Tencent and NetEase in online gaming. Technological Forecasting and Social Change, 146, 567-576.</w:t>
      </w:r>
    </w:p>
    <w:p w14:paraId="4FD341FB" w14:textId="77777777" w:rsidR="00A6073D" w:rsidRPr="00A6073D" w:rsidRDefault="00A6073D" w:rsidP="00A6073D">
      <w:pPr>
        <w:rPr>
          <w:rFonts w:ascii="Times New Roman" w:hAnsi="Times New Roman" w:cs="Times New Roman"/>
          <w:b/>
          <w:bCs/>
          <w:i/>
          <w:iCs/>
        </w:rPr>
      </w:pPr>
      <w:r w:rsidRPr="00A6073D">
        <w:rPr>
          <w:rFonts w:ascii="Times New Roman" w:hAnsi="Times New Roman" w:cs="Times New Roman"/>
          <w:b/>
          <w:bCs/>
          <w:i/>
          <w:iCs/>
        </w:rPr>
        <w:t>Schwartz, M., &amp; Carroll, A. B. (2003). Corporate Social Responsibility: A Three-Domain Approach. Business Ethics Quarterly, 13(4), 503-530.</w:t>
      </w:r>
    </w:p>
    <w:p w14:paraId="655BA34D" w14:textId="1E6D03BE" w:rsidR="00A6073D" w:rsidRPr="00A6073D" w:rsidRDefault="00A6073D" w:rsidP="00A6073D">
      <w:pPr>
        <w:rPr>
          <w:rFonts w:ascii="Times New Roman" w:hAnsi="Times New Roman" w:cs="Times New Roman"/>
          <w:b/>
          <w:bCs/>
          <w:i/>
          <w:iCs/>
        </w:rPr>
      </w:pPr>
      <w:r w:rsidRPr="00A6073D">
        <w:rPr>
          <w:rFonts w:ascii="Times New Roman" w:hAnsi="Times New Roman" w:cs="Times New Roman"/>
          <w:b/>
          <w:bCs/>
          <w:i/>
          <w:iCs/>
        </w:rPr>
        <w:t>Barney, J. (1991). Firm resources and sustained competitive advantage. Journal of Management, 17(1), 99-120.</w:t>
      </w:r>
    </w:p>
    <w:p w14:paraId="0794A8D4" w14:textId="77777777" w:rsidR="00A6073D" w:rsidRPr="00A6073D" w:rsidRDefault="00A6073D" w:rsidP="00A6073D">
      <w:pPr>
        <w:rPr>
          <w:rFonts w:ascii="Times New Roman" w:hAnsi="Times New Roman" w:cs="Times New Roman"/>
          <w:b/>
          <w:bCs/>
          <w:i/>
          <w:iCs/>
        </w:rPr>
      </w:pPr>
      <w:r w:rsidRPr="00A6073D">
        <w:rPr>
          <w:rFonts w:ascii="Times New Roman" w:hAnsi="Times New Roman" w:cs="Times New Roman"/>
          <w:b/>
          <w:bCs/>
          <w:i/>
          <w:iCs/>
        </w:rPr>
        <w:lastRenderedPageBreak/>
        <w:t>Boxall, P., &amp; Purcell, J. (2011). Strategy and Human Resource Management. Palgrave Macmillan.</w:t>
      </w:r>
    </w:p>
    <w:p w14:paraId="6EC613C9" w14:textId="6D1D770C" w:rsidR="00A6073D" w:rsidRPr="00A6073D" w:rsidRDefault="00A6073D" w:rsidP="00A6073D">
      <w:pPr>
        <w:rPr>
          <w:rFonts w:ascii="Times New Roman" w:hAnsi="Times New Roman" w:cs="Times New Roman"/>
          <w:b/>
          <w:bCs/>
          <w:i/>
          <w:iCs/>
        </w:rPr>
      </w:pPr>
      <w:r w:rsidRPr="00A6073D">
        <w:rPr>
          <w:rFonts w:ascii="Times New Roman" w:hAnsi="Times New Roman" w:cs="Times New Roman"/>
          <w:b/>
          <w:bCs/>
          <w:i/>
          <w:iCs/>
        </w:rPr>
        <w:t xml:space="preserve">Becker, B. E., &amp; </w:t>
      </w:r>
      <w:proofErr w:type="spellStart"/>
      <w:r w:rsidRPr="00A6073D">
        <w:rPr>
          <w:rFonts w:ascii="Times New Roman" w:hAnsi="Times New Roman" w:cs="Times New Roman"/>
          <w:b/>
          <w:bCs/>
          <w:i/>
          <w:iCs/>
        </w:rPr>
        <w:t>Huselid</w:t>
      </w:r>
      <w:proofErr w:type="spellEnd"/>
      <w:r w:rsidRPr="00A6073D">
        <w:rPr>
          <w:rFonts w:ascii="Times New Roman" w:hAnsi="Times New Roman" w:cs="Times New Roman"/>
          <w:b/>
          <w:bCs/>
          <w:i/>
          <w:iCs/>
        </w:rPr>
        <w:t xml:space="preserve">, M. A. (2006). Strategic Human Resources Management: Where Do We Go </w:t>
      </w:r>
      <w:proofErr w:type="gramStart"/>
      <w:r w:rsidRPr="00A6073D">
        <w:rPr>
          <w:rFonts w:ascii="Times New Roman" w:hAnsi="Times New Roman" w:cs="Times New Roman"/>
          <w:b/>
          <w:bCs/>
          <w:i/>
          <w:iCs/>
        </w:rPr>
        <w:t>From</w:t>
      </w:r>
      <w:proofErr w:type="gramEnd"/>
      <w:r w:rsidRPr="00A6073D">
        <w:rPr>
          <w:rFonts w:ascii="Times New Roman" w:hAnsi="Times New Roman" w:cs="Times New Roman"/>
          <w:b/>
          <w:bCs/>
          <w:i/>
          <w:iCs/>
        </w:rPr>
        <w:t xml:space="preserve"> Here? Journal of Management, 32(6), 898-925.</w:t>
      </w:r>
    </w:p>
    <w:sectPr w:rsidR="00A6073D" w:rsidRPr="00A6073D" w:rsidSect="00641C0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03DF5" w14:textId="77777777" w:rsidR="00641C00" w:rsidRDefault="00641C00" w:rsidP="00FB6FD8">
      <w:pPr>
        <w:spacing w:line="240" w:lineRule="auto"/>
      </w:pPr>
      <w:r>
        <w:separator/>
      </w:r>
    </w:p>
  </w:endnote>
  <w:endnote w:type="continuationSeparator" w:id="0">
    <w:p w14:paraId="70E48544" w14:textId="77777777" w:rsidR="00641C00" w:rsidRDefault="00641C00" w:rsidP="00FB6F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6E63A" w14:textId="77777777" w:rsidR="00641C00" w:rsidRDefault="00641C00" w:rsidP="00FB6FD8">
      <w:pPr>
        <w:spacing w:line="240" w:lineRule="auto"/>
      </w:pPr>
      <w:r>
        <w:separator/>
      </w:r>
    </w:p>
  </w:footnote>
  <w:footnote w:type="continuationSeparator" w:id="0">
    <w:p w14:paraId="0E336A08" w14:textId="77777777" w:rsidR="00641C00" w:rsidRDefault="00641C00" w:rsidP="00FB6FD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宋体&lt;/FontName&gt;&lt;FontSize&gt;24&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rvxdds5wpf0ce5z0tvats5dersrdezf9v0&quot;&gt;我的 EndNote 库&lt;record-ids&gt;&lt;item&gt;219&lt;/item&gt;&lt;item&gt;220&lt;/item&gt;&lt;/record-ids&gt;&lt;/item&gt;&lt;/Libraries&gt;"/>
  </w:docVars>
  <w:rsids>
    <w:rsidRoot w:val="0014224F"/>
    <w:rsid w:val="0008435D"/>
    <w:rsid w:val="0014224F"/>
    <w:rsid w:val="004C2061"/>
    <w:rsid w:val="0062471E"/>
    <w:rsid w:val="00641C00"/>
    <w:rsid w:val="008E1142"/>
    <w:rsid w:val="00A23647"/>
    <w:rsid w:val="00A6073D"/>
    <w:rsid w:val="00C60504"/>
    <w:rsid w:val="00FB6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2CBF1"/>
  <w15:chartTrackingRefBased/>
  <w15:docId w15:val="{2796AD2F-79E1-47A0-A4DF-19074EAF1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471E"/>
    <w:pPr>
      <w:widowControl w:val="0"/>
      <w:spacing w:line="480" w:lineRule="auto"/>
      <w:jc w:val="both"/>
    </w:pPr>
  </w:style>
  <w:style w:type="paragraph" w:styleId="1">
    <w:name w:val="heading 1"/>
    <w:basedOn w:val="a"/>
    <w:link w:val="10"/>
    <w:uiPriority w:val="9"/>
    <w:qFormat/>
    <w:rsid w:val="00FB6FD8"/>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0"/>
    <w:uiPriority w:val="9"/>
    <w:semiHidden/>
    <w:unhideWhenUsed/>
    <w:qFormat/>
    <w:rsid w:val="004C206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6FD8"/>
    <w:pPr>
      <w:tabs>
        <w:tab w:val="center" w:pos="4153"/>
        <w:tab w:val="right" w:pos="8306"/>
      </w:tabs>
      <w:snapToGrid w:val="0"/>
      <w:jc w:val="center"/>
    </w:pPr>
    <w:rPr>
      <w:sz w:val="18"/>
      <w:szCs w:val="18"/>
    </w:rPr>
  </w:style>
  <w:style w:type="character" w:customStyle="1" w:styleId="a4">
    <w:name w:val="页眉 字符"/>
    <w:basedOn w:val="a0"/>
    <w:link w:val="a3"/>
    <w:uiPriority w:val="99"/>
    <w:rsid w:val="00FB6FD8"/>
    <w:rPr>
      <w:sz w:val="18"/>
      <w:szCs w:val="18"/>
    </w:rPr>
  </w:style>
  <w:style w:type="paragraph" w:styleId="a5">
    <w:name w:val="footer"/>
    <w:basedOn w:val="a"/>
    <w:link w:val="a6"/>
    <w:uiPriority w:val="99"/>
    <w:unhideWhenUsed/>
    <w:rsid w:val="00FB6FD8"/>
    <w:pPr>
      <w:tabs>
        <w:tab w:val="center" w:pos="4153"/>
        <w:tab w:val="right" w:pos="8306"/>
      </w:tabs>
      <w:snapToGrid w:val="0"/>
      <w:jc w:val="left"/>
    </w:pPr>
    <w:rPr>
      <w:sz w:val="18"/>
      <w:szCs w:val="18"/>
    </w:rPr>
  </w:style>
  <w:style w:type="character" w:customStyle="1" w:styleId="a6">
    <w:name w:val="页脚 字符"/>
    <w:basedOn w:val="a0"/>
    <w:link w:val="a5"/>
    <w:uiPriority w:val="99"/>
    <w:rsid w:val="00FB6FD8"/>
    <w:rPr>
      <w:sz w:val="18"/>
      <w:szCs w:val="18"/>
    </w:rPr>
  </w:style>
  <w:style w:type="character" w:customStyle="1" w:styleId="10">
    <w:name w:val="标题 1 字符"/>
    <w:basedOn w:val="a0"/>
    <w:link w:val="1"/>
    <w:uiPriority w:val="9"/>
    <w:rsid w:val="00FB6FD8"/>
    <w:rPr>
      <w:rFonts w:ascii="宋体" w:eastAsia="宋体" w:hAnsi="宋体" w:cs="宋体"/>
      <w:b/>
      <w:bCs/>
      <w:kern w:val="36"/>
      <w:sz w:val="48"/>
      <w:szCs w:val="48"/>
    </w:rPr>
  </w:style>
  <w:style w:type="paragraph" w:styleId="a7">
    <w:name w:val="Normal (Web)"/>
    <w:basedOn w:val="a"/>
    <w:uiPriority w:val="99"/>
    <w:semiHidden/>
    <w:unhideWhenUsed/>
    <w:rsid w:val="00FB6FD8"/>
    <w:pPr>
      <w:widowControl/>
      <w:spacing w:before="100" w:beforeAutospacing="1" w:after="100" w:afterAutospacing="1"/>
      <w:jc w:val="left"/>
    </w:pPr>
    <w:rPr>
      <w:rFonts w:ascii="宋体" w:eastAsia="宋体" w:hAnsi="宋体" w:cs="宋体"/>
      <w:kern w:val="0"/>
      <w:sz w:val="24"/>
      <w:szCs w:val="24"/>
    </w:rPr>
  </w:style>
  <w:style w:type="character" w:styleId="a8">
    <w:name w:val="Hyperlink"/>
    <w:basedOn w:val="a0"/>
    <w:uiPriority w:val="99"/>
    <w:unhideWhenUsed/>
    <w:rsid w:val="00FB6FD8"/>
    <w:rPr>
      <w:color w:val="0000FF"/>
      <w:u w:val="single"/>
    </w:rPr>
  </w:style>
  <w:style w:type="paragraph" w:styleId="a9">
    <w:name w:val="No Spacing"/>
    <w:link w:val="aa"/>
    <w:uiPriority w:val="1"/>
    <w:qFormat/>
    <w:rsid w:val="0062471E"/>
    <w:rPr>
      <w:kern w:val="0"/>
      <w:sz w:val="22"/>
    </w:rPr>
  </w:style>
  <w:style w:type="character" w:customStyle="1" w:styleId="aa">
    <w:name w:val="无间隔 字符"/>
    <w:basedOn w:val="a0"/>
    <w:link w:val="a9"/>
    <w:uiPriority w:val="1"/>
    <w:rsid w:val="0062471E"/>
    <w:rPr>
      <w:kern w:val="0"/>
      <w:sz w:val="22"/>
    </w:rPr>
  </w:style>
  <w:style w:type="paragraph" w:styleId="TOC">
    <w:name w:val="TOC Heading"/>
    <w:basedOn w:val="1"/>
    <w:next w:val="a"/>
    <w:uiPriority w:val="39"/>
    <w:unhideWhenUsed/>
    <w:qFormat/>
    <w:rsid w:val="0062471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2471E"/>
  </w:style>
  <w:style w:type="character" w:customStyle="1" w:styleId="30">
    <w:name w:val="标题 3 字符"/>
    <w:basedOn w:val="a0"/>
    <w:link w:val="3"/>
    <w:uiPriority w:val="9"/>
    <w:semiHidden/>
    <w:rsid w:val="004C2061"/>
    <w:rPr>
      <w:b/>
      <w:bCs/>
      <w:sz w:val="32"/>
      <w:szCs w:val="32"/>
    </w:rPr>
  </w:style>
  <w:style w:type="character" w:styleId="ab">
    <w:name w:val="Unresolved Mention"/>
    <w:basedOn w:val="a0"/>
    <w:uiPriority w:val="99"/>
    <w:semiHidden/>
    <w:unhideWhenUsed/>
    <w:rsid w:val="008E1142"/>
    <w:rPr>
      <w:color w:val="605E5C"/>
      <w:shd w:val="clear" w:color="auto" w:fill="E1DFDD"/>
    </w:rPr>
  </w:style>
  <w:style w:type="character" w:styleId="ac">
    <w:name w:val="FollowedHyperlink"/>
    <w:basedOn w:val="a0"/>
    <w:uiPriority w:val="99"/>
    <w:semiHidden/>
    <w:unhideWhenUsed/>
    <w:rsid w:val="008E1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6069">
      <w:bodyDiv w:val="1"/>
      <w:marLeft w:val="0"/>
      <w:marRight w:val="0"/>
      <w:marTop w:val="0"/>
      <w:marBottom w:val="0"/>
      <w:divBdr>
        <w:top w:val="none" w:sz="0" w:space="0" w:color="auto"/>
        <w:left w:val="none" w:sz="0" w:space="0" w:color="auto"/>
        <w:bottom w:val="none" w:sz="0" w:space="0" w:color="auto"/>
        <w:right w:val="none" w:sz="0" w:space="0" w:color="auto"/>
      </w:divBdr>
    </w:div>
    <w:div w:id="77018750">
      <w:bodyDiv w:val="1"/>
      <w:marLeft w:val="0"/>
      <w:marRight w:val="0"/>
      <w:marTop w:val="0"/>
      <w:marBottom w:val="0"/>
      <w:divBdr>
        <w:top w:val="none" w:sz="0" w:space="0" w:color="auto"/>
        <w:left w:val="none" w:sz="0" w:space="0" w:color="auto"/>
        <w:bottom w:val="none" w:sz="0" w:space="0" w:color="auto"/>
        <w:right w:val="none" w:sz="0" w:space="0" w:color="auto"/>
      </w:divBdr>
    </w:div>
    <w:div w:id="185485880">
      <w:bodyDiv w:val="1"/>
      <w:marLeft w:val="0"/>
      <w:marRight w:val="0"/>
      <w:marTop w:val="0"/>
      <w:marBottom w:val="0"/>
      <w:divBdr>
        <w:top w:val="none" w:sz="0" w:space="0" w:color="auto"/>
        <w:left w:val="none" w:sz="0" w:space="0" w:color="auto"/>
        <w:bottom w:val="none" w:sz="0" w:space="0" w:color="auto"/>
        <w:right w:val="none" w:sz="0" w:space="0" w:color="auto"/>
      </w:divBdr>
    </w:div>
    <w:div w:id="556356374">
      <w:bodyDiv w:val="1"/>
      <w:marLeft w:val="0"/>
      <w:marRight w:val="0"/>
      <w:marTop w:val="0"/>
      <w:marBottom w:val="0"/>
      <w:divBdr>
        <w:top w:val="none" w:sz="0" w:space="0" w:color="auto"/>
        <w:left w:val="none" w:sz="0" w:space="0" w:color="auto"/>
        <w:bottom w:val="none" w:sz="0" w:space="0" w:color="auto"/>
        <w:right w:val="none" w:sz="0" w:space="0" w:color="auto"/>
      </w:divBdr>
    </w:div>
    <w:div w:id="590968585">
      <w:bodyDiv w:val="1"/>
      <w:marLeft w:val="0"/>
      <w:marRight w:val="0"/>
      <w:marTop w:val="0"/>
      <w:marBottom w:val="0"/>
      <w:divBdr>
        <w:top w:val="none" w:sz="0" w:space="0" w:color="auto"/>
        <w:left w:val="none" w:sz="0" w:space="0" w:color="auto"/>
        <w:bottom w:val="none" w:sz="0" w:space="0" w:color="auto"/>
        <w:right w:val="none" w:sz="0" w:space="0" w:color="auto"/>
      </w:divBdr>
    </w:div>
    <w:div w:id="624968571">
      <w:bodyDiv w:val="1"/>
      <w:marLeft w:val="0"/>
      <w:marRight w:val="0"/>
      <w:marTop w:val="0"/>
      <w:marBottom w:val="0"/>
      <w:divBdr>
        <w:top w:val="none" w:sz="0" w:space="0" w:color="auto"/>
        <w:left w:val="none" w:sz="0" w:space="0" w:color="auto"/>
        <w:bottom w:val="none" w:sz="0" w:space="0" w:color="auto"/>
        <w:right w:val="none" w:sz="0" w:space="0" w:color="auto"/>
      </w:divBdr>
    </w:div>
    <w:div w:id="809135072">
      <w:bodyDiv w:val="1"/>
      <w:marLeft w:val="0"/>
      <w:marRight w:val="0"/>
      <w:marTop w:val="0"/>
      <w:marBottom w:val="0"/>
      <w:divBdr>
        <w:top w:val="none" w:sz="0" w:space="0" w:color="auto"/>
        <w:left w:val="none" w:sz="0" w:space="0" w:color="auto"/>
        <w:bottom w:val="none" w:sz="0" w:space="0" w:color="auto"/>
        <w:right w:val="none" w:sz="0" w:space="0" w:color="auto"/>
      </w:divBdr>
    </w:div>
    <w:div w:id="892620485">
      <w:bodyDiv w:val="1"/>
      <w:marLeft w:val="0"/>
      <w:marRight w:val="0"/>
      <w:marTop w:val="0"/>
      <w:marBottom w:val="0"/>
      <w:divBdr>
        <w:top w:val="none" w:sz="0" w:space="0" w:color="auto"/>
        <w:left w:val="none" w:sz="0" w:space="0" w:color="auto"/>
        <w:bottom w:val="none" w:sz="0" w:space="0" w:color="auto"/>
        <w:right w:val="none" w:sz="0" w:space="0" w:color="auto"/>
      </w:divBdr>
    </w:div>
    <w:div w:id="939490489">
      <w:bodyDiv w:val="1"/>
      <w:marLeft w:val="0"/>
      <w:marRight w:val="0"/>
      <w:marTop w:val="0"/>
      <w:marBottom w:val="0"/>
      <w:divBdr>
        <w:top w:val="none" w:sz="0" w:space="0" w:color="auto"/>
        <w:left w:val="none" w:sz="0" w:space="0" w:color="auto"/>
        <w:bottom w:val="none" w:sz="0" w:space="0" w:color="auto"/>
        <w:right w:val="none" w:sz="0" w:space="0" w:color="auto"/>
      </w:divBdr>
    </w:div>
    <w:div w:id="1465389387">
      <w:bodyDiv w:val="1"/>
      <w:marLeft w:val="0"/>
      <w:marRight w:val="0"/>
      <w:marTop w:val="0"/>
      <w:marBottom w:val="0"/>
      <w:divBdr>
        <w:top w:val="none" w:sz="0" w:space="0" w:color="auto"/>
        <w:left w:val="none" w:sz="0" w:space="0" w:color="auto"/>
        <w:bottom w:val="none" w:sz="0" w:space="0" w:color="auto"/>
        <w:right w:val="none" w:sz="0" w:space="0" w:color="auto"/>
      </w:divBdr>
    </w:div>
    <w:div w:id="1839953652">
      <w:bodyDiv w:val="1"/>
      <w:marLeft w:val="0"/>
      <w:marRight w:val="0"/>
      <w:marTop w:val="0"/>
      <w:marBottom w:val="0"/>
      <w:divBdr>
        <w:top w:val="none" w:sz="0" w:space="0" w:color="auto"/>
        <w:left w:val="none" w:sz="0" w:space="0" w:color="auto"/>
        <w:bottom w:val="none" w:sz="0" w:space="0" w:color="auto"/>
        <w:right w:val="none" w:sz="0" w:space="0" w:color="auto"/>
      </w:divBdr>
    </w:div>
    <w:div w:id="185919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qiTE2fjMd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lqiTE2fjMd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691B94-3E10-44EE-9E32-E9699807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2094</Words>
  <Characters>11942</Characters>
  <Application>Microsoft Office Word</Application>
  <DocSecurity>0</DocSecurity>
  <Lines>99</Lines>
  <Paragraphs>28</Paragraphs>
  <ScaleCrop>false</ScaleCrop>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 su</dc:creator>
  <cp:keywords/>
  <dc:description/>
  <cp:lastModifiedBy>jc su</cp:lastModifiedBy>
  <cp:revision>3</cp:revision>
  <dcterms:created xsi:type="dcterms:W3CDTF">2024-04-15T12:08:00Z</dcterms:created>
  <dcterms:modified xsi:type="dcterms:W3CDTF">2024-04-15T18:56:00Z</dcterms:modified>
</cp:coreProperties>
</file>