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w:hAnsi="Times New Roman" w:cs="Times New Roman"/>
          <w:i w:val="0"/>
          <w:iCs w:val="0"/>
          <w:sz w:val="24"/>
          <w:szCs w:val="24"/>
        </w:rPr>
        <w:t xml:space="preserve">                         </w:t>
      </w:r>
      <w:r>
        <w:rPr>
          <w:rFonts w:hint="default" w:ascii="Times New Roman Bold" w:hAnsi="Times New Roman Bold" w:cs="Times New Roman Bold"/>
          <w:b/>
          <w:bCs/>
          <w:i w:val="0"/>
          <w:iCs w:val="0"/>
          <w:sz w:val="24"/>
          <w:szCs w:val="24"/>
        </w:rPr>
        <w:t xml:space="preserve"> Mini-Proposal Design</w:t>
      </w:r>
    </w:p>
    <w:p>
      <w:pPr>
        <w:numPr>
          <w:ilvl w:val="0"/>
          <w:numId w:val="0"/>
        </w:numPr>
        <w:spacing w:line="360" w:lineRule="auto"/>
        <w:jc w:val="center"/>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Xueting Xiong</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1. Title</w:t>
      </w:r>
    </w:p>
    <w:p>
      <w:pPr>
        <w:numPr>
          <w:ilvl w:val="0"/>
          <w:numId w:val="0"/>
        </w:numPr>
        <w:spacing w:line="360" w:lineRule="auto"/>
        <w:ind w:firstLine="360" w:firstLineChars="150"/>
        <w:jc w:val="center"/>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The impact of online platform mediated collaborative learning on IELTS Writing targeted at college students in international programs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2.Aims of the investigation</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This empirical research is conducted in an attempt to explore college students’ experiences and perceptions of the role online platform mediated collaborative learning plays in their learning of English writing, particularly IELTS writing, which is integrated into an English writing course.In addition, such online collaborative learning mechanism is employed with the purpose of developing students’ IELTS writing skills and enhancing their performance in the IELTS test. The overarching research questions are listed as follows:</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Why does online platform mediated collaborative learning occur in IELTS Writing?</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How can online platform mediated collaborative learning be integrated into IELTS Writing? </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What are students' perceptions about the role of online platform mediated collaborative learning?</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What are the effects of integrating online platform mediated collaborative learning into IELTS Writing in terms of students’ learning outcomes? </w:t>
      </w:r>
    </w:p>
    <w:p>
      <w:pPr>
        <w:numPr>
          <w:ilvl w:val="0"/>
          <w:numId w:val="0"/>
        </w:numPr>
        <w:spacing w:line="360" w:lineRule="auto"/>
        <w:rPr>
          <w:rFonts w:hint="default" w:ascii="Times New Roman" w:hAnsi="Times New Roman" w:cs="Times New Roman"/>
          <w:i w:val="0"/>
          <w:iCs w:val="0"/>
          <w:sz w:val="24"/>
          <w:szCs w:val="24"/>
        </w:rPr>
      </w:pPr>
    </w:p>
    <w:p>
      <w:pPr>
        <w:numPr>
          <w:ilvl w:val="0"/>
          <w:numId w:val="1"/>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The rationale and main conceptual themes for the investigation</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3.1 Rationale for this study</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recent decades, teaching in most Chinese tertiary education classrooms has transformed from a solely face-to-face classroom environment to one that is either online or a blend of the two. It is possible that more sophisticated e-learning can be achieved with the support of innovative information technologies, thus facilitating  more rapid growth of online environments, especially some online platforms for academic learning, such as Google.doc or Wikis, support communication,participation and collaboration and allow students to engage in authentic learning tasks(Goold, Coldwell&amp;Craig, 2010). </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China, there are also some similar online platforms, typically exemplified by Dingding and Tencent, which have been extensively utilised all around the nation particularly during the quarantine due to the outbreak of coronavirus. Even Teachers who are accustomed to the traditional instructor-learner transmission model in the classroom have to change their attitudes towards online learning and keep up with the pace of technological innovation. In effect, such transformation can better cater to the learning demand of college students who are too reliant on digital resources to live without them. As for my students who are in the international programs in our college, they are entitled to study overseas in their senior or junior year if they can meet the requirement of EILTS test. However, most of them have encountered numerous obstacles in learning the writing skills and often feel frustrated only to find no progress in spite of their tremendous efforts.This is largely due to the fact that the time allocated for the course of English writing is too limited and students’ potential of autonomous learning cannot be fulfilled. </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 order to resolve those problems, A new model for learning English writing skills with the integration of online platform mediated collaborative learning into the course of English writing is proposed to exert far-reaching influence on improving students’ learning outcomes and raising their awareness of autonomous learning. This model provides a new form of social interaction that is both learner-empowered and includes techniques such as dialogic teaching and peer feedback. Moreover, as Internet serves as a medium for communication,communicative and task-based learning have also to be highlighted. More specifically, online information-sharing and discussion forum in the aforementioned learning platform can be accessible for both teachers and students to share authentic materials related to the topics in writing and upload their reflective journals if possible ,therefore playing a supplementary part in the writing curriculum. Such topic-oriented discussion is conducive to identifying and tackling problems correlated with their work, which can enhance learners’ linguistic and communicative competence which is an essential prerequisite for students to achieve their goals in English writing.</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3.2 Conceptual themes for this investigation</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 general, a socio-cultural theoretical framework is applied into this empirical research, which places emphasis on students’ learning during participation in online communities of practice. Specifically, online platform, which serves as a digital instructional tool based on the conceptual themes of CMC(computer-mediated communication) and LMS(language management systems) is advocated to be incorporated in the course of IELTS Writing. Meanwhile, collaborative learning mediated by such online platform would be explored on the basis of dialogic teaching on instructors’ part and peer feedback,particularly online peer tutoring among students.</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3.2.1 Socio-cultural theory and dialogic teaching</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Vygotsky’s Socio-cultural theory which plays an active,interactive and collaborative role in learners’ entire learning process has been used as the general  theoretical framework. In particular,the role of social interaction and language should be prioritised as essential mediators of the whole learning process(Vygotsky, 1978). A  rising body of studies investigating the impact of dialogic teaching on students’ collaboration and learning outcomes have been supportive of this assertion. In such context, dialogic teaching can be defined as an approach which highlights the function of teacher talk used to engage students in the joint construction of knowledge. More specifically, instead of facilitating teacher-student interaction, student-student interaction should be promoted by using teacher talk to a larger extent, which has been demonstrated to be of huge significance. This is due to the fact that it creates a more symmetrical environment with regard to power and status differentials between students, which is more beneficial for their collaborative learning and co-construction of knowledge.(Hardman&amp;Hardman, 2016) </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With reference to the above theoretical foundation, even in virtual learning environment, instructors also should make every effort to set collaborative ground rules, promote joint construction of meaning and create an open,</w:t>
      </w:r>
      <w:r>
        <w:rPr>
          <w:rFonts w:hint="eastAsia" w:ascii="Times New Roman" w:hAnsi="Times New Roman" w:cs="Times New Roman"/>
          <w:i w:val="0"/>
          <w:iCs w:val="0"/>
          <w:sz w:val="24"/>
          <w:szCs w:val="24"/>
          <w:lang w:val="en-US" w:eastAsia="zh-Hans"/>
        </w:rPr>
        <w:t>interactive</w:t>
      </w:r>
      <w:r>
        <w:rPr>
          <w:rFonts w:hint="default" w:ascii="Times New Roman" w:hAnsi="Times New Roman" w:cs="Times New Roman"/>
          <w:i w:val="0"/>
          <w:iCs w:val="0"/>
          <w:sz w:val="24"/>
          <w:szCs w:val="24"/>
        </w:rPr>
        <w:t xml:space="preserve"> and motivating atmosphere </w:t>
      </w:r>
      <w:r>
        <w:rPr>
          <w:rFonts w:hint="eastAsia" w:ascii="Times New Roman" w:hAnsi="Times New Roman" w:cs="Times New Roman"/>
          <w:i w:val="0"/>
          <w:iCs w:val="0"/>
          <w:sz w:val="24"/>
          <w:szCs w:val="24"/>
          <w:lang w:val="en-US" w:eastAsia="zh-Hans"/>
        </w:rPr>
        <w:t>online</w:t>
      </w:r>
      <w:r>
        <w:rPr>
          <w:rFonts w:hint="default" w:ascii="Times New Roman" w:hAnsi="Times New Roman" w:cs="Times New Roman"/>
          <w:i w:val="0"/>
          <w:iCs w:val="0"/>
          <w:sz w:val="24"/>
          <w:szCs w:val="24"/>
          <w:lang w:eastAsia="zh-Hans"/>
        </w:rPr>
        <w:t xml:space="preserve"> </w:t>
      </w:r>
      <w:r>
        <w:rPr>
          <w:rFonts w:hint="default" w:ascii="Times New Roman" w:hAnsi="Times New Roman" w:cs="Times New Roman"/>
          <w:i w:val="0"/>
          <w:iCs w:val="0"/>
          <w:sz w:val="24"/>
          <w:szCs w:val="24"/>
        </w:rPr>
        <w:t xml:space="preserve">for students. Moreover, providing learning resources related to objectives of this course for students to discuss and construct their own reflective journals and giving feedback when necessary can be characterised as a heuristic process of learning that can scaffold students to tackle problems independently or more preferably with the help of their peers in English writing class. Such moves are also closely linked with Alexander’s principles of a dialogic pedagogy since they are collective,reciprocal,supportive,cumulative and purposeful(Alexander,2008). </w:t>
      </w:r>
    </w:p>
    <w:p>
      <w:pPr>
        <w:numPr>
          <w:ilvl w:val="0"/>
          <w:numId w:val="0"/>
        </w:numPr>
        <w:spacing w:line="360" w:lineRule="auto"/>
        <w:ind w:firstLine="720" w:firstLineChars="3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To summarise, following Vygotsky’s theory,it can be revealed that the support of online collaborative learning and peer tutoring activities may add social meaning to the writing process and thus enhance students’ progress.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3.2.2 CMC &amp; LMS</w:t>
      </w:r>
    </w:p>
    <w:p>
      <w:pPr>
        <w:numPr>
          <w:ilvl w:val="0"/>
          <w:numId w:val="0"/>
        </w:numPr>
        <w:spacing w:line="360" w:lineRule="auto"/>
        <w:rPr>
          <w:rFonts w:hint="default" w:ascii="Times New Roman Bold" w:hAnsi="Times New Roman Bold" w:cs="Times New Roman Bold"/>
          <w:b/>
          <w:bCs/>
          <w:i w:val="0"/>
          <w:iCs w:val="0"/>
          <w:sz w:val="24"/>
          <w:szCs w:val="24"/>
        </w:rPr>
      </w:pP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 addition, there is a significant body of research indicating that CMC(computer mediated communication) has been increasingly utilised as an  indispensable instructional tool in the field of education with the advancement of information technology. It has been adopted as a productive digital tool among college instructors and students on a global scale and the vast majority of them take positive attitudes towards CMC.There is also evidence to confirm that CMC exerts tremendous influence on students’ learning performance, some of whom have reaped huge benefits from L2 learning via this tool. The evidence suggests that the use of CMC in L2 learning can enhance students’ engagement in their learning process, and more specifically in the aspect of writing. ( )Furthermore, Learning Management Systems(LMS) are also being integrated in the curriculum by many educational institutions to extend teaching and learning beyond classroom.The online instructional platform Dingding involved in LMS prevails among Chinese teachers and students especially after the outbreak of coronavirus pandemic. During the period when the public have to be kept in quarantine, this platform creates a flexible and interactive setting for teachers to impart knowledge and facilitate collaborative learning among students outside of the classroom. Such typical features of online learning can provide students with diversified learning experiences, more opportunities to communicate with their teachers and peers beyond the classroom and support their autonomous learning. In this learning context, both synchronous and asynchronous modes of technology add new dimension to teaching and learning.</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However, since the virtual classroom is intrinsically different from the campus-based classroom,where students and instructors meet face-to-face(F2F), a large number of researchers claim that these differences must be taken into account for successful CMC and LMS outcomes. It has been empirically proved that F2F is best for joint-decision making, and successful task achievement is dependent on choosing the right medium for the right task. Likewise, ... claims that F2F is better and also preferred by students for discussing and responding to ideas,whilst CMC is more effective in information-sharing. More importantly, CMC tasks also need to be structured. “... reported that knowledge construction was significantly better within a structured as opposed to an unstructured CMC environment and led to higher levels of critical thinking”. (Mason and Bacsich(1998), summarizing their many years of running UK open university courses, go a step further and emphasize that “on-line contributions must be posted within a heavily structured environment”.)In other words, students are more inclined to participate online as long as such participation is goal-driven.</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To sum up, CMC seems more appropriate to be served as a digital tool for teachers and students to share and store information, based on which they can have simple discussion .By contrast, F2F plays a more significant role in engaging students into deeper discussion based on the sharing information. As these tasks are complementary to some extent, the optimal solution would be to use both CMC and F2F. Blended learning, a pedagogical combination of the virtual and the physical class, has become prevalent in post-pandemic period.</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3.2.3 Collaborative learning and Peer feedback </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It is universally agreed that collaborative learning is an effective approach of L2 teaching and offers a truly conducive environment for autonomous learning of language which involves pairs or groups of learners in the classroom or outside the classroom. More specifically, student learning can be facilitated dependent on the socially structured exchange of information among learners in groups in which learners are held accountable for their own learning and are motivated to promote their peers’ learning. </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 terms of online platform mediated collaborative learning, peer feedback, particularly peer tutoring may be of greater importance compared with aforementioned dialogic teaching  sometimes referred to as “peer response”, “peer assessment” or “peer editing”, in which students offer comments on one another’s writing in written and oral formats through active engagement over multiple drafts, has becme an important pedagogical tool in English writing classroom(Lin&amp;Yang, 2011). Yygotskian social constructivist learning theory suggests that learning takes place between people through participation in communities of practice and is mediated by tools, such as computer technologies.</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Online peer tutoring, an aspect of peer feedback among cross-age students, allows students to engage in online writing activities using the tools and resources of their cultural community. The research literature has widely agreed that this new learning model has been effective in generating meaningful social interactions that facilitate learning and development.There is a growing awareness of the importance of the language learning process, especially in the research of peer feedback and its effects on learning.</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4.Methodology</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4.1 Participants  </w:t>
      </w:r>
    </w:p>
    <w:p>
      <w:pPr>
        <w:numPr>
          <w:ilvl w:val="0"/>
          <w:numId w:val="0"/>
        </w:numPr>
        <w:spacing w:line="360" w:lineRule="auto"/>
        <w:ind w:firstLine="48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 total of 60 students involved in two separate classes are expected to participate in this study. They are sophomores aged between 19 and 21 years old who are in the international programs in our college with half of them from the school of food science and engineering and the other half from advertising. The teaching objectives of all the English courses mainly revolve around IELTS test as students in this program enjoy the opportunity to study abroad in the colleges either in the UK or in the USA which are in partnership with ours when they are juniors or seniors. IELTS Band 6 is a precondition for them to have access to this 2+2 or 3+1 program.</w:t>
      </w: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w:hAnsi="Times New Roman" w:cs="Times New Roman"/>
          <w:b w:val="0"/>
          <w:bCs w:val="0"/>
          <w:i w:val="0"/>
          <w:iCs w:val="0"/>
          <w:sz w:val="24"/>
          <w:szCs w:val="24"/>
        </w:rPr>
        <w:t xml:space="preserve">There are two different groups with 30 students involved separately. Group One is the experimental group that would be engaged in </w:t>
      </w:r>
      <w:r>
        <w:rPr>
          <w:rFonts w:hint="default" w:ascii="Times New Roman" w:hAnsi="Times New Roman" w:cs="Times New Roman"/>
          <w:i w:val="0"/>
          <w:iCs w:val="0"/>
          <w:sz w:val="24"/>
          <w:szCs w:val="24"/>
        </w:rPr>
        <w:t>online platform mediated collaborative learning together with traditional F2F instruction. On the contrary, Group Two is the control group with no online learning incorporated in the course.  With respect to students’ performance in English writing in their freshmen year, it can be observed that both groups share an overall similar linguistic competence. As a result, it is estimated that there may be no remarkable differences in their performance of the pre-test and the results of post-test can indicate whether students’ writing skills can be improved with the support of online platform mediated collaborative learning, which can provide more compelling experimental evidence .</w:t>
      </w:r>
    </w:p>
    <w:p>
      <w:pPr>
        <w:numPr>
          <w:ilvl w:val="0"/>
          <w:numId w:val="0"/>
        </w:numPr>
        <w:spacing w:line="360" w:lineRule="auto"/>
        <w:ind w:firstLine="48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4.2 Research design settings</w:t>
      </w:r>
    </w:p>
    <w:p>
      <w:pPr>
        <w:numPr>
          <w:ilvl w:val="0"/>
          <w:numId w:val="0"/>
        </w:numPr>
        <w:spacing w:line="360" w:lineRule="auto"/>
        <w:ind w:firstLine="480"/>
        <w:rPr>
          <w:rFonts w:hint="default" w:ascii="Times New Roman" w:hAnsi="Times New Roman" w:cs="Times New Roman"/>
          <w:i w:val="0"/>
          <w:iCs w:val="0"/>
          <w:sz w:val="24"/>
          <w:szCs w:val="24"/>
        </w:rPr>
      </w:pP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Bold" w:hAnsi="Times New Roman Bold" w:cs="Times New Roman Bold"/>
          <w:b/>
          <w:bCs/>
          <w:i w:val="0"/>
          <w:iCs w:val="0"/>
          <w:sz w:val="24"/>
          <w:szCs w:val="24"/>
        </w:rPr>
        <w:t xml:space="preserve"> </w:t>
      </w:r>
      <w:r>
        <w:rPr>
          <w:rFonts w:hint="default" w:ascii="Times New Roman" w:hAnsi="Times New Roman" w:cs="Times New Roman"/>
          <w:i w:val="0"/>
          <w:iCs w:val="0"/>
          <w:sz w:val="24"/>
          <w:szCs w:val="24"/>
        </w:rPr>
        <w:t>This empirical research is designed to be conducted in the third semester of English writing course since the teaching objectives for this semester pertains to the second task of IELTS, namely, academic essay writing. There are a diversity of topics involved in this task, ranging from education to technology. Quality and comprehensible input ,such as authentic materials from foreign journals is integral in laying a solid foundation for students’ information storage and absorption, and therefore topic-oriented discussion and reflective journals based on those learning materials are of vital importance for students to expand their scope of knowledge and cultivate their critical thinking. During this process, both teachers’ guidance through dialogic teaching and informative feedback coupled with students’ peer feedback have positive effect on students’ online learning experiences and outcomes. In an attempt to fulfill those tasks more productively Students in the experimental group are planned to be divided into five small groups with a student playing the leading and facilitating role in each group. The five group leaders should be chosen following the principle that they are willing and capable to shoulder this responsibility of engaging group members into collaborative learning with the assistance of the teacher. Additionally, it is suggested that their linguistic and communicative competence could be preferably above the average level.</w:t>
      </w: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 The Chinese online learning platform Dingding serves as the mediated virtual tool utilised by teachers and students to achieve the goals mentioned above mainly by virtue of collaborative learning. both synchronous and asynchronous modes of technology have been developed to be incorporated in such online learning environment. For example, students in the same group can arrange the time when they can discuss simultaneously about the topic of the article from foreign journals chosen by the teacher per week through negotiation. Leaders are in charge of facilitating the discussion and guaranteeing that every group member is involved in the discussion where both peer tutoring and feedback take place. The student who is competent in information synthesis in each group can volunteer or be recommended to fulfill this task of writing down summary of each discussion, which can be collected together as the portfolio at the end of the semester. Apart from such informal output, students are also expected to take notes systematically with reference to teachers’ sharing and write reflective journals critically on the basis of articles they read. They can upload their notes and reflective journals per week via the assignment-sharing function of Dingding where the teacher can have access to their assignments and give both oral and written feedback online and the excellent assignments can be accessible to other students in the class. Such asynchronous mode of technology can be of great assistance for the teacher to improve the efficiency and effectiveness of offering feedback and for students to reap tremendous benefits of positive peer influence.</w:t>
      </w:r>
    </w:p>
    <w:p>
      <w:pPr>
        <w:numPr>
          <w:ilvl w:val="0"/>
          <w:numId w:val="0"/>
        </w:numPr>
        <w:spacing w:line="360" w:lineRule="auto"/>
        <w:ind w:firstLine="48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4.3 Research procedures(data collection methods&amp;data analysis methods)</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Bold" w:hAnsi="Times New Roman Bold" w:cs="Times New Roman Bold"/>
          <w:b/>
          <w:bCs/>
          <w:i w:val="0"/>
          <w:iCs w:val="0"/>
          <w:sz w:val="24"/>
          <w:szCs w:val="24"/>
        </w:rPr>
        <w:t xml:space="preserve">    </w:t>
      </w:r>
      <w:r>
        <w:rPr>
          <w:rFonts w:hint="default" w:ascii="Times New Roman" w:hAnsi="Times New Roman" w:cs="Times New Roman"/>
          <w:i w:val="0"/>
          <w:iCs w:val="0"/>
          <w:sz w:val="24"/>
          <w:szCs w:val="24"/>
        </w:rPr>
        <w:t xml:space="preserve"> A mixed-method approach with three quantitative and qualitative methods involved-questionnaire,interview and writing tests are expected to be analysed to provide a triangulated interpretation(Cresqwell &amp; Plano Clark, 2007).</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     At the beginning of the semester when IELTS writing is involved, online questionnaire will be designed with the purpose of basically identifying students’ perceptions and attitudes towards online platform mediated collaborative learning. Additionally, students in both experimental and control group have to participate in the pre-test which serves as the simulated examination of the second task of IELTS writing. All of them are expected to finish the test of a 250-word academic essay within 40 minutes and so to find out their starting level of writing skills for academic essay based on the official marking criteria from four aspects,namely, task response,lexical resources,grammatical range and accuracy as well as coherence and cohesion. During this semester, the course will be instructed by the same teacher in those two different classes, which both are engaged in the same teaching and learning environment in the F2F classroom. However, the students in the experimental class will be guided to take advantage of the online learning platform Dingding with collaborative learning integrated outside of classroom.The aforementioned collaborative learning activities will be carried out online to serve as a supplementary part for F2F classroom learning. At the end of the semester, another online questionnaire will be created to find out students’ perceptions of the role online platform mediated collaborative learning plays in their learning of academic essay writing skills in the whole semester and more importantly to see whether there are some different perceptions compared with the result of the questionnaire shared at the beginning of the semester. Furthermore, both post-test and semi-structured interviews will be held in the experimental group whilst only post-test will be carried out in the control group. On the last day of the course, for the first session, all the students in both groups are expected to participate in the post-test with the same requirement of pre-test. The results of such tests in different groups can indicate their different degrees of progress in writing performance, thus shedding new light on the impact of online platform mediated collaborative learning on ILETS writing. Furthermore, a semi-structured interview will be held between the teacher who acts as the interviewer and five group leaders in the experimental class . Eight specific non-leading questions concerning the design of this course and online activities are predicted to be answered within 10 minutes for each interviewee so that the 45-min session time limit could not be exceeded. During this process, the interviewer’s questions can vary slightly according to interviewees’ different answers. Since group leaders are more committed to online collaborative learning, their answers would be of huge significance for the teacher to reflect on and gain deeper insights into the effectiveness of teaching content and strategies, which may result in far-reaching pedagogical implication for the teacher.</w:t>
      </w: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terms of data analysis, it should be illustrated from two main aspects including both quantitative and qualitative analysis. The numerical responses to questionnaires are estimated to be analysed quantitatively using the SPSS statistical software. By contrast, the qualitative textual data from students’ interviews will be transcribed and evaluated with the aid of a text analysis software named PASW Text Analytics for Surveys, which is globally accessible. </w:t>
      </w:r>
      <w:r>
        <w:rPr>
          <w:rFonts w:hint="default" w:ascii="Times New Roman" w:hAnsi="Times New Roman" w:cs="Times New Roman"/>
          <w:i w:val="0"/>
          <w:iCs w:val="0"/>
          <w:sz w:val="24"/>
          <w:szCs w:val="24"/>
        </w:rPr>
        <w:t xml:space="preserve">In the meantime, </w:t>
      </w:r>
      <w:r>
        <w:rPr>
          <w:rFonts w:hint="eastAsia" w:ascii="Times New Roman" w:hAnsi="Times New Roman" w:cs="Times New Roman"/>
          <w:i w:val="0"/>
          <w:iCs w:val="0"/>
          <w:sz w:val="24"/>
          <w:szCs w:val="24"/>
          <w:lang w:eastAsia="zh-CN"/>
        </w:rPr>
        <w:t xml:space="preserve">the interviews will be audio-taped as </w:t>
      </w:r>
      <w:r>
        <w:rPr>
          <w:rFonts w:hint="default" w:ascii="Times New Roman" w:hAnsi="Times New Roman" w:cs="Times New Roman"/>
          <w:i w:val="0"/>
          <w:iCs w:val="0"/>
          <w:sz w:val="24"/>
          <w:szCs w:val="24"/>
          <w:lang w:eastAsia="zh-CN"/>
        </w:rPr>
        <w:t>“</w:t>
      </w:r>
      <w:r>
        <w:rPr>
          <w:rFonts w:hint="eastAsia" w:ascii="Times New Roman" w:hAnsi="Times New Roman" w:cs="Times New Roman"/>
          <w:i w:val="0"/>
          <w:iCs w:val="0"/>
          <w:sz w:val="24"/>
          <w:szCs w:val="24"/>
          <w:lang w:eastAsia="zh-CN"/>
        </w:rPr>
        <w:t>the tape provides a permanent record and allows you to concentrate on the interview</w:t>
      </w:r>
      <w:r>
        <w:rPr>
          <w:rFonts w:hint="default" w:ascii="Times New Roman" w:hAnsi="Times New Roman" w:cs="Times New Roman"/>
          <w:i w:val="0"/>
          <w:iCs w:val="0"/>
          <w:sz w:val="24"/>
          <w:szCs w:val="24"/>
          <w:lang w:eastAsia="zh-CN"/>
        </w:rPr>
        <w:t>”</w:t>
      </w:r>
      <w:r>
        <w:rPr>
          <w:rFonts w:hint="eastAsia" w:ascii="Times New Roman" w:hAnsi="Times New Roman" w:cs="Times New Roman"/>
          <w:i w:val="0"/>
          <w:iCs w:val="0"/>
          <w:sz w:val="24"/>
          <w:szCs w:val="24"/>
          <w:lang w:eastAsia="zh-CN"/>
        </w:rPr>
        <w:t xml:space="preserve"> (Robson: 2002, 289-290). </w:t>
      </w:r>
      <w:r>
        <w:rPr>
          <w:rFonts w:hint="default" w:ascii="Times New Roman" w:hAnsi="Times New Roman" w:cs="Times New Roman"/>
          <w:i w:val="0"/>
          <w:iCs w:val="0"/>
          <w:sz w:val="24"/>
          <w:szCs w:val="24"/>
        </w:rPr>
        <w:t>Moreover, with regard to written tests,since they are arranged to be held in the classroom with no interruption of electronic devices, the authenticity can be better guaranteed. They will be marked by two different teachers following the same official marking criteria mentioned above and the average scores will be calculated. The results of such tests can compare students’ changes in writing performance in two different groups and serve as compelling evidence of the impact of online platform mediated collaborative learning on IELTS writing.</w:t>
      </w:r>
    </w:p>
    <w:p>
      <w:pPr>
        <w:numPr>
          <w:ilvl w:val="0"/>
          <w:numId w:val="0"/>
        </w:numPr>
        <w:spacing w:line="360" w:lineRule="auto"/>
        <w:ind w:firstLine="480"/>
        <w:rPr>
          <w:rFonts w:hint="default" w:ascii="Times New Roman" w:hAnsi="Times New Roman" w:cs="Times New Roman"/>
          <w:i w:val="0"/>
          <w:iCs w:val="0"/>
          <w:sz w:val="24"/>
          <w:szCs w:val="24"/>
        </w:rPr>
      </w:pPr>
    </w:p>
    <w:p>
      <w:pPr>
        <w:numPr>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4.4 </w:t>
      </w:r>
      <w:r>
        <w:rPr>
          <w:rFonts w:hint="default" w:ascii="Times New Roman Bold" w:hAnsi="Times New Roman Bold" w:cs="Times New Roman Bold"/>
          <w:b/>
          <w:bCs/>
          <w:i w:val="0"/>
          <w:iCs w:val="0"/>
          <w:sz w:val="24"/>
          <w:szCs w:val="24"/>
        </w:rPr>
        <w:t>Ethical issues</w:t>
      </w:r>
    </w:p>
    <w:p>
      <w:pPr>
        <w:numPr>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b w:val="0"/>
          <w:bCs w:val="0"/>
          <w:i w:val="0"/>
          <w:iCs w:val="0"/>
          <w:sz w:val="24"/>
          <w:szCs w:val="24"/>
        </w:rPr>
        <w:t xml:space="preserve">In this empirical research, two groups of students are anticipated to be involved. It is morally sound to inform those students of the procedures and purpose of this research and ask for their consent. </w:t>
      </w:r>
      <w:r>
        <w:rPr>
          <w:rFonts w:hint="default" w:ascii="Times New Roman" w:hAnsi="Times New Roman" w:cs="Times New Roman"/>
          <w:i w:val="0"/>
          <w:iCs w:val="0"/>
          <w:sz w:val="24"/>
          <w:szCs w:val="24"/>
        </w:rPr>
        <w:t>There is no doubt that ethical issues can never be underestimated in qualitative research,</w:t>
      </w:r>
      <w:r>
        <w:rPr>
          <w:rFonts w:hint="default"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particularly in the studies involved different participants. With respect to this study about teachers’ beliefs, two aspects of ethical issues should be taken into account, namely</w:t>
      </w:r>
      <w:r>
        <w:rPr>
          <w:rFonts w:hint="default"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confidentiality and anonymity as well as informed consent.</w:t>
      </w:r>
    </w:p>
    <w:p>
      <w:pPr>
        <w:numPr>
          <w:numId w:val="0"/>
        </w:numPr>
        <w:spacing w:line="360" w:lineRule="auto"/>
        <w:ind w:firstLine="601" w:firstLineChars="250"/>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 </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lang w:eastAsia="zh-CN"/>
        </w:rPr>
        <w:t>4.4.1</w:t>
      </w:r>
      <w:r>
        <w:rPr>
          <w:rFonts w:hint="default" w:ascii="Times New Roman Bold" w:hAnsi="Times New Roman Bold" w:cs="Times New Roman Bold"/>
          <w:b/>
          <w:bCs/>
          <w:i w:val="0"/>
          <w:iCs w:val="0"/>
          <w:sz w:val="24"/>
          <w:szCs w:val="24"/>
          <w:lang w:eastAsia="zh-CN"/>
        </w:rPr>
        <w:t xml:space="preserve"> </w:t>
      </w:r>
      <w:r>
        <w:rPr>
          <w:rFonts w:hint="default" w:ascii="Times New Roman Bold" w:hAnsi="Times New Roman Bold" w:cs="Times New Roman Bold"/>
          <w:b/>
          <w:bCs/>
          <w:i w:val="0"/>
          <w:iCs w:val="0"/>
          <w:sz w:val="24"/>
          <w:szCs w:val="24"/>
        </w:rPr>
        <w:t>Confidentiality and Anonymity</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 believe that confidentiality and anonymity are not mutually exclusive but embody their own identity concerning ethical issues in social science research. When it comes to the research involved in </w:t>
      </w:r>
      <w:r>
        <w:rPr>
          <w:rFonts w:hint="default" w:ascii="Times New Roman" w:hAnsi="Times New Roman" w:cs="Times New Roman"/>
          <w:i w:val="0"/>
          <w:iCs w:val="0"/>
          <w:sz w:val="24"/>
          <w:szCs w:val="24"/>
          <w:lang w:eastAsia="zh-CN"/>
        </w:rPr>
        <w:t>my dissertation</w:t>
      </w:r>
      <w:r>
        <w:rPr>
          <w:rFonts w:hint="default" w:ascii="Times New Roman" w:hAnsi="Times New Roman" w:cs="Times New Roman"/>
          <w:i w:val="0"/>
          <w:iCs w:val="0"/>
          <w:sz w:val="24"/>
          <w:szCs w:val="24"/>
        </w:rPr>
        <w:t xml:space="preserve">, such factors have to be taken into account as well, particularly for </w:t>
      </w:r>
      <w:r>
        <w:rPr>
          <w:rFonts w:hint="default" w:ascii="Times New Roman" w:hAnsi="Times New Roman" w:cs="Times New Roman"/>
          <w:i w:val="0"/>
          <w:iCs w:val="0"/>
          <w:sz w:val="24"/>
          <w:szCs w:val="24"/>
          <w:lang w:eastAsia="zh-CN"/>
        </w:rPr>
        <w:t>the</w:t>
      </w:r>
      <w:r>
        <w:rPr>
          <w:rFonts w:hint="default" w:ascii="Times New Roman" w:hAnsi="Times New Roman" w:cs="Times New Roman"/>
          <w:i w:val="0"/>
          <w:iCs w:val="0"/>
          <w:sz w:val="24"/>
          <w:szCs w:val="24"/>
        </w:rPr>
        <w:t xml:space="preserve"> interview adopted as</w:t>
      </w:r>
      <w:r>
        <w:rPr>
          <w:rFonts w:hint="default" w:ascii="Times New Roman" w:hAnsi="Times New Roman" w:cs="Times New Roman"/>
          <w:i w:val="0"/>
          <w:iCs w:val="0"/>
          <w:sz w:val="24"/>
          <w:szCs w:val="24"/>
          <w:lang w:eastAsia="zh-CN"/>
        </w:rPr>
        <w:t xml:space="preserve"> the</w:t>
      </w:r>
      <w:r>
        <w:rPr>
          <w:rFonts w:hint="default" w:ascii="Times New Roman" w:hAnsi="Times New Roman" w:cs="Times New Roman"/>
          <w:i w:val="0"/>
          <w:iCs w:val="0"/>
          <w:sz w:val="24"/>
          <w:szCs w:val="24"/>
        </w:rPr>
        <w:t xml:space="preserve"> data collection method. </w:t>
      </w:r>
    </w:p>
    <w:p>
      <w:pPr>
        <w:numPr>
          <w:ilvl w:val="0"/>
          <w:numId w:val="0"/>
        </w:numPr>
        <w:spacing w:line="360" w:lineRule="auto"/>
        <w:rPr>
          <w:rFonts w:hint="default" w:ascii="Times New Roman" w:hAnsi="Times New Roman" w:cs="Times New Roman"/>
          <w:i w:val="0"/>
          <w:iCs w:val="0"/>
          <w:sz w:val="24"/>
          <w:szCs w:val="24"/>
          <w:lang w:eastAsia="zh-CN"/>
        </w:rPr>
      </w:pPr>
      <w:r>
        <w:rPr>
          <w:rFonts w:hint="default" w:ascii="Times New Roman" w:hAnsi="Times New Roman" w:cs="Times New Roman"/>
          <w:i w:val="0"/>
          <w:iCs w:val="0"/>
          <w:sz w:val="24"/>
          <w:szCs w:val="24"/>
        </w:rPr>
        <w:t>Specifically, for my part, confidentiality is self-contradictory to some extent since the findings of the research can by no means be kept in privacy, otherwise, there is no significant result can be yielded from the research. However, researchers are responsible for protecting the participants’ identity and related information. Just as Pring (</w:t>
      </w:r>
      <w:r>
        <w:rPr>
          <w:rFonts w:hint="default" w:ascii="Times New Roman" w:hAnsi="Times New Roman" w:cs="Times New Roman"/>
          <w:i w:val="0"/>
          <w:iCs w:val="0"/>
          <w:sz w:val="24"/>
          <w:szCs w:val="24"/>
          <w:lang w:eastAsia="zh-CN"/>
        </w:rPr>
        <w:t>2004</w:t>
      </w:r>
      <w:r>
        <w:rPr>
          <w:rFonts w:hint="default" w:ascii="Times New Roman" w:hAnsi="Times New Roman" w:cs="Times New Roman"/>
          <w:i w:val="0"/>
          <w:iCs w:val="0"/>
          <w:sz w:val="24"/>
          <w:szCs w:val="24"/>
        </w:rPr>
        <w:t xml:space="preserve">) has maintained, </w:t>
      </w:r>
      <w:r>
        <w:rPr>
          <w:rFonts w:hint="default" w:ascii="Times New Roman" w:hAnsi="Times New Roman" w:cs="Times New Roman"/>
          <w:i w:val="0"/>
          <w:iCs w:val="0"/>
          <w:sz w:val="24"/>
          <w:szCs w:val="24"/>
          <w:lang w:eastAsia="zh-CN"/>
        </w:rPr>
        <w:t>t</w:t>
      </w:r>
      <w:r>
        <w:rPr>
          <w:rFonts w:hint="default" w:ascii="Times New Roman" w:hAnsi="Times New Roman" w:cs="Times New Roman"/>
          <w:i w:val="0"/>
          <w:iCs w:val="0"/>
          <w:sz w:val="24"/>
          <w:szCs w:val="24"/>
        </w:rPr>
        <w:t xml:space="preserve">here is a conflict between the right to know and the commitment to confidentiality over the source, especially the data, which has been gathered from the research. Therefore, the researcher plays a vital role in balancing them. </w:t>
      </w:r>
      <w:r>
        <w:rPr>
          <w:rFonts w:hint="default" w:ascii="Times New Roman" w:hAnsi="Times New Roman" w:cs="Times New Roman"/>
          <w:i w:val="0"/>
          <w:iCs w:val="0"/>
          <w:sz w:val="24"/>
          <w:szCs w:val="24"/>
          <w:lang w:eastAsia="zh-CN"/>
        </w:rPr>
        <w:t xml:space="preserve">In light of my research, making the oral promise not to disclose </w:t>
      </w:r>
      <w:r>
        <w:rPr>
          <w:rFonts w:hint="default" w:ascii="Times New Roman" w:hAnsi="Times New Roman" w:cs="Times New Roman"/>
          <w:i w:val="0"/>
          <w:iCs w:val="0"/>
          <w:sz w:val="24"/>
          <w:szCs w:val="24"/>
        </w:rPr>
        <w:t xml:space="preserve">the </w:t>
      </w:r>
      <w:r>
        <w:rPr>
          <w:rFonts w:hint="default" w:ascii="Times New Roman" w:hAnsi="Times New Roman" w:cs="Times New Roman"/>
          <w:i w:val="0"/>
          <w:iCs w:val="0"/>
          <w:sz w:val="24"/>
          <w:szCs w:val="24"/>
          <w:lang w:eastAsia="zh-CN"/>
        </w:rPr>
        <w:t>three teachers’ personal information is insufficient</w:t>
      </w:r>
      <w:r>
        <w:rPr>
          <w:rFonts w:hint="default" w:ascii="Times New Roman" w:hAnsi="Times New Roman" w:cs="Times New Roman"/>
          <w:i w:val="0"/>
          <w:iCs w:val="0"/>
          <w:sz w:val="24"/>
          <w:szCs w:val="24"/>
        </w:rPr>
        <w:t>, relevant written information should be provide as well.</w:t>
      </w:r>
      <w:r>
        <w:rPr>
          <w:rFonts w:hint="default" w:ascii="Times New Roman" w:hAnsi="Times New Roman" w:cs="Times New Roman"/>
          <w:i w:val="0"/>
          <w:iCs w:val="0"/>
          <w:sz w:val="24"/>
          <w:szCs w:val="24"/>
          <w:lang w:eastAsia="zh-CN"/>
        </w:rPr>
        <w:t xml:space="preserve"> </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Comparatively speaking, anonymity is easier to handle as it is simply concerned with keeping names unknown. As for the interview with three English teachers illustrated in this research, the interviewees’ names should be guaranteed to be kept anonymous. So I designate them as teacher A, teacher B and teacher C respectively in the chapter of findings and discussion.</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4.4</w:t>
      </w:r>
      <w:r>
        <w:rPr>
          <w:rFonts w:hint="default" w:ascii="Times New Roman Bold" w:hAnsi="Times New Roman Bold" w:cs="Times New Roman Bold"/>
          <w:b/>
          <w:bCs/>
          <w:i w:val="0"/>
          <w:iCs w:val="0"/>
          <w:sz w:val="24"/>
          <w:szCs w:val="24"/>
        </w:rPr>
        <w:t>.2 Informed Consent</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There is no denying that participants should consent to be engaged in the research. And they own the right to be informed of the content and the purpose of the research. Simply as Newby (2010: 357) has stated, ‘They should know why they particularly have been chosen. They should know the limits of their involvement-will they see research results, will they be able to comment upon the analysis and conclusions.” As to the interview </w:t>
      </w:r>
      <w:r>
        <w:rPr>
          <w:rFonts w:hint="default" w:ascii="Times New Roman" w:hAnsi="Times New Roman" w:cs="Times New Roman"/>
          <w:i w:val="0"/>
          <w:iCs w:val="0"/>
          <w:sz w:val="24"/>
          <w:szCs w:val="24"/>
          <w:lang w:eastAsia="zh-CN"/>
        </w:rPr>
        <w:t xml:space="preserve">recorded </w:t>
      </w:r>
      <w:r>
        <w:rPr>
          <w:rFonts w:hint="default" w:ascii="Times New Roman" w:hAnsi="Times New Roman" w:cs="Times New Roman"/>
          <w:i w:val="0"/>
          <w:iCs w:val="0"/>
          <w:sz w:val="24"/>
          <w:szCs w:val="24"/>
        </w:rPr>
        <w:t>by audio-taping in th</w:t>
      </w:r>
      <w:r>
        <w:rPr>
          <w:rFonts w:hint="default" w:ascii="Times New Roman" w:hAnsi="Times New Roman" w:cs="Times New Roman"/>
          <w:i w:val="0"/>
          <w:iCs w:val="0"/>
          <w:sz w:val="24"/>
          <w:szCs w:val="24"/>
          <w:lang w:eastAsia="zh-CN"/>
        </w:rPr>
        <w:t>is</w:t>
      </w:r>
      <w:r>
        <w:rPr>
          <w:rFonts w:hint="default" w:ascii="Times New Roman" w:hAnsi="Times New Roman" w:cs="Times New Roman"/>
          <w:i w:val="0"/>
          <w:iCs w:val="0"/>
          <w:sz w:val="24"/>
          <w:szCs w:val="24"/>
        </w:rPr>
        <w:t xml:space="preserve"> case study, such issue can never be neglected as Bell (</w:t>
      </w:r>
      <w:r>
        <w:rPr>
          <w:rFonts w:hint="default" w:ascii="Times New Roman" w:hAnsi="Times New Roman" w:cs="Times New Roman"/>
          <w:i w:val="0"/>
          <w:iCs w:val="0"/>
          <w:sz w:val="24"/>
          <w:szCs w:val="24"/>
          <w:lang w:eastAsia="zh-CN"/>
        </w:rPr>
        <w:t>1993</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lang w:eastAsia="zh-CN"/>
        </w:rPr>
        <w:t>underline</w:t>
      </w:r>
      <w:r>
        <w:rPr>
          <w:rFonts w:hint="default" w:ascii="Times New Roman" w:hAnsi="Times New Roman" w:cs="Times New Roman"/>
          <w:i w:val="0"/>
          <w:iCs w:val="0"/>
          <w:sz w:val="24"/>
          <w:szCs w:val="24"/>
        </w:rPr>
        <w:t xml:space="preserve">s that ethical research involves getting the informed consent of those you are going to interview, question, observe or take material from. In terms of </w:t>
      </w:r>
      <w:r>
        <w:rPr>
          <w:rFonts w:hint="default" w:ascii="Times New Roman" w:hAnsi="Times New Roman" w:cs="Times New Roman"/>
          <w:i w:val="0"/>
          <w:iCs w:val="0"/>
          <w:sz w:val="24"/>
          <w:szCs w:val="24"/>
          <w:lang w:eastAsia="zh-CN"/>
        </w:rPr>
        <w:t xml:space="preserve">the </w:t>
      </w:r>
      <w:r>
        <w:rPr>
          <w:rFonts w:hint="default" w:ascii="Times New Roman" w:hAnsi="Times New Roman" w:cs="Times New Roman"/>
          <w:i w:val="0"/>
          <w:iCs w:val="0"/>
          <w:sz w:val="24"/>
          <w:szCs w:val="24"/>
        </w:rPr>
        <w:t>interview conducted in th</w:t>
      </w:r>
      <w:r>
        <w:rPr>
          <w:rFonts w:hint="default" w:ascii="Times New Roman" w:hAnsi="Times New Roman" w:cs="Times New Roman"/>
          <w:i w:val="0"/>
          <w:iCs w:val="0"/>
          <w:sz w:val="24"/>
          <w:szCs w:val="24"/>
          <w:lang w:eastAsia="zh-CN"/>
        </w:rPr>
        <w:t>is</w:t>
      </w:r>
      <w:r>
        <w:rPr>
          <w:rFonts w:hint="default" w:ascii="Times New Roman" w:hAnsi="Times New Roman" w:cs="Times New Roman"/>
          <w:i w:val="0"/>
          <w:iCs w:val="0"/>
          <w:sz w:val="24"/>
          <w:szCs w:val="24"/>
        </w:rPr>
        <w:t xml:space="preserve"> research, the researcher could first provide both written and oral information with the </w:t>
      </w:r>
      <w:r>
        <w:rPr>
          <w:rFonts w:hint="default" w:ascii="Times New Roman" w:hAnsi="Times New Roman" w:cs="Times New Roman"/>
          <w:i w:val="0"/>
          <w:iCs w:val="0"/>
          <w:sz w:val="24"/>
          <w:szCs w:val="24"/>
          <w:lang w:eastAsia="zh-CN"/>
        </w:rPr>
        <w:t>dean</w:t>
      </w:r>
      <w:r>
        <w:rPr>
          <w:rFonts w:hint="default" w:ascii="Times New Roman" w:hAnsi="Times New Roman" w:cs="Times New Roman"/>
          <w:i w:val="0"/>
          <w:iCs w:val="0"/>
          <w:sz w:val="24"/>
          <w:szCs w:val="24"/>
        </w:rPr>
        <w:t xml:space="preserve"> of </w:t>
      </w:r>
      <w:r>
        <w:rPr>
          <w:rFonts w:hint="default" w:ascii="Times New Roman" w:hAnsi="Times New Roman" w:cs="Times New Roman"/>
          <w:i w:val="0"/>
          <w:iCs w:val="0"/>
          <w:sz w:val="24"/>
          <w:szCs w:val="24"/>
          <w:lang w:eastAsia="zh-CN"/>
        </w:rPr>
        <w:t xml:space="preserve">English department </w:t>
      </w:r>
      <w:r>
        <w:rPr>
          <w:rFonts w:hint="default" w:ascii="Times New Roman" w:hAnsi="Times New Roman" w:cs="Times New Roman"/>
          <w:i w:val="0"/>
          <w:iCs w:val="0"/>
          <w:sz w:val="24"/>
          <w:szCs w:val="24"/>
        </w:rPr>
        <w:t xml:space="preserve">and the </w:t>
      </w:r>
      <w:r>
        <w:rPr>
          <w:rFonts w:hint="default" w:ascii="Times New Roman" w:hAnsi="Times New Roman" w:cs="Times New Roman"/>
          <w:i w:val="0"/>
          <w:iCs w:val="0"/>
          <w:sz w:val="24"/>
          <w:szCs w:val="24"/>
          <w:lang w:eastAsia="zh-CN"/>
        </w:rPr>
        <w:t xml:space="preserve">three </w:t>
      </w:r>
      <w:r>
        <w:rPr>
          <w:rFonts w:hint="default" w:ascii="Times New Roman" w:hAnsi="Times New Roman" w:cs="Times New Roman"/>
          <w:i w:val="0"/>
          <w:iCs w:val="0"/>
          <w:sz w:val="24"/>
          <w:szCs w:val="24"/>
        </w:rPr>
        <w:t>teachers, and then they should be offered sufficient time to consider whether to sign or not. This is advocated by Hart and Bond (1995), asserting that it would be better to give the participants time to read and re-read the protocol at their own pace, and to negotiate any additions or changes to it with the researcher.</w:t>
      </w:r>
    </w:p>
    <w:p>
      <w:pPr>
        <w:numPr>
          <w:ilvl w:val="0"/>
          <w:numId w:val="0"/>
        </w:numPr>
        <w:spacing w:line="360" w:lineRule="auto"/>
        <w:rPr>
          <w:rFonts w:hint="default" w:ascii="Times New Roman" w:hAnsi="Times New Roman" w:cs="Times New Roman"/>
          <w:i w:val="0"/>
          <w:iCs w:val="0"/>
          <w:sz w:val="24"/>
          <w:szCs w:val="24"/>
          <w:lang w:eastAsia="zh-CN"/>
        </w:rPr>
      </w:pP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Apart from keeping the names unknown, making promise not to disclose the information as well as informing the participants of details concerned in the research, there are more concrete solutions to cope with the ethical </w:t>
      </w:r>
      <w:r>
        <w:rPr>
          <w:rFonts w:hint="default" w:ascii="Times New Roman" w:hAnsi="Times New Roman" w:cs="Times New Roman"/>
          <w:i w:val="0"/>
          <w:iCs w:val="0"/>
          <w:sz w:val="24"/>
          <w:szCs w:val="24"/>
          <w:lang w:eastAsia="zh-CN"/>
        </w:rPr>
        <w:t>issue</w:t>
      </w:r>
      <w:r>
        <w:rPr>
          <w:rFonts w:hint="default" w:ascii="Times New Roman" w:hAnsi="Times New Roman" w:cs="Times New Roman"/>
          <w:i w:val="0"/>
          <w:iCs w:val="0"/>
          <w:sz w:val="24"/>
          <w:szCs w:val="24"/>
        </w:rPr>
        <w:t>s. On the one hand, the recorded information can be destroyed subsequent to the study has completed. On the other hand, participants can sign in a written consent form followed by being provided with related information</w:t>
      </w:r>
      <w:r>
        <w:rPr>
          <w:rFonts w:hint="default" w:ascii="Times New Roman" w:hAnsi="Times New Roman" w:cs="Times New Roman"/>
          <w:i w:val="0"/>
          <w:iCs w:val="0"/>
          <w:sz w:val="24"/>
          <w:szCs w:val="24"/>
        </w:rPr>
        <w:t>.</w:t>
      </w:r>
    </w:p>
    <w:p>
      <w:pPr>
        <w:numPr>
          <w:ilvl w:val="0"/>
          <w:numId w:val="0"/>
        </w:numPr>
        <w:spacing w:line="360" w:lineRule="auto"/>
        <w:rPr>
          <w:rFonts w:hint="default" w:ascii="Times New Roman Bold" w:hAnsi="Times New Roman Bold" w:cs="Times New Roman Bold"/>
          <w:b/>
          <w:bCs/>
          <w:i w:val="0"/>
          <w:iCs w:val="0"/>
          <w:sz w:val="24"/>
          <w:szCs w:val="24"/>
        </w:rPr>
      </w:pPr>
    </w:p>
    <w:p>
      <w:pPr>
        <w:numPr>
          <w:ilvl w:val="0"/>
          <w:numId w:val="2"/>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Timetable for the proposed project</w:t>
      </w:r>
    </w:p>
    <w:p>
      <w:pPr>
        <w:numPr>
          <w:numId w:val="0"/>
        </w:numPr>
        <w:spacing w:line="360" w:lineRule="auto"/>
        <w:rPr>
          <w:rFonts w:hint="default" w:ascii="Times New Roman Bold" w:hAnsi="Times New Roman Bold" w:cs="Times New Roman Bold"/>
          <w:b/>
          <w:bCs/>
          <w:i w:val="0"/>
          <w:iCs w:val="0"/>
          <w:sz w:val="24"/>
          <w:szCs w:val="24"/>
        </w:rPr>
      </w:pPr>
    </w:p>
    <w:tbl>
      <w:tblPr>
        <w:tblStyle w:val="4"/>
        <w:tblW w:w="832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391"/>
        <w:gridCol w:w="1341"/>
        <w:gridCol w:w="55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7"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jc w:val="center"/>
              <w:rPr>
                <w:rFonts w:eastAsia="华文中宋"/>
                <w:sz w:val="24"/>
                <w:szCs w:val="24"/>
              </w:rPr>
            </w:pPr>
            <w:r>
              <w:rPr>
                <w:rFonts w:hint="default" w:ascii="Times New Roman Bold" w:hAnsi="Times New Roman Bold" w:cs="Times New Roman Bold"/>
                <w:b/>
                <w:bCs/>
                <w:i w:val="0"/>
                <w:iCs w:val="0"/>
                <w:sz w:val="24"/>
                <w:szCs w:val="24"/>
              </w:rPr>
              <w:t>Starting Time</w:t>
            </w:r>
          </w:p>
        </w:tc>
        <w:tc>
          <w:tcPr>
            <w:tcW w:w="1341" w:type="dxa"/>
            <w:tcBorders>
              <w:top w:val="single" w:color="auto" w:sz="4" w:space="0"/>
              <w:left w:val="single" w:color="auto" w:sz="4" w:space="0"/>
              <w:bottom w:val="single" w:color="auto" w:sz="4" w:space="0"/>
              <w:right w:val="single" w:color="auto" w:sz="4" w:space="0"/>
            </w:tcBorders>
            <w:noWrap w:val="0"/>
            <w:vAlign w:val="center"/>
          </w:tcPr>
          <w:p>
            <w:pPr>
              <w:jc w:val="center"/>
              <w:rPr>
                <w:rFonts w:eastAsia="华文中宋"/>
                <w:sz w:val="24"/>
                <w:szCs w:val="24"/>
              </w:rPr>
            </w:pPr>
            <w:r>
              <w:rPr>
                <w:rFonts w:hint="default" w:ascii="Times New Roman Bold" w:hAnsi="Times New Roman Bold" w:cs="Times New Roman Bold"/>
                <w:b/>
                <w:bCs/>
                <w:i w:val="0"/>
                <w:iCs w:val="0"/>
                <w:sz w:val="24"/>
                <w:szCs w:val="24"/>
              </w:rPr>
              <w:t>Ending Time</w:t>
            </w:r>
          </w:p>
        </w:tc>
        <w:tc>
          <w:tcPr>
            <w:tcW w:w="5596" w:type="dxa"/>
            <w:tcBorders>
              <w:top w:val="single" w:color="auto" w:sz="4" w:space="0"/>
              <w:left w:val="single" w:color="auto" w:sz="4" w:space="0"/>
              <w:bottom w:val="single" w:color="auto" w:sz="4" w:space="0"/>
              <w:right w:val="single" w:color="auto" w:sz="4" w:space="0"/>
            </w:tcBorders>
            <w:noWrap w:val="0"/>
            <w:vAlign w:val="center"/>
          </w:tcPr>
          <w:p>
            <w:pPr>
              <w:jc w:val="center"/>
              <w:rPr>
                <w:rFonts w:eastAsia="华文中宋"/>
                <w:sz w:val="24"/>
                <w:szCs w:val="24"/>
              </w:rPr>
            </w:pPr>
            <w:r>
              <w:rPr>
                <w:rFonts w:hint="default" w:ascii="Times New Roman Bold" w:hAnsi="Times New Roman Bold" w:cs="Times New Roman Bold"/>
                <w:b/>
                <w:bCs/>
                <w:i w:val="0"/>
                <w:iCs w:val="0"/>
                <w:sz w:val="24"/>
                <w:szCs w:val="24"/>
              </w:rPr>
              <w:t>Focus of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072"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rPr>
                <w:rFonts w:hint="eastAsia" w:eastAsia="华文中宋"/>
                <w:sz w:val="24"/>
                <w:szCs w:val="24"/>
              </w:rPr>
            </w:pPr>
            <w:r>
              <w:rPr>
                <w:rFonts w:hint="default" w:ascii="Times New Roman" w:hAnsi="Times New Roman" w:cs="Times New Roman"/>
                <w:i w:val="0"/>
                <w:iCs w:val="0"/>
                <w:sz w:val="24"/>
                <w:szCs w:val="24"/>
              </w:rPr>
              <w:t>July 2021</w:t>
            </w:r>
          </w:p>
        </w:tc>
        <w:tc>
          <w:tcPr>
            <w:tcW w:w="1341" w:type="dxa"/>
            <w:tcBorders>
              <w:top w:val="single" w:color="auto" w:sz="4" w:space="0"/>
              <w:left w:val="single" w:color="auto" w:sz="4" w:space="0"/>
              <w:bottom w:val="single" w:color="auto" w:sz="4" w:space="0"/>
              <w:right w:val="single" w:color="auto" w:sz="4" w:space="0"/>
            </w:tcBorders>
            <w:noWrap w:val="0"/>
            <w:vAlign w:val="top"/>
          </w:tcPr>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both"/>
              <w:rPr>
                <w:rFonts w:hint="default" w:ascii="Times New Roman" w:hAnsi="Times New Roman" w:cs="Times New Roman"/>
                <w:i w:val="0"/>
                <w:iCs w:val="0"/>
                <w:sz w:val="24"/>
                <w:szCs w:val="24"/>
              </w:rPr>
            </w:pPr>
          </w:p>
          <w:p>
            <w:pPr>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September 2021</w:t>
            </w:r>
          </w:p>
          <w:p>
            <w:pPr>
              <w:rPr>
                <w:rFonts w:eastAsia="华文中宋"/>
                <w:sz w:val="24"/>
                <w:szCs w:val="24"/>
              </w:rPr>
            </w:pPr>
          </w:p>
          <w:p>
            <w:pPr>
              <w:rPr>
                <w:rFonts w:hint="eastAsia" w:eastAsia="华文中宋"/>
                <w:sz w:val="24"/>
                <w:szCs w:val="24"/>
              </w:rPr>
            </w:pPr>
          </w:p>
          <w:p>
            <w:pPr>
              <w:rPr>
                <w:rFonts w:hint="eastAsia" w:eastAsia="华文中宋"/>
                <w:sz w:val="24"/>
                <w:szCs w:val="24"/>
              </w:rPr>
            </w:pPr>
            <w:r>
              <w:rPr>
                <w:rFonts w:hint="eastAsia" w:eastAsia="华文中宋"/>
                <w:sz w:val="24"/>
                <w:szCs w:val="24"/>
              </w:rPr>
              <w:t xml:space="preserve">  </w:t>
            </w:r>
          </w:p>
        </w:tc>
        <w:tc>
          <w:tcPr>
            <w:tcW w:w="5596" w:type="dxa"/>
            <w:tcBorders>
              <w:top w:val="single" w:color="auto" w:sz="4" w:space="0"/>
              <w:left w:val="single" w:color="auto" w:sz="4" w:space="0"/>
              <w:bottom w:val="single" w:color="auto" w:sz="4" w:space="0"/>
              <w:right w:val="single" w:color="auto" w:sz="4" w:space="0"/>
            </w:tcBorders>
            <w:noWrap w:val="0"/>
            <w:vAlign w:val="top"/>
          </w:tcPr>
          <w:p>
            <w:pPr>
              <w:jc w:val="center"/>
              <w:rPr>
                <w:rFonts w:hint="default" w:ascii="Times New Roman Italic" w:hAnsi="Times New Roman Italic" w:cs="Times New Roman Italic"/>
                <w:i/>
                <w:iCs/>
                <w:sz w:val="24"/>
                <w:szCs w:val="24"/>
              </w:rPr>
            </w:pPr>
            <w:r>
              <w:rPr>
                <w:rFonts w:hint="default" w:ascii="Times New Roman Bold" w:hAnsi="Times New Roman Bold" w:cs="Times New Roman Bold"/>
                <w:b/>
                <w:bCs/>
                <w:i w:val="0"/>
                <w:iCs w:val="0"/>
                <w:sz w:val="24"/>
                <w:szCs w:val="24"/>
              </w:rPr>
              <w:t xml:space="preserve">Preparations for the research: </w:t>
            </w:r>
          </w:p>
          <w:p>
            <w:pPr>
              <w:ind w:left="240" w:hanging="240" w:hangingChars="10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1. curriculum design and lesson plans regrading this course of IELTS Writing;</w:t>
            </w:r>
          </w:p>
          <w:p>
            <w:pPr>
              <w:ind w:left="360" w:hanging="360" w:hangingChars="15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2. collection of authentic materials from foreign</w:t>
            </w:r>
          </w:p>
          <w:p>
            <w:pPr>
              <w:ind w:firstLine="240" w:firstLineChars="10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journals pertinent to this course;</w:t>
            </w:r>
          </w:p>
          <w:p>
            <w:pPr>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3. questionnaire and pre-test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5"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center"/>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September 2021</w:t>
            </w:r>
          </w:p>
          <w:p>
            <w:pPr>
              <w:jc w:val="center"/>
              <w:rPr>
                <w:rFonts w:hint="eastAsia" w:eastAsia="华文中宋"/>
                <w:sz w:val="24"/>
                <w:szCs w:val="24"/>
              </w:rPr>
            </w:pPr>
          </w:p>
        </w:tc>
        <w:tc>
          <w:tcPr>
            <w:tcW w:w="1341" w:type="dxa"/>
            <w:tcBorders>
              <w:top w:val="single" w:color="auto" w:sz="4" w:space="0"/>
              <w:left w:val="single" w:color="auto" w:sz="4" w:space="0"/>
              <w:bottom w:val="single" w:color="auto" w:sz="4" w:space="0"/>
              <w:right w:val="single" w:color="auto" w:sz="4" w:space="0"/>
            </w:tcBorders>
            <w:noWrap w:val="0"/>
            <w:vAlign w:val="top"/>
          </w:tcPr>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January</w:t>
            </w:r>
          </w:p>
          <w:p>
            <w:pPr>
              <w:jc w:val="center"/>
              <w:rPr>
                <w:rFonts w:hint="eastAsia" w:eastAsia="华文中宋"/>
                <w:sz w:val="24"/>
                <w:szCs w:val="24"/>
              </w:rPr>
            </w:pPr>
            <w:r>
              <w:rPr>
                <w:rFonts w:hint="default" w:ascii="Times New Roman" w:hAnsi="Times New Roman" w:cs="Times New Roman"/>
                <w:i w:val="0"/>
                <w:iCs w:val="0"/>
                <w:sz w:val="24"/>
                <w:szCs w:val="24"/>
              </w:rPr>
              <w:t>2022</w:t>
            </w:r>
          </w:p>
        </w:tc>
        <w:tc>
          <w:tcPr>
            <w:tcW w:w="5596" w:type="dxa"/>
            <w:tcBorders>
              <w:top w:val="single" w:color="auto" w:sz="4" w:space="0"/>
              <w:left w:val="single" w:color="auto" w:sz="4" w:space="0"/>
              <w:bottom w:val="single" w:color="auto" w:sz="4" w:space="0"/>
              <w:right w:val="single" w:color="auto" w:sz="4" w:space="0"/>
            </w:tcBorders>
            <w:noWrap w:val="0"/>
            <w:vAlign w:val="top"/>
          </w:tcPr>
          <w:p>
            <w:pPr>
              <w:numPr>
                <w:numId w:val="0"/>
              </w:numPr>
              <w:ind w:firstLine="480" w:firstLineChars="200"/>
              <w:jc w:val="left"/>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Conducting process of the research:</w:t>
            </w:r>
          </w:p>
          <w:p>
            <w:pPr>
              <w:numPr>
                <w:ilvl w:val="0"/>
                <w:numId w:val="0"/>
              </w:numPr>
              <w:ind w:left="240" w:hanging="240" w:hangingChars="10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1. At the beginning of the semester, students in the             experimental group are informed to fill in the questionnaire online and participate in the pre-test   whereas students in the control group only fulfill the task of pre-test;</w:t>
            </w:r>
          </w:p>
          <w:p>
            <w:pPr>
              <w:numPr>
                <w:ilvl w:val="0"/>
                <w:numId w:val="0"/>
              </w:numPr>
              <w:ind w:left="240" w:hanging="240" w:hangingChars="100"/>
              <w:jc w:val="left"/>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 xml:space="preserve">2. Experimental teaching is planned to be carried out                with </w:t>
            </w:r>
            <w:r>
              <w:rPr>
                <w:rFonts w:hint="default" w:ascii="Times New Roman" w:hAnsi="Times New Roman" w:cs="Times New Roman"/>
                <w:i w:val="0"/>
                <w:iCs w:val="0"/>
                <w:sz w:val="24"/>
                <w:szCs w:val="24"/>
              </w:rPr>
              <w:t xml:space="preserve">online platform mediated collaborative learning </w:t>
            </w:r>
            <w:r>
              <w:rPr>
                <w:rFonts w:hint="default" w:ascii="Times New Roman" w:hAnsi="Times New Roman" w:cs="Times New Roman"/>
                <w:i w:val="0"/>
                <w:iCs w:val="0"/>
                <w:sz w:val="24"/>
                <w:szCs w:val="24"/>
              </w:rPr>
              <w:t>integrated in experimental group;</w:t>
            </w:r>
          </w:p>
          <w:p>
            <w:pPr>
              <w:numPr>
                <w:numId w:val="0"/>
              </w:numPr>
              <w:ind w:left="240" w:hanging="240" w:hangingChars="100"/>
              <w:jc w:val="left"/>
              <w:rPr>
                <w:rFonts w:hint="eastAsia" w:eastAsia="华文中宋"/>
                <w:sz w:val="24"/>
                <w:szCs w:val="24"/>
              </w:rPr>
            </w:pPr>
            <w:r>
              <w:rPr>
                <w:rFonts w:hint="default" w:ascii="Times New Roman" w:hAnsi="Times New Roman" w:cs="Times New Roman"/>
                <w:i w:val="0"/>
                <w:iCs w:val="0"/>
                <w:sz w:val="24"/>
                <w:szCs w:val="24"/>
              </w:rPr>
              <w:t xml:space="preserve">3. At the end of the semester, </w:t>
            </w:r>
            <w:r>
              <w:rPr>
                <w:rFonts w:hint="default" w:ascii="Times New Roman" w:hAnsi="Times New Roman" w:cs="Times New Roman"/>
                <w:i w:val="0"/>
                <w:iCs w:val="0"/>
                <w:sz w:val="24"/>
                <w:szCs w:val="24"/>
              </w:rPr>
              <w:t xml:space="preserve">students in the experimental group are informed to fill in </w:t>
            </w:r>
            <w:r>
              <w:rPr>
                <w:rFonts w:hint="default" w:ascii="Times New Roman" w:hAnsi="Times New Roman" w:cs="Times New Roman"/>
                <w:i w:val="0"/>
                <w:iCs w:val="0"/>
                <w:sz w:val="24"/>
                <w:szCs w:val="24"/>
              </w:rPr>
              <w:t xml:space="preserve">another </w:t>
            </w:r>
            <w:r>
              <w:rPr>
                <w:rFonts w:hint="default" w:ascii="Times New Roman" w:hAnsi="Times New Roman" w:cs="Times New Roman"/>
                <w:i w:val="0"/>
                <w:iCs w:val="0"/>
                <w:sz w:val="24"/>
                <w:szCs w:val="24"/>
              </w:rPr>
              <w:t>questionnaire online and participate in the p</w:t>
            </w:r>
            <w:r>
              <w:rPr>
                <w:rFonts w:hint="default" w:ascii="Times New Roman" w:hAnsi="Times New Roman" w:cs="Times New Roman"/>
                <w:i w:val="0"/>
                <w:iCs w:val="0"/>
                <w:sz w:val="24"/>
                <w:szCs w:val="24"/>
              </w:rPr>
              <w:t>ost</w:t>
            </w:r>
            <w:r>
              <w:rPr>
                <w:rFonts w:hint="default" w:ascii="Times New Roman" w:hAnsi="Times New Roman" w:cs="Times New Roman"/>
                <w:i w:val="0"/>
                <w:iCs w:val="0"/>
                <w:sz w:val="24"/>
                <w:szCs w:val="24"/>
              </w:rPr>
              <w:t>-test whereas students in the control group only fulfill the task of p</w:t>
            </w:r>
            <w:r>
              <w:rPr>
                <w:rFonts w:hint="default" w:ascii="Times New Roman" w:hAnsi="Times New Roman" w:cs="Times New Roman"/>
                <w:i w:val="0"/>
                <w:iCs w:val="0"/>
                <w:sz w:val="24"/>
                <w:szCs w:val="24"/>
              </w:rPr>
              <w:t>ost</w:t>
            </w:r>
            <w:r>
              <w:rPr>
                <w:rFonts w:hint="default" w:ascii="Times New Roman" w:hAnsi="Times New Roman" w:cs="Times New Roman"/>
                <w:i w:val="0"/>
                <w:iCs w:val="0"/>
                <w:sz w:val="24"/>
                <w:szCs w:val="24"/>
              </w:rPr>
              <w:t>-test</w:t>
            </w:r>
            <w:r>
              <w:rPr>
                <w:rFonts w:hint="default" w:ascii="Times New Roman" w:hAnsi="Times New Roman" w:cs="Times New Roman"/>
                <w:i w:val="0"/>
                <w:iCs w:val="0"/>
                <w:sz w:val="24"/>
                <w:szCs w:val="24"/>
              </w:rPr>
              <w:t>. Besides, five group leaders in the experimental group are expected to be engaged into the semi-structured interviews with the teacher.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5"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January</w:t>
            </w:r>
          </w:p>
          <w:p>
            <w:pPr>
              <w:jc w:val="center"/>
              <w:rPr>
                <w:rFonts w:hint="eastAsia" w:eastAsia="华文中宋"/>
                <w:sz w:val="24"/>
                <w:szCs w:val="24"/>
              </w:rPr>
            </w:pPr>
            <w:r>
              <w:rPr>
                <w:rFonts w:hint="default" w:ascii="Times New Roman" w:hAnsi="Times New Roman" w:cs="Times New Roman"/>
                <w:i w:val="0"/>
                <w:iCs w:val="0"/>
                <w:sz w:val="24"/>
                <w:szCs w:val="24"/>
              </w:rPr>
              <w:t>2022</w:t>
            </w:r>
          </w:p>
        </w:tc>
        <w:tc>
          <w:tcPr>
            <w:tcW w:w="1341" w:type="dxa"/>
            <w:tcBorders>
              <w:top w:val="single" w:color="auto" w:sz="4" w:space="0"/>
              <w:left w:val="single" w:color="auto" w:sz="4" w:space="0"/>
              <w:bottom w:val="single" w:color="auto" w:sz="4" w:space="0"/>
              <w:right w:val="single" w:color="auto" w:sz="4" w:space="0"/>
            </w:tcBorders>
            <w:noWrap w:val="0"/>
            <w:vAlign w:val="top"/>
          </w:tcPr>
          <w:p>
            <w:pPr>
              <w:jc w:val="center"/>
              <w:rPr>
                <w:rFonts w:hint="eastAsia" w:eastAsia="华文中宋"/>
                <w:sz w:val="24"/>
                <w:szCs w:val="24"/>
              </w:rPr>
            </w:pPr>
          </w:p>
          <w:p>
            <w:pPr>
              <w:rPr>
                <w:rFonts w:hint="eastAsia" w:eastAsia="华文中宋"/>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March </w:t>
            </w:r>
          </w:p>
          <w:p>
            <w:pPr>
              <w:ind w:firstLine="240" w:firstLineChars="100"/>
              <w:jc w:val="both"/>
              <w:rPr>
                <w:rFonts w:hint="eastAsia" w:eastAsia="华文中宋"/>
                <w:sz w:val="24"/>
                <w:szCs w:val="24"/>
              </w:rPr>
            </w:pPr>
            <w:r>
              <w:rPr>
                <w:rFonts w:hint="default" w:ascii="Times New Roman" w:hAnsi="Times New Roman" w:cs="Times New Roman"/>
                <w:i w:val="0"/>
                <w:iCs w:val="0"/>
                <w:sz w:val="24"/>
                <w:szCs w:val="24"/>
              </w:rPr>
              <w:t>2022</w:t>
            </w:r>
          </w:p>
        </w:tc>
        <w:tc>
          <w:tcPr>
            <w:tcW w:w="5596" w:type="dxa"/>
            <w:tcBorders>
              <w:top w:val="single" w:color="auto" w:sz="4" w:space="0"/>
              <w:left w:val="single" w:color="auto" w:sz="4" w:space="0"/>
              <w:bottom w:val="single" w:color="auto" w:sz="4" w:space="0"/>
              <w:right w:val="single" w:color="auto" w:sz="4" w:space="0"/>
            </w:tcBorders>
            <w:noWrap w:val="0"/>
            <w:vAlign w:val="top"/>
          </w:tcPr>
          <w:p>
            <w:pPr>
              <w:numPr>
                <w:ilvl w:val="0"/>
                <w:numId w:val="0"/>
              </w:numPr>
              <w:ind w:firstLine="480" w:firstLineChars="2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Data analysis of the research:</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1.</w:t>
            </w:r>
            <w:r>
              <w:rPr>
                <w:rFonts w:hint="default" w:ascii="Times New Roman" w:hAnsi="Times New Roman" w:cs="Times New Roman"/>
                <w:b w:val="0"/>
                <w:bCs w:val="0"/>
                <w:i w:val="0"/>
                <w:iCs w:val="0"/>
                <w:sz w:val="24"/>
                <w:szCs w:val="24"/>
              </w:rPr>
              <w:t xml:space="preserve">The numerical responses to </w:t>
            </w:r>
            <w:r>
              <w:rPr>
                <w:rFonts w:hint="default" w:ascii="Times New Roman" w:hAnsi="Times New Roman" w:cs="Times New Roman"/>
                <w:b w:val="0"/>
                <w:bCs w:val="0"/>
                <w:i w:val="0"/>
                <w:iCs w:val="0"/>
                <w:sz w:val="24"/>
                <w:szCs w:val="24"/>
              </w:rPr>
              <w:t xml:space="preserve">two separate </w:t>
            </w:r>
            <w:r>
              <w:rPr>
                <w:rFonts w:hint="default" w:ascii="Times New Roman" w:hAnsi="Times New Roman" w:cs="Times New Roman"/>
                <w:b w:val="0"/>
                <w:bCs w:val="0"/>
                <w:i w:val="0"/>
                <w:iCs w:val="0"/>
                <w:sz w:val="24"/>
                <w:szCs w:val="24"/>
              </w:rPr>
              <w:t>questionnaires are estimated to be analysed quantitatively using the SPSS statistical software</w:t>
            </w:r>
            <w:r>
              <w:rPr>
                <w:rFonts w:hint="default" w:ascii="Times New Roman" w:hAnsi="Times New Roman" w:cs="Times New Roman"/>
                <w:b w:val="0"/>
                <w:bCs w:val="0"/>
                <w:i w:val="0"/>
                <w:iCs w:val="0"/>
                <w:sz w:val="24"/>
                <w:szCs w:val="24"/>
              </w:rPr>
              <w:t>;</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2.T</w:t>
            </w:r>
            <w:r>
              <w:rPr>
                <w:rFonts w:hint="default" w:ascii="Times New Roman" w:hAnsi="Times New Roman" w:cs="Times New Roman"/>
                <w:b w:val="0"/>
                <w:bCs w:val="0"/>
                <w:i w:val="0"/>
                <w:iCs w:val="0"/>
                <w:sz w:val="24"/>
                <w:szCs w:val="24"/>
              </w:rPr>
              <w:t>he qualitative textual data from students’ interviews will be transcribed and evaluated with the aid of a text analysis software named PASW Text Analytics for Surveys</w:t>
            </w:r>
            <w:r>
              <w:rPr>
                <w:rFonts w:hint="default" w:ascii="Times New Roman" w:hAnsi="Times New Roman" w:cs="Times New Roman"/>
                <w:b w:val="0"/>
                <w:bCs w:val="0"/>
                <w:i w:val="0"/>
                <w:iCs w:val="0"/>
                <w:sz w:val="24"/>
                <w:szCs w:val="24"/>
              </w:rPr>
              <w:t>;</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 xml:space="preserve">3.Written tests </w:t>
            </w:r>
            <w:r>
              <w:rPr>
                <w:rFonts w:hint="default" w:ascii="Times New Roman" w:hAnsi="Times New Roman" w:cs="Times New Roman"/>
                <w:b w:val="0"/>
                <w:bCs w:val="0"/>
                <w:i w:val="0"/>
                <w:iCs w:val="0"/>
                <w:sz w:val="24"/>
                <w:szCs w:val="24"/>
              </w:rPr>
              <w:t>will be marked by two different teachers following the same official marking criteria mentioned above and the average scores will be calculated.</w:t>
            </w:r>
          </w:p>
          <w:p>
            <w:pPr>
              <w:jc w:val="center"/>
              <w:rPr>
                <w:rFonts w:hint="eastAsia" w:ascii="Times New Roman" w:hAnsi="Times New Roman" w:cs="Times New Roman"/>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5"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ind w:firstLine="240" w:firstLineChars="100"/>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March </w:t>
            </w:r>
          </w:p>
          <w:p>
            <w:pPr>
              <w:jc w:val="center"/>
              <w:rPr>
                <w:rFonts w:hint="eastAsia" w:eastAsia="华文中宋"/>
                <w:sz w:val="24"/>
                <w:szCs w:val="24"/>
              </w:rPr>
            </w:pPr>
            <w:r>
              <w:rPr>
                <w:rFonts w:hint="default" w:ascii="Times New Roman" w:hAnsi="Times New Roman" w:cs="Times New Roman"/>
                <w:i w:val="0"/>
                <w:iCs w:val="0"/>
                <w:sz w:val="24"/>
                <w:szCs w:val="24"/>
              </w:rPr>
              <w:t>2022</w:t>
            </w:r>
          </w:p>
        </w:tc>
        <w:tc>
          <w:tcPr>
            <w:tcW w:w="1341" w:type="dxa"/>
            <w:tcBorders>
              <w:top w:val="single" w:color="auto" w:sz="4" w:space="0"/>
              <w:left w:val="single" w:color="auto" w:sz="4" w:space="0"/>
              <w:bottom w:val="single" w:color="auto" w:sz="4" w:space="0"/>
              <w:right w:val="single" w:color="auto" w:sz="4" w:space="0"/>
            </w:tcBorders>
            <w:noWrap w:val="0"/>
            <w:vAlign w:val="top"/>
          </w:tcPr>
          <w:p>
            <w:pPr>
              <w:jc w:val="center"/>
              <w:rPr>
                <w:rFonts w:hint="eastAsia" w:eastAsia="华文中宋"/>
                <w:sz w:val="24"/>
                <w:szCs w:val="24"/>
              </w:rPr>
            </w:pPr>
          </w:p>
          <w:p>
            <w:pPr>
              <w:ind w:firstLine="240" w:firstLineChars="100"/>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June</w:t>
            </w:r>
          </w:p>
          <w:p>
            <w:pPr>
              <w:ind w:firstLine="240" w:firstLineChars="100"/>
              <w:jc w:val="both"/>
              <w:rPr>
                <w:rFonts w:hint="eastAsia" w:eastAsia="华文中宋"/>
                <w:sz w:val="24"/>
                <w:szCs w:val="24"/>
              </w:rPr>
            </w:pPr>
            <w:r>
              <w:rPr>
                <w:rFonts w:hint="default" w:ascii="Times New Roman" w:hAnsi="Times New Roman" w:cs="Times New Roman"/>
                <w:i w:val="0"/>
                <w:iCs w:val="0"/>
                <w:sz w:val="24"/>
                <w:szCs w:val="24"/>
              </w:rPr>
              <w:t>2022</w:t>
            </w:r>
          </w:p>
        </w:tc>
        <w:tc>
          <w:tcPr>
            <w:tcW w:w="5596" w:type="dxa"/>
            <w:tcBorders>
              <w:top w:val="single" w:color="auto" w:sz="4" w:space="0"/>
              <w:left w:val="single" w:color="auto" w:sz="4" w:space="0"/>
              <w:bottom w:val="single" w:color="auto" w:sz="4" w:space="0"/>
              <w:right w:val="single" w:color="auto" w:sz="4" w:space="0"/>
            </w:tcBorders>
            <w:noWrap w:val="0"/>
            <w:vAlign w:val="top"/>
          </w:tcPr>
          <w:p>
            <w:pPr>
              <w:numPr>
                <w:ilvl w:val="0"/>
                <w:numId w:val="0"/>
              </w:numPr>
              <w:ind w:left="240" w:hanging="240" w:hangingChars="10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Results of the research:</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1. research paper published in journals</w:t>
            </w:r>
          </w:p>
          <w:p>
            <w:pPr>
              <w:numPr>
                <w:ilvl w:val="0"/>
                <w:numId w:val="0"/>
              </w:numPr>
              <w:ind w:left="240" w:hanging="240" w:hangingChars="100"/>
              <w:jc w:val="left"/>
              <w:rPr>
                <w:rFonts w:eastAsia="华文中宋"/>
                <w:sz w:val="24"/>
                <w:szCs w:val="24"/>
              </w:rPr>
            </w:pPr>
            <w:r>
              <w:rPr>
                <w:rFonts w:hint="default" w:ascii="Times New Roman" w:hAnsi="Times New Roman" w:cs="Times New Roman"/>
                <w:b w:val="0"/>
                <w:bCs w:val="0"/>
                <w:i w:val="0"/>
                <w:iCs w:val="0"/>
                <w:sz w:val="24"/>
                <w:szCs w:val="24"/>
              </w:rPr>
              <w:t xml:space="preserve">2. seminar held with teachers to delve into pedagogical implications of this research </w:t>
            </w:r>
          </w:p>
        </w:tc>
      </w:tr>
    </w:tbl>
    <w:p/>
    <w:p/>
    <w:p/>
    <w:p/>
    <w:p/>
    <w:p/>
    <w:p/>
    <w:p/>
    <w:p/>
    <w:p/>
    <w:p/>
    <w:p/>
    <w:p/>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bookmarkStart w:id="0" w:name="_GoBack"/>
      <w:bookmarkEnd w:id="0"/>
      <w:r>
        <w:rPr>
          <w:rFonts w:hint="default" w:ascii="Times New Roman" w:hAnsi="Times New Roman" w:cs="Times New Roman"/>
          <w:i w:val="0"/>
          <w:iCs w:val="0"/>
          <w:sz w:val="24"/>
          <w:szCs w:val="24"/>
        </w:rPr>
        <w:t>Bibliography</w:t>
      </w:r>
    </w:p>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Alghasab, M., Hardman, J. &amp; Handley, Z. 2019. Teacher-student interaction on wikis: Fostering collaborative learning and writing. [E-journal].</w:t>
      </w:r>
      <w:r>
        <w:rPr>
          <w:rFonts w:hint="default" w:ascii="Times New Roman" w:hAnsi="Times New Roman" w:cs="Times New Roman"/>
          <w:b w:val="0"/>
          <w:bCs w:val="0"/>
          <w:i w:val="0"/>
          <w:iCs w:val="0"/>
          <w:sz w:val="24"/>
          <w:szCs w:val="24"/>
        </w:rPr>
        <w:t xml:space="preserve"> 21, pp.10-20.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https://doi.org/10.1016/j.lcsi.2018.12.002.</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Bell, J.</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1993</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Doing Your Research Project: A Guide for First-time Researchers in Education and Social Science.</w:t>
      </w:r>
      <w:r>
        <w:rPr>
          <w:rFonts w:hint="default" w:ascii="Times New Roman" w:hAnsi="Times New Roman" w:cs="Times New Roman"/>
          <w:i w:val="0"/>
          <w:iCs w:val="0"/>
          <w:sz w:val="24"/>
          <w:szCs w:val="24"/>
        </w:rPr>
        <w:t xml:space="preserve"> Buckingham: Open University Press.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Chu S.K.W., Capio, C.M., van Aalst, J.C.W. &amp; Cheng, E.W.L. 2017. Evaluating the use of a social media tool for collaborative group writing of secondary school students in Hong Kong. Computers&amp;Education. [E-journal].</w:t>
      </w:r>
      <w:r>
        <w:rPr>
          <w:rFonts w:hint="default" w:ascii="Times New Roman" w:hAnsi="Times New Roman" w:cs="Times New Roman"/>
          <w:b w:val="0"/>
          <w:bCs w:val="0"/>
          <w:i w:val="0"/>
          <w:iCs w:val="0"/>
          <w:sz w:val="24"/>
          <w:szCs w:val="24"/>
        </w:rPr>
        <w:t xml:space="preserve"> 110, pp.170-180.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https://dox.doi.org/10.1016/j.compedu.2017.03.006.</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Ferriman, N. 2013. The impact of blended e-learning on undergraduate academic essay writing in English(L2). </w:t>
      </w:r>
      <w:r>
        <w:rPr>
          <w:rFonts w:hint="default" w:ascii="Times New Roman Italic" w:hAnsi="Times New Roman Italic" w:cs="Times New Roman Italic"/>
          <w:i/>
          <w:iCs/>
          <w:sz w:val="24"/>
          <w:szCs w:val="24"/>
        </w:rPr>
        <w:t>Computers&amp;Education.</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60, pp.10-20.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https://dx.doi.org/10.1016/j.compedu.2012.07.008.</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Hart,</w:t>
      </w:r>
      <w:r>
        <w:rPr>
          <w:rFonts w:hint="eastAsia"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E. and Bond, M.</w:t>
      </w:r>
      <w:r>
        <w:rPr>
          <w:rFonts w:hint="eastAsia"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1995</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Action research for health and social care: a guide to practice</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Buckingham: Open University Press.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eastAsia" w:ascii="Times New Roman" w:hAnsi="Times New Roman" w:cs="Times New Roman"/>
          <w:i w:val="0"/>
          <w:iCs w:val="0"/>
          <w:sz w:val="24"/>
          <w:szCs w:val="24"/>
          <w:lang w:eastAsia="zh-CN"/>
        </w:rPr>
      </w:pPr>
      <w:r>
        <w:rPr>
          <w:rFonts w:hint="default" w:ascii="Times New Roman" w:hAnsi="Times New Roman" w:cs="Times New Roman"/>
          <w:i w:val="0"/>
          <w:iCs w:val="0"/>
          <w:sz w:val="24"/>
          <w:szCs w:val="24"/>
        </w:rPr>
        <w:t xml:space="preserve">Lata, P. &amp; Luhach, S. 2014. An exploratory investigation of online forum mediated collaborative learning of speech writing: A case study. i-manager’s Journal on English Language Teaching. 4(1), pp. 18-28.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Lin, W.C. &amp; Yang, S.C. 2013. Exploring the roles of Google.doc and peer e-tutors in English writing. English Teaching: Practice and Critique. [E-journal].</w:t>
      </w:r>
      <w:r>
        <w:rPr>
          <w:rFonts w:hint="default" w:ascii="Times New Roman" w:hAnsi="Times New Roman" w:cs="Times New Roman"/>
          <w:b w:val="0"/>
          <w:bCs w:val="0"/>
          <w:i w:val="0"/>
          <w:iCs w:val="0"/>
          <w:sz w:val="24"/>
          <w:szCs w:val="24"/>
        </w:rPr>
        <w:t xml:space="preserve"> 12(1), pp.79-90.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https://education.waikato.ac.nz/research/files/2013v12n1dial1.pdf.</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Newby, P.</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2010</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Research Methods for Education</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Harlow: Pearson Education Ltd.</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Pring, R.</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2004</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Philosophy of Educational Research</w:t>
      </w:r>
      <w:r>
        <w:rPr>
          <w:rFonts w:hint="default" w:ascii="Times New Roman Italic" w:hAnsi="Times New Roman Italic" w:cs="Times New Roman Italic"/>
          <w:i/>
          <w:iCs/>
          <w:sz w:val="24"/>
          <w:szCs w:val="24"/>
          <w:lang w:eastAsia="zh-CN"/>
        </w:rPr>
        <w:t>.</w:t>
      </w:r>
      <w:r>
        <w:rPr>
          <w:rFonts w:hint="default" w:ascii="Times New Roman" w:hAnsi="Times New Roman" w:cs="Times New Roman"/>
          <w:i w:val="0"/>
          <w:iCs w:val="0"/>
          <w:sz w:val="24"/>
          <w:szCs w:val="24"/>
        </w:rPr>
        <w:t xml:space="preserve"> London: Continuum.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eastAsia" w:ascii="Times New Roman" w:hAnsi="Times New Roman" w:cs="Times New Roman"/>
          <w:i w:val="0"/>
          <w:iCs w:val="0"/>
          <w:sz w:val="24"/>
          <w:szCs w:val="24"/>
          <w:lang w:eastAsia="zh-CN"/>
        </w:rPr>
        <w:t>Robson, C. 2002</w:t>
      </w:r>
      <w:r>
        <w:rPr>
          <w:rFonts w:hint="default" w:ascii="Times New Roman" w:hAnsi="Times New Roman" w:cs="Times New Roman"/>
          <w:i w:val="0"/>
          <w:iCs w:val="0"/>
          <w:sz w:val="24"/>
          <w:szCs w:val="24"/>
          <w:lang w:eastAsia="zh-CN"/>
        </w:rPr>
        <w:t>.</w:t>
      </w:r>
      <w:r>
        <w:rPr>
          <w:rFonts w:hint="eastAsia" w:ascii="Times New Roman" w:hAnsi="Times New Roman" w:cs="Times New Roman"/>
          <w:i w:val="0"/>
          <w:iCs w:val="0"/>
          <w:sz w:val="24"/>
          <w:szCs w:val="24"/>
          <w:lang w:eastAsia="zh-CN"/>
        </w:rPr>
        <w:t xml:space="preserve"> </w:t>
      </w:r>
      <w:r>
        <w:rPr>
          <w:rFonts w:hint="default" w:ascii="Times New Roman Italic" w:hAnsi="Times New Roman Italic" w:cs="Times New Roman Italic"/>
          <w:i/>
          <w:iCs/>
          <w:sz w:val="24"/>
          <w:szCs w:val="24"/>
          <w:lang w:eastAsia="zh-CN"/>
        </w:rPr>
        <w:t>Real World Research</w:t>
      </w:r>
      <w:r>
        <w:rPr>
          <w:rFonts w:hint="default" w:ascii="Times New Roman Italic" w:hAnsi="Times New Roman Italic" w:cs="Times New Roman Italic"/>
          <w:i/>
          <w:iCs/>
          <w:sz w:val="24"/>
          <w:szCs w:val="24"/>
          <w:lang w:eastAsia="zh-CN"/>
        </w:rPr>
        <w:t>.</w:t>
      </w:r>
      <w:r>
        <w:rPr>
          <w:rFonts w:hint="default" w:ascii="Times New Roman Italic" w:hAnsi="Times New Roman Italic" w:cs="Times New Roman Italic"/>
          <w:i/>
          <w:iCs/>
          <w:sz w:val="24"/>
          <w:szCs w:val="24"/>
          <w:lang w:eastAsia="zh-CN"/>
        </w:rPr>
        <w:t xml:space="preserve"> </w:t>
      </w:r>
      <w:r>
        <w:rPr>
          <w:rFonts w:hint="eastAsia" w:ascii="Times New Roman" w:hAnsi="Times New Roman" w:cs="Times New Roman"/>
          <w:i w:val="0"/>
          <w:iCs w:val="0"/>
          <w:sz w:val="24"/>
          <w:szCs w:val="24"/>
          <w:lang w:eastAsia="zh-CN"/>
        </w:rPr>
        <w:t>Oxford; Mass: Blackwell Publishing Ltd.</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Yu, S. &amp; Lee, I. 2016. Exploring Chinese students’ strategy use in a cooperative peer feedback writing group. </w:t>
      </w:r>
      <w:r>
        <w:rPr>
          <w:rFonts w:hint="default" w:ascii="Times New Roman Italic" w:hAnsi="Times New Roman Italic" w:cs="Times New Roman Italic"/>
          <w:i/>
          <w:iCs/>
          <w:sz w:val="24"/>
          <w:szCs w:val="24"/>
        </w:rPr>
        <w:t>System.</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58, pp.1-11.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https://dox.doi.org/10.1016/j.system.2016.02.005.</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2</w:t>
      </w:r>
      <w:r>
        <w:rPr>
          <w:rFonts w:hint="default" w:ascii="Times New Roman" w:hAnsi="Times New Roman" w:cs="Times New Roman"/>
          <w:i w:val="0"/>
          <w:iCs w:val="0"/>
          <w:sz w:val="24"/>
          <w:szCs w:val="24"/>
          <w:vertAlign w:val="superscript"/>
        </w:rPr>
        <w:t>nd</w:t>
      </w:r>
      <w:r>
        <w:rPr>
          <w:rFonts w:hint="default" w:ascii="Times New Roman" w:hAnsi="Times New Roman" w:cs="Times New Roman"/>
          <w:i w:val="0"/>
          <w:iCs w:val="0"/>
          <w:sz w:val="24"/>
          <w:szCs w:val="24"/>
        </w:rPr>
        <w:t xml:space="preserve"> April 2021.</w:t>
      </w:r>
    </w:p>
    <w:p>
      <w:pPr>
        <w:numPr>
          <w:ilvl w:val="0"/>
          <w:numId w:val="0"/>
        </w:numPr>
        <w:spacing w:line="360" w:lineRule="auto"/>
        <w:rPr>
          <w:rFonts w:hint="default" w:ascii="Times New Roman" w:hAnsi="Times New Roman" w:cs="Times New Roman"/>
          <w:i w:val="0"/>
          <w:iCs w:val="0"/>
          <w:sz w:val="24"/>
          <w:szCs w:val="24"/>
        </w:rPr>
      </w:pPr>
    </w:p>
    <w:p>
      <w:pPr>
        <w:rPr>
          <w:rFonts w:hint="eastAsia"/>
          <w:sz w:val="24"/>
          <w:szCs w:val="24"/>
          <w:lang w:eastAsia="zh-CN"/>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EFPCL+TimesNewRoman">
    <w:altName w:val="苹方-简"/>
    <w:panose1 w:val="00000000000000000000"/>
    <w:charset w:val="00"/>
    <w:family w:val="roman"/>
    <w:pitch w:val="default"/>
    <w:sig w:usb0="00000000" w:usb1="00000000" w:usb2="00000010" w:usb3="00000000" w:csb0="00040000" w:csb1="00000000"/>
  </w:font>
  <w:font w:name="PMingLiU">
    <w:altName w:val="宋体-繁"/>
    <w:panose1 w:val="02020500000000000000"/>
    <w:charset w:val="00"/>
    <w:family w:val="roman"/>
    <w:pitch w:val="default"/>
    <w:sig w:usb0="00000000" w:usb1="00000000" w:usb2="00000016" w:usb3="00000000" w:csb0="00100001" w:csb1="00000000"/>
  </w:font>
  <w:font w:name="Comic Sans MS">
    <w:panose1 w:val="030F0902030302020204"/>
    <w:charset w:val="00"/>
    <w:family w:val="script"/>
    <w:pitch w:val="default"/>
    <w:sig w:usb0="00000287" w:usb1="00000000" w:usb2="00000000" w:usb3="00000000" w:csb0="2000009F" w:csb1="00000000"/>
  </w:font>
  <w:font w:name="Cheltenham-Book">
    <w:altName w:val="苹方-简"/>
    <w:panose1 w:val="00000000000000000000"/>
    <w:charset w:val="00"/>
    <w:family w:val="roman"/>
    <w:pitch w:val="default"/>
    <w:sig w:usb0="00000000" w:usb1="00000000" w:usb2="00000000" w:usb3="00000000" w:csb0="00000001" w:csb1="00000000"/>
  </w:font>
  <w:font w:name="宋体-繁">
    <w:panose1 w:val="02010600040101010101"/>
    <w:charset w:val="86"/>
    <w:family w:val="auto"/>
    <w:pitch w:val="default"/>
    <w:sig w:usb0="00000287" w:usb1="080F0000" w:usb2="00000000" w:usb3="00000000" w:csb0="0004009F" w:csb1="DFD70000"/>
  </w:font>
  <w:font w:name="Comic Sans MS Regular">
    <w:panose1 w:val="030F0902030302020204"/>
    <w:charset w:val="00"/>
    <w:family w:val="auto"/>
    <w:pitch w:val="default"/>
    <w:sig w:usb0="00000287" w:usb1="00000000" w:usb2="00000000" w:usb3="00000000" w:csb0="2000009F" w:csb1="00000000"/>
  </w:font>
  <w:font w:name="Times New Roman Regular">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Times New Roman Bold">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Arial">
    <w:panose1 w:val="020B0604020202090204"/>
    <w:charset w:val="00"/>
    <w:family w:val="auto"/>
    <w:pitch w:val="default"/>
    <w:sig w:usb0="E0000AFF" w:usb1="00007843" w:usb2="00000001" w:usb3="00000000" w:csb0="400001BF" w:csb1="DFF70000"/>
  </w:font>
  <w:font w:name="公文小标宋简">
    <w:altName w:val="苹方-简"/>
    <w:panose1 w:val="02010609010101010101"/>
    <w:charset w:val="00"/>
    <w:family w:val="modern"/>
    <w:pitch w:val="default"/>
    <w:sig w:usb0="00000000" w:usb1="00000000" w:usb2="00000010" w:usb3="00000000" w:csb0="00040000" w:csb1="00000000"/>
  </w:font>
  <w:font w:name="黑体">
    <w:altName w:val="汉仪中黑KW"/>
    <w:panose1 w:val="02010609060101010101"/>
    <w:charset w:val="00"/>
    <w:family w:val="modern"/>
    <w:pitch w:val="default"/>
    <w:sig w:usb0="00000000" w:usb1="00000000" w:usb2="00000016" w:usb3="00000000" w:csb0="00040001" w:csb1="00000000"/>
  </w:font>
  <w:font w:name="仿宋_GB2312">
    <w:altName w:val="方正仿宋_GBK"/>
    <w:panose1 w:val="020B0604020202020204"/>
    <w:charset w:val="00"/>
    <w:family w:val="auto"/>
    <w:pitch w:val="default"/>
    <w:sig w:usb0="00000000" w:usb1="00000000" w:usb2="00000000" w:usb3="00000000" w:csb0="00040000" w:csb1="00000000"/>
  </w:font>
  <w:font w:name="华文中宋">
    <w:altName w:val="苹方-简"/>
    <w:panose1 w:val="02010600040101010101"/>
    <w:charset w:val="00"/>
    <w:family w:val="auto"/>
    <w:pitch w:val="default"/>
    <w:sig w:usb0="00000000" w:usb1="00000000" w:usb2="00000010" w:usb3="00000000" w:csb0="0004009F" w:csb1="00000000"/>
  </w:font>
  <w:font w:name="Songti TC Light">
    <w:panose1 w:val="02010600040101010101"/>
    <w:charset w:val="86"/>
    <w:family w:val="auto"/>
    <w:pitch w:val="default"/>
    <w:sig w:usb0="00000287" w:usb1="080F0000" w:usb2="00000000" w:usb3="00000000" w:csb0="0004009F" w:csb1="DFD70000"/>
  </w:font>
  <w:font w:name="汉仪中黑KW">
    <w:panose1 w:val="00020600040101010101"/>
    <w:charset w:val="86"/>
    <w:family w:val="auto"/>
    <w:pitch w:val="default"/>
    <w:sig w:usb0="A00002BF" w:usb1="18EF7CFA" w:usb2="00000016" w:usb3="00000000" w:csb0="00040000" w:csb1="00000000"/>
  </w:font>
  <w:font w:name="方正仿宋_GBK">
    <w:panose1 w:val="02000000000000000000"/>
    <w:charset w:val="86"/>
    <w:family w:val="auto"/>
    <w:pitch w:val="default"/>
    <w:sig w:usb0="A00002BF" w:usb1="38CF7CFA" w:usb2="00082016" w:usb3="00000000" w:csb0="00040001" w:csb1="00000000"/>
  </w:font>
  <w:font w:name="Times">
    <w:panose1 w:val="00000500000000020000"/>
    <w:charset w:val="00"/>
    <w:family w:val="roman"/>
    <w:pitch w:val="default"/>
    <w:sig w:usb0="E00002FF" w:usb1="5000205A" w:usb2="00000000" w:usb3="00000000" w:csb0="2000019F" w:csb1="4F010000"/>
  </w:font>
  <w:font w:name="Lucida Grande">
    <w:panose1 w:val="020B0600040502020204"/>
    <w:charset w:val="00"/>
    <w:family w:val="auto"/>
    <w:pitch w:val="default"/>
    <w:sig w:usb0="E1000AEF" w:usb1="5000A1FF" w:usb2="00000000" w:usb3="00000000" w:csb0="200001BF" w:csb1="4F010000"/>
  </w:font>
  <w:font w:name="Code">
    <w:altName w:val="苹方-简"/>
    <w:panose1 w:val="00000000000000000000"/>
    <w:charset w:val="00"/>
    <w:family w:val="swiss"/>
    <w:pitch w:val="default"/>
    <w:sig w:usb0="00000000" w:usb1="00000000" w:usb2="00000010" w:usb3="00000000" w:csb0="00040000" w:csb1="00000000"/>
  </w:font>
  <w:font w:name="RealpagePAL3">
    <w:altName w:val="苹方-简"/>
    <w:panose1 w:val="00000000000000000000"/>
    <w:charset w:val="00"/>
    <w:family w:val="swiss"/>
    <w:pitch w:val="default"/>
    <w:sig w:usb0="00000000" w:usb1="00000000" w:usb2="00000000" w:usb3="00000000" w:csb0="00000001" w:csb1="00000000"/>
  </w:font>
  <w:font w:name="AdobeSongStd-Light">
    <w:altName w:val="苹方-简"/>
    <w:panose1 w:val="00000000000000000000"/>
    <w:charset w:val="00"/>
    <w:family w:val="auto"/>
    <w:pitch w:val="default"/>
    <w:sig w:usb0="00000000" w:usb1="00000000" w:usb2="0000001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6BD93C"/>
    <w:multiLevelType w:val="singleLevel"/>
    <w:tmpl w:val="606BD93C"/>
    <w:lvl w:ilvl="0" w:tentative="0">
      <w:start w:val="3"/>
      <w:numFmt w:val="decimal"/>
      <w:suff w:val="nothing"/>
      <w:lvlText w:val="%1."/>
      <w:lvlJc w:val="left"/>
    </w:lvl>
  </w:abstractNum>
  <w:abstractNum w:abstractNumId="1">
    <w:nsid w:val="606FB78E"/>
    <w:multiLevelType w:val="singleLevel"/>
    <w:tmpl w:val="606FB78E"/>
    <w:lvl w:ilvl="0" w:tentative="0">
      <w:start w:val="5"/>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98"/>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DE3E58"/>
    <w:rsid w:val="6BAF0551"/>
    <w:rsid w:val="6CAE9067"/>
    <w:rsid w:val="775F50B0"/>
    <w:rsid w:val="7CF79A4D"/>
    <w:rsid w:val="7FDE3E58"/>
    <w:rsid w:val="CDBC8FA9"/>
    <w:rsid w:val="FD7BB069"/>
    <w:rsid w:val="FE7F7A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Office_2.6.1.4274_F1E327BC-269C-435d-A152-05C5408002CA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2021-04-04T17:07:00Z</dcterms:created>
  <dc:creator>wangyuwen</dc:creator>
  <cp:lastModifiedBy>wangyuwen</cp:lastModifiedBy>
  <dcterms:modified xsi:type="dcterms:W3CDTF">2021-04-10T12:48:58Z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2052-2.6.1.4274</vt:lpwstr>
  </property>
</Properties>
</file>