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5FE3FD2A" w:rsidP="5FE3FD2A" w:rsidRDefault="5FE3FD2A" w14:paraId="254AD4B1" w14:textId="2803DB9E">
      <w:pPr>
        <w:jc w:val="center"/>
        <w:rPr>
          <w:b w:val="1"/>
          <w:bCs w:val="1"/>
        </w:rPr>
      </w:pPr>
    </w:p>
    <w:p w:rsidRPr="00883134" w:rsidR="00090A98" w:rsidP="2FF22086" w:rsidRDefault="00883134" w14:paraId="67E8B191" w14:textId="5047E398">
      <w:pPr>
        <w:jc w:val="center"/>
        <w:rPr>
          <w:rFonts w:ascii="Calibri Light" w:hAnsi="Calibri Light" w:eastAsia="" w:cs="" w:asciiTheme="majorAscii" w:hAnsiTheme="majorAscii" w:eastAsiaTheme="majorEastAsia" w:cstheme="majorBidi"/>
          <w:b w:val="1"/>
          <w:bCs w:val="1"/>
          <w:color w:val="2F5496" w:themeColor="accent1" w:themeTint="FF" w:themeShade="BF"/>
          <w:sz w:val="40"/>
          <w:szCs w:val="40"/>
        </w:rPr>
      </w:pPr>
      <w:r w:rsidRPr="2FF22086" w:rsidR="00883134">
        <w:rPr>
          <w:b w:val="1"/>
          <w:bCs w:val="1"/>
        </w:rPr>
        <w:t>BMHP5021</w:t>
      </w:r>
    </w:p>
    <w:p w:rsidRPr="00883134" w:rsidR="00090A98" w:rsidP="5FE3FD2A" w:rsidRDefault="00883134" w14:paraId="5FBB6BC6" w14:textId="7B832527">
      <w:pPr>
        <w:jc w:val="center"/>
        <w:rPr>
          <w:rFonts w:ascii="Calibri Light" w:hAnsi="Calibri Light" w:eastAsia="" w:cs="" w:asciiTheme="majorAscii" w:hAnsiTheme="majorAscii" w:eastAsiaTheme="majorEastAsia" w:cstheme="majorBidi"/>
          <w:b w:val="1"/>
          <w:bCs w:val="1"/>
          <w:color w:val="2F5496" w:themeColor="accent1" w:themeTint="FF" w:themeShade="BF"/>
          <w:sz w:val="40"/>
          <w:szCs w:val="40"/>
        </w:rPr>
      </w:pPr>
      <w:r w:rsidRPr="2FF22086" w:rsidR="00883134">
        <w:rPr>
          <w:b w:val="1"/>
          <w:bCs w:val="1"/>
        </w:rPr>
        <w:t xml:space="preserve"> Protecting and Supporting Families in Health and Care</w:t>
      </w:r>
    </w:p>
    <w:p w:rsidRPr="00883134" w:rsidR="00090A98" w:rsidP="5FE3FD2A" w:rsidRDefault="00883134" w14:paraId="31346577" w14:textId="1F31A274">
      <w:pPr>
        <w:jc w:val="center"/>
        <w:rPr>
          <w:rFonts w:ascii="Calibri Light" w:hAnsi="Calibri Light" w:eastAsia="" w:cs="" w:asciiTheme="majorAscii" w:hAnsiTheme="majorAscii" w:eastAsiaTheme="majorEastAsia" w:cstheme="majorBidi"/>
          <w:b w:val="1"/>
          <w:bCs w:val="1"/>
          <w:color w:val="2F5496" w:themeColor="accent1" w:themeTint="FF" w:themeShade="BF"/>
          <w:sz w:val="40"/>
          <w:szCs w:val="40"/>
        </w:rPr>
      </w:pPr>
      <w:r w:rsidRPr="5FE3FD2A" w:rsidR="7F1EFD8D">
        <w:rPr>
          <w:b w:val="1"/>
          <w:bCs w:val="1"/>
        </w:rPr>
        <w:t>Component 2</w:t>
      </w:r>
    </w:p>
    <w:p w:rsidRPr="00883134" w:rsidR="00090A98" w:rsidP="5FE3FD2A" w:rsidRDefault="00883134" w14:paraId="1FCCF301" w14:textId="37AEEE2B">
      <w:pPr>
        <w:jc w:val="center"/>
        <w:rPr>
          <w:b w:val="1"/>
          <w:bCs w:val="1"/>
        </w:rPr>
      </w:pPr>
      <w:r w:rsidRPr="5FE3FD2A" w:rsidR="7F1EFD8D">
        <w:rPr>
          <w:b w:val="1"/>
          <w:bCs w:val="1"/>
        </w:rPr>
        <w:t>Farah Hussain 2328221</w:t>
      </w:r>
    </w:p>
    <w:p w:rsidRPr="00883134" w:rsidR="00090A98" w:rsidP="5FE3FD2A" w:rsidRDefault="00883134" w14:paraId="6E0D3F69" w14:textId="72B01362">
      <w:pPr>
        <w:jc w:val="center"/>
        <w:rPr>
          <w:b w:val="1"/>
          <w:bCs w:val="1"/>
        </w:rPr>
      </w:pPr>
      <w:r w:rsidRPr="5FE3FD2A" w:rsidR="7F1EFD8D">
        <w:rPr>
          <w:b w:val="1"/>
          <w:bCs w:val="1"/>
        </w:rPr>
        <w:t>Lecturer Philp Jones</w:t>
      </w:r>
    </w:p>
    <w:p w:rsidRPr="00883134" w:rsidR="00090A98" w:rsidP="5FE3FD2A" w:rsidRDefault="00883134" w14:paraId="6F372581" w14:textId="17B119E3">
      <w:pPr>
        <w:jc w:val="center"/>
        <w:rPr>
          <w:rFonts w:ascii="Calibri Light" w:hAnsi="Calibri Light" w:eastAsia="" w:cs="" w:asciiTheme="majorAscii" w:hAnsiTheme="majorAscii" w:eastAsiaTheme="majorEastAsia" w:cstheme="majorBidi"/>
          <w:b w:val="1"/>
          <w:bCs w:val="1"/>
          <w:color w:val="2F5496" w:themeColor="accent1" w:themeShade="BF"/>
          <w:sz w:val="40"/>
          <w:szCs w:val="40"/>
        </w:rPr>
      </w:pPr>
      <w:r w:rsidRPr="5FE3FD2A" w:rsidR="00883134">
        <w:rPr>
          <w:b w:val="1"/>
          <w:bCs w:val="1"/>
        </w:rPr>
        <w:t xml:space="preserve"> </w:t>
      </w:r>
      <w:r w:rsidRPr="5FE3FD2A">
        <w:rPr>
          <w:b w:val="1"/>
          <w:bCs w:val="1"/>
        </w:rPr>
        <w:br w:type="page"/>
      </w:r>
    </w:p>
    <w:sdt>
      <w:sdtPr>
        <w:id w:val="577872083"/>
        <w:docPartObj>
          <w:docPartGallery w:val="Table of Contents"/>
          <w:docPartUnique/>
        </w:docPartObj>
      </w:sdtPr>
      <w:sdtEndPr>
        <w:rPr>
          <w:rFonts w:ascii="Arial" w:hAnsi="Arial" w:eastAsia="Calibri" w:cs="Arial" w:eastAsiaTheme="minorAscii"/>
          <w:b w:val="1"/>
          <w:bCs w:val="1"/>
          <w:noProof/>
          <w:color w:val="auto"/>
          <w:kern w:val="2"/>
          <w:sz w:val="22"/>
          <w:szCs w:val="22"/>
          <w:lang w:val="en-IN"/>
        </w:rPr>
      </w:sdtEndPr>
      <w:sdtContent>
        <w:p w:rsidR="00090A98" w:rsidRDefault="00090A98" w14:paraId="7B2A6025" w14:textId="65ABF73E">
          <w:pPr>
            <w:pStyle w:val="TOCHeading"/>
          </w:pPr>
          <w:r>
            <w:t>Table of Contents</w:t>
          </w:r>
        </w:p>
        <w:p w:rsidR="00090A98" w:rsidP="00090A98" w:rsidRDefault="00090A98" w14:paraId="349E85BC" w14:textId="6287BF03">
          <w:pPr>
            <w:pStyle w:val="TOC1"/>
            <w:tabs>
              <w:tab w:val="left" w:pos="480"/>
              <w:tab w:val="right" w:leader="dot" w:pos="9016"/>
            </w:tabs>
            <w:ind w:firstLine="0"/>
            <w:rPr>
              <w:noProof/>
            </w:rPr>
          </w:pPr>
          <w:r>
            <w:fldChar w:fldCharType="begin"/>
          </w:r>
          <w:r>
            <w:instrText xml:space="preserve"> TOC \o "1-3" \h \z \u </w:instrText>
          </w:r>
          <w:r>
            <w:fldChar w:fldCharType="separate"/>
          </w:r>
          <w:hyperlink w:history="1" w:anchor="_Toc214269086">
            <w:r w:rsidRPr="00D60639">
              <w:rPr>
                <w:rStyle w:val="Hyperlink"/>
                <w:noProof/>
              </w:rPr>
              <w:t>A.</w:t>
            </w:r>
            <w:r>
              <w:rPr>
                <w:noProof/>
              </w:rPr>
              <w:tab/>
            </w:r>
            <w:r w:rsidRPr="00D60639">
              <w:rPr>
                <w:rStyle w:val="Hyperlink"/>
                <w:noProof/>
              </w:rPr>
              <w:t>Introduction</w:t>
            </w:r>
            <w:r>
              <w:rPr>
                <w:noProof/>
                <w:webHidden/>
              </w:rPr>
              <w:tab/>
            </w:r>
            <w:r>
              <w:rPr>
                <w:noProof/>
                <w:webHidden/>
              </w:rPr>
              <w:fldChar w:fldCharType="begin"/>
            </w:r>
            <w:r>
              <w:rPr>
                <w:noProof/>
                <w:webHidden/>
              </w:rPr>
              <w:instrText xml:space="preserve"> PAGEREF _Toc214269086 \h </w:instrText>
            </w:r>
            <w:r>
              <w:rPr>
                <w:noProof/>
                <w:webHidden/>
              </w:rPr>
            </w:r>
            <w:r>
              <w:rPr>
                <w:noProof/>
                <w:webHidden/>
              </w:rPr>
              <w:fldChar w:fldCharType="separate"/>
            </w:r>
            <w:r>
              <w:rPr>
                <w:noProof/>
                <w:webHidden/>
              </w:rPr>
              <w:t>3</w:t>
            </w:r>
            <w:r>
              <w:rPr>
                <w:noProof/>
                <w:webHidden/>
              </w:rPr>
              <w:fldChar w:fldCharType="end"/>
            </w:r>
          </w:hyperlink>
        </w:p>
        <w:p w:rsidR="00090A98" w:rsidP="00090A98" w:rsidRDefault="00090A98" w14:paraId="407D4A2C" w14:textId="7FFE96F2">
          <w:pPr>
            <w:pStyle w:val="TOC1"/>
            <w:tabs>
              <w:tab w:val="left" w:pos="480"/>
              <w:tab w:val="right" w:leader="dot" w:pos="9016"/>
            </w:tabs>
            <w:ind w:firstLine="0"/>
            <w:rPr>
              <w:noProof/>
            </w:rPr>
          </w:pPr>
          <w:hyperlink w:history="1" w:anchor="_Toc214269087">
            <w:r w:rsidRPr="00D60639">
              <w:rPr>
                <w:rStyle w:val="Hyperlink"/>
                <w:noProof/>
              </w:rPr>
              <w:t>B.</w:t>
            </w:r>
            <w:r>
              <w:rPr>
                <w:noProof/>
              </w:rPr>
              <w:tab/>
            </w:r>
            <w:r w:rsidRPr="00D60639">
              <w:rPr>
                <w:rStyle w:val="Hyperlink"/>
                <w:noProof/>
              </w:rPr>
              <w:t>Explanation of the Early Help System</w:t>
            </w:r>
            <w:r>
              <w:rPr>
                <w:noProof/>
                <w:webHidden/>
              </w:rPr>
              <w:tab/>
            </w:r>
            <w:r>
              <w:rPr>
                <w:noProof/>
                <w:webHidden/>
              </w:rPr>
              <w:fldChar w:fldCharType="begin"/>
            </w:r>
            <w:r>
              <w:rPr>
                <w:noProof/>
                <w:webHidden/>
              </w:rPr>
              <w:instrText xml:space="preserve"> PAGEREF _Toc214269087 \h </w:instrText>
            </w:r>
            <w:r>
              <w:rPr>
                <w:noProof/>
                <w:webHidden/>
              </w:rPr>
            </w:r>
            <w:r>
              <w:rPr>
                <w:noProof/>
                <w:webHidden/>
              </w:rPr>
              <w:fldChar w:fldCharType="separate"/>
            </w:r>
            <w:r>
              <w:rPr>
                <w:noProof/>
                <w:webHidden/>
              </w:rPr>
              <w:t>3</w:t>
            </w:r>
            <w:r>
              <w:rPr>
                <w:noProof/>
                <w:webHidden/>
              </w:rPr>
              <w:fldChar w:fldCharType="end"/>
            </w:r>
          </w:hyperlink>
        </w:p>
        <w:p w:rsidR="00090A98" w:rsidP="00090A98" w:rsidRDefault="00090A98" w14:paraId="219361C3" w14:textId="291E312B">
          <w:pPr>
            <w:pStyle w:val="TOC1"/>
            <w:tabs>
              <w:tab w:val="left" w:pos="480"/>
              <w:tab w:val="right" w:leader="dot" w:pos="9016"/>
            </w:tabs>
            <w:ind w:firstLine="0"/>
            <w:rPr>
              <w:noProof/>
            </w:rPr>
          </w:pPr>
          <w:hyperlink w:history="1" w:anchor="_Toc214269088">
            <w:r w:rsidRPr="00D60639">
              <w:rPr>
                <w:rStyle w:val="Hyperlink"/>
                <w:noProof/>
              </w:rPr>
              <w:t>C.</w:t>
            </w:r>
            <w:r>
              <w:rPr>
                <w:noProof/>
              </w:rPr>
              <w:tab/>
            </w:r>
            <w:r w:rsidRPr="00D60639">
              <w:rPr>
                <w:rStyle w:val="Hyperlink"/>
                <w:noProof/>
              </w:rPr>
              <w:t>Explanation of multi-agency working</w:t>
            </w:r>
            <w:r>
              <w:rPr>
                <w:noProof/>
                <w:webHidden/>
              </w:rPr>
              <w:tab/>
            </w:r>
            <w:r>
              <w:rPr>
                <w:noProof/>
                <w:webHidden/>
              </w:rPr>
              <w:fldChar w:fldCharType="begin"/>
            </w:r>
            <w:r>
              <w:rPr>
                <w:noProof/>
                <w:webHidden/>
              </w:rPr>
              <w:instrText xml:space="preserve"> PAGEREF _Toc214269088 \h </w:instrText>
            </w:r>
            <w:r>
              <w:rPr>
                <w:noProof/>
                <w:webHidden/>
              </w:rPr>
            </w:r>
            <w:r>
              <w:rPr>
                <w:noProof/>
                <w:webHidden/>
              </w:rPr>
              <w:fldChar w:fldCharType="separate"/>
            </w:r>
            <w:r>
              <w:rPr>
                <w:noProof/>
                <w:webHidden/>
              </w:rPr>
              <w:t>3</w:t>
            </w:r>
            <w:r>
              <w:rPr>
                <w:noProof/>
                <w:webHidden/>
              </w:rPr>
              <w:fldChar w:fldCharType="end"/>
            </w:r>
          </w:hyperlink>
        </w:p>
        <w:p w:rsidR="00090A98" w:rsidP="00090A98" w:rsidRDefault="00090A98" w14:paraId="2E1A3F45" w14:textId="6D137BD8">
          <w:pPr>
            <w:pStyle w:val="TOC1"/>
            <w:tabs>
              <w:tab w:val="right" w:leader="dot" w:pos="9016"/>
            </w:tabs>
            <w:ind w:firstLine="0"/>
            <w:rPr>
              <w:noProof/>
            </w:rPr>
          </w:pPr>
          <w:hyperlink w:history="1" w:anchor="_Toc214269089">
            <w:r w:rsidRPr="00D60639">
              <w:rPr>
                <w:rStyle w:val="Hyperlink"/>
                <w:noProof/>
              </w:rPr>
              <w:t>D. An evaluation of each of three local authority websites</w:t>
            </w:r>
            <w:r>
              <w:rPr>
                <w:noProof/>
                <w:webHidden/>
              </w:rPr>
              <w:tab/>
            </w:r>
            <w:r>
              <w:rPr>
                <w:noProof/>
                <w:webHidden/>
              </w:rPr>
              <w:fldChar w:fldCharType="begin"/>
            </w:r>
            <w:r>
              <w:rPr>
                <w:noProof/>
                <w:webHidden/>
              </w:rPr>
              <w:instrText xml:space="preserve"> PAGEREF _Toc214269089 \h </w:instrText>
            </w:r>
            <w:r>
              <w:rPr>
                <w:noProof/>
                <w:webHidden/>
              </w:rPr>
            </w:r>
            <w:r>
              <w:rPr>
                <w:noProof/>
                <w:webHidden/>
              </w:rPr>
              <w:fldChar w:fldCharType="separate"/>
            </w:r>
            <w:r>
              <w:rPr>
                <w:noProof/>
                <w:webHidden/>
              </w:rPr>
              <w:t>4</w:t>
            </w:r>
            <w:r>
              <w:rPr>
                <w:noProof/>
                <w:webHidden/>
              </w:rPr>
              <w:fldChar w:fldCharType="end"/>
            </w:r>
          </w:hyperlink>
        </w:p>
        <w:p w:rsidR="00090A98" w:rsidP="00090A98" w:rsidRDefault="00090A98" w14:paraId="3FFA1435" w14:textId="7DBF5E8C">
          <w:pPr>
            <w:pStyle w:val="TOC1"/>
            <w:tabs>
              <w:tab w:val="left" w:pos="480"/>
              <w:tab w:val="right" w:leader="dot" w:pos="9016"/>
            </w:tabs>
            <w:ind w:firstLine="0"/>
            <w:rPr>
              <w:noProof/>
            </w:rPr>
          </w:pPr>
          <w:hyperlink w:history="1" w:anchor="_Toc214269090">
            <w:r w:rsidRPr="00D60639">
              <w:rPr>
                <w:rStyle w:val="Hyperlink"/>
                <w:noProof/>
              </w:rPr>
              <w:t>E.</w:t>
            </w:r>
            <w:r>
              <w:rPr>
                <w:noProof/>
              </w:rPr>
              <w:tab/>
            </w:r>
            <w:r w:rsidRPr="00D60639">
              <w:rPr>
                <w:rStyle w:val="Hyperlink"/>
                <w:noProof/>
              </w:rPr>
              <w:t>A comparative analysis of the main strengths and weakness</w:t>
            </w:r>
            <w:r>
              <w:rPr>
                <w:noProof/>
                <w:webHidden/>
              </w:rPr>
              <w:tab/>
            </w:r>
            <w:r>
              <w:rPr>
                <w:noProof/>
                <w:webHidden/>
              </w:rPr>
              <w:fldChar w:fldCharType="begin"/>
            </w:r>
            <w:r>
              <w:rPr>
                <w:noProof/>
                <w:webHidden/>
              </w:rPr>
              <w:instrText xml:space="preserve"> PAGEREF _Toc214269090 \h </w:instrText>
            </w:r>
            <w:r>
              <w:rPr>
                <w:noProof/>
                <w:webHidden/>
              </w:rPr>
            </w:r>
            <w:r>
              <w:rPr>
                <w:noProof/>
                <w:webHidden/>
              </w:rPr>
              <w:fldChar w:fldCharType="separate"/>
            </w:r>
            <w:r>
              <w:rPr>
                <w:noProof/>
                <w:webHidden/>
              </w:rPr>
              <w:t>6</w:t>
            </w:r>
            <w:r>
              <w:rPr>
                <w:noProof/>
                <w:webHidden/>
              </w:rPr>
              <w:fldChar w:fldCharType="end"/>
            </w:r>
          </w:hyperlink>
        </w:p>
        <w:p w:rsidR="00090A98" w:rsidP="00090A98" w:rsidRDefault="00090A98" w14:paraId="77E5FC6F" w14:textId="258CE8F1">
          <w:pPr>
            <w:pStyle w:val="TOC1"/>
            <w:tabs>
              <w:tab w:val="left" w:pos="480"/>
              <w:tab w:val="right" w:leader="dot" w:pos="9016"/>
            </w:tabs>
            <w:ind w:firstLine="0"/>
            <w:rPr>
              <w:noProof/>
            </w:rPr>
          </w:pPr>
          <w:hyperlink w:history="1" w:anchor="_Toc214269091">
            <w:r w:rsidRPr="00D60639">
              <w:rPr>
                <w:rStyle w:val="Hyperlink"/>
                <w:noProof/>
              </w:rPr>
              <w:t>F.</w:t>
            </w:r>
            <w:r>
              <w:rPr>
                <w:noProof/>
              </w:rPr>
              <w:tab/>
            </w:r>
            <w:r w:rsidRPr="00D60639">
              <w:rPr>
                <w:rStyle w:val="Hyperlink"/>
                <w:noProof/>
              </w:rPr>
              <w:t>Conclusion with recommendations</w:t>
            </w:r>
            <w:r>
              <w:rPr>
                <w:noProof/>
                <w:webHidden/>
              </w:rPr>
              <w:tab/>
            </w:r>
            <w:r>
              <w:rPr>
                <w:noProof/>
                <w:webHidden/>
              </w:rPr>
              <w:fldChar w:fldCharType="begin"/>
            </w:r>
            <w:r>
              <w:rPr>
                <w:noProof/>
                <w:webHidden/>
              </w:rPr>
              <w:instrText xml:space="preserve"> PAGEREF _Toc214269091 \h </w:instrText>
            </w:r>
            <w:r>
              <w:rPr>
                <w:noProof/>
                <w:webHidden/>
              </w:rPr>
            </w:r>
            <w:r>
              <w:rPr>
                <w:noProof/>
                <w:webHidden/>
              </w:rPr>
              <w:fldChar w:fldCharType="separate"/>
            </w:r>
            <w:r>
              <w:rPr>
                <w:noProof/>
                <w:webHidden/>
              </w:rPr>
              <w:t>7</w:t>
            </w:r>
            <w:r>
              <w:rPr>
                <w:noProof/>
                <w:webHidden/>
              </w:rPr>
              <w:fldChar w:fldCharType="end"/>
            </w:r>
          </w:hyperlink>
        </w:p>
        <w:p w:rsidR="00090A98" w:rsidP="00090A98" w:rsidRDefault="00090A98" w14:paraId="4D121D98" w14:textId="56F904DC">
          <w:pPr>
            <w:pStyle w:val="TOC1"/>
            <w:tabs>
              <w:tab w:val="right" w:leader="dot" w:pos="9016"/>
            </w:tabs>
            <w:ind w:firstLine="0"/>
            <w:rPr>
              <w:noProof/>
            </w:rPr>
          </w:pPr>
          <w:hyperlink w:history="1" w:anchor="_Toc214269092">
            <w:r w:rsidRPr="00D60639">
              <w:rPr>
                <w:rStyle w:val="Hyperlink"/>
                <w:noProof/>
              </w:rPr>
              <w:t>References</w:t>
            </w:r>
            <w:r>
              <w:rPr>
                <w:noProof/>
                <w:webHidden/>
              </w:rPr>
              <w:tab/>
            </w:r>
            <w:r>
              <w:rPr>
                <w:noProof/>
                <w:webHidden/>
              </w:rPr>
              <w:fldChar w:fldCharType="begin"/>
            </w:r>
            <w:r>
              <w:rPr>
                <w:noProof/>
                <w:webHidden/>
              </w:rPr>
              <w:instrText xml:space="preserve"> PAGEREF _Toc214269092 \h </w:instrText>
            </w:r>
            <w:r>
              <w:rPr>
                <w:noProof/>
                <w:webHidden/>
              </w:rPr>
            </w:r>
            <w:r>
              <w:rPr>
                <w:noProof/>
                <w:webHidden/>
              </w:rPr>
              <w:fldChar w:fldCharType="separate"/>
            </w:r>
            <w:r>
              <w:rPr>
                <w:noProof/>
                <w:webHidden/>
              </w:rPr>
              <w:t>8</w:t>
            </w:r>
            <w:r>
              <w:rPr>
                <w:noProof/>
                <w:webHidden/>
              </w:rPr>
              <w:fldChar w:fldCharType="end"/>
            </w:r>
          </w:hyperlink>
        </w:p>
        <w:p w:rsidR="00090A98" w:rsidP="00090A98" w:rsidRDefault="00090A98" w14:paraId="23B75698" w14:textId="2A3C483C">
          <w:pPr>
            <w:ind w:firstLine="0"/>
          </w:pPr>
          <w:r>
            <w:rPr>
              <w:b/>
              <w:bCs/>
              <w:noProof/>
            </w:rPr>
            <w:fldChar w:fldCharType="end"/>
          </w:r>
        </w:p>
      </w:sdtContent>
    </w:sdt>
    <w:p w:rsidR="00090A98" w:rsidRDefault="00090A98" w14:paraId="65AD500F" w14:textId="77777777">
      <w:pPr>
        <w:rPr>
          <w:rFonts w:asciiTheme="majorHAnsi" w:hAnsiTheme="majorHAnsi" w:eastAsiaTheme="majorEastAsia" w:cstheme="majorBidi"/>
          <w:color w:val="2F5496" w:themeColor="accent1" w:themeShade="BF"/>
          <w:sz w:val="40"/>
          <w:szCs w:val="40"/>
        </w:rPr>
      </w:pPr>
      <w:r>
        <w:br w:type="page"/>
      </w:r>
    </w:p>
    <w:p w:rsidR="002A0411" w:rsidP="008E0BA1" w:rsidRDefault="00622E33" w14:paraId="60CD995D" w14:textId="31A6C3AB">
      <w:pPr>
        <w:pStyle w:val="Heading1"/>
        <w:numPr>
          <w:ilvl w:val="0"/>
          <w:numId w:val="1"/>
        </w:numPr>
        <w:spacing w:before="0" w:after="0"/>
      </w:pPr>
      <w:bookmarkStart w:name="_Toc214269086" w:id="0"/>
      <w:r>
        <w:lastRenderedPageBreak/>
        <w:t>Introduction</w:t>
      </w:r>
      <w:bookmarkEnd w:id="0"/>
    </w:p>
    <w:p w:rsidR="00622E33" w:rsidP="008E0BA1" w:rsidRDefault="00957AB2" w14:paraId="285EEFF9" w14:textId="632128C1">
      <w:r w:rsidR="00957AB2">
        <w:rPr/>
        <w:t>Th</w:t>
      </w:r>
      <w:r w:rsidR="40EF00CC">
        <w:rPr/>
        <w:t>is report</w:t>
      </w:r>
      <w:r w:rsidR="00957AB2">
        <w:rPr/>
        <w:t xml:space="preserve"> involves exploring the efficiency of signposting the Early Help system to families through the websites of three UK-based local authorities: Leicester, Norfolk, and Staffordshire. Among the elements of the strategy is the Early Help strategy, designed to help a family when initial problems are noticed and to help the family feel stronger and less likely to resort to statutory services. On the basis of the rationale of the recommendation of the Early Help System Guide (2022) and Working Together to Safeguard Children (2023), the level of clarity and availability of information on the websites with information about the availability, scope, and accessibility of the Early Help services will be addressed in the discussion. The offering text structure of the Leicester City Council is flashy and pompous. To get its information and resources in its well-organized structure, Staffordshire provides it online, </w:t>
      </w:r>
      <w:r w:rsidR="00957AB2">
        <w:rPr/>
        <w:t>whereas</w:t>
      </w:r>
      <w:r w:rsidR="00957AB2">
        <w:rPr/>
        <w:t xml:space="preserve"> Norfolk County Council addresses its Family Hubs and an information tool that can be accessed through the Internet.</w:t>
      </w:r>
    </w:p>
    <w:p w:rsidR="00957AB2" w:rsidP="008E0BA1" w:rsidRDefault="000231BA" w14:paraId="14098D65" w14:textId="3267856B">
      <w:pPr>
        <w:pStyle w:val="Heading1"/>
        <w:numPr>
          <w:ilvl w:val="0"/>
          <w:numId w:val="1"/>
        </w:numPr>
        <w:spacing w:before="0" w:after="0"/>
      </w:pPr>
      <w:bookmarkStart w:name="_Toc214269087" w:id="1"/>
      <w:r w:rsidRPr="001C53F5">
        <w:t xml:space="preserve">Explanation of the Early Help </w:t>
      </w:r>
      <w:r w:rsidRPr="000231BA">
        <w:t>System</w:t>
      </w:r>
      <w:bookmarkEnd w:id="1"/>
    </w:p>
    <w:p w:rsidR="000231BA" w:rsidP="008E0BA1" w:rsidRDefault="00DA20A4" w14:paraId="74A68392" w14:textId="2AF1E593">
      <w:r w:rsidR="00DA20A4">
        <w:rPr/>
        <w:t xml:space="preserve">Early Help System is a network of services and </w:t>
      </w:r>
      <w:r w:rsidR="00DA20A4">
        <w:rPr/>
        <w:t>assistance</w:t>
      </w:r>
      <w:r w:rsidR="00DA20A4">
        <w:rPr/>
        <w:t xml:space="preserve">. It supports children and families in the </w:t>
      </w:r>
      <w:r w:rsidR="00DA20A4">
        <w:rPr/>
        <w:t>initial</w:t>
      </w:r>
      <w:r w:rsidR="00DA20A4">
        <w:rPr/>
        <w:t xml:space="preserve"> stages of the development of troubles. The aim is to avoid the intensification of issues. Early Help is not a single service, but it includes schools, health services, social care, community groups, and local councils. Help is extended to the whole family, and they can be parental help, psychological help and help in studying. Family Hubs have been the key point where such support is given to them. They are the points of intersection of services, and the </w:t>
      </w:r>
      <w:r w:rsidR="00DA20A4">
        <w:rPr/>
        <w:t>assistance</w:t>
      </w:r>
      <w:r w:rsidR="00DA20A4">
        <w:rPr/>
        <w:t xml:space="preserve"> can be received both online and offline. Early Help is an intervention targeted at families (</w:t>
      </w:r>
      <w:r w:rsidR="00DA20A4">
        <w:rPr/>
        <w:t>Bernaerts</w:t>
      </w:r>
      <w:r w:rsidR="00DA20A4">
        <w:rPr/>
        <w:t>, Van Daele, and Carlsen, 2024). Their needs are prioriti</w:t>
      </w:r>
      <w:r w:rsidR="1762E674">
        <w:rPr/>
        <w:t>s</w:t>
      </w:r>
      <w:r w:rsidR="00DA20A4">
        <w:rPr/>
        <w:t>ed and their voices are centralized. Services liaise with families. It is known as a whole family approach. This is directed towards building trust and preventing child protection in the future. According to the government guidance, the Early Help is supposed to be easily available. There are families who are supposed to know the way they reach it. There must be consistency in the system, interconnection, and anchoring on good local alliances.</w:t>
      </w:r>
    </w:p>
    <w:p w:rsidR="00DA20A4" w:rsidP="008E0BA1" w:rsidRDefault="00977B5A" w14:paraId="3AF5B7FD" w14:textId="1B6CF34C">
      <w:pPr>
        <w:pStyle w:val="Heading1"/>
        <w:numPr>
          <w:ilvl w:val="0"/>
          <w:numId w:val="1"/>
        </w:numPr>
        <w:spacing w:before="0" w:after="0"/>
      </w:pPr>
      <w:bookmarkStart w:name="_Toc214269088" w:id="2"/>
      <w:r w:rsidRPr="001C53F5">
        <w:t>Explanation of multi-agency working</w:t>
      </w:r>
      <w:bookmarkEnd w:id="2"/>
    </w:p>
    <w:p w:rsidR="00977B5A" w:rsidP="008E0BA1" w:rsidRDefault="00952482" w14:paraId="2D6CE53C" w14:textId="2CA48C22">
      <w:r w:rsidR="00952482">
        <w:rPr/>
        <w:t>The working of multiple agencies is the coordination of various organi</w:t>
      </w:r>
      <w:r w:rsidR="5103088A">
        <w:rPr/>
        <w:t>s</w:t>
      </w:r>
      <w:r w:rsidR="00952482">
        <w:rPr/>
        <w:t xml:space="preserve">ations and professionals to offer care to children and parents. It involves social care, educational and health, police, and housing and volunteer groups services. All these services execute multiple skills, but the goal is to be concerned about children and enhance their well-being. This can be done to </w:t>
      </w:r>
      <w:r w:rsidR="00952482">
        <w:rPr/>
        <w:t>determine</w:t>
      </w:r>
      <w:r w:rsidR="00952482">
        <w:rPr/>
        <w:t xml:space="preserve"> the requirements of the children in the </w:t>
      </w:r>
      <w:r w:rsidR="00952482">
        <w:rPr/>
        <w:t>initial</w:t>
      </w:r>
      <w:r w:rsidR="00952482">
        <w:rPr/>
        <w:t xml:space="preserve"> stages. In the case of partnering agencies, the issues can be </w:t>
      </w:r>
      <w:r w:rsidR="00952482">
        <w:rPr/>
        <w:t>identified</w:t>
      </w:r>
      <w:r w:rsidR="00952482">
        <w:rPr/>
        <w:t xml:space="preserve"> early</w:t>
      </w:r>
      <w:r w:rsidR="2CFDF2D7">
        <w:rPr/>
        <w:t>.</w:t>
      </w:r>
      <w:r w:rsidR="00952482">
        <w:rPr/>
        <w:t xml:space="preserve"> The professionals exchange </w:t>
      </w:r>
      <w:r w:rsidR="00952482">
        <w:rPr/>
        <w:t xml:space="preserve">valuable information among themselves </w:t>
      </w:r>
      <w:r w:rsidR="1BCD50BD">
        <w:rPr/>
        <w:t>to</w:t>
      </w:r>
      <w:r w:rsidR="00952482">
        <w:rPr/>
        <w:t xml:space="preserve"> </w:t>
      </w:r>
      <w:r w:rsidR="00952482">
        <w:rPr/>
        <w:t>possess</w:t>
      </w:r>
      <w:r w:rsidR="00952482">
        <w:rPr/>
        <w:t xml:space="preserve"> a full picture of what a child or a family </w:t>
      </w:r>
      <w:r w:rsidR="00952482">
        <w:rPr/>
        <w:t>requires</w:t>
      </w:r>
      <w:r w:rsidR="00952482">
        <w:rPr/>
        <w:t xml:space="preserve">. This saves wastage of time and redundancy of work. It also does this </w:t>
      </w:r>
      <w:r w:rsidR="4F29EBCE">
        <w:rPr/>
        <w:t>to</w:t>
      </w:r>
      <w:r w:rsidR="00952482">
        <w:rPr/>
        <w:t xml:space="preserve"> make sure that there is no repetition of the same </w:t>
      </w:r>
      <w:r w:rsidR="618A755A">
        <w:rPr/>
        <w:t>failures</w:t>
      </w:r>
      <w:r w:rsidR="00952482">
        <w:rPr/>
        <w:t xml:space="preserve"> to other people by their families. Children are provided with critical voices when working in </w:t>
      </w:r>
      <w:r w:rsidR="00952482">
        <w:rPr/>
        <w:t>numerous</w:t>
      </w:r>
      <w:r w:rsidR="00952482">
        <w:rPr/>
        <w:t xml:space="preserve"> agencies. The professionals are even expected to be coerced into listening to children and to engage children in the decision-making. They should also include the carers and parents. They should also be trusting and communicating services. The leadership also unites the agencies and </w:t>
      </w:r>
      <w:r w:rsidR="00952482">
        <w:rPr/>
        <w:t>maintains</w:t>
      </w:r>
      <w:r w:rsidR="00952482">
        <w:rPr/>
        <w:t xml:space="preserve"> focus on all </w:t>
      </w:r>
      <w:r w:rsidR="04178EBC">
        <w:rPr/>
        <w:t>people (</w:t>
      </w:r>
      <w:r w:rsidR="00952482">
        <w:rPr/>
        <w:t xml:space="preserve">Bunting and McCartan, 2023). The professionals are motivated to interact and </w:t>
      </w:r>
      <w:r w:rsidR="00952482">
        <w:rPr/>
        <w:t>operate</w:t>
      </w:r>
      <w:r w:rsidR="00952482">
        <w:rPr/>
        <w:t xml:space="preserve"> in groups through holding frequent meetings, helping each other in the evaluation, and planning. Agencies</w:t>
      </w:r>
      <w:r w:rsidR="00952482">
        <w:rPr/>
        <w:t xml:space="preserve"> too, are supposed to learn amongst themselve</w:t>
      </w:r>
      <w:r w:rsidR="63D7C349">
        <w:rPr/>
        <w:t>s</w:t>
      </w:r>
      <w:r w:rsidR="00952482">
        <w:rPr/>
        <w:t xml:space="preserve"> to become better</w:t>
      </w:r>
      <w:r w:rsidR="53962DD6">
        <w:rPr/>
        <w:t xml:space="preserve"> with safegaurding</w:t>
      </w:r>
      <w:r w:rsidR="168D9978">
        <w:rPr/>
        <w:t xml:space="preserve">. </w:t>
      </w:r>
      <w:r w:rsidR="00952482">
        <w:rPr/>
        <w:t>According to the guidance Working Together to Safeguard Children (2023), everyone has a business to safeguard.</w:t>
      </w:r>
    </w:p>
    <w:p w:rsidR="00952482" w:rsidP="008E0BA1" w:rsidRDefault="008E0BA1" w14:paraId="6969AC60" w14:textId="683A9C4C">
      <w:pPr>
        <w:pStyle w:val="Heading1"/>
        <w:spacing w:before="0" w:after="0"/>
      </w:pPr>
      <w:bookmarkStart w:name="_Toc214269089" w:id="3"/>
      <w:r>
        <w:t xml:space="preserve">D. </w:t>
      </w:r>
      <w:r w:rsidRPr="001C53F5">
        <w:t>An evaluation of each of three local authority websites</w:t>
      </w:r>
      <w:bookmarkEnd w:id="3"/>
    </w:p>
    <w:p w:rsidRPr="00CB0B7E" w:rsidR="00CB0B7E" w:rsidP="00CB0B7E" w:rsidRDefault="00CB0B7E" w14:paraId="5816F8A7" w14:textId="77777777">
      <w:pPr>
        <w:rPr>
          <w:b/>
          <w:bCs/>
        </w:rPr>
      </w:pPr>
      <w:r w:rsidRPr="00CB0B7E">
        <w:rPr>
          <w:b/>
          <w:bCs/>
        </w:rPr>
        <w:t>Leicester City Council</w:t>
      </w:r>
    </w:p>
    <w:p w:rsidR="00CB0B7E" w:rsidP="00CB0B7E" w:rsidRDefault="00CB0B7E" w14:paraId="044E101D" w14:textId="7B050C04">
      <w:r w:rsidR="00CB0B7E">
        <w:rPr/>
        <w:t xml:space="preserve">The Early Help page of Leicester occupies a part of its site for Children, Young People, and Families. The site has some general definitions of Early Help and the Early Help Offer PDF link. Nonetheless, it does not have an energetic navigation and family-friendly design. Though the description of the key services is featured as family support and children centres, it is not interactive, as it is provided in the form of static documents. The Early Help System Guide affirms that through the open digital signposting, families may easily know where to be so that they may find help and accept normal behaviour equations of seeking </w:t>
      </w:r>
      <w:r w:rsidR="3B5E9FF9">
        <w:rPr/>
        <w:t>help (</w:t>
      </w:r>
      <w:r w:rsidR="00CB0B7E">
        <w:rPr/>
        <w:t xml:space="preserve">Featherstone, Morris, and White, 2020). This is broken with the aid of long documents that Leicester relied on. Moreover, one cannot see that it has a definite front door or the contact pathway on the landing page. The statutory directions of Working Together to Safeguard Children (2023) have a comparable wide view of the site material, </w:t>
      </w:r>
      <w:r w:rsidR="00CB0B7E">
        <w:rPr/>
        <w:t>regarding</w:t>
      </w:r>
      <w:r w:rsidR="00CB0B7E">
        <w:rPr/>
        <w:t xml:space="preserve"> the domains of pre-emptive </w:t>
      </w:r>
      <w:r w:rsidR="00CB0B7E">
        <w:rPr/>
        <w:t>assistance</w:t>
      </w:r>
      <w:r w:rsidR="00CB0B7E">
        <w:rPr/>
        <w:t xml:space="preserve"> and developing needs. It, however, </w:t>
      </w:r>
      <w:r w:rsidR="00CB0B7E">
        <w:rPr/>
        <w:t>fails to</w:t>
      </w:r>
      <w:r w:rsidR="00CB0B7E">
        <w:rPr/>
        <w:t xml:space="preserve"> </w:t>
      </w:r>
      <w:r w:rsidR="00CB0B7E">
        <w:rPr/>
        <w:t>indicate</w:t>
      </w:r>
      <w:r w:rsidR="00CB0B7E">
        <w:rPr/>
        <w:t xml:space="preserve"> the manner through which families can self-refer or access the services. This can be attributed to the unavailability of interactive tools/family hub locators, and hence the families would not access the system at this early </w:t>
      </w:r>
      <w:r w:rsidR="3A459EDD">
        <w:rPr/>
        <w:t>stage (</w:t>
      </w:r>
      <w:r w:rsidR="00CB0B7E">
        <w:rPr/>
        <w:t>Leicestershire County Council, 2025).</w:t>
      </w:r>
    </w:p>
    <w:p w:rsidR="2FF22086" w:rsidP="2FF22086" w:rsidRDefault="2FF22086" w14:paraId="022EB477" w14:textId="3740AC06">
      <w:pPr>
        <w:rPr>
          <w:b w:val="1"/>
          <w:bCs w:val="1"/>
        </w:rPr>
      </w:pPr>
    </w:p>
    <w:p w:rsidR="2FF22086" w:rsidP="2FF22086" w:rsidRDefault="2FF22086" w14:paraId="5AA56BDC" w14:textId="0E12052B">
      <w:pPr>
        <w:rPr>
          <w:b w:val="1"/>
          <w:bCs w:val="1"/>
        </w:rPr>
      </w:pPr>
    </w:p>
    <w:p w:rsidRPr="00CB0B7E" w:rsidR="00CB0B7E" w:rsidP="00CB0B7E" w:rsidRDefault="00CB0B7E" w14:paraId="41CCDC29" w14:textId="77777777">
      <w:pPr>
        <w:rPr>
          <w:b/>
          <w:bCs/>
        </w:rPr>
      </w:pPr>
      <w:r w:rsidRPr="2FF22086" w:rsidR="00CB0B7E">
        <w:rPr>
          <w:b w:val="1"/>
          <w:bCs w:val="1"/>
        </w:rPr>
        <w:t>Norfolk County Council</w:t>
      </w:r>
    </w:p>
    <w:p w:rsidR="2FF22086" w:rsidRDefault="2FF22086" w14:paraId="66B061A4" w14:textId="5487F6E8"/>
    <w:p w:rsidR="00CB0B7E" w:rsidP="00CB0B7E" w:rsidRDefault="00CB0B7E" w14:paraId="6B26F080" w14:textId="7EDA05A3">
      <w:r w:rsidR="00CB0B7E">
        <w:rPr/>
        <w:t xml:space="preserve">Norfolk is a good model of access to computers. It has its internet site with a Family Hub section, web-based referral form, as well as a tool to </w:t>
      </w:r>
      <w:r w:rsidR="1830C00A">
        <w:rPr/>
        <w:t>contact</w:t>
      </w:r>
      <w:r w:rsidR="00CB0B7E">
        <w:rPr/>
        <w:t xml:space="preserve"> the support options a family </w:t>
      </w:r>
      <w:r w:rsidR="00CB0B7E">
        <w:rPr/>
        <w:t>requires</w:t>
      </w:r>
      <w:r w:rsidR="00CB0B7E">
        <w:rPr/>
        <w:t xml:space="preserve">. The Early Help is also described process but in a very straightforward way with real-life examples of support and multi-agency support. The Early </w:t>
      </w:r>
      <w:r w:rsidR="00CB0B7E">
        <w:rPr/>
        <w:t xml:space="preserve">Help System Guide </w:t>
      </w:r>
      <w:r w:rsidR="00CB0B7E">
        <w:rPr/>
        <w:t>indicates</w:t>
      </w:r>
      <w:r w:rsidR="00CB0B7E">
        <w:rPr/>
        <w:t xml:space="preserve"> that Norfolk practices the concept of a place-based approach of delivery, where physical and virtual delivery of services occurs at a community-based hub. It is presented in simple terms, and there are certain examples, e.g., youth offending support, mental health services, housing help, and these elements are linked to the expectations of Working Together to Safeguard </w:t>
      </w:r>
      <w:r w:rsidR="4EEF206F">
        <w:rPr/>
        <w:t>Children (</w:t>
      </w:r>
      <w:r w:rsidR="00CB0B7E">
        <w:rPr/>
        <w:t>Norfolk County Council, no date). The location of Norfolk is one of the examples. This may be self-referral, and professionally reportable, and this is the characteristic that is further encouraged in Early Help reading resources specifically concerned with family agency and voice. The Norfolk model is also characteristic of the mature system in which help-seeking is perceived as non-stigmatizing and normal services. Despite the overall success of the site in its work, it can be improved with multilingual services and the opportunity to stimulate the accessibility of people with disabilities, as one of the most powerful predictors of inclusivity indicated in the reports related to the state is them(Wood and Barry, 2022).</w:t>
      </w:r>
    </w:p>
    <w:p w:rsidR="2FF22086" w:rsidP="2FF22086" w:rsidRDefault="2FF22086" w14:paraId="409F75A9" w14:textId="2FB68326">
      <w:pPr>
        <w:rPr>
          <w:b w:val="1"/>
          <w:bCs w:val="1"/>
        </w:rPr>
      </w:pPr>
    </w:p>
    <w:p w:rsidRPr="00CB0B7E" w:rsidR="00CB0B7E" w:rsidP="00CB0B7E" w:rsidRDefault="00CB0B7E" w14:paraId="4FE55603" w14:textId="5AB597B8">
      <w:pPr>
        <w:rPr>
          <w:b/>
          <w:bCs/>
        </w:rPr>
      </w:pPr>
      <w:r w:rsidRPr="2FF22086" w:rsidR="00CB0B7E">
        <w:rPr>
          <w:b w:val="1"/>
          <w:bCs w:val="1"/>
        </w:rPr>
        <w:t>County Council of Staffordshire</w:t>
      </w:r>
    </w:p>
    <w:p w:rsidR="2FF22086" w:rsidRDefault="2FF22086" w14:paraId="67081993" w14:textId="167E7C63"/>
    <w:p w:rsidRPr="008E0BA1" w:rsidR="008E0BA1" w:rsidP="00CB0B7E" w:rsidRDefault="00CB0B7E" w14:paraId="0F04A618" w14:textId="7D14E228">
      <w:r w:rsidR="00CB0B7E">
        <w:rPr/>
        <w:t xml:space="preserve">Staffordshire has published its Early Help Offer of the local childhood welfare system, which has downloadable guides, routes of referral, and toolkits to be implemented by practitioners. Their page of Family Support and Early Help is appropriately named </w:t>
      </w:r>
      <w:r w:rsidR="00CB0B7E">
        <w:rPr/>
        <w:t>accordingly</w:t>
      </w:r>
      <w:r w:rsidR="00CB0B7E">
        <w:rPr/>
        <w:t xml:space="preserve"> and the organization provides links to documents and manuals that are not hard to </w:t>
      </w:r>
      <w:r w:rsidR="00CB0B7E">
        <w:rPr/>
        <w:t>comprehend</w:t>
      </w:r>
      <w:r w:rsidR="00CB0B7E">
        <w:rPr/>
        <w:t xml:space="preserve"> and to apply in reference to the referrals. It is, however, more professional-based, and this means that it will not be </w:t>
      </w:r>
      <w:r w:rsidR="00CB0B7E">
        <w:rPr/>
        <w:t>utilized</w:t>
      </w:r>
      <w:r w:rsidR="00CB0B7E">
        <w:rPr/>
        <w:t xml:space="preserve"> by a parent or carer with a high likelihood. This model, which is applied in Staffordshire, unlike the interactive one adopted by Norfolk, is document-</w:t>
      </w:r>
      <w:r w:rsidR="00CB0B7E">
        <w:rPr/>
        <w:t>led(</w:t>
      </w:r>
      <w:r w:rsidR="00CB0B7E">
        <w:rPr/>
        <w:t xml:space="preserve">Taylor and Whittaker, 2021). This far as it is clear and to the end of successful evaluation and provision that is reflected in Working Together to Safeguard Children, it does not include the whole family voice and inclusiveness that the Early Help System Guide emphasizes. Curiously enough, Staffordshire provides examples of </w:t>
      </w:r>
      <w:r w:rsidR="6D55C31B">
        <w:rPr/>
        <w:t>service</w:t>
      </w:r>
      <w:r w:rsidR="00CB0B7E">
        <w:rPr/>
        <w:t xml:space="preserve"> units such as family conflict, special needs, and school </w:t>
      </w:r>
      <w:r w:rsidR="6369DC1D">
        <w:rPr/>
        <w:t>attendance (</w:t>
      </w:r>
      <w:r w:rsidR="00CB0B7E">
        <w:rPr/>
        <w:t xml:space="preserve">Staffordshire County Council, no date). These will include a deliberate focus on the continued threats and new liabilities. Nevertheless, it is not that emotional and social in its description. The overall mood and the landscape of the professional setting might not be conducive, but aggressive towards hapless families.  Both guiding papers suggest that Staffordshire needs to become more digital in its accessibility and ensure that it invites some of the co-produced resources as the manifestation of family voice and experience to become more aligned with a mature Early Help </w:t>
      </w:r>
      <w:r w:rsidR="04C961A3">
        <w:rPr/>
        <w:t>system (</w:t>
      </w:r>
      <w:r w:rsidR="00CB0B7E">
        <w:rPr/>
        <w:t>Stephenson and Awan, 2022).</w:t>
      </w:r>
    </w:p>
    <w:p w:rsidRPr="00977B5A" w:rsidR="00977B5A" w:rsidP="00683151" w:rsidRDefault="00683151" w14:paraId="1B93BD3D" w14:textId="5927714F">
      <w:pPr>
        <w:pStyle w:val="Heading1"/>
        <w:numPr>
          <w:ilvl w:val="0"/>
          <w:numId w:val="2"/>
        </w:numPr>
      </w:pPr>
      <w:bookmarkStart w:name="_Toc214269090" w:id="4"/>
      <w:r w:rsidRPr="001C53F5">
        <w:lastRenderedPageBreak/>
        <w:t>A comparative analysis of the main strengths and weakness</w:t>
      </w:r>
      <w:bookmarkEnd w:id="4"/>
    </w:p>
    <w:p w:rsidR="00B341EB" w:rsidP="00B341EB" w:rsidRDefault="00B341EB" w14:paraId="5DF7FC46" w14:textId="77777777">
      <w:r>
        <w:t>The Strengths are Integrated across the Authorities.</w:t>
      </w:r>
    </w:p>
    <w:p w:rsidR="00B341EB" w:rsidP="00B341EB" w:rsidRDefault="00B341EB" w14:paraId="0D95DF3A" w14:textId="2C8591AD">
      <w:r w:rsidR="00B341EB">
        <w:rPr/>
        <w:t xml:space="preserve">The model suggested by Norfolk County Council is highly convenient. It is composed in non-technical and non-exclusive words, has interactive instructions and self-referral possibilities to both family and professionals. This is in line with the government expectations on motivation of families and expectations that they should know how to move around local services, and should know how to get assistance, and should feel that they are heard, supported and should be included in a joined-up plan (Early Help System Guide, 2022, p. 7). The Norfolk digital front door is also doing well to create a digital front door that supports an easy entry point. It is their provision of Family Hubs physically and </w:t>
      </w:r>
      <w:r w:rsidR="00B341EB">
        <w:rPr/>
        <w:t>virtually as</w:t>
      </w:r>
      <w:r w:rsidR="00B341EB">
        <w:rPr/>
        <w:t xml:space="preserve"> the access points that </w:t>
      </w:r>
      <w:r w:rsidR="00B341EB">
        <w:rPr/>
        <w:t>indicate</w:t>
      </w:r>
      <w:r w:rsidR="00B341EB">
        <w:rPr/>
        <w:t xml:space="preserve"> the national vision of integrated family services, in which outreach and co-location are integrated and digital service works in an integrated manner to enhance </w:t>
      </w:r>
      <w:r w:rsidR="14BD081C">
        <w:rPr/>
        <w:t>access (</w:t>
      </w:r>
      <w:r w:rsidR="00B341EB">
        <w:rPr/>
        <w:t xml:space="preserve">Robson and Keen, 2021). Staffordshire has a strong aspect in that its way of delivering services is well </w:t>
      </w:r>
      <w:r w:rsidR="2180699F">
        <w:rPr/>
        <w:t>organised (</w:t>
      </w:r>
      <w:r w:rsidR="00B341EB">
        <w:rPr/>
        <w:t xml:space="preserve">Goodwin and Black, 2023). It describes such spheres as parenting support, housing, and education. It </w:t>
      </w:r>
      <w:r w:rsidR="00B341EB">
        <w:rPr/>
        <w:t>is applicable</w:t>
      </w:r>
      <w:r w:rsidR="00B341EB">
        <w:rPr/>
        <w:t xml:space="preserve"> to Working Together to Safeguard Children (2023) in the fact that the second requirement of the Early Help is that it must be included in the strategy that is multi-agency-oriented and needs-driven (p. 44). The latter categorization into the kind of problems may be referred to as the simplification of the system, and it is less complex to grasp by the </w:t>
      </w:r>
      <w:r w:rsidR="739CB365">
        <w:rPr/>
        <w:t>professionals</w:t>
      </w:r>
      <w:r w:rsidR="00B341EB">
        <w:rPr/>
        <w:t xml:space="preserve"> is that behaviour, school attendance, or SEND. The Early Help Offer documents used at Leicester City Council are evidence of its efforts, as they define the services and </w:t>
      </w:r>
      <w:r w:rsidR="294CE08B">
        <w:rPr/>
        <w:t>support (</w:t>
      </w:r>
      <w:r w:rsidR="00B341EB">
        <w:rPr/>
        <w:t xml:space="preserve">Holland and Williams, 2022). </w:t>
      </w:r>
    </w:p>
    <w:p w:rsidR="00B341EB" w:rsidP="00B341EB" w:rsidRDefault="00B341EB" w14:paraId="49A166B9" w14:textId="77777777">
      <w:r>
        <w:t>Weaknesses and Limitations</w:t>
      </w:r>
    </w:p>
    <w:p w:rsidR="00977B5A" w:rsidP="00B341EB" w:rsidRDefault="00B341EB" w14:paraId="0D05303D" w14:textId="3EC7C599">
      <w:r w:rsidR="00B341EB">
        <w:rPr/>
        <w:t xml:space="preserve">Despite these advantages, these websites have loopholes </w:t>
      </w:r>
      <w:r w:rsidR="21A713BF">
        <w:rPr/>
        <w:t>regarding</w:t>
      </w:r>
      <w:r w:rsidR="00B341EB">
        <w:rPr/>
        <w:t xml:space="preserve"> the efficient inclusion of families. The most significant negative feature of Leicester is that it lacks access to interactive or visual content. PDF document services are so extensive that the family might not have the motivation to see what the services offer, especially as most have not been trained on how to use digital </w:t>
      </w:r>
      <w:r w:rsidR="5CA2B07B">
        <w:rPr/>
        <w:t>tools (</w:t>
      </w:r>
      <w:r w:rsidR="00B341EB">
        <w:rPr/>
        <w:t xml:space="preserve">Radford and Pavlovsky, 2024). The Early Help System Guide suggests that help-seeking must be normalized and simplified, and provision of a service must </w:t>
      </w:r>
      <w:r w:rsidR="00B341EB">
        <w:rPr/>
        <w:t>utilize</w:t>
      </w:r>
      <w:r w:rsidR="00B341EB">
        <w:rPr/>
        <w:t xml:space="preserve"> technology so that access can be streamlined and information is presented in a clear manner (p. 6). This stagnation of the resources may thus not </w:t>
      </w:r>
      <w:r w:rsidR="00B341EB">
        <w:rPr/>
        <w:t>assist</w:t>
      </w:r>
      <w:r w:rsidR="00B341EB">
        <w:rPr/>
        <w:t xml:space="preserve"> Leicester in </w:t>
      </w:r>
      <w:r w:rsidR="3CF5822F">
        <w:rPr/>
        <w:t>acting</w:t>
      </w:r>
      <w:r w:rsidR="00B341EB">
        <w:rPr/>
        <w:t xml:space="preserve"> in time. Staffordshire is also organised and has a target population that is </w:t>
      </w:r>
      <w:r w:rsidR="00B341EB">
        <w:rPr/>
        <w:t xml:space="preserve">predominantly </w:t>
      </w:r>
      <w:r w:rsidR="1420C19B">
        <w:rPr/>
        <w:t>professional</w:t>
      </w:r>
      <w:r w:rsidR="1420C19B">
        <w:rPr/>
        <w:t xml:space="preserve"> (</w:t>
      </w:r>
      <w:r w:rsidR="00B341EB">
        <w:rPr/>
        <w:t xml:space="preserve">Jackson and Thiel, 2021). It has been written in a formal tone and language, and there are very minimal visuals to </w:t>
      </w:r>
      <w:r w:rsidR="00B341EB">
        <w:rPr/>
        <w:t>indicate</w:t>
      </w:r>
      <w:r w:rsidR="00B341EB">
        <w:rPr/>
        <w:t xml:space="preserve"> that families in crisis should be welcomed with warmth. It goes against the very idea of doing as a whole family, which is the </w:t>
      </w:r>
      <w:r w:rsidR="00B341EB">
        <w:rPr/>
        <w:t xml:space="preserve">entire theme of Early Help; it is everyone and not just the professionals who are to be taken care of </w:t>
      </w:r>
      <w:r w:rsidR="12EE6993">
        <w:rPr/>
        <w:t>(Working</w:t>
      </w:r>
      <w:r w:rsidR="00B341EB">
        <w:rPr/>
        <w:t xml:space="preserve"> Together, p. 11). It is not the reflection of what the guide recommends, i.e., that the support should be </w:t>
      </w:r>
      <w:r w:rsidR="00B341EB">
        <w:rPr/>
        <w:t>initiated</w:t>
      </w:r>
      <w:r w:rsidR="00B341EB">
        <w:rPr/>
        <w:t xml:space="preserve"> by the word and experience of the family. Norfolk was already doing the best overall, but it may be even more available, as it could incorporate translations or simplified instructions in case it has more needs or a language </w:t>
      </w:r>
      <w:r w:rsidR="1D09B820">
        <w:rPr/>
        <w:t>barrier (</w:t>
      </w:r>
      <w:r w:rsidR="00B341EB">
        <w:rPr/>
        <w:t>Kraft and Wartella, 2025).</w:t>
      </w:r>
    </w:p>
    <w:p w:rsidR="00BE2221" w:rsidP="00BE2221" w:rsidRDefault="00BE2221" w14:paraId="50D411ED" w14:textId="72C09D11">
      <w:pPr>
        <w:pStyle w:val="Heading1"/>
        <w:numPr>
          <w:ilvl w:val="0"/>
          <w:numId w:val="2"/>
        </w:numPr>
      </w:pPr>
      <w:bookmarkStart w:name="_Toc214269091" w:id="5"/>
      <w:r w:rsidRPr="001C53F5">
        <w:t>Conclusion with recommendations</w:t>
      </w:r>
      <w:bookmarkEnd w:id="5"/>
    </w:p>
    <w:p w:rsidR="00FC1697" w:rsidP="00FC1697" w:rsidRDefault="00FC1697" w14:paraId="62ACFA13" w14:textId="300F2C26">
      <w:r w:rsidR="00FC1697">
        <w:rPr/>
        <w:t xml:space="preserve">The </w:t>
      </w:r>
      <w:r w:rsidR="00FC1697">
        <w:rPr/>
        <w:t>magnitude</w:t>
      </w:r>
      <w:r w:rsidR="00FC1697">
        <w:rPr/>
        <w:t xml:space="preserve"> of the diverse performance of communication of Early Help services in Leicester, Norfolk, and Staffordshire, therefore, </w:t>
      </w:r>
      <w:r w:rsidR="00FC1697">
        <w:rPr/>
        <w:t>emerges</w:t>
      </w:r>
      <w:r w:rsidR="00FC1697">
        <w:rPr/>
        <w:t xml:space="preserve"> in this assessment. Norfolk </w:t>
      </w:r>
      <w:r w:rsidR="00FC1697">
        <w:rPr/>
        <w:t>demonstrates</w:t>
      </w:r>
      <w:r w:rsidR="00FC1697">
        <w:rPr/>
        <w:t xml:space="preserve"> a high quality of practice in creating comprehensive, consumable, and family-friendly content via the Internet. Staffordshire is more professional and is well </w:t>
      </w:r>
      <w:r w:rsidR="19D60C4A">
        <w:rPr/>
        <w:t>organised and</w:t>
      </w:r>
      <w:r w:rsidR="00FC1697">
        <w:rPr/>
        <w:t xml:space="preserve"> presents information in a better way that cannot be received well by the families. Though Leicester has a well-documented approach, it is not simple to </w:t>
      </w:r>
      <w:r w:rsidR="00FC1697">
        <w:rPr/>
        <w:t>utilize</w:t>
      </w:r>
      <w:r w:rsidR="00FC1697">
        <w:rPr/>
        <w:t xml:space="preserve"> and follow. To improve it, Leicester should redesign its Early Help section and </w:t>
      </w:r>
      <w:r w:rsidR="00FC1697">
        <w:rPr/>
        <w:t>eliminate</w:t>
      </w:r>
      <w:r w:rsidR="00FC1697">
        <w:rPr/>
        <w:t xml:space="preserve"> the use of complex language and the interactive nature of navigation that will enable families that may need help to get it without having to read </w:t>
      </w:r>
      <w:r w:rsidR="00FC1697">
        <w:rPr/>
        <w:t>numerous</w:t>
      </w:r>
      <w:r w:rsidR="00FC1697">
        <w:rPr/>
        <w:t xml:space="preserve"> PDFs. Staffordshire should switch to a more assertive and personal tone that is achieved by introducing family-friendly visuals and even </w:t>
      </w:r>
      <w:r w:rsidR="00FC1697">
        <w:rPr/>
        <w:t>apparent</w:t>
      </w:r>
      <w:r w:rsidR="00FC1697">
        <w:rPr/>
        <w:t xml:space="preserve"> self-referral avenues. Norfolk can also be even more inclusive and offer accessibility and multilingual support to the user, despite being the strongest one.</w:t>
      </w:r>
    </w:p>
    <w:p w:rsidR="00FC1697" w:rsidP="00FC1697" w:rsidRDefault="00FC1697" w14:paraId="4BFB5B57" w14:textId="23C29003">
      <w:r w:rsidR="00FC1697">
        <w:rPr/>
        <w:t xml:space="preserve">The three councils would be taking a </w:t>
      </w:r>
      <w:r w:rsidR="00FC1697">
        <w:rPr/>
        <w:t>favourable</w:t>
      </w:r>
      <w:r w:rsidR="00FC1697">
        <w:rPr/>
        <w:t xml:space="preserve"> step in co-producing content with families, as they are advised in the national guidance to co-produce with families to ensure that the platforms are </w:t>
      </w:r>
      <w:r w:rsidR="68D8AD7C">
        <w:rPr/>
        <w:t>responsive</w:t>
      </w:r>
      <w:r w:rsidR="00FC1697">
        <w:rPr/>
        <w:t xml:space="preserve"> and </w:t>
      </w:r>
      <w:r w:rsidR="3F5B3C5C">
        <w:rPr/>
        <w:t>user led</w:t>
      </w:r>
      <w:r w:rsidR="00FC1697">
        <w:rPr/>
        <w:t xml:space="preserve">. Facilities such as using an integrated online front door and having a </w:t>
      </w:r>
      <w:r w:rsidR="7A4C3904">
        <w:rPr/>
        <w:t>whole family</w:t>
      </w:r>
      <w:r w:rsidR="00FC1697">
        <w:rPr/>
        <w:t xml:space="preserve"> working focus are key enablers to the success of Early Help.</w:t>
      </w:r>
    </w:p>
    <w:p w:rsidR="00FC1697" w:rsidRDefault="00FC1697" w14:paraId="3430EFC0" w14:textId="77777777">
      <w:r>
        <w:br w:type="page"/>
      </w:r>
    </w:p>
    <w:p w:rsidR="00BE2221" w:rsidP="00FC1697" w:rsidRDefault="00FC1697" w14:paraId="26115E18" w14:textId="3D76CB48">
      <w:pPr>
        <w:pStyle w:val="Heading1"/>
      </w:pPr>
      <w:bookmarkStart w:name="_Toc214269092" w:id="6"/>
      <w:r>
        <w:lastRenderedPageBreak/>
        <w:t>References</w:t>
      </w:r>
      <w:bookmarkEnd w:id="6"/>
    </w:p>
    <w:p w:rsidRPr="001501FC" w:rsidR="001501FC" w:rsidP="001501FC" w:rsidRDefault="001501FC" w14:paraId="64191616" w14:textId="6DFA8402">
      <w:r w:rsidRPr="2FF22086" w:rsidR="001501FC">
        <w:rPr>
          <w:i w:val="1"/>
          <w:iCs w:val="1"/>
        </w:rPr>
        <w:t>Home - Staffordshire County Council</w:t>
      </w:r>
      <w:r w:rsidR="001501FC">
        <w:rPr/>
        <w:t xml:space="preserve"> (no date). </w:t>
      </w:r>
      <w:hyperlink r:id="R144e6fb38bb24a98">
        <w:r w:rsidRPr="2FF22086" w:rsidR="001501FC">
          <w:rPr>
            <w:rStyle w:val="Hyperlink"/>
          </w:rPr>
          <w:t>https://www.staffordshire.gov.uk/Homepage.aspx</w:t>
        </w:r>
      </w:hyperlink>
      <w:r w:rsidR="001501FC">
        <w:rPr/>
        <w:t>.</w:t>
      </w:r>
      <w:r w:rsidR="64B4C26C">
        <w:rPr/>
        <w:t xml:space="preserve"> (Accessed: 17 November</w:t>
      </w:r>
      <w:r w:rsidR="2CFB7B46">
        <w:rPr/>
        <w:t xml:space="preserve"> 2025).</w:t>
      </w:r>
    </w:p>
    <w:p w:rsidRPr="001501FC" w:rsidR="001501FC" w:rsidP="2FF22086" w:rsidRDefault="001501FC" w14:paraId="31712E19" w14:textId="76C57EA6">
      <w:pPr>
        <w:pStyle w:val="Normal"/>
        <w:rPr>
          <w:i w:val="1"/>
          <w:iCs w:val="1"/>
        </w:rPr>
      </w:pPr>
      <w:r w:rsidRPr="2FF22086" w:rsidR="001501FC">
        <w:rPr>
          <w:i w:val="1"/>
          <w:iCs w:val="1"/>
        </w:rPr>
        <w:t>Norfolk County Council - Norfolk County Council</w:t>
      </w:r>
      <w:r w:rsidR="001501FC">
        <w:rPr/>
        <w:t xml:space="preserve"> (no date).</w:t>
      </w:r>
      <w:r w:rsidR="3FAA06A2">
        <w:rPr/>
        <w:t xml:space="preserve"> </w:t>
      </w:r>
      <w:hyperlink r:id="Rb4a95bff7b7c4b4a">
        <w:r w:rsidRPr="2FF22086" w:rsidR="001501FC">
          <w:rPr>
            <w:rStyle w:val="Hyperlink"/>
          </w:rPr>
          <w:t>https://www.norfolk.gov.uk/</w:t>
        </w:r>
      </w:hyperlink>
      <w:r w:rsidR="001501FC">
        <w:rPr/>
        <w:t>.</w:t>
      </w:r>
      <w:r w:rsidR="1DFBB529">
        <w:rPr/>
        <w:t xml:space="preserve"> (Accessed: 17 November 2025).</w:t>
      </w:r>
    </w:p>
    <w:p w:rsidRPr="001501FC" w:rsidR="001501FC" w:rsidP="001501FC" w:rsidRDefault="001501FC" w14:paraId="5E024255" w14:textId="6DC293A2">
      <w:r w:rsidRPr="2FF22086" w:rsidR="001501FC">
        <w:rPr>
          <w:i w:val="1"/>
          <w:iCs w:val="1"/>
        </w:rPr>
        <w:t>Welcome | Leicestershire County Council</w:t>
      </w:r>
      <w:r w:rsidR="001501FC">
        <w:rPr/>
        <w:t xml:space="preserve"> (2025)</w:t>
      </w:r>
      <w:r w:rsidR="61215FEA">
        <w:rPr/>
        <w:t xml:space="preserve"> </w:t>
      </w:r>
      <w:r w:rsidR="001501FC">
        <w:rPr/>
        <w:t xml:space="preserve"> https://www.leicestershire.gov.uk/.</w:t>
      </w:r>
    </w:p>
    <w:p w:rsidRPr="001501FC" w:rsidR="001501FC" w:rsidP="2FF22086" w:rsidRDefault="001501FC" w14:paraId="17B79B23" w14:textId="78D4D8AC">
      <w:pPr>
        <w:rPr>
          <w:vertAlign w:val="superscript"/>
        </w:rPr>
      </w:pPr>
      <w:r w:rsidR="001501FC">
        <w:rPr/>
        <w:t>Bernaerts</w:t>
      </w:r>
      <w:r w:rsidR="001501FC">
        <w:rPr/>
        <w:t xml:space="preserve">, S., Van Daele, </w:t>
      </w:r>
      <w:r w:rsidR="001501FC">
        <w:rPr/>
        <w:t>T.</w:t>
      </w:r>
      <w:r w:rsidR="001501FC">
        <w:rPr/>
        <w:t xml:space="preserve"> and Carlsen, C.K., 2024. User involvement in digital mental health: Approaches, </w:t>
      </w:r>
      <w:r w:rsidR="001501FC">
        <w:rPr/>
        <w:t>potential</w:t>
      </w:r>
      <w:r w:rsidR="001501FC">
        <w:rPr/>
        <w:t xml:space="preserve"> and the need for guidelines. </w:t>
      </w:r>
      <w:r w:rsidRPr="2FF22086" w:rsidR="001501FC">
        <w:rPr>
          <w:i w:val="1"/>
          <w:iCs w:val="1"/>
        </w:rPr>
        <w:t>Frontiers in Digital Health</w:t>
      </w:r>
      <w:r w:rsidR="001501FC">
        <w:rPr/>
        <w:t xml:space="preserve">, 6, pp.1–16. </w:t>
      </w:r>
      <w:r w:rsidR="669CA6A3">
        <w:rPr/>
        <w:t>(Accessed: 15 November 2025).</w:t>
      </w:r>
    </w:p>
    <w:p w:rsidRPr="001501FC" w:rsidR="001501FC" w:rsidP="001501FC" w:rsidRDefault="001501FC" w14:paraId="79C74289" w14:textId="388B6531">
      <w:r w:rsidR="001501FC">
        <w:rPr/>
        <w:t xml:space="preserve">Bunting, L. and McCartan, C., </w:t>
      </w:r>
      <w:r w:rsidR="656BED34">
        <w:rPr/>
        <w:t>(</w:t>
      </w:r>
      <w:r w:rsidR="001501FC">
        <w:rPr/>
        <w:t>2023</w:t>
      </w:r>
      <w:r w:rsidR="6A952E92">
        <w:rPr/>
        <w:t>)</w:t>
      </w:r>
      <w:r w:rsidR="001501FC">
        <w:rPr/>
        <w:t xml:space="preserve"> Digital pathways to early intervention: Lessons from safeguarding partnerships. </w:t>
      </w:r>
      <w:r w:rsidRPr="2FF22086" w:rsidR="001501FC">
        <w:rPr>
          <w:i w:val="1"/>
          <w:iCs w:val="1"/>
        </w:rPr>
        <w:t>Children and Youth Services Review</w:t>
      </w:r>
      <w:r w:rsidR="001501FC">
        <w:rPr/>
        <w:t xml:space="preserve">, 146, p.106772. </w:t>
      </w:r>
    </w:p>
    <w:p w:rsidRPr="001501FC" w:rsidR="001501FC" w:rsidP="001501FC" w:rsidRDefault="001501FC" w14:paraId="6C508424" w14:textId="544D58AC">
      <w:r w:rsidR="001501FC">
        <w:rPr/>
        <w:t xml:space="preserve">Department for Education, </w:t>
      </w:r>
      <w:r w:rsidR="7B237D82">
        <w:rPr/>
        <w:t>(</w:t>
      </w:r>
      <w:r w:rsidR="001501FC">
        <w:rPr/>
        <w:t>2023</w:t>
      </w:r>
      <w:r w:rsidR="50081A65">
        <w:rPr/>
        <w:t>)</w:t>
      </w:r>
      <w:r w:rsidR="001501FC">
        <w:rPr/>
        <w:t xml:space="preserve"> </w:t>
      </w:r>
      <w:r w:rsidRPr="2FF22086" w:rsidR="001501FC">
        <w:rPr>
          <w:i w:val="1"/>
          <w:iCs w:val="1"/>
        </w:rPr>
        <w:t>Working together to safeguard children: Statutory guidance on inter-agency working to safeguard and promote the welfare of children</w:t>
      </w:r>
      <w:r w:rsidR="001501FC">
        <w:rPr/>
        <w:t xml:space="preserve">. [pdf] London: UK Government. </w:t>
      </w:r>
      <w:r w:rsidR="5CF618C0">
        <w:rPr/>
        <w:t>(Accessed: 15 November 2025).</w:t>
      </w:r>
    </w:p>
    <w:p w:rsidR="001501FC" w:rsidRDefault="001501FC" w14:paraId="71E8A7A6" w14:textId="3F111CAA">
      <w:r w:rsidR="001501FC">
        <w:rPr/>
        <w:t xml:space="preserve">Department for Levelling Up, Housing and Communities and Department for Education, </w:t>
      </w:r>
      <w:r w:rsidR="6D0CAF41">
        <w:rPr/>
        <w:t>(</w:t>
      </w:r>
      <w:r w:rsidR="001501FC">
        <w:rPr/>
        <w:t>2022</w:t>
      </w:r>
      <w:r w:rsidR="474E65BB">
        <w:rPr/>
        <w:t>)</w:t>
      </w:r>
      <w:r w:rsidR="001501FC">
        <w:rPr/>
        <w:t xml:space="preserve"> </w:t>
      </w:r>
      <w:r w:rsidRPr="2FF22086" w:rsidR="001501FC">
        <w:rPr>
          <w:i w:val="1"/>
          <w:iCs w:val="1"/>
        </w:rPr>
        <w:t xml:space="preserve">Early Help System Guide: A toolkit to </w:t>
      </w:r>
      <w:r w:rsidRPr="2FF22086" w:rsidR="001501FC">
        <w:rPr>
          <w:i w:val="1"/>
          <w:iCs w:val="1"/>
        </w:rPr>
        <w:t>assist</w:t>
      </w:r>
      <w:r w:rsidRPr="2FF22086" w:rsidR="001501FC">
        <w:rPr>
          <w:i w:val="1"/>
          <w:iCs w:val="1"/>
        </w:rPr>
        <w:t xml:space="preserve"> local strategic partnerships</w:t>
      </w:r>
      <w:r w:rsidR="001501FC">
        <w:rPr/>
        <w:t xml:space="preserve">. [pdf] London: UK Government. </w:t>
      </w:r>
      <w:r w:rsidR="40FC1E04">
        <w:rPr/>
        <w:t>(Accessed</w:t>
      </w:r>
      <w:r w:rsidR="7504756F">
        <w:rPr/>
        <w:t>: 16 November 2025)</w:t>
      </w:r>
    </w:p>
    <w:p w:rsidRPr="001501FC" w:rsidR="001501FC" w:rsidP="001501FC" w:rsidRDefault="001501FC" w14:paraId="24C06D49" w14:textId="77777777">
      <w:r w:rsidRPr="001501FC">
        <w:t xml:space="preserve">Featherstone, B., Morris, K. and White, S., 2020. Austerity, inequality and the ‘Early Help’ paradigm. </w:t>
      </w:r>
      <w:r w:rsidRPr="001501FC">
        <w:rPr>
          <w:i/>
          <w:iCs/>
        </w:rPr>
        <w:t>Critical and Radical Social Work</w:t>
      </w:r>
      <w:r w:rsidRPr="001501FC">
        <w:t xml:space="preserve">, 8(1), pp.25–40. </w:t>
      </w:r>
    </w:p>
    <w:p w:rsidRPr="001501FC" w:rsidR="001501FC" w:rsidP="001501FC" w:rsidRDefault="001501FC" w14:paraId="34786993" w14:textId="67B1D2B4">
      <w:r w:rsidR="001501FC">
        <w:rPr/>
        <w:t xml:space="preserve">Goodwin, A. and Black, R., 2023. </w:t>
      </w:r>
      <w:r w:rsidR="001501FC">
        <w:rPr/>
        <w:t>Whole-family</w:t>
      </w:r>
      <w:r w:rsidR="001501FC">
        <w:rPr/>
        <w:t xml:space="preserve"> working in Early Help: A practitioner perspective. </w:t>
      </w:r>
      <w:r w:rsidRPr="2FF22086" w:rsidR="001501FC">
        <w:rPr>
          <w:i w:val="1"/>
          <w:iCs w:val="1"/>
        </w:rPr>
        <w:t>Journal of Children’s Services</w:t>
      </w:r>
      <w:r w:rsidR="001501FC">
        <w:rPr/>
        <w:t xml:space="preserve">, 18(1), pp.38–52. </w:t>
      </w:r>
      <w:r w:rsidR="76CB5EE6">
        <w:rPr/>
        <w:t>(Accessed: 16 November).</w:t>
      </w:r>
    </w:p>
    <w:p w:rsidRPr="001501FC" w:rsidR="001501FC" w:rsidP="001501FC" w:rsidRDefault="001501FC" w14:paraId="0A770904" w14:textId="6ACD9129">
      <w:r w:rsidR="001501FC">
        <w:rPr/>
        <w:t xml:space="preserve">Holland, S. and Williams, L., 2022. The role of local authorities in Early Help transformation: Challenges and innovation. </w:t>
      </w:r>
      <w:r w:rsidRPr="2FF22086" w:rsidR="001501FC">
        <w:rPr>
          <w:i w:val="1"/>
          <w:iCs w:val="1"/>
        </w:rPr>
        <w:t>Local Government Studies</w:t>
      </w:r>
      <w:r w:rsidR="001501FC">
        <w:rPr/>
        <w:t>, 48(2), pp.199–216.</w:t>
      </w:r>
      <w:r w:rsidR="3EA32020">
        <w:rPr/>
        <w:t xml:space="preserve"> (Accessed: 16 November 2025).</w:t>
      </w:r>
    </w:p>
    <w:p w:rsidRPr="001501FC" w:rsidR="001501FC" w:rsidP="001501FC" w:rsidRDefault="001501FC" w14:paraId="13A1A56A" w14:textId="5696366A">
      <w:r w:rsidR="001501FC">
        <w:rPr/>
        <w:t xml:space="preserve">Jackson, C. and Thiel, A., 2021. The digital divide in Early Help: Barriers and bridges to family access. </w:t>
      </w:r>
      <w:r w:rsidRPr="2FF22086" w:rsidR="001501FC">
        <w:rPr>
          <w:i w:val="1"/>
          <w:iCs w:val="1"/>
        </w:rPr>
        <w:t>Child &amp; Family Social Work</w:t>
      </w:r>
      <w:r w:rsidR="001501FC">
        <w:rPr/>
        <w:t>, 26(3), pp.462–470.</w:t>
      </w:r>
      <w:r w:rsidR="4911C17C">
        <w:rPr/>
        <w:t xml:space="preserve"> (Accessed 17 November).</w:t>
      </w:r>
      <w:r w:rsidR="001501FC">
        <w:rPr/>
        <w:t xml:space="preserve"> </w:t>
      </w:r>
    </w:p>
    <w:p w:rsidRPr="001501FC" w:rsidR="001501FC" w:rsidP="001501FC" w:rsidRDefault="001501FC" w14:paraId="3B538782" w14:textId="2547D56D">
      <w:r w:rsidR="001501FC">
        <w:rPr/>
        <w:t xml:space="preserve">Kraft, C. and Wartella, E., 2025. Introduction to the section on media policy. In: </w:t>
      </w:r>
      <w:r w:rsidRPr="2FF22086" w:rsidR="001501FC">
        <w:rPr>
          <w:i w:val="1"/>
          <w:iCs w:val="1"/>
        </w:rPr>
        <w:t>Handbook of Children and Screens</w:t>
      </w:r>
      <w:r w:rsidR="001501FC">
        <w:rPr/>
        <w:t xml:space="preserve">. Springer. </w:t>
      </w:r>
      <w:r w:rsidR="41AA8029">
        <w:rPr/>
        <w:t>(Accessed 17 November 2025).</w:t>
      </w:r>
    </w:p>
    <w:p w:rsidRPr="001501FC" w:rsidR="001501FC" w:rsidP="2FF22086" w:rsidRDefault="001501FC" w14:paraId="0E826251" w14:textId="0BB01D62">
      <w:pPr>
        <w:rPr>
          <w:i w:val="1"/>
          <w:iCs w:val="1"/>
        </w:rPr>
      </w:pPr>
      <w:r w:rsidR="001501FC">
        <w:rPr/>
        <w:t xml:space="preserve">Radford, M.L. and Pavlovsky, L., 2024. Multiple truths and many roads: Leading graduate study abroad. </w:t>
      </w:r>
      <w:r w:rsidRPr="2FF22086" w:rsidR="001501FC">
        <w:rPr>
          <w:i w:val="1"/>
          <w:iCs w:val="1"/>
        </w:rPr>
        <w:t>ALISE Annual Conference Proceedings</w:t>
      </w:r>
      <w:r w:rsidRPr="2FF22086" w:rsidR="48E45DD3">
        <w:rPr>
          <w:i w:val="1"/>
          <w:iCs w:val="1"/>
        </w:rPr>
        <w:t xml:space="preserve">.  </w:t>
      </w:r>
    </w:p>
    <w:p w:rsidRPr="001501FC" w:rsidR="001501FC" w:rsidP="001501FC" w:rsidRDefault="001501FC" w14:paraId="3B0279F8" w14:textId="4923D242">
      <w:r w:rsidR="001501FC">
        <w:rPr/>
        <w:t xml:space="preserve">Robson, D. and Keen, S., 2021. Improving online service navigation for vulnerable families: A public service UX evaluation. </w:t>
      </w:r>
      <w:r w:rsidRPr="2FF22086" w:rsidR="001501FC">
        <w:rPr>
          <w:i w:val="1"/>
          <w:iCs w:val="1"/>
        </w:rPr>
        <w:t>Social Policy &amp; Administration</w:t>
      </w:r>
      <w:r w:rsidR="001501FC">
        <w:rPr/>
        <w:t xml:space="preserve">, 55(4), pp.603–617. </w:t>
      </w:r>
      <w:r w:rsidR="2A4E4D3C">
        <w:rPr/>
        <w:t>(Accessed 18 November).</w:t>
      </w:r>
    </w:p>
    <w:p w:rsidRPr="001501FC" w:rsidR="001501FC" w:rsidP="001501FC" w:rsidRDefault="001501FC" w14:paraId="690DEFF0" w14:textId="68401497">
      <w:r w:rsidR="001501FC">
        <w:rPr/>
        <w:t xml:space="preserve">Stephenson, M. and Awan, N., 2022. Inclusive web design for vulnerable families: Lessons from UK councils. </w:t>
      </w:r>
      <w:r w:rsidRPr="2FF22086" w:rsidR="001501FC">
        <w:rPr>
          <w:i w:val="1"/>
          <w:iCs w:val="1"/>
        </w:rPr>
        <w:t>Government Information Quarterly</w:t>
      </w:r>
      <w:r w:rsidR="001501FC">
        <w:rPr/>
        <w:t>, 39(2), p.101674.</w:t>
      </w:r>
      <w:r w:rsidR="7E9149BD">
        <w:rPr/>
        <w:t xml:space="preserve"> (Accessed 18 November)</w:t>
      </w:r>
      <w:r w:rsidR="001501FC">
        <w:rPr/>
        <w:t xml:space="preserve"> </w:t>
      </w:r>
    </w:p>
    <w:p w:rsidRPr="001501FC" w:rsidR="001501FC" w:rsidP="001501FC" w:rsidRDefault="001501FC" w14:paraId="56BACA04" w14:textId="018E88D2">
      <w:r w:rsidR="001501FC">
        <w:rPr/>
        <w:t xml:space="preserve">Taylor, B.J. and Whittaker, A., 2021. Data-informed decision making in Early Help services. </w:t>
      </w:r>
      <w:r w:rsidRPr="2FF22086" w:rsidR="001501FC">
        <w:rPr>
          <w:i w:val="1"/>
          <w:iCs w:val="1"/>
        </w:rPr>
        <w:t>Evidence &amp; Policy</w:t>
      </w:r>
      <w:r w:rsidR="001501FC">
        <w:rPr/>
        <w:t>, 17(4), pp.627–645.</w:t>
      </w:r>
      <w:r w:rsidR="2E78D0D8">
        <w:rPr/>
        <w:t xml:space="preserve"> (Accessed 18 November).</w:t>
      </w:r>
      <w:r w:rsidR="001501FC">
        <w:rPr/>
        <w:t xml:space="preserve"> </w:t>
      </w:r>
    </w:p>
    <w:p w:rsidRPr="001501FC" w:rsidR="001501FC" w:rsidP="001501FC" w:rsidRDefault="001501FC" w14:paraId="56E4D0A5" w14:textId="2705C25D">
      <w:r w:rsidR="001501FC">
        <w:rPr/>
        <w:t xml:space="preserve">Wood, D. and Barry, M., 2022. Rethinking Early Help: Co-production with families and communities. </w:t>
      </w:r>
      <w:r w:rsidRPr="2FF22086" w:rsidR="001501FC">
        <w:rPr>
          <w:i w:val="1"/>
          <w:iCs w:val="1"/>
        </w:rPr>
        <w:t>British Journal of Social Work</w:t>
      </w:r>
      <w:r w:rsidR="001501FC">
        <w:rPr/>
        <w:t xml:space="preserve">, 52(1), pp.223–240. </w:t>
      </w:r>
      <w:r w:rsidR="04802693">
        <w:rPr/>
        <w:t>(Accessed 17 November).</w:t>
      </w:r>
    </w:p>
    <w:p w:rsidRPr="00FC1697" w:rsidR="00FC1697" w:rsidP="00FC1697" w:rsidRDefault="00FC1697" w14:paraId="2F2F6520" w14:textId="77777777"/>
    <w:sectPr w:rsidRPr="00FC1697" w:rsidR="00FC1697" w:rsidSect="008F4A01">
      <w:pgSz w:w="11906" w:h="16838" w:orient="portrait"/>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0F2319"/>
    <w:multiLevelType w:val="hybridMultilevel"/>
    <w:tmpl w:val="E57A4054"/>
    <w:lvl w:ilvl="0" w:tplc="7828F6AE">
      <w:start w:val="5"/>
      <w:numFmt w:val="upp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 w15:restartNumberingAfterBreak="0">
    <w:nsid w:val="37F452A5"/>
    <w:multiLevelType w:val="hybridMultilevel"/>
    <w:tmpl w:val="95C2BB2A"/>
    <w:lvl w:ilvl="0" w:tplc="40090015">
      <w:start w:val="1"/>
      <w:numFmt w:val="upp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16cid:durableId="616638740">
    <w:abstractNumId w:val="1"/>
  </w:num>
  <w:num w:numId="2" w16cid:durableId="865868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111"/>
    <w:rsid w:val="000231BA"/>
    <w:rsid w:val="00041F13"/>
    <w:rsid w:val="00071378"/>
    <w:rsid w:val="00090A98"/>
    <w:rsid w:val="001171AD"/>
    <w:rsid w:val="001176D6"/>
    <w:rsid w:val="00141A5E"/>
    <w:rsid w:val="001501FC"/>
    <w:rsid w:val="00157668"/>
    <w:rsid w:val="00181B90"/>
    <w:rsid w:val="001A2C79"/>
    <w:rsid w:val="001B4B66"/>
    <w:rsid w:val="001D6234"/>
    <w:rsid w:val="001E0CF3"/>
    <w:rsid w:val="001E2C02"/>
    <w:rsid w:val="00220AB8"/>
    <w:rsid w:val="002213CA"/>
    <w:rsid w:val="002464BB"/>
    <w:rsid w:val="00271D34"/>
    <w:rsid w:val="002A0411"/>
    <w:rsid w:val="002A290D"/>
    <w:rsid w:val="002C0995"/>
    <w:rsid w:val="002C4ECE"/>
    <w:rsid w:val="00340E8A"/>
    <w:rsid w:val="0036465C"/>
    <w:rsid w:val="00392311"/>
    <w:rsid w:val="003973B3"/>
    <w:rsid w:val="003D4397"/>
    <w:rsid w:val="00416195"/>
    <w:rsid w:val="004452C3"/>
    <w:rsid w:val="00474840"/>
    <w:rsid w:val="004A7B81"/>
    <w:rsid w:val="004B1000"/>
    <w:rsid w:val="004C5302"/>
    <w:rsid w:val="00582D51"/>
    <w:rsid w:val="00622E33"/>
    <w:rsid w:val="006337AA"/>
    <w:rsid w:val="0063709A"/>
    <w:rsid w:val="00683151"/>
    <w:rsid w:val="006C64FF"/>
    <w:rsid w:val="007037EB"/>
    <w:rsid w:val="00763E9B"/>
    <w:rsid w:val="007878C7"/>
    <w:rsid w:val="007A4A0E"/>
    <w:rsid w:val="007E7412"/>
    <w:rsid w:val="00801A7C"/>
    <w:rsid w:val="00883134"/>
    <w:rsid w:val="00884B17"/>
    <w:rsid w:val="008A51B2"/>
    <w:rsid w:val="008B2D9C"/>
    <w:rsid w:val="008E0BA1"/>
    <w:rsid w:val="008F1111"/>
    <w:rsid w:val="008F4A01"/>
    <w:rsid w:val="008F71EB"/>
    <w:rsid w:val="00952482"/>
    <w:rsid w:val="00957AB2"/>
    <w:rsid w:val="00977B5A"/>
    <w:rsid w:val="00A16A79"/>
    <w:rsid w:val="00A648ED"/>
    <w:rsid w:val="00B1797F"/>
    <w:rsid w:val="00B341EB"/>
    <w:rsid w:val="00B402DA"/>
    <w:rsid w:val="00B518E3"/>
    <w:rsid w:val="00BA466B"/>
    <w:rsid w:val="00BC254E"/>
    <w:rsid w:val="00BE2221"/>
    <w:rsid w:val="00C2768D"/>
    <w:rsid w:val="00C30D14"/>
    <w:rsid w:val="00C75A1A"/>
    <w:rsid w:val="00CB0B7E"/>
    <w:rsid w:val="00CC368F"/>
    <w:rsid w:val="00CE4E22"/>
    <w:rsid w:val="00CF734F"/>
    <w:rsid w:val="00D25310"/>
    <w:rsid w:val="00D512D4"/>
    <w:rsid w:val="00D75876"/>
    <w:rsid w:val="00DA20A4"/>
    <w:rsid w:val="00DE23C2"/>
    <w:rsid w:val="00E03550"/>
    <w:rsid w:val="00E22A75"/>
    <w:rsid w:val="00E357C9"/>
    <w:rsid w:val="00E90D18"/>
    <w:rsid w:val="00EA36B5"/>
    <w:rsid w:val="00EC30E3"/>
    <w:rsid w:val="00F21CBF"/>
    <w:rsid w:val="00FC1697"/>
    <w:rsid w:val="00FD4F31"/>
    <w:rsid w:val="00FD57D8"/>
    <w:rsid w:val="0230D67B"/>
    <w:rsid w:val="034E4474"/>
    <w:rsid w:val="04178EBC"/>
    <w:rsid w:val="04802693"/>
    <w:rsid w:val="04C961A3"/>
    <w:rsid w:val="04F4C0E8"/>
    <w:rsid w:val="057CDD37"/>
    <w:rsid w:val="05911678"/>
    <w:rsid w:val="0752CD9B"/>
    <w:rsid w:val="09ABFCEC"/>
    <w:rsid w:val="0B34371C"/>
    <w:rsid w:val="11C3B865"/>
    <w:rsid w:val="11E821F7"/>
    <w:rsid w:val="12EE6993"/>
    <w:rsid w:val="1420C19B"/>
    <w:rsid w:val="14BD081C"/>
    <w:rsid w:val="1577F181"/>
    <w:rsid w:val="168D9978"/>
    <w:rsid w:val="1704CC57"/>
    <w:rsid w:val="1762E674"/>
    <w:rsid w:val="1830C00A"/>
    <w:rsid w:val="1959CA19"/>
    <w:rsid w:val="19D60C4A"/>
    <w:rsid w:val="1BCD50BD"/>
    <w:rsid w:val="1BE39C57"/>
    <w:rsid w:val="1D09B820"/>
    <w:rsid w:val="1DFBB529"/>
    <w:rsid w:val="201C1600"/>
    <w:rsid w:val="20BA840E"/>
    <w:rsid w:val="2180699F"/>
    <w:rsid w:val="21A713BF"/>
    <w:rsid w:val="23363ECB"/>
    <w:rsid w:val="235952F6"/>
    <w:rsid w:val="26226F72"/>
    <w:rsid w:val="294CE08B"/>
    <w:rsid w:val="2A4E4D3C"/>
    <w:rsid w:val="2BC7AFE1"/>
    <w:rsid w:val="2BE441B7"/>
    <w:rsid w:val="2CFB7B46"/>
    <w:rsid w:val="2CFDF2D7"/>
    <w:rsid w:val="2E78D0D8"/>
    <w:rsid w:val="2E91C3F9"/>
    <w:rsid w:val="2FF22086"/>
    <w:rsid w:val="321E833C"/>
    <w:rsid w:val="337EFF88"/>
    <w:rsid w:val="36A0DD49"/>
    <w:rsid w:val="3A459EDD"/>
    <w:rsid w:val="3B5E9FF9"/>
    <w:rsid w:val="3C29C89D"/>
    <w:rsid w:val="3CF5822F"/>
    <w:rsid w:val="3EA32020"/>
    <w:rsid w:val="3EA9D3F1"/>
    <w:rsid w:val="3F5B3C5C"/>
    <w:rsid w:val="3FAA06A2"/>
    <w:rsid w:val="40EF00CC"/>
    <w:rsid w:val="40FC1E04"/>
    <w:rsid w:val="41AA8029"/>
    <w:rsid w:val="474E65BB"/>
    <w:rsid w:val="48E45DD3"/>
    <w:rsid w:val="4911C17C"/>
    <w:rsid w:val="4AAA9BC8"/>
    <w:rsid w:val="4B3254FC"/>
    <w:rsid w:val="4B34F5E6"/>
    <w:rsid w:val="4B8EFD48"/>
    <w:rsid w:val="4CE5DEEC"/>
    <w:rsid w:val="4EEF206F"/>
    <w:rsid w:val="4F29EBCE"/>
    <w:rsid w:val="50081A65"/>
    <w:rsid w:val="508E3D92"/>
    <w:rsid w:val="5103088A"/>
    <w:rsid w:val="529D4D09"/>
    <w:rsid w:val="53962DD6"/>
    <w:rsid w:val="5477C2EA"/>
    <w:rsid w:val="5CA2B07B"/>
    <w:rsid w:val="5CF618C0"/>
    <w:rsid w:val="5E5EF0D3"/>
    <w:rsid w:val="5FE3FD2A"/>
    <w:rsid w:val="6115B5BD"/>
    <w:rsid w:val="61215FEA"/>
    <w:rsid w:val="618A755A"/>
    <w:rsid w:val="6369DC1D"/>
    <w:rsid w:val="63D7C349"/>
    <w:rsid w:val="64B4C26C"/>
    <w:rsid w:val="64F6700A"/>
    <w:rsid w:val="656BED34"/>
    <w:rsid w:val="65CF45AA"/>
    <w:rsid w:val="669CA6A3"/>
    <w:rsid w:val="68188E76"/>
    <w:rsid w:val="68D8AD7C"/>
    <w:rsid w:val="6A952E92"/>
    <w:rsid w:val="6D0CAF41"/>
    <w:rsid w:val="6D55C31B"/>
    <w:rsid w:val="6DF8FA1A"/>
    <w:rsid w:val="6E599B04"/>
    <w:rsid w:val="7037B847"/>
    <w:rsid w:val="70F69E98"/>
    <w:rsid w:val="71C40D00"/>
    <w:rsid w:val="739CB365"/>
    <w:rsid w:val="7504756F"/>
    <w:rsid w:val="755543E1"/>
    <w:rsid w:val="76CB5EE6"/>
    <w:rsid w:val="7A4C3904"/>
    <w:rsid w:val="7B237D82"/>
    <w:rsid w:val="7BD4B3E2"/>
    <w:rsid w:val="7E529585"/>
    <w:rsid w:val="7E9149BD"/>
    <w:rsid w:val="7EFDD874"/>
    <w:rsid w:val="7F1EFD8D"/>
    <w:rsid w:val="7F88C29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CCBD7"/>
  <w15:chartTrackingRefBased/>
  <w15:docId w15:val="{088531DC-D50B-475F-B15D-89F0374A8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cs="Arial" w:eastAsiaTheme="minorHAnsi"/>
        <w:kern w:val="2"/>
        <w:sz w:val="22"/>
        <w:szCs w:val="22"/>
        <w:lang w:val="en-IN" w:eastAsia="en-US" w:bidi="ar-SA"/>
      </w:rPr>
    </w:rPrDefault>
    <w:pPrDefault>
      <w:pPr>
        <w:spacing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F1111"/>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F1111"/>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F1111"/>
    <w:pPr>
      <w:keepNext/>
      <w:keepLines/>
      <w:spacing w:before="160" w:after="80"/>
      <w:outlineLvl w:val="2"/>
    </w:pPr>
    <w:rPr>
      <w:rFonts w:asciiTheme="minorHAnsi" w:hAnsiTheme="minorHAnsi"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F1111"/>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F1111"/>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F1111"/>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1111"/>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1111"/>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1111"/>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F1111"/>
    <w:rPr>
      <w:rFonts w:asciiTheme="majorHAnsi" w:hAnsiTheme="majorHAnsi" w:eastAsiaTheme="majorEastAsia" w:cstheme="majorBidi"/>
      <w:color w:val="2F5496" w:themeColor="accent1" w:themeShade="BF"/>
      <w:sz w:val="40"/>
      <w:szCs w:val="40"/>
      <w:lang w:val="en-GB"/>
    </w:rPr>
  </w:style>
  <w:style w:type="character" w:styleId="Heading2Char" w:customStyle="1">
    <w:name w:val="Heading 2 Char"/>
    <w:basedOn w:val="DefaultParagraphFont"/>
    <w:link w:val="Heading2"/>
    <w:uiPriority w:val="9"/>
    <w:semiHidden/>
    <w:rsid w:val="008F1111"/>
    <w:rPr>
      <w:rFonts w:asciiTheme="majorHAnsi" w:hAnsiTheme="majorHAnsi" w:eastAsiaTheme="majorEastAsia" w:cstheme="majorBidi"/>
      <w:color w:val="2F5496" w:themeColor="accent1" w:themeShade="BF"/>
      <w:sz w:val="32"/>
      <w:szCs w:val="32"/>
      <w:lang w:val="en-GB"/>
    </w:rPr>
  </w:style>
  <w:style w:type="character" w:styleId="Heading3Char" w:customStyle="1">
    <w:name w:val="Heading 3 Char"/>
    <w:basedOn w:val="DefaultParagraphFont"/>
    <w:link w:val="Heading3"/>
    <w:uiPriority w:val="9"/>
    <w:semiHidden/>
    <w:rsid w:val="008F1111"/>
    <w:rPr>
      <w:rFonts w:asciiTheme="minorHAnsi" w:hAnsiTheme="minorHAnsi" w:eastAsiaTheme="majorEastAsia" w:cstheme="majorBidi"/>
      <w:color w:val="2F5496" w:themeColor="accent1" w:themeShade="BF"/>
      <w:sz w:val="28"/>
      <w:szCs w:val="28"/>
      <w:lang w:val="en-GB"/>
    </w:rPr>
  </w:style>
  <w:style w:type="character" w:styleId="Heading4Char" w:customStyle="1">
    <w:name w:val="Heading 4 Char"/>
    <w:basedOn w:val="DefaultParagraphFont"/>
    <w:link w:val="Heading4"/>
    <w:uiPriority w:val="9"/>
    <w:semiHidden/>
    <w:rsid w:val="008F1111"/>
    <w:rPr>
      <w:rFonts w:asciiTheme="minorHAnsi" w:hAnsiTheme="minorHAnsi" w:eastAsiaTheme="majorEastAsia" w:cstheme="majorBidi"/>
      <w:i/>
      <w:iCs/>
      <w:color w:val="2F5496" w:themeColor="accent1" w:themeShade="BF"/>
      <w:lang w:val="en-GB"/>
    </w:rPr>
  </w:style>
  <w:style w:type="character" w:styleId="Heading5Char" w:customStyle="1">
    <w:name w:val="Heading 5 Char"/>
    <w:basedOn w:val="DefaultParagraphFont"/>
    <w:link w:val="Heading5"/>
    <w:uiPriority w:val="9"/>
    <w:semiHidden/>
    <w:rsid w:val="008F1111"/>
    <w:rPr>
      <w:rFonts w:asciiTheme="minorHAnsi" w:hAnsiTheme="minorHAnsi" w:eastAsiaTheme="majorEastAsia" w:cstheme="majorBidi"/>
      <w:color w:val="2F5496" w:themeColor="accent1" w:themeShade="BF"/>
      <w:lang w:val="en-GB"/>
    </w:rPr>
  </w:style>
  <w:style w:type="character" w:styleId="Heading6Char" w:customStyle="1">
    <w:name w:val="Heading 6 Char"/>
    <w:basedOn w:val="DefaultParagraphFont"/>
    <w:link w:val="Heading6"/>
    <w:uiPriority w:val="9"/>
    <w:semiHidden/>
    <w:rsid w:val="008F1111"/>
    <w:rPr>
      <w:rFonts w:asciiTheme="minorHAnsi" w:hAnsiTheme="minorHAnsi" w:eastAsiaTheme="majorEastAsia" w:cstheme="majorBidi"/>
      <w:i/>
      <w:iCs/>
      <w:color w:val="595959" w:themeColor="text1" w:themeTint="A6"/>
      <w:lang w:val="en-GB"/>
    </w:rPr>
  </w:style>
  <w:style w:type="character" w:styleId="Heading7Char" w:customStyle="1">
    <w:name w:val="Heading 7 Char"/>
    <w:basedOn w:val="DefaultParagraphFont"/>
    <w:link w:val="Heading7"/>
    <w:uiPriority w:val="9"/>
    <w:semiHidden/>
    <w:rsid w:val="008F1111"/>
    <w:rPr>
      <w:rFonts w:asciiTheme="minorHAnsi" w:hAnsiTheme="minorHAnsi" w:eastAsiaTheme="majorEastAsia" w:cstheme="majorBidi"/>
      <w:color w:val="595959" w:themeColor="text1" w:themeTint="A6"/>
      <w:lang w:val="en-GB"/>
    </w:rPr>
  </w:style>
  <w:style w:type="character" w:styleId="Heading8Char" w:customStyle="1">
    <w:name w:val="Heading 8 Char"/>
    <w:basedOn w:val="DefaultParagraphFont"/>
    <w:link w:val="Heading8"/>
    <w:uiPriority w:val="9"/>
    <w:semiHidden/>
    <w:rsid w:val="008F1111"/>
    <w:rPr>
      <w:rFonts w:asciiTheme="minorHAnsi" w:hAnsiTheme="minorHAnsi" w:eastAsiaTheme="majorEastAsia" w:cstheme="majorBidi"/>
      <w:i/>
      <w:iCs/>
      <w:color w:val="272727" w:themeColor="text1" w:themeTint="D8"/>
      <w:lang w:val="en-GB"/>
    </w:rPr>
  </w:style>
  <w:style w:type="character" w:styleId="Heading9Char" w:customStyle="1">
    <w:name w:val="Heading 9 Char"/>
    <w:basedOn w:val="DefaultParagraphFont"/>
    <w:link w:val="Heading9"/>
    <w:uiPriority w:val="9"/>
    <w:semiHidden/>
    <w:rsid w:val="008F1111"/>
    <w:rPr>
      <w:rFonts w:asciiTheme="minorHAnsi" w:hAnsiTheme="minorHAnsi" w:eastAsiaTheme="majorEastAsia" w:cstheme="majorBidi"/>
      <w:color w:val="272727" w:themeColor="text1" w:themeTint="D8"/>
      <w:lang w:val="en-GB"/>
    </w:rPr>
  </w:style>
  <w:style w:type="paragraph" w:styleId="Title">
    <w:name w:val="Title"/>
    <w:basedOn w:val="Normal"/>
    <w:next w:val="Normal"/>
    <w:link w:val="TitleChar"/>
    <w:uiPriority w:val="10"/>
    <w:qFormat/>
    <w:rsid w:val="008F111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F1111"/>
    <w:rPr>
      <w:rFonts w:asciiTheme="majorHAnsi" w:hAnsiTheme="majorHAnsi" w:eastAsiaTheme="majorEastAsia" w:cstheme="majorBidi"/>
      <w:spacing w:val="-10"/>
      <w:kern w:val="28"/>
      <w:sz w:val="56"/>
      <w:szCs w:val="56"/>
      <w:lang w:val="en-GB"/>
    </w:rPr>
  </w:style>
  <w:style w:type="paragraph" w:styleId="Subtitle">
    <w:name w:val="Subtitle"/>
    <w:basedOn w:val="Normal"/>
    <w:next w:val="Normal"/>
    <w:link w:val="SubtitleChar"/>
    <w:uiPriority w:val="11"/>
    <w:qFormat/>
    <w:rsid w:val="008F1111"/>
    <w:pPr>
      <w:numPr>
        <w:ilvl w:val="1"/>
      </w:numPr>
      <w:spacing w:after="160"/>
      <w:ind w:firstLine="72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F1111"/>
    <w:rPr>
      <w:rFonts w:asciiTheme="minorHAnsi" w:hAnsiTheme="minorHAnsi"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F1111"/>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8F1111"/>
    <w:rPr>
      <w:i/>
      <w:iCs/>
      <w:color w:val="404040" w:themeColor="text1" w:themeTint="BF"/>
      <w:lang w:val="en-GB"/>
    </w:rPr>
  </w:style>
  <w:style w:type="paragraph" w:styleId="ListParagraph">
    <w:name w:val="List Paragraph"/>
    <w:basedOn w:val="Normal"/>
    <w:uiPriority w:val="34"/>
    <w:qFormat/>
    <w:rsid w:val="008F1111"/>
    <w:pPr>
      <w:ind w:left="720"/>
      <w:contextualSpacing/>
    </w:pPr>
  </w:style>
  <w:style w:type="character" w:styleId="IntenseEmphasis">
    <w:name w:val="Intense Emphasis"/>
    <w:basedOn w:val="DefaultParagraphFont"/>
    <w:uiPriority w:val="21"/>
    <w:qFormat/>
    <w:rsid w:val="008F1111"/>
    <w:rPr>
      <w:i/>
      <w:iCs/>
      <w:color w:val="2F5496" w:themeColor="accent1" w:themeShade="BF"/>
    </w:rPr>
  </w:style>
  <w:style w:type="paragraph" w:styleId="IntenseQuote">
    <w:name w:val="Intense Quote"/>
    <w:basedOn w:val="Normal"/>
    <w:next w:val="Normal"/>
    <w:link w:val="IntenseQuoteChar"/>
    <w:uiPriority w:val="30"/>
    <w:qFormat/>
    <w:rsid w:val="008F1111"/>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8F1111"/>
    <w:rPr>
      <w:i/>
      <w:iCs/>
      <w:color w:val="2F5496" w:themeColor="accent1" w:themeShade="BF"/>
      <w:lang w:val="en-GB"/>
    </w:rPr>
  </w:style>
  <w:style w:type="character" w:styleId="IntenseReference">
    <w:name w:val="Intense Reference"/>
    <w:basedOn w:val="DefaultParagraphFont"/>
    <w:uiPriority w:val="32"/>
    <w:qFormat/>
    <w:rsid w:val="008F1111"/>
    <w:rPr>
      <w:b/>
      <w:bCs/>
      <w:smallCaps/>
      <w:color w:val="2F5496" w:themeColor="accent1" w:themeShade="BF"/>
      <w:spacing w:val="5"/>
    </w:rPr>
  </w:style>
  <w:style w:type="paragraph" w:styleId="TOCHeading">
    <w:name w:val="TOC Heading"/>
    <w:basedOn w:val="Heading1"/>
    <w:next w:val="Normal"/>
    <w:uiPriority w:val="39"/>
    <w:unhideWhenUsed/>
    <w:qFormat/>
    <w:rsid w:val="00090A98"/>
    <w:pPr>
      <w:spacing w:before="240" w:after="0" w:line="259" w:lineRule="auto"/>
      <w:ind w:firstLine="0"/>
      <w:jc w:val="left"/>
      <w:outlineLvl w:val="9"/>
    </w:pPr>
    <w:rPr>
      <w:kern w:val="0"/>
      <w:sz w:val="32"/>
      <w:szCs w:val="32"/>
      <w:lang w:val="en-US"/>
    </w:rPr>
  </w:style>
  <w:style w:type="paragraph" w:styleId="TOC1">
    <w:name w:val="toc 1"/>
    <w:basedOn w:val="Normal"/>
    <w:next w:val="Normal"/>
    <w:autoRedefine/>
    <w:uiPriority w:val="39"/>
    <w:unhideWhenUsed/>
    <w:rsid w:val="00090A98"/>
    <w:pPr>
      <w:spacing w:after="100"/>
    </w:pPr>
  </w:style>
  <w:style w:type="character" w:styleId="Hyperlink">
    <w:name w:val="Hyperlink"/>
    <w:basedOn w:val="DefaultParagraphFont"/>
    <w:uiPriority w:val="99"/>
    <w:unhideWhenUsed/>
    <w:rsid w:val="00090A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hyperlink" Target="https://www.staffordshire.gov.uk/Homepage.aspx" TargetMode="External" Id="R144e6fb38bb24a98" /><Relationship Type="http://schemas.openxmlformats.org/officeDocument/2006/relationships/hyperlink" Target="https://www.norfolk.gov.uk/" TargetMode="External" Id="Rb4a95bff7b7c4b4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D61FE-A357-4FDE-97A2-A46F868744B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PC</dc:creator>
  <keywords/>
  <dc:description/>
  <lastModifiedBy>Farah Hussain (2328221)</lastModifiedBy>
  <revision>20</revision>
  <dcterms:created xsi:type="dcterms:W3CDTF">2025-11-17T04:39:00.0000000Z</dcterms:created>
  <dcterms:modified xsi:type="dcterms:W3CDTF">2025-11-19T13:53:40.7026277Z</dcterms:modified>
</coreProperties>
</file>