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theme/themeOverride5.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CBDAF" w14:textId="10995DF7" w:rsidR="008B4C99" w:rsidRPr="008B4C99" w:rsidRDefault="008B4C99" w:rsidP="008B4C99">
      <w:pPr>
        <w:spacing w:line="480" w:lineRule="auto"/>
        <w:jc w:val="center"/>
        <w:rPr>
          <w:rFonts w:ascii="Times New Roman" w:hAnsi="Times New Roman" w:cs="Times New Roman"/>
          <w:sz w:val="24"/>
          <w:szCs w:val="24"/>
        </w:rPr>
      </w:pPr>
      <w:r w:rsidRPr="008B4C99">
        <w:rPr>
          <w:rFonts w:ascii="Times New Roman" w:hAnsi="Times New Roman" w:cs="Times New Roman"/>
          <w:sz w:val="24"/>
          <w:szCs w:val="24"/>
        </w:rPr>
        <w:t>ASSIGNMENT 2</w:t>
      </w:r>
    </w:p>
    <w:p w14:paraId="4985A4BC" w14:textId="77777777" w:rsidR="008B4C99" w:rsidRPr="008B4C99" w:rsidRDefault="008B4C99" w:rsidP="008B4C99">
      <w:pPr>
        <w:spacing w:line="480" w:lineRule="auto"/>
        <w:jc w:val="center"/>
        <w:rPr>
          <w:rFonts w:ascii="Times New Roman" w:hAnsi="Times New Roman" w:cs="Times New Roman"/>
          <w:sz w:val="24"/>
          <w:szCs w:val="24"/>
        </w:rPr>
      </w:pPr>
      <w:r w:rsidRPr="008B4C99">
        <w:rPr>
          <w:rFonts w:ascii="Times New Roman" w:hAnsi="Times New Roman" w:cs="Times New Roman"/>
          <w:sz w:val="24"/>
          <w:szCs w:val="24"/>
        </w:rPr>
        <w:t>DATA HANDLING AND BUSINESS INTELLIGENCE LCBB5000</w:t>
      </w:r>
    </w:p>
    <w:p w14:paraId="270DA90C" w14:textId="77777777" w:rsidR="008B4C99" w:rsidRPr="008B4C99" w:rsidRDefault="008B4C99" w:rsidP="008B4C99">
      <w:pPr>
        <w:spacing w:line="480" w:lineRule="auto"/>
        <w:jc w:val="center"/>
        <w:rPr>
          <w:rFonts w:ascii="Times New Roman" w:hAnsi="Times New Roman" w:cs="Times New Roman"/>
          <w:sz w:val="24"/>
          <w:szCs w:val="24"/>
        </w:rPr>
      </w:pPr>
      <w:r w:rsidRPr="008B4C99">
        <w:rPr>
          <w:rFonts w:ascii="Times New Roman" w:hAnsi="Times New Roman" w:cs="Times New Roman"/>
          <w:sz w:val="24"/>
          <w:szCs w:val="24"/>
        </w:rPr>
        <w:t>LECTURER DR. ANUPAM AZUMDAR</w:t>
      </w:r>
    </w:p>
    <w:p w14:paraId="521B08A6" w14:textId="77777777" w:rsidR="008B4C99" w:rsidRPr="008B4C99" w:rsidRDefault="008B4C99" w:rsidP="008B4C99">
      <w:pPr>
        <w:spacing w:line="480" w:lineRule="auto"/>
        <w:jc w:val="center"/>
        <w:rPr>
          <w:rFonts w:ascii="Times New Roman" w:hAnsi="Times New Roman" w:cs="Times New Roman"/>
          <w:sz w:val="24"/>
          <w:szCs w:val="24"/>
        </w:rPr>
      </w:pPr>
      <w:r w:rsidRPr="008B4C99">
        <w:rPr>
          <w:rFonts w:ascii="Times New Roman" w:hAnsi="Times New Roman" w:cs="Times New Roman"/>
          <w:sz w:val="24"/>
          <w:szCs w:val="24"/>
        </w:rPr>
        <w:t>UNIVERSITY OF WALES TRINITY SAINT DAVID</w:t>
      </w:r>
    </w:p>
    <w:p w14:paraId="7227B998" w14:textId="206057DF" w:rsidR="008B4C99" w:rsidRPr="008B4C99" w:rsidRDefault="00282476" w:rsidP="008B4C99">
      <w:pPr>
        <w:spacing w:line="480" w:lineRule="auto"/>
        <w:jc w:val="center"/>
        <w:rPr>
          <w:rFonts w:ascii="Times New Roman" w:hAnsi="Times New Roman" w:cs="Times New Roman"/>
          <w:sz w:val="24"/>
          <w:szCs w:val="24"/>
        </w:rPr>
      </w:pPr>
      <w:r>
        <w:rPr>
          <w:rFonts w:ascii="Times New Roman" w:hAnsi="Times New Roman" w:cs="Times New Roman"/>
          <w:sz w:val="24"/>
          <w:szCs w:val="24"/>
        </w:rPr>
        <w:t>MAY</w:t>
      </w:r>
      <w:r w:rsidR="008B4C99" w:rsidRPr="008B4C99">
        <w:rPr>
          <w:rFonts w:ascii="Times New Roman" w:hAnsi="Times New Roman" w:cs="Times New Roman"/>
          <w:sz w:val="24"/>
          <w:szCs w:val="24"/>
        </w:rPr>
        <w:t xml:space="preserve"> 2022 BUSINESS MANAGEMENT</w:t>
      </w:r>
    </w:p>
    <w:p w14:paraId="7907EEA2" w14:textId="66B68D77" w:rsidR="008B4C99" w:rsidRPr="008B4C99" w:rsidRDefault="008B4C99" w:rsidP="008B4C99">
      <w:pPr>
        <w:spacing w:line="480" w:lineRule="auto"/>
        <w:jc w:val="center"/>
        <w:rPr>
          <w:rFonts w:ascii="Times New Roman" w:hAnsi="Times New Roman" w:cs="Times New Roman"/>
          <w:sz w:val="24"/>
          <w:szCs w:val="24"/>
        </w:rPr>
      </w:pPr>
      <w:r w:rsidRPr="008B4C99">
        <w:rPr>
          <w:rFonts w:ascii="Times New Roman" w:hAnsi="Times New Roman" w:cs="Times New Roman"/>
          <w:sz w:val="24"/>
          <w:szCs w:val="24"/>
        </w:rPr>
        <w:t>DANIEL ANTONESCU 1914798</w:t>
      </w:r>
    </w:p>
    <w:p w14:paraId="045E0C0A" w14:textId="38568D91" w:rsidR="008B4C99" w:rsidRDefault="008B4C99" w:rsidP="008B4C99">
      <w:pPr>
        <w:spacing w:line="480" w:lineRule="auto"/>
        <w:jc w:val="both"/>
        <w:rPr>
          <w:rFonts w:ascii="Times New Roman" w:hAnsi="Times New Roman" w:cs="Times New Roman"/>
        </w:rPr>
      </w:pPr>
    </w:p>
    <w:p w14:paraId="6B81D861" w14:textId="6F56DFDF" w:rsidR="000E1C96" w:rsidRDefault="000E1C96" w:rsidP="008B4C99">
      <w:pPr>
        <w:spacing w:line="480" w:lineRule="auto"/>
        <w:jc w:val="both"/>
        <w:rPr>
          <w:rFonts w:ascii="Times New Roman" w:hAnsi="Times New Roman" w:cs="Times New Roman"/>
        </w:rPr>
      </w:pPr>
    </w:p>
    <w:p w14:paraId="72D757BC" w14:textId="4A4DAC86" w:rsidR="000E1C96" w:rsidRDefault="000E1C96" w:rsidP="008B4C99">
      <w:pPr>
        <w:spacing w:line="480" w:lineRule="auto"/>
        <w:jc w:val="both"/>
        <w:rPr>
          <w:rFonts w:ascii="Times New Roman" w:hAnsi="Times New Roman" w:cs="Times New Roman"/>
        </w:rPr>
      </w:pPr>
    </w:p>
    <w:p w14:paraId="20E079CE" w14:textId="5EADA79B" w:rsidR="000E1C96" w:rsidRDefault="000E1C96" w:rsidP="008B4C99">
      <w:pPr>
        <w:spacing w:line="480" w:lineRule="auto"/>
        <w:jc w:val="both"/>
        <w:rPr>
          <w:rFonts w:ascii="Times New Roman" w:hAnsi="Times New Roman" w:cs="Times New Roman"/>
        </w:rPr>
      </w:pPr>
    </w:p>
    <w:p w14:paraId="4703C1FF" w14:textId="77777777" w:rsidR="000E1C96" w:rsidRDefault="000E1C96" w:rsidP="008B4C99">
      <w:pPr>
        <w:spacing w:line="480" w:lineRule="auto"/>
        <w:jc w:val="both"/>
        <w:rPr>
          <w:rFonts w:ascii="Times New Roman" w:hAnsi="Times New Roman" w:cs="Times New Roman"/>
        </w:rPr>
      </w:pPr>
    </w:p>
    <w:p w14:paraId="1E67A7B3" w14:textId="09994D01" w:rsidR="00337968" w:rsidRDefault="00337968" w:rsidP="008B4C99">
      <w:pPr>
        <w:spacing w:line="480" w:lineRule="auto"/>
        <w:jc w:val="both"/>
        <w:rPr>
          <w:rFonts w:ascii="Times New Roman" w:hAnsi="Times New Roman" w:cs="Times New Roman"/>
        </w:rPr>
      </w:pPr>
    </w:p>
    <w:p w14:paraId="592BE412" w14:textId="03D97609" w:rsidR="00337968" w:rsidRDefault="00337968" w:rsidP="008B4C99">
      <w:pPr>
        <w:spacing w:line="480" w:lineRule="auto"/>
        <w:jc w:val="both"/>
        <w:rPr>
          <w:rFonts w:ascii="Times New Roman" w:hAnsi="Times New Roman" w:cs="Times New Roman"/>
        </w:rPr>
      </w:pPr>
    </w:p>
    <w:p w14:paraId="4891F589" w14:textId="28EF08C5" w:rsidR="00337968" w:rsidRPr="00337968" w:rsidRDefault="00337968" w:rsidP="00337968">
      <w:pPr>
        <w:spacing w:line="480" w:lineRule="auto"/>
        <w:jc w:val="center"/>
        <w:rPr>
          <w:rFonts w:ascii="Times New Roman" w:hAnsi="Times New Roman" w:cs="Times New Roman"/>
          <w:sz w:val="24"/>
          <w:szCs w:val="24"/>
        </w:rPr>
      </w:pPr>
      <w:r>
        <w:rPr>
          <w:rFonts w:ascii="Times New Roman" w:hAnsi="Times New Roman" w:cs="Times New Roman"/>
          <w:sz w:val="24"/>
          <w:szCs w:val="24"/>
        </w:rPr>
        <w:t>ASSIGNMENT 2 DATA HANDLING AND BUSINESS INTELLIGENCE</w:t>
      </w:r>
    </w:p>
    <w:p w14:paraId="5B599886" w14:textId="173D3548" w:rsidR="008B4C99" w:rsidRPr="008B4C99" w:rsidRDefault="008B4C99" w:rsidP="008B4C99">
      <w:pPr>
        <w:spacing w:line="480" w:lineRule="auto"/>
        <w:jc w:val="both"/>
        <w:rPr>
          <w:rFonts w:ascii="Times New Roman" w:hAnsi="Times New Roman" w:cs="Times New Roman"/>
        </w:rPr>
      </w:pPr>
    </w:p>
    <w:p w14:paraId="2231D483" w14:textId="6CB278C2" w:rsidR="008B4C99" w:rsidRPr="008B4C99" w:rsidRDefault="008B4C99" w:rsidP="008B4C99">
      <w:pPr>
        <w:spacing w:line="480" w:lineRule="auto"/>
        <w:jc w:val="both"/>
        <w:rPr>
          <w:rFonts w:ascii="Times New Roman" w:hAnsi="Times New Roman" w:cs="Times New Roman"/>
        </w:rPr>
      </w:pPr>
    </w:p>
    <w:p w14:paraId="15CF9C25" w14:textId="58A6000C" w:rsidR="008B4C99" w:rsidRPr="008B4C99" w:rsidRDefault="008B4C99" w:rsidP="008B4C99">
      <w:pPr>
        <w:spacing w:line="480" w:lineRule="auto"/>
        <w:jc w:val="both"/>
        <w:rPr>
          <w:rFonts w:ascii="Times New Roman" w:hAnsi="Times New Roman" w:cs="Times New Roman"/>
        </w:rPr>
      </w:pPr>
    </w:p>
    <w:p w14:paraId="026B48A0" w14:textId="7636218F" w:rsidR="008B4C99" w:rsidRDefault="008B4C99" w:rsidP="008B4C99">
      <w:pPr>
        <w:spacing w:line="480" w:lineRule="auto"/>
        <w:jc w:val="both"/>
        <w:rPr>
          <w:rFonts w:ascii="Times New Roman" w:hAnsi="Times New Roman" w:cs="Times New Roman"/>
        </w:rPr>
      </w:pPr>
    </w:p>
    <w:p w14:paraId="15B2678F" w14:textId="77777777" w:rsidR="000E1C96" w:rsidRPr="008B4C99" w:rsidRDefault="000E1C96" w:rsidP="008B4C99">
      <w:pPr>
        <w:spacing w:line="480" w:lineRule="auto"/>
        <w:jc w:val="both"/>
        <w:rPr>
          <w:rFonts w:ascii="Times New Roman" w:hAnsi="Times New Roman" w:cs="Times New Roman"/>
        </w:rPr>
      </w:pPr>
    </w:p>
    <w:p w14:paraId="3D5431EE" w14:textId="02629146" w:rsidR="008B4C99" w:rsidRDefault="008B4C99" w:rsidP="008B4C99">
      <w:pPr>
        <w:spacing w:line="480" w:lineRule="auto"/>
        <w:jc w:val="center"/>
        <w:rPr>
          <w:rFonts w:ascii="Times New Roman" w:hAnsi="Times New Roman" w:cs="Times New Roman"/>
        </w:rPr>
      </w:pPr>
      <w:r>
        <w:rPr>
          <w:rFonts w:ascii="Times New Roman" w:hAnsi="Times New Roman" w:cs="Times New Roman"/>
        </w:rPr>
        <w:lastRenderedPageBreak/>
        <w:t>Table of Contents</w:t>
      </w:r>
    </w:p>
    <w:p w14:paraId="1A6BD13F" w14:textId="354714D0" w:rsidR="008B4C99" w:rsidRDefault="008B4C99" w:rsidP="008B4C99">
      <w:pPr>
        <w:spacing w:line="480" w:lineRule="auto"/>
        <w:jc w:val="center"/>
        <w:rPr>
          <w:rFonts w:ascii="Times New Roman" w:hAnsi="Times New Roman" w:cs="Times New Roman"/>
        </w:rPr>
      </w:pPr>
    </w:p>
    <w:p w14:paraId="02F63F84" w14:textId="3BEF5729" w:rsidR="008B4C99" w:rsidRDefault="008B4C99" w:rsidP="008B4C99">
      <w:pPr>
        <w:spacing w:line="480" w:lineRule="auto"/>
        <w:jc w:val="center"/>
        <w:rPr>
          <w:rFonts w:ascii="Times New Roman" w:hAnsi="Times New Roman" w:cs="Times New Roman"/>
        </w:rPr>
      </w:pPr>
    </w:p>
    <w:p w14:paraId="67EFA02D" w14:textId="568E0358" w:rsidR="008B4C99" w:rsidRDefault="008B4C99" w:rsidP="008B4C99">
      <w:pPr>
        <w:spacing w:line="480" w:lineRule="auto"/>
        <w:jc w:val="both"/>
        <w:rPr>
          <w:rFonts w:ascii="Times New Roman" w:hAnsi="Times New Roman" w:cs="Times New Roman"/>
        </w:rPr>
      </w:pPr>
      <w:r>
        <w:rPr>
          <w:rFonts w:ascii="Times New Roman" w:hAnsi="Times New Roman" w:cs="Times New Roman"/>
        </w:rPr>
        <w:t>Part 1: Crime data set…………………………………………………………………………3</w:t>
      </w:r>
    </w:p>
    <w:p w14:paraId="21231F89" w14:textId="323B703D" w:rsidR="00337968" w:rsidRDefault="00337968" w:rsidP="008B4C99">
      <w:pPr>
        <w:spacing w:line="480" w:lineRule="auto"/>
        <w:jc w:val="both"/>
        <w:rPr>
          <w:rFonts w:ascii="Times New Roman" w:hAnsi="Times New Roman" w:cs="Times New Roman"/>
        </w:rPr>
      </w:pPr>
      <w:r>
        <w:rPr>
          <w:rFonts w:ascii="Times New Roman" w:hAnsi="Times New Roman" w:cs="Times New Roman"/>
        </w:rPr>
        <w:t>Pre-processing, analyzing, and visualizing the crime data set………………………</w:t>
      </w:r>
      <w:r w:rsidR="00742243">
        <w:rPr>
          <w:rFonts w:ascii="Times New Roman" w:hAnsi="Times New Roman" w:cs="Times New Roman"/>
        </w:rPr>
        <w:t>.</w:t>
      </w:r>
      <w:r>
        <w:rPr>
          <w:rFonts w:ascii="Times New Roman" w:hAnsi="Times New Roman" w:cs="Times New Roman"/>
        </w:rPr>
        <w:t>……….3</w:t>
      </w:r>
    </w:p>
    <w:p w14:paraId="6AA56EC5" w14:textId="547A2FBC" w:rsidR="00337968" w:rsidRDefault="00337968" w:rsidP="008B4C99">
      <w:pPr>
        <w:spacing w:line="480" w:lineRule="auto"/>
        <w:jc w:val="both"/>
        <w:rPr>
          <w:rFonts w:ascii="Times New Roman" w:hAnsi="Times New Roman" w:cs="Times New Roman"/>
        </w:rPr>
      </w:pPr>
      <w:r>
        <w:rPr>
          <w:rFonts w:ascii="Times New Roman" w:hAnsi="Times New Roman" w:cs="Times New Roman"/>
        </w:rPr>
        <w:t>Pivot tables……………………………………………………………………………………3</w:t>
      </w:r>
    </w:p>
    <w:p w14:paraId="77F036C7" w14:textId="1229C599" w:rsidR="00742243" w:rsidRDefault="00742243" w:rsidP="008B4C99">
      <w:pPr>
        <w:spacing w:line="480" w:lineRule="auto"/>
        <w:jc w:val="both"/>
        <w:rPr>
          <w:rFonts w:ascii="Times New Roman" w:hAnsi="Times New Roman" w:cs="Times New Roman"/>
        </w:rPr>
      </w:pPr>
      <w:r>
        <w:rPr>
          <w:rFonts w:ascii="Times New Roman" w:hAnsi="Times New Roman" w:cs="Times New Roman"/>
        </w:rPr>
        <w:t>Part 2: Data mining and text mining techniques in business………………………………...</w:t>
      </w:r>
      <w:r w:rsidR="00914438">
        <w:rPr>
          <w:rFonts w:ascii="Times New Roman" w:hAnsi="Times New Roman" w:cs="Times New Roman"/>
        </w:rPr>
        <w:t>.9</w:t>
      </w:r>
    </w:p>
    <w:p w14:paraId="1A124FB1" w14:textId="538DED5B" w:rsidR="00742243" w:rsidRDefault="00742243" w:rsidP="008B4C99">
      <w:pPr>
        <w:spacing w:line="480" w:lineRule="auto"/>
        <w:jc w:val="both"/>
        <w:rPr>
          <w:rFonts w:ascii="Times New Roman" w:hAnsi="Times New Roman" w:cs="Times New Roman"/>
        </w:rPr>
      </w:pPr>
      <w:r>
        <w:rPr>
          <w:rFonts w:ascii="Times New Roman" w:hAnsi="Times New Roman" w:cs="Times New Roman"/>
        </w:rPr>
        <w:t>Data mining………………………………………………………………………………….1</w:t>
      </w:r>
      <w:r w:rsidR="00914438">
        <w:rPr>
          <w:rFonts w:ascii="Times New Roman" w:hAnsi="Times New Roman" w:cs="Times New Roman"/>
        </w:rPr>
        <w:t>0</w:t>
      </w:r>
    </w:p>
    <w:p w14:paraId="3BE49611" w14:textId="1864C14E" w:rsidR="00337968" w:rsidRDefault="00742243" w:rsidP="008B4C99">
      <w:pPr>
        <w:spacing w:line="480" w:lineRule="auto"/>
        <w:jc w:val="both"/>
        <w:rPr>
          <w:rFonts w:ascii="Times New Roman" w:hAnsi="Times New Roman" w:cs="Times New Roman"/>
        </w:rPr>
      </w:pPr>
      <w:r>
        <w:rPr>
          <w:rFonts w:ascii="Times New Roman" w:hAnsi="Times New Roman" w:cs="Times New Roman"/>
        </w:rPr>
        <w:t>Retail sector………………………………………………………………………………….1</w:t>
      </w:r>
      <w:r w:rsidR="00914438">
        <w:rPr>
          <w:rFonts w:ascii="Times New Roman" w:hAnsi="Times New Roman" w:cs="Times New Roman"/>
        </w:rPr>
        <w:t>0</w:t>
      </w:r>
    </w:p>
    <w:p w14:paraId="2D00346B" w14:textId="56CF14AE" w:rsidR="005F459E" w:rsidRDefault="005F459E" w:rsidP="008B4C99">
      <w:pPr>
        <w:spacing w:line="480" w:lineRule="auto"/>
        <w:jc w:val="both"/>
        <w:rPr>
          <w:rFonts w:ascii="Times New Roman" w:hAnsi="Times New Roman" w:cs="Times New Roman"/>
        </w:rPr>
      </w:pPr>
      <w:r>
        <w:rPr>
          <w:rFonts w:ascii="Times New Roman" w:hAnsi="Times New Roman" w:cs="Times New Roman"/>
        </w:rPr>
        <w:t>Detect financial crimes………………………………………………………………………1</w:t>
      </w:r>
      <w:r w:rsidR="00FB0DEE">
        <w:rPr>
          <w:rFonts w:ascii="Times New Roman" w:hAnsi="Times New Roman" w:cs="Times New Roman"/>
        </w:rPr>
        <w:t>1</w:t>
      </w:r>
    </w:p>
    <w:p w14:paraId="1147C8A0" w14:textId="385C3322" w:rsidR="005F459E" w:rsidRDefault="005F459E" w:rsidP="008B4C99">
      <w:pPr>
        <w:spacing w:line="480" w:lineRule="auto"/>
        <w:jc w:val="both"/>
        <w:rPr>
          <w:rFonts w:ascii="Times New Roman" w:hAnsi="Times New Roman" w:cs="Times New Roman"/>
        </w:rPr>
      </w:pPr>
      <w:r>
        <w:rPr>
          <w:rFonts w:ascii="Times New Roman" w:hAnsi="Times New Roman" w:cs="Times New Roman"/>
        </w:rPr>
        <w:t>Forecasting market…………………………………………………………………………..1</w:t>
      </w:r>
      <w:r w:rsidR="00FB0DEE">
        <w:rPr>
          <w:rFonts w:ascii="Times New Roman" w:hAnsi="Times New Roman" w:cs="Times New Roman"/>
        </w:rPr>
        <w:t>1</w:t>
      </w:r>
    </w:p>
    <w:p w14:paraId="4128603D" w14:textId="78B5A84C" w:rsidR="005F459E" w:rsidRDefault="005F459E" w:rsidP="008B4C99">
      <w:pPr>
        <w:spacing w:line="480" w:lineRule="auto"/>
        <w:jc w:val="both"/>
        <w:rPr>
          <w:rFonts w:ascii="Times New Roman" w:hAnsi="Times New Roman" w:cs="Times New Roman"/>
        </w:rPr>
      </w:pPr>
      <w:r>
        <w:rPr>
          <w:rFonts w:ascii="Times New Roman" w:hAnsi="Times New Roman" w:cs="Times New Roman"/>
        </w:rPr>
        <w:t>Text mining………………………………………………………………………………….1</w:t>
      </w:r>
      <w:r w:rsidR="00FB0DEE">
        <w:rPr>
          <w:rFonts w:ascii="Times New Roman" w:hAnsi="Times New Roman" w:cs="Times New Roman"/>
        </w:rPr>
        <w:t>1</w:t>
      </w:r>
    </w:p>
    <w:p w14:paraId="1EEE9C2C" w14:textId="14EC2136" w:rsidR="005F459E" w:rsidRDefault="005F459E" w:rsidP="008B4C99">
      <w:pPr>
        <w:spacing w:line="480" w:lineRule="auto"/>
        <w:jc w:val="both"/>
        <w:rPr>
          <w:rFonts w:ascii="Times New Roman" w:hAnsi="Times New Roman" w:cs="Times New Roman"/>
        </w:rPr>
      </w:pPr>
      <w:r>
        <w:rPr>
          <w:rFonts w:ascii="Times New Roman" w:hAnsi="Times New Roman" w:cs="Times New Roman"/>
        </w:rPr>
        <w:t>Information retrieval…………………………………………………………………</w:t>
      </w:r>
      <w:r w:rsidR="00FB0DEE">
        <w:rPr>
          <w:rFonts w:ascii="Times New Roman" w:hAnsi="Times New Roman" w:cs="Times New Roman"/>
        </w:rPr>
        <w:t>...</w:t>
      </w:r>
      <w:r>
        <w:rPr>
          <w:rFonts w:ascii="Times New Roman" w:hAnsi="Times New Roman" w:cs="Times New Roman"/>
        </w:rPr>
        <w:t>……1</w:t>
      </w:r>
      <w:r w:rsidR="00FB0DEE">
        <w:rPr>
          <w:rFonts w:ascii="Times New Roman" w:hAnsi="Times New Roman" w:cs="Times New Roman"/>
        </w:rPr>
        <w:t>1</w:t>
      </w:r>
    </w:p>
    <w:p w14:paraId="192D2107" w14:textId="2E32F19B" w:rsidR="005F459E" w:rsidRDefault="005F459E" w:rsidP="008B4C99">
      <w:pPr>
        <w:spacing w:line="480" w:lineRule="auto"/>
        <w:jc w:val="both"/>
        <w:rPr>
          <w:rFonts w:ascii="Times New Roman" w:hAnsi="Times New Roman" w:cs="Times New Roman"/>
        </w:rPr>
      </w:pPr>
      <w:r>
        <w:rPr>
          <w:rFonts w:ascii="Times New Roman" w:hAnsi="Times New Roman" w:cs="Times New Roman"/>
        </w:rPr>
        <w:t>Natural language processing……………………………………………………………</w:t>
      </w:r>
      <w:r w:rsidR="00FB0DEE">
        <w:rPr>
          <w:rFonts w:ascii="Times New Roman" w:hAnsi="Times New Roman" w:cs="Times New Roman"/>
        </w:rPr>
        <w:t>...</w:t>
      </w:r>
      <w:r>
        <w:rPr>
          <w:rFonts w:ascii="Times New Roman" w:hAnsi="Times New Roman" w:cs="Times New Roman"/>
        </w:rPr>
        <w:t>…1</w:t>
      </w:r>
      <w:r w:rsidR="00FB0DEE">
        <w:rPr>
          <w:rFonts w:ascii="Times New Roman" w:hAnsi="Times New Roman" w:cs="Times New Roman"/>
        </w:rPr>
        <w:t>2</w:t>
      </w:r>
    </w:p>
    <w:p w14:paraId="52FAB4E8" w14:textId="4F6D5277" w:rsidR="005F459E" w:rsidRDefault="005F459E" w:rsidP="008B4C99">
      <w:pPr>
        <w:spacing w:line="480" w:lineRule="auto"/>
        <w:jc w:val="both"/>
        <w:rPr>
          <w:rFonts w:ascii="Times New Roman" w:hAnsi="Times New Roman" w:cs="Times New Roman"/>
        </w:rPr>
      </w:pPr>
      <w:r>
        <w:rPr>
          <w:rFonts w:ascii="Times New Roman" w:hAnsi="Times New Roman" w:cs="Times New Roman"/>
        </w:rPr>
        <w:t>Information extraction……………………………………………………………………</w:t>
      </w:r>
      <w:r w:rsidR="00FB0DEE">
        <w:rPr>
          <w:rFonts w:ascii="Times New Roman" w:hAnsi="Times New Roman" w:cs="Times New Roman"/>
        </w:rPr>
        <w:t>…</w:t>
      </w:r>
      <w:r>
        <w:rPr>
          <w:rFonts w:ascii="Times New Roman" w:hAnsi="Times New Roman" w:cs="Times New Roman"/>
        </w:rPr>
        <w:t>.1</w:t>
      </w:r>
      <w:r w:rsidR="00FB0DEE">
        <w:rPr>
          <w:rFonts w:ascii="Times New Roman" w:hAnsi="Times New Roman" w:cs="Times New Roman"/>
        </w:rPr>
        <w:t>2</w:t>
      </w:r>
    </w:p>
    <w:p w14:paraId="1393F4F8" w14:textId="6B29E019" w:rsidR="000E1C96" w:rsidRDefault="000E1C96" w:rsidP="008B4C99">
      <w:pPr>
        <w:spacing w:line="480" w:lineRule="auto"/>
        <w:jc w:val="both"/>
        <w:rPr>
          <w:rFonts w:ascii="Times New Roman" w:hAnsi="Times New Roman" w:cs="Times New Roman"/>
        </w:rPr>
      </w:pPr>
      <w:r>
        <w:rPr>
          <w:rFonts w:ascii="Times New Roman" w:hAnsi="Times New Roman" w:cs="Times New Roman"/>
        </w:rPr>
        <w:t>Advantages and disadvantages of SPSS</w:t>
      </w:r>
      <w:r w:rsidR="0046544A">
        <w:rPr>
          <w:rFonts w:ascii="Times New Roman" w:hAnsi="Times New Roman" w:cs="Times New Roman"/>
        </w:rPr>
        <w:t xml:space="preserve"> and EXCEL</w:t>
      </w:r>
      <w:r w:rsidR="00FB0DEE">
        <w:rPr>
          <w:rFonts w:ascii="Times New Roman" w:hAnsi="Times New Roman" w:cs="Times New Roman"/>
        </w:rPr>
        <w:t>……….</w:t>
      </w:r>
      <w:r>
        <w:rPr>
          <w:rFonts w:ascii="Times New Roman" w:hAnsi="Times New Roman" w:cs="Times New Roman"/>
        </w:rPr>
        <w:t>…………………………</w:t>
      </w:r>
      <w:r w:rsidR="0046544A">
        <w:rPr>
          <w:rFonts w:ascii="Times New Roman" w:hAnsi="Times New Roman" w:cs="Times New Roman"/>
        </w:rPr>
        <w:t>..</w:t>
      </w:r>
      <w:r>
        <w:rPr>
          <w:rFonts w:ascii="Times New Roman" w:hAnsi="Times New Roman" w:cs="Times New Roman"/>
        </w:rPr>
        <w:t>….1</w:t>
      </w:r>
      <w:r w:rsidR="00FB0DEE">
        <w:rPr>
          <w:rFonts w:ascii="Times New Roman" w:hAnsi="Times New Roman" w:cs="Times New Roman"/>
        </w:rPr>
        <w:t>3</w:t>
      </w:r>
    </w:p>
    <w:p w14:paraId="01E94A4C" w14:textId="3001837C" w:rsidR="008B4C99" w:rsidRDefault="000E1C96" w:rsidP="00FB0DEE">
      <w:pPr>
        <w:spacing w:line="480" w:lineRule="auto"/>
        <w:jc w:val="both"/>
        <w:rPr>
          <w:rFonts w:ascii="Times New Roman" w:hAnsi="Times New Roman" w:cs="Times New Roman"/>
        </w:rPr>
      </w:pPr>
      <w:r>
        <w:rPr>
          <w:rFonts w:ascii="Times New Roman" w:hAnsi="Times New Roman" w:cs="Times New Roman"/>
        </w:rPr>
        <w:t>References…………………………………………………………………………………</w:t>
      </w:r>
      <w:r w:rsidR="00FB0DEE">
        <w:rPr>
          <w:rFonts w:ascii="Times New Roman" w:hAnsi="Times New Roman" w:cs="Times New Roman"/>
        </w:rPr>
        <w:t>..15</w:t>
      </w:r>
    </w:p>
    <w:p w14:paraId="1FEE7E9E" w14:textId="4086FFD1" w:rsidR="000E1C96" w:rsidRDefault="000E1C96" w:rsidP="008B4C99">
      <w:pPr>
        <w:spacing w:after="0" w:line="480" w:lineRule="auto"/>
        <w:jc w:val="both"/>
        <w:rPr>
          <w:rFonts w:ascii="Times New Roman" w:hAnsi="Times New Roman" w:cs="Times New Roman"/>
          <w:b/>
        </w:rPr>
      </w:pPr>
    </w:p>
    <w:p w14:paraId="1610BB96" w14:textId="77777777" w:rsidR="0046544A" w:rsidRDefault="0046544A" w:rsidP="008B4C99">
      <w:pPr>
        <w:spacing w:after="0" w:line="480" w:lineRule="auto"/>
        <w:jc w:val="both"/>
        <w:rPr>
          <w:rFonts w:ascii="Times New Roman" w:hAnsi="Times New Roman" w:cs="Times New Roman"/>
          <w:b/>
        </w:rPr>
      </w:pPr>
    </w:p>
    <w:p w14:paraId="68AF46C5" w14:textId="77777777" w:rsidR="008B4C99" w:rsidRDefault="008B4C99" w:rsidP="008B4C99">
      <w:pPr>
        <w:spacing w:after="0" w:line="480" w:lineRule="auto"/>
        <w:jc w:val="both"/>
        <w:rPr>
          <w:rFonts w:ascii="Times New Roman" w:hAnsi="Times New Roman" w:cs="Times New Roman"/>
          <w:b/>
        </w:rPr>
      </w:pPr>
    </w:p>
    <w:p w14:paraId="75034F76" w14:textId="273AF2B9" w:rsidR="008B4C99" w:rsidRPr="00742243" w:rsidRDefault="008B4C99" w:rsidP="008B4C99">
      <w:pPr>
        <w:spacing w:after="0" w:line="480" w:lineRule="auto"/>
        <w:jc w:val="both"/>
        <w:rPr>
          <w:rFonts w:ascii="Times New Roman" w:hAnsi="Times New Roman" w:cs="Times New Roman"/>
          <w:bCs/>
          <w:sz w:val="24"/>
          <w:szCs w:val="24"/>
        </w:rPr>
      </w:pPr>
      <w:r w:rsidRPr="00742243">
        <w:rPr>
          <w:rFonts w:ascii="Times New Roman" w:hAnsi="Times New Roman" w:cs="Times New Roman"/>
          <w:bCs/>
          <w:sz w:val="24"/>
          <w:szCs w:val="24"/>
        </w:rPr>
        <w:lastRenderedPageBreak/>
        <w:t>Part 1: Crime Data Set</w:t>
      </w:r>
    </w:p>
    <w:p w14:paraId="1B7E600D" w14:textId="77777777" w:rsidR="008B4C99" w:rsidRPr="008B4C99" w:rsidRDefault="008B4C99" w:rsidP="008B4C99">
      <w:pPr>
        <w:spacing w:after="0" w:line="480" w:lineRule="auto"/>
        <w:jc w:val="both"/>
        <w:rPr>
          <w:rFonts w:ascii="Times New Roman" w:hAnsi="Times New Roman" w:cs="Times New Roman"/>
          <w:b/>
        </w:rPr>
      </w:pPr>
    </w:p>
    <w:p w14:paraId="1B0C4899" w14:textId="5A379914" w:rsidR="008B4C99" w:rsidRPr="00337968" w:rsidRDefault="008B4C99" w:rsidP="008B4C99">
      <w:pPr>
        <w:spacing w:after="0" w:line="480" w:lineRule="auto"/>
        <w:jc w:val="both"/>
        <w:rPr>
          <w:rFonts w:ascii="Times New Roman" w:hAnsi="Times New Roman" w:cs="Times New Roman"/>
          <w:bCs/>
          <w:sz w:val="24"/>
          <w:szCs w:val="24"/>
        </w:rPr>
      </w:pPr>
      <w:r w:rsidRPr="00337968">
        <w:rPr>
          <w:rFonts w:ascii="Times New Roman" w:hAnsi="Times New Roman" w:cs="Times New Roman"/>
          <w:bCs/>
          <w:sz w:val="24"/>
          <w:szCs w:val="24"/>
        </w:rPr>
        <w:t>Pre-processing, analyzing, and visualizing the Crime Data Set</w:t>
      </w:r>
    </w:p>
    <w:p w14:paraId="21F8839C" w14:textId="77777777" w:rsidR="008B4C99" w:rsidRPr="008B4C99" w:rsidRDefault="008B4C99" w:rsidP="008B4C99">
      <w:pPr>
        <w:spacing w:after="0" w:line="480" w:lineRule="auto"/>
        <w:jc w:val="both"/>
        <w:rPr>
          <w:rFonts w:ascii="Times New Roman" w:hAnsi="Times New Roman" w:cs="Times New Roman"/>
          <w:bCs/>
        </w:rPr>
      </w:pPr>
    </w:p>
    <w:p w14:paraId="4149CA42" w14:textId="7ED37241" w:rsidR="008B4C99" w:rsidRDefault="008B4C99" w:rsidP="008B4C99">
      <w:pPr>
        <w:spacing w:after="0" w:line="480" w:lineRule="auto"/>
        <w:jc w:val="both"/>
        <w:rPr>
          <w:rFonts w:ascii="Times New Roman" w:hAnsi="Times New Roman" w:cs="Times New Roman"/>
        </w:rPr>
      </w:pPr>
      <w:r w:rsidRPr="008B4C99">
        <w:rPr>
          <w:rFonts w:ascii="Times New Roman" w:hAnsi="Times New Roman" w:cs="Times New Roman"/>
        </w:rPr>
        <w:tab/>
        <w:t xml:space="preserve">Pre-processing is the preparation of raw data before applying the actual statistical methods of data analysis. Microsoft Excel helps non-programmers to pre-process data and handle structured data. Excel entails various techniques and functions to help clean structured data. Data analysis is the process of cleaning, converting, and analyzing raw data to gain useful, relevant information that can help businesses to make educated decisions (Lu, 2020). The risk associated with decision-making is minimized by giving relevant insights and data commonly presented in graphs, tables, charts, and photos. Data analytics entails more than merely data analysis. Rather, it encompasses data amassing, organizing, storage, the equipment and methods applied in a deeper exploration of data, and those that help present the findings, like tools of visualizing data (Lu, 2020). Conversely, data analysis deals with merely the process of converting raw data into useful information.  Data visualization is an interdisciplinary field that handles graphical data depiction. It helps to effectively convey large sets of data such as those in a time series. </w:t>
      </w:r>
    </w:p>
    <w:p w14:paraId="10D33023" w14:textId="77777777" w:rsidR="008B4C99" w:rsidRPr="008B4C99" w:rsidRDefault="008B4C99" w:rsidP="008B4C99">
      <w:pPr>
        <w:spacing w:after="0" w:line="480" w:lineRule="auto"/>
        <w:jc w:val="both"/>
        <w:rPr>
          <w:rFonts w:ascii="Times New Roman" w:hAnsi="Times New Roman" w:cs="Times New Roman"/>
        </w:rPr>
      </w:pPr>
    </w:p>
    <w:p w14:paraId="46E1140D" w14:textId="10EA6065" w:rsidR="008B4C99" w:rsidRPr="00337968" w:rsidRDefault="008B4C99" w:rsidP="008B4C99">
      <w:pPr>
        <w:spacing w:after="0" w:line="480" w:lineRule="auto"/>
        <w:jc w:val="both"/>
        <w:rPr>
          <w:rFonts w:ascii="Times New Roman" w:hAnsi="Times New Roman" w:cs="Times New Roman"/>
          <w:bCs/>
          <w:sz w:val="24"/>
          <w:szCs w:val="24"/>
        </w:rPr>
      </w:pPr>
      <w:r w:rsidRPr="00337968">
        <w:rPr>
          <w:rFonts w:ascii="Times New Roman" w:hAnsi="Times New Roman" w:cs="Times New Roman"/>
          <w:bCs/>
          <w:sz w:val="24"/>
          <w:szCs w:val="24"/>
        </w:rPr>
        <w:t>Pivot Tables</w:t>
      </w:r>
    </w:p>
    <w:p w14:paraId="0A80C694" w14:textId="77777777" w:rsidR="008B4C99" w:rsidRPr="008B4C99" w:rsidRDefault="008B4C99" w:rsidP="008B4C99">
      <w:pPr>
        <w:spacing w:after="0" w:line="480" w:lineRule="auto"/>
        <w:jc w:val="both"/>
        <w:rPr>
          <w:rFonts w:ascii="Times New Roman" w:hAnsi="Times New Roman" w:cs="Times New Roman"/>
          <w:b/>
        </w:rPr>
      </w:pPr>
    </w:p>
    <w:p w14:paraId="43CB1AE7" w14:textId="797F2445" w:rsidR="008B4C99" w:rsidRPr="008B4C99" w:rsidRDefault="008B4C99" w:rsidP="008B4C99">
      <w:pPr>
        <w:spacing w:after="0" w:line="480" w:lineRule="auto"/>
        <w:jc w:val="both"/>
        <w:rPr>
          <w:rFonts w:ascii="Times New Roman" w:hAnsi="Times New Roman" w:cs="Times New Roman"/>
        </w:rPr>
      </w:pPr>
      <w:r w:rsidRPr="008B4C99">
        <w:rPr>
          <w:rFonts w:ascii="Times New Roman" w:hAnsi="Times New Roman" w:cs="Times New Roman"/>
        </w:rPr>
        <w:tab/>
        <w:t xml:space="preserve">A pivot table is an excel tool that helps to summaries and reorganize unstructured data in a spreadsheet (Lu, 2020). It produces a report that is quite helpful for visualizing the data. Pivot tables extract meaning from the seemingly unending muddle of numbers on a table for easier data comprehension. Pivot tables also help group data in different ways to draw vital deductions more easily. The data in a pivot table can be rotated to view it from a different perspective, thus the name pivot. When making a pivot, there is no addition, subtraction, or otherwise changing of data. </w:t>
      </w:r>
      <w:r w:rsidRPr="008B4C99">
        <w:rPr>
          <w:rFonts w:ascii="Times New Roman" w:hAnsi="Times New Roman" w:cs="Times New Roman"/>
        </w:rPr>
        <w:lastRenderedPageBreak/>
        <w:t xml:space="preserve">Instead, the data is simply reorganized to reveal useful information from it. The data should be listed vertically with column titles. There should also be no blank rows before using the pivot table tool. Extra data should also not be written on the sides or underneath the main data. The data should also be formatted as a table before using the pivot table tool. This enables the easier addition of data into the table, and the added information will be updated on the pivot table. </w:t>
      </w:r>
    </w:p>
    <w:p w14:paraId="28506058" w14:textId="1B7C2BAC" w:rsidR="00337968" w:rsidRPr="008B4C99" w:rsidRDefault="008B4C99" w:rsidP="008B4C99">
      <w:pPr>
        <w:spacing w:after="0" w:line="480" w:lineRule="auto"/>
        <w:jc w:val="both"/>
        <w:rPr>
          <w:rFonts w:ascii="Times New Roman" w:hAnsi="Times New Roman" w:cs="Times New Roman"/>
        </w:rPr>
      </w:pPr>
      <w:r w:rsidRPr="008B4C99">
        <w:rPr>
          <w:rFonts w:ascii="Times New Roman" w:hAnsi="Times New Roman" w:cs="Times New Roman"/>
        </w:rPr>
        <w:tab/>
        <w:t>The first question required finding the crime rate, and according to the results of the pivot table created, it was found that the crime rate is 9629.3 per million population. A screenshot was taken, and it is represented below.</w:t>
      </w:r>
    </w:p>
    <w:p w14:paraId="6E7F8C8B" w14:textId="4FA00A59" w:rsidR="00337968" w:rsidRDefault="008B4C99" w:rsidP="008B4C99">
      <w:pPr>
        <w:spacing w:after="0" w:line="480" w:lineRule="auto"/>
        <w:jc w:val="both"/>
        <w:rPr>
          <w:rFonts w:ascii="Times New Roman" w:hAnsi="Times New Roman" w:cs="Times New Roman"/>
        </w:rPr>
      </w:pPr>
      <w:r w:rsidRPr="008B4C99">
        <w:rPr>
          <w:rFonts w:ascii="Times New Roman" w:hAnsi="Times New Roman" w:cs="Times New Roman"/>
          <w:noProof/>
        </w:rPr>
        <w:drawing>
          <wp:inline distT="0" distB="0" distL="0" distR="0" wp14:anchorId="5CE1F2ED" wp14:editId="48633E0A">
            <wp:extent cx="5238750" cy="2724150"/>
            <wp:effectExtent l="0" t="0" r="0" b="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38750" cy="2724150"/>
                    </a:xfrm>
                    <a:prstGeom prst="rect">
                      <a:avLst/>
                    </a:prstGeom>
                    <a:noFill/>
                    <a:ln>
                      <a:noFill/>
                    </a:ln>
                  </pic:spPr>
                </pic:pic>
              </a:graphicData>
            </a:graphic>
          </wp:inline>
        </w:drawing>
      </w:r>
    </w:p>
    <w:p w14:paraId="7BE84A64" w14:textId="2E8CE6D0" w:rsidR="008B4C99" w:rsidRDefault="008B4C99" w:rsidP="008B4C99">
      <w:pPr>
        <w:spacing w:after="0" w:line="480" w:lineRule="auto"/>
        <w:jc w:val="both"/>
        <w:rPr>
          <w:rFonts w:ascii="Times New Roman" w:hAnsi="Times New Roman" w:cs="Times New Roman"/>
        </w:rPr>
      </w:pPr>
      <w:r w:rsidRPr="008B4C99">
        <w:rPr>
          <w:rFonts w:ascii="Times New Roman" w:hAnsi="Times New Roman" w:cs="Times New Roman"/>
        </w:rPr>
        <w:t xml:space="preserve">In this assignment, pivot charts were used to represent the data presented for crime rate, and a relationship was drawn between each of the aspects within the data table and the crime rate. Visual representations are availed in line graphs and column graphs. One line graph indicates the relationship between the youth and crime rates; the second is a column graph showing the relationship between crime rates and youth unemployment; the next is a line graph indicating the relationship between wage and crime rate; and lastly, the relationship between education and crime rate. Line graphs and column graphs have been used to avail visual representations of these data because they are huge data sets, and other representations like pie charts and bar graphs may not give the appeal and clarity at a glance. However, with line and column graphs, one is able to easily </w:t>
      </w:r>
      <w:r w:rsidRPr="008B4C99">
        <w:rPr>
          <w:rFonts w:ascii="Times New Roman" w:hAnsi="Times New Roman" w:cs="Times New Roman"/>
        </w:rPr>
        <w:lastRenderedPageBreak/>
        <w:t xml:space="preserve">read the trends on the relationships between the different aspects and draw deductions without much struggle. </w:t>
      </w:r>
    </w:p>
    <w:p w14:paraId="338C9A66" w14:textId="77777777" w:rsidR="00337968" w:rsidRPr="008B4C99" w:rsidRDefault="00337968" w:rsidP="008B4C99">
      <w:pPr>
        <w:spacing w:after="0" w:line="480" w:lineRule="auto"/>
        <w:jc w:val="both"/>
        <w:rPr>
          <w:rFonts w:ascii="Times New Roman" w:hAnsi="Times New Roman" w:cs="Times New Roman"/>
        </w:rPr>
      </w:pPr>
    </w:p>
    <w:p w14:paraId="78439BEA" w14:textId="05A428C6" w:rsidR="00337968" w:rsidRPr="00337968" w:rsidRDefault="008B4C99" w:rsidP="008B4C99">
      <w:pPr>
        <w:spacing w:after="0" w:line="480" w:lineRule="auto"/>
        <w:jc w:val="both"/>
        <w:rPr>
          <w:rFonts w:ascii="Times New Roman" w:hAnsi="Times New Roman" w:cs="Times New Roman"/>
          <w:bCs/>
          <w:sz w:val="24"/>
          <w:szCs w:val="24"/>
        </w:rPr>
      </w:pPr>
      <w:r w:rsidRPr="00337968">
        <w:rPr>
          <w:rFonts w:ascii="Times New Roman" w:hAnsi="Times New Roman" w:cs="Times New Roman"/>
          <w:bCs/>
          <w:sz w:val="24"/>
          <w:szCs w:val="24"/>
        </w:rPr>
        <w:t>Graph 1</w:t>
      </w:r>
    </w:p>
    <w:p w14:paraId="5A807ADC" w14:textId="49B9DEFC" w:rsidR="00337968" w:rsidRDefault="008B4C99" w:rsidP="005F459E">
      <w:pPr>
        <w:spacing w:after="0" w:line="480" w:lineRule="auto"/>
        <w:jc w:val="both"/>
        <w:rPr>
          <w:rFonts w:ascii="Times New Roman" w:hAnsi="Times New Roman" w:cs="Times New Roman"/>
        </w:rPr>
      </w:pPr>
      <w:r w:rsidRPr="008B4C99">
        <w:rPr>
          <w:rFonts w:ascii="Times New Roman" w:hAnsi="Times New Roman" w:cs="Times New Roman"/>
          <w:noProof/>
          <w:lang w:val="en-GB" w:eastAsia="en-GB"/>
        </w:rPr>
        <w:drawing>
          <wp:inline distT="0" distB="0" distL="0" distR="0" wp14:anchorId="5AE41778" wp14:editId="5A802573">
            <wp:extent cx="6165850" cy="2578100"/>
            <wp:effectExtent l="0" t="0" r="635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13E4921" w14:textId="77777777" w:rsidR="005F459E" w:rsidRDefault="008B4C99" w:rsidP="005F459E">
      <w:pPr>
        <w:spacing w:after="0" w:line="480" w:lineRule="auto"/>
        <w:ind w:firstLine="720"/>
        <w:jc w:val="both"/>
        <w:rPr>
          <w:rFonts w:ascii="Times New Roman" w:hAnsi="Times New Roman" w:cs="Times New Roman"/>
        </w:rPr>
      </w:pPr>
      <w:r w:rsidRPr="008B4C99">
        <w:rPr>
          <w:rFonts w:ascii="Times New Roman" w:hAnsi="Times New Roman" w:cs="Times New Roman"/>
        </w:rPr>
        <w:t xml:space="preserve">From line graph 1 above, it can be detected that the crime rate is high among the youth, most probably because of issues such as shortage of education provision, high unemployment rates, and low wages on the few who manage to get employment. The youth are known to be transiting from teenage to young adults, which is a stage of life pegged with so many responsibilities as well as trying to establish a foundation for their future (Fine et al., 2020). At this stage, a number of </w:t>
      </w:r>
      <w:r w:rsidR="00337968" w:rsidRPr="008B4C99">
        <w:rPr>
          <w:rFonts w:ascii="Times New Roman" w:hAnsi="Times New Roman" w:cs="Times New Roman"/>
        </w:rPr>
        <w:t>youths</w:t>
      </w:r>
      <w:r w:rsidRPr="008B4C99">
        <w:rPr>
          <w:rFonts w:ascii="Times New Roman" w:hAnsi="Times New Roman" w:cs="Times New Roman"/>
        </w:rPr>
        <w:t xml:space="preserve"> end up in criminal cases due to the pressure from the external world and the need to feel progressing as proof to others. </w:t>
      </w:r>
    </w:p>
    <w:p w14:paraId="506E9A7F" w14:textId="3CC1C8BA" w:rsidR="008B4C99" w:rsidRDefault="008B4C99" w:rsidP="005F459E">
      <w:pPr>
        <w:spacing w:after="0" w:line="480" w:lineRule="auto"/>
        <w:ind w:firstLine="720"/>
        <w:jc w:val="both"/>
        <w:rPr>
          <w:rFonts w:ascii="Times New Roman" w:hAnsi="Times New Roman" w:cs="Times New Roman"/>
        </w:rPr>
      </w:pPr>
      <w:r w:rsidRPr="008B4C99">
        <w:rPr>
          <w:rFonts w:ascii="Times New Roman" w:hAnsi="Times New Roman" w:cs="Times New Roman"/>
        </w:rPr>
        <w:t xml:space="preserve">The youths are prone to peer pressure, and a slight conviction may land them at the mercies of society criminals. They may be easily convinced to gain some money from miscellaneous activities such as robbing a bank. Through these moves, crime cases keep on the high trend rates, and they become the order of the day. It is crucial that the government should take such cases seriously and introduce strategies that will offer viable solutions. </w:t>
      </w:r>
    </w:p>
    <w:p w14:paraId="07798E47" w14:textId="77777777" w:rsidR="00337968" w:rsidRPr="008B4C99" w:rsidRDefault="00337968" w:rsidP="008B4C99">
      <w:pPr>
        <w:spacing w:after="0" w:line="480" w:lineRule="auto"/>
        <w:ind w:firstLine="720"/>
        <w:jc w:val="both"/>
        <w:rPr>
          <w:rFonts w:ascii="Times New Roman" w:hAnsi="Times New Roman" w:cs="Times New Roman"/>
        </w:rPr>
      </w:pPr>
    </w:p>
    <w:p w14:paraId="1A77DF3A" w14:textId="4AFDCBAA" w:rsidR="00337968" w:rsidRPr="000E1C96" w:rsidRDefault="000E1C96" w:rsidP="005F459E">
      <w:pPr>
        <w:spacing w:line="480" w:lineRule="auto"/>
        <w:jc w:val="both"/>
        <w:rPr>
          <w:rFonts w:ascii="Times New Roman" w:hAnsi="Times New Roman" w:cs="Times New Roman"/>
          <w:bCs/>
          <w:noProof/>
          <w:sz w:val="24"/>
          <w:szCs w:val="24"/>
          <w:lang w:val="en-GB" w:eastAsia="en-GB"/>
        </w:rPr>
      </w:pPr>
      <w:r w:rsidRPr="00337968">
        <w:rPr>
          <w:rFonts w:ascii="Times New Roman" w:hAnsi="Times New Roman" w:cs="Times New Roman"/>
          <w:bCs/>
          <w:noProof/>
          <w:sz w:val="24"/>
          <w:szCs w:val="24"/>
          <w:lang w:val="en-GB" w:eastAsia="en-GB"/>
        </w:rPr>
        <w:lastRenderedPageBreak/>
        <w:drawing>
          <wp:anchor distT="0" distB="0" distL="114300" distR="114300" simplePos="0" relativeHeight="251659264" behindDoc="0" locked="0" layoutInCell="1" allowOverlap="1" wp14:anchorId="7392A8E8" wp14:editId="2495C78D">
            <wp:simplePos x="0" y="0"/>
            <wp:positionH relativeFrom="margin">
              <wp:align>left</wp:align>
            </wp:positionH>
            <wp:positionV relativeFrom="paragraph">
              <wp:posOffset>200025</wp:posOffset>
            </wp:positionV>
            <wp:extent cx="6375400" cy="2717800"/>
            <wp:effectExtent l="0" t="0" r="6350" b="635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8B4C99" w:rsidRPr="00337968">
        <w:rPr>
          <w:rFonts w:ascii="Times New Roman" w:hAnsi="Times New Roman" w:cs="Times New Roman"/>
          <w:bCs/>
          <w:sz w:val="24"/>
          <w:szCs w:val="24"/>
        </w:rPr>
        <w:t>Graph 2</w:t>
      </w:r>
    </w:p>
    <w:p w14:paraId="676ADBD5" w14:textId="63E4AB57" w:rsidR="008B4C99" w:rsidRPr="008B4C99" w:rsidRDefault="008B4C99" w:rsidP="008B4C99">
      <w:pPr>
        <w:spacing w:after="0" w:line="480" w:lineRule="auto"/>
        <w:ind w:firstLine="720"/>
        <w:jc w:val="both"/>
        <w:rPr>
          <w:rFonts w:ascii="Times New Roman" w:hAnsi="Times New Roman" w:cs="Times New Roman"/>
        </w:rPr>
      </w:pPr>
      <w:r w:rsidRPr="008B4C99">
        <w:rPr>
          <w:rFonts w:ascii="Times New Roman" w:hAnsi="Times New Roman" w:cs="Times New Roman"/>
        </w:rPr>
        <w:t xml:space="preserve">The above column graph on the relationship between crime rate and youth unemployment shows some degree of proportionality between the two. Therefore, it can be readily deduced that youth unemployment leads to high crime rates within a particular region. When the youth have no means of earning a livelihood, they resort to burglary, robbery with violence, shoplifting, and even robbing banks. Crime and unemployment pose negative impacts on one another. Childhood criminal records tend to bar most young adults once they decide to look for employment, housing education, or training. The young adults who committed crimes at some point mostly feel as if they cannot reform and fail to apply for jobs considering that their names are already tarnished (Isiaka &amp; Kazeem, 2021). In the long run, more criminal offenses </w:t>
      </w:r>
      <w:r w:rsidR="00337968" w:rsidRPr="008B4C99">
        <w:rPr>
          <w:rFonts w:ascii="Times New Roman" w:hAnsi="Times New Roman" w:cs="Times New Roman"/>
        </w:rPr>
        <w:t>arise,</w:t>
      </w:r>
      <w:r w:rsidRPr="008B4C99">
        <w:rPr>
          <w:rFonts w:ascii="Times New Roman" w:hAnsi="Times New Roman" w:cs="Times New Roman"/>
        </w:rPr>
        <w:t xml:space="preserve"> and the unemployed youths become gang members as the next best option. </w:t>
      </w:r>
    </w:p>
    <w:p w14:paraId="09806D8C" w14:textId="77777777" w:rsidR="008B4C99" w:rsidRPr="008B4C99" w:rsidRDefault="008B4C99" w:rsidP="008B4C99">
      <w:pPr>
        <w:spacing w:after="0" w:line="480" w:lineRule="auto"/>
        <w:ind w:firstLine="720"/>
        <w:jc w:val="both"/>
        <w:rPr>
          <w:rFonts w:ascii="Times New Roman" w:hAnsi="Times New Roman" w:cs="Times New Roman"/>
        </w:rPr>
      </w:pPr>
      <w:r w:rsidRPr="008B4C99">
        <w:rPr>
          <w:rFonts w:ascii="Times New Roman" w:hAnsi="Times New Roman" w:cs="Times New Roman"/>
        </w:rPr>
        <w:t xml:space="preserve">Generally, with these facts at hand, it is crucial that the government put strategies in place that can help the youths get employment once they get out of school. Unemployment among the youths comes in so many dimensions of increasing crime rates. The youths will end up engaging in drug abuse due to idolatry (Onwuka et al., 2020). Substance abuse comes with addictions that should be quenched every now and then. Considering that these drug addicts have no source of capital, they end up engaging in criminal activities that can serve as a source of money to afford the drugs that they so much need to stay relaxed and at ease (Lu et al., 2021). The youths would </w:t>
      </w:r>
      <w:r w:rsidRPr="008B4C99">
        <w:rPr>
          <w:rFonts w:ascii="Times New Roman" w:hAnsi="Times New Roman" w:cs="Times New Roman"/>
        </w:rPr>
        <w:lastRenderedPageBreak/>
        <w:t xml:space="preserve">also try to compare themselves to the already established young adults and get inspired to be just like them (Recher, 2020). In the process, they tend to take shortcuts of engaging in crime to reach such levels without acknowledging that these persons went through a lot along the way before getting to such prestigious status (Kassem et al., 2019). Such cases of crimes performed to attain an ambition not worked for are very high, especially in this age of social media where the youth aspire to be like the socialites, influencers, and brand ambassadors they follow and see their lavish lifestyles online (Juárez et al., 2022).  </w:t>
      </w:r>
    </w:p>
    <w:p w14:paraId="2757F324" w14:textId="77777777" w:rsidR="008B4C99" w:rsidRPr="008B4C99" w:rsidRDefault="008B4C99" w:rsidP="000E1C96">
      <w:pPr>
        <w:spacing w:after="0" w:line="480" w:lineRule="auto"/>
        <w:jc w:val="both"/>
        <w:rPr>
          <w:rFonts w:ascii="Times New Roman" w:hAnsi="Times New Roman" w:cs="Times New Roman"/>
          <w:b/>
        </w:rPr>
      </w:pPr>
    </w:p>
    <w:p w14:paraId="74176339" w14:textId="77777777" w:rsidR="008B4C99" w:rsidRPr="00337968" w:rsidRDefault="008B4C99" w:rsidP="008B4C99">
      <w:pPr>
        <w:spacing w:after="0" w:line="480" w:lineRule="auto"/>
        <w:ind w:firstLine="720"/>
        <w:jc w:val="both"/>
        <w:rPr>
          <w:rFonts w:ascii="Times New Roman" w:hAnsi="Times New Roman" w:cs="Times New Roman"/>
          <w:bCs/>
          <w:sz w:val="24"/>
          <w:szCs w:val="24"/>
        </w:rPr>
      </w:pPr>
      <w:r w:rsidRPr="00337968">
        <w:rPr>
          <w:rFonts w:ascii="Times New Roman" w:hAnsi="Times New Roman" w:cs="Times New Roman"/>
          <w:bCs/>
          <w:sz w:val="24"/>
          <w:szCs w:val="24"/>
        </w:rPr>
        <w:t>Graph 3</w:t>
      </w:r>
    </w:p>
    <w:p w14:paraId="3A16BB5C" w14:textId="4C95638C" w:rsidR="00337968" w:rsidRPr="005F459E" w:rsidRDefault="008B4C99" w:rsidP="00914438">
      <w:pPr>
        <w:spacing w:after="0" w:line="480" w:lineRule="auto"/>
        <w:jc w:val="both"/>
        <w:rPr>
          <w:rFonts w:ascii="Times New Roman" w:hAnsi="Times New Roman" w:cs="Times New Roman"/>
          <w:b/>
        </w:rPr>
      </w:pPr>
      <w:r w:rsidRPr="008B4C99">
        <w:rPr>
          <w:rFonts w:ascii="Times New Roman" w:hAnsi="Times New Roman" w:cs="Times New Roman"/>
          <w:noProof/>
          <w:lang w:val="en-GB" w:eastAsia="en-GB"/>
        </w:rPr>
        <w:drawing>
          <wp:inline distT="0" distB="0" distL="0" distR="0" wp14:anchorId="6F26FE23" wp14:editId="7E5AC9B1">
            <wp:extent cx="5797550" cy="24257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21E5C0C" w14:textId="5C779066" w:rsidR="008B4C99" w:rsidRPr="000E1C96" w:rsidRDefault="008B4C99" w:rsidP="000E1C96">
      <w:pPr>
        <w:spacing w:after="0" w:line="480" w:lineRule="auto"/>
        <w:ind w:firstLine="720"/>
        <w:jc w:val="both"/>
        <w:rPr>
          <w:rFonts w:ascii="Times New Roman" w:hAnsi="Times New Roman" w:cs="Times New Roman"/>
        </w:rPr>
      </w:pPr>
      <w:r w:rsidRPr="008B4C99">
        <w:rPr>
          <w:rFonts w:ascii="Times New Roman" w:hAnsi="Times New Roman" w:cs="Times New Roman"/>
        </w:rPr>
        <w:t>Graph 3 above shows the trend in the relationship between wage and crime rate, and it can be deduced that with low wages, crime rates are at a peak, unlike with slightly higher wages. Individuals who earn low wages are often incapable of tending fully to their needs (Fone et al., 2019). They cannot afford the luxurious commodities, let alone grasp enough of the basic items and meet the basic needs. This frustration can be transferred to making bad decisions such as engaging in crime to satisfy their needs. In addition, the minimum wage is directly linked to high incarceration rates due to the crime cases (Ghosh, 2020).</w:t>
      </w:r>
    </w:p>
    <w:p w14:paraId="41BE3231" w14:textId="77777777" w:rsidR="008B4C99" w:rsidRPr="008B4C99" w:rsidRDefault="008B4C99" w:rsidP="008B4C99">
      <w:pPr>
        <w:spacing w:after="0" w:line="480" w:lineRule="auto"/>
        <w:jc w:val="both"/>
        <w:rPr>
          <w:rFonts w:ascii="Times New Roman" w:hAnsi="Times New Roman" w:cs="Times New Roman"/>
          <w:b/>
        </w:rPr>
      </w:pPr>
    </w:p>
    <w:p w14:paraId="389868FA" w14:textId="77777777" w:rsidR="008B4C99" w:rsidRPr="00337968" w:rsidRDefault="008B4C99" w:rsidP="008B4C99">
      <w:pPr>
        <w:spacing w:after="0" w:line="480" w:lineRule="auto"/>
        <w:jc w:val="both"/>
        <w:rPr>
          <w:rFonts w:ascii="Times New Roman" w:hAnsi="Times New Roman" w:cs="Times New Roman"/>
          <w:bCs/>
          <w:sz w:val="24"/>
          <w:szCs w:val="24"/>
        </w:rPr>
      </w:pPr>
      <w:r w:rsidRPr="00337968">
        <w:rPr>
          <w:rFonts w:ascii="Times New Roman" w:hAnsi="Times New Roman" w:cs="Times New Roman"/>
          <w:bCs/>
          <w:sz w:val="24"/>
          <w:szCs w:val="24"/>
        </w:rPr>
        <w:lastRenderedPageBreak/>
        <w:t>Graph 4</w:t>
      </w:r>
    </w:p>
    <w:p w14:paraId="37E7E68C" w14:textId="4C5D6367" w:rsidR="00337968" w:rsidRPr="005F459E" w:rsidRDefault="008B4C99" w:rsidP="005F459E">
      <w:pPr>
        <w:spacing w:after="0" w:line="480" w:lineRule="auto"/>
        <w:jc w:val="both"/>
        <w:rPr>
          <w:rFonts w:ascii="Times New Roman" w:hAnsi="Times New Roman" w:cs="Times New Roman"/>
          <w:b/>
        </w:rPr>
      </w:pPr>
      <w:r w:rsidRPr="008B4C99">
        <w:rPr>
          <w:rFonts w:ascii="Times New Roman" w:hAnsi="Times New Roman" w:cs="Times New Roman"/>
          <w:noProof/>
          <w:lang w:val="en-GB" w:eastAsia="en-GB"/>
        </w:rPr>
        <w:drawing>
          <wp:inline distT="0" distB="0" distL="0" distR="0" wp14:anchorId="3325CB5D" wp14:editId="381A533F">
            <wp:extent cx="611505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16E352E" w14:textId="4CFD991E" w:rsidR="008B4C99" w:rsidRPr="008B4C99" w:rsidRDefault="008B4C99" w:rsidP="008B4C99">
      <w:pPr>
        <w:spacing w:after="0" w:line="480" w:lineRule="auto"/>
        <w:ind w:firstLine="720"/>
        <w:jc w:val="both"/>
        <w:rPr>
          <w:rFonts w:ascii="Times New Roman" w:hAnsi="Times New Roman" w:cs="Times New Roman"/>
        </w:rPr>
      </w:pPr>
      <w:r w:rsidRPr="008B4C99">
        <w:rPr>
          <w:rFonts w:ascii="Times New Roman" w:hAnsi="Times New Roman" w:cs="Times New Roman"/>
        </w:rPr>
        <w:t>Graph 4 above, representing the relationship between education and crime rate, unveil peak crime rates with low education. It has been proven through research that education has a reductive impact on crime, and therefore, the way to mitigate crime cases is by ensuring that people get educated to the highest levels possible (Bell et al., 2022). Popular opinion also seconds the fact that education is vital in mitigating cases of crimes in communities. An educated individual is most likely to scrutinize the possible repercussions of their present criminal actions. Generally, individuals educated to higher levels realize the significance of overdue gratification, thus deterring them from committing criminal acts (Nordin, 2018). When these individuals with high levels of education recognize that the immediate gratification that comes from engaging in criminal activities to satisfy their desires is less vital than waiting a little while to receive the same effect, they would rather go for the latter.</w:t>
      </w:r>
    </w:p>
    <w:p w14:paraId="7BFAE9E4" w14:textId="77777777" w:rsidR="008B4C99" w:rsidRPr="008B4C99" w:rsidRDefault="008B4C99" w:rsidP="008B4C99">
      <w:pPr>
        <w:spacing w:after="0" w:line="480" w:lineRule="auto"/>
        <w:ind w:firstLine="360"/>
        <w:jc w:val="both"/>
        <w:rPr>
          <w:rFonts w:ascii="Times New Roman" w:hAnsi="Times New Roman" w:cs="Times New Roman"/>
        </w:rPr>
      </w:pPr>
      <w:r w:rsidRPr="008B4C99">
        <w:rPr>
          <w:rFonts w:ascii="Times New Roman" w:hAnsi="Times New Roman" w:cs="Times New Roman"/>
        </w:rPr>
        <w:t xml:space="preserve">It is only right to present pragmatic reinforced findings of the relations between education and crime mitigation. According to the findings of some studies, graduations are commonly linked to lower crime rates for communities and positive public safety outcomes (Rigdt, 2022). Furthermore, the states that have most of the students enrolling for tertiary education have been reported to experience lower violent crime rates compared to those with minimal tertiary education </w:t>
      </w:r>
      <w:r w:rsidRPr="008B4C99">
        <w:rPr>
          <w:rFonts w:ascii="Times New Roman" w:hAnsi="Times New Roman" w:cs="Times New Roman"/>
        </w:rPr>
        <w:lastRenderedPageBreak/>
        <w:t>enrollments. Higher levels of educational achievements within designated states experience lower crime rates compared to the national average. States that make more significant monetary investments in higher education have been reported to experience lower crime rates and improved public safety outcomes. High crime rates, low educational attainment, and the risk of incarceration are prevalent in Black communities, whose members face hurdles to educational opportunities (Zaman et al., 2019). Discrepancies in educational opportunities make the Black communities gain merely the average of education levels compared to the whites, therefore they have higher chances of being incarcerated, and thus presenting higher possibilities of exacerbated crime rates.</w:t>
      </w:r>
    </w:p>
    <w:p w14:paraId="63EBDB45" w14:textId="77777777" w:rsidR="008B4C99" w:rsidRPr="008B4C99" w:rsidRDefault="008B4C99" w:rsidP="008B4C99">
      <w:pPr>
        <w:spacing w:after="0" w:line="480" w:lineRule="auto"/>
        <w:ind w:firstLine="720"/>
        <w:jc w:val="both"/>
        <w:rPr>
          <w:rFonts w:ascii="Times New Roman" w:hAnsi="Times New Roman" w:cs="Times New Roman"/>
        </w:rPr>
      </w:pPr>
    </w:p>
    <w:p w14:paraId="6A47CCCA" w14:textId="77777777" w:rsidR="008B4C99" w:rsidRPr="00742243" w:rsidRDefault="008B4C99" w:rsidP="008B4C99">
      <w:pPr>
        <w:spacing w:after="0" w:line="480" w:lineRule="auto"/>
        <w:jc w:val="both"/>
        <w:rPr>
          <w:rFonts w:ascii="Times New Roman" w:hAnsi="Times New Roman" w:cs="Times New Roman"/>
          <w:bCs/>
          <w:sz w:val="24"/>
          <w:szCs w:val="24"/>
        </w:rPr>
      </w:pPr>
      <w:r w:rsidRPr="00742243">
        <w:rPr>
          <w:rFonts w:ascii="Times New Roman" w:hAnsi="Times New Roman" w:cs="Times New Roman"/>
          <w:bCs/>
          <w:sz w:val="24"/>
          <w:szCs w:val="24"/>
        </w:rPr>
        <w:t>Part 2: Data Mining and Text Mining Techniques in Business</w:t>
      </w:r>
    </w:p>
    <w:p w14:paraId="092AACF3" w14:textId="77777777" w:rsidR="00742243" w:rsidRDefault="00742243" w:rsidP="008B4C99">
      <w:pPr>
        <w:spacing w:after="0" w:line="480" w:lineRule="auto"/>
        <w:jc w:val="both"/>
        <w:rPr>
          <w:rFonts w:ascii="Times New Roman" w:hAnsi="Times New Roman" w:cs="Times New Roman"/>
          <w:b/>
        </w:rPr>
      </w:pPr>
    </w:p>
    <w:p w14:paraId="227155CD" w14:textId="5E4A3BE5" w:rsidR="00742243" w:rsidRPr="00742243" w:rsidRDefault="008B4C99" w:rsidP="008B4C99">
      <w:pPr>
        <w:spacing w:after="0" w:line="480" w:lineRule="auto"/>
        <w:jc w:val="both"/>
        <w:rPr>
          <w:rFonts w:ascii="Times New Roman" w:hAnsi="Times New Roman" w:cs="Times New Roman"/>
          <w:bCs/>
          <w:sz w:val="24"/>
          <w:szCs w:val="24"/>
        </w:rPr>
      </w:pPr>
      <w:r w:rsidRPr="00742243">
        <w:rPr>
          <w:rFonts w:ascii="Times New Roman" w:hAnsi="Times New Roman" w:cs="Times New Roman"/>
          <w:bCs/>
          <w:sz w:val="24"/>
          <w:szCs w:val="24"/>
        </w:rPr>
        <w:t>Graph 5: Histogram</w:t>
      </w:r>
    </w:p>
    <w:p w14:paraId="2D17386C" w14:textId="77777777" w:rsidR="000E1C96" w:rsidRDefault="008B4C99" w:rsidP="008B4C99">
      <w:pPr>
        <w:spacing w:after="0" w:line="480" w:lineRule="auto"/>
        <w:jc w:val="both"/>
        <w:rPr>
          <w:rFonts w:ascii="Times New Roman" w:hAnsi="Times New Roman" w:cs="Times New Roman"/>
        </w:rPr>
      </w:pPr>
      <w:r w:rsidRPr="008B4C99">
        <w:rPr>
          <w:rFonts w:ascii="Times New Roman" w:hAnsi="Times New Roman" w:cs="Times New Roman"/>
          <w:noProof/>
          <w:lang w:val="en-GB" w:eastAsia="en-GB"/>
        </w:rPr>
        <mc:AlternateContent>
          <mc:Choice Requires="cx1">
            <w:drawing>
              <wp:inline distT="0" distB="0" distL="0" distR="0" wp14:anchorId="70896795" wp14:editId="40F45792">
                <wp:extent cx="5689600" cy="2470150"/>
                <wp:effectExtent l="0" t="0" r="6350" b="6350"/>
                <wp:docPr id="5" name="Chart 5"/>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70896795" wp14:editId="40F45792">
                <wp:extent cx="5689600" cy="2470150"/>
                <wp:effectExtent l="0" t="0" r="6350" b="6350"/>
                <wp:docPr id="5" name="Chart 5"/>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pic:cNvPicPr>
                          <a:picLocks noGrp="1" noRot="1" noChangeAspect="1" noMove="1" noResize="1" noEditPoints="1" noAdjustHandles="1" noChangeArrowheads="1" noChangeShapeType="1"/>
                        </pic:cNvPicPr>
                      </pic:nvPicPr>
                      <pic:blipFill>
                        <a:blip r:embed="rId12"/>
                        <a:stretch>
                          <a:fillRect/>
                        </a:stretch>
                      </pic:blipFill>
                      <pic:spPr>
                        <a:xfrm>
                          <a:off x="0" y="0"/>
                          <a:ext cx="5689600" cy="2470150"/>
                        </a:xfrm>
                        <a:prstGeom prst="rect">
                          <a:avLst/>
                        </a:prstGeom>
                      </pic:spPr>
                    </pic:pic>
                  </a:graphicData>
                </a:graphic>
              </wp:inline>
            </w:drawing>
          </mc:Fallback>
        </mc:AlternateContent>
      </w:r>
    </w:p>
    <w:p w14:paraId="3AFF1E02" w14:textId="69E263B0" w:rsidR="008B4C99" w:rsidRDefault="008B4C99" w:rsidP="008B4C99">
      <w:pPr>
        <w:spacing w:after="0" w:line="480" w:lineRule="auto"/>
        <w:jc w:val="both"/>
        <w:rPr>
          <w:rFonts w:ascii="Times New Roman" w:hAnsi="Times New Roman" w:cs="Times New Roman"/>
        </w:rPr>
      </w:pPr>
      <w:r w:rsidRPr="008B4C99">
        <w:rPr>
          <w:rFonts w:ascii="Times New Roman" w:hAnsi="Times New Roman" w:cs="Times New Roman"/>
        </w:rPr>
        <w:t xml:space="preserve">The raw ice cream data was </w:t>
      </w:r>
      <w:r w:rsidR="005F459E" w:rsidRPr="008B4C99">
        <w:rPr>
          <w:rFonts w:ascii="Times New Roman" w:hAnsi="Times New Roman" w:cs="Times New Roman"/>
        </w:rPr>
        <w:t>analyzed</w:t>
      </w:r>
      <w:r w:rsidRPr="008B4C99">
        <w:rPr>
          <w:rFonts w:ascii="Times New Roman" w:hAnsi="Times New Roman" w:cs="Times New Roman"/>
        </w:rPr>
        <w:t xml:space="preserve"> and </w:t>
      </w:r>
      <w:r w:rsidR="000E1C96" w:rsidRPr="008B4C99">
        <w:rPr>
          <w:rFonts w:ascii="Times New Roman" w:hAnsi="Times New Roman" w:cs="Times New Roman"/>
        </w:rPr>
        <w:t>visualized</w:t>
      </w:r>
      <w:r w:rsidRPr="008B4C99">
        <w:rPr>
          <w:rFonts w:ascii="Times New Roman" w:hAnsi="Times New Roman" w:cs="Times New Roman"/>
        </w:rPr>
        <w:t xml:space="preserve"> using a histogram as represented above. From the data, it was noted that 95 students liked the vanilla flavor. There were 92 males and 108 females. The mean of students who like chocolate and strawberry flavor is 52.5, and the median is 43.</w:t>
      </w:r>
    </w:p>
    <w:p w14:paraId="1067577E" w14:textId="78D06409" w:rsidR="00742243" w:rsidRDefault="00742243" w:rsidP="008B4C99">
      <w:pPr>
        <w:spacing w:after="0" w:line="480" w:lineRule="auto"/>
        <w:jc w:val="both"/>
        <w:rPr>
          <w:rFonts w:ascii="Times New Roman" w:hAnsi="Times New Roman" w:cs="Times New Roman"/>
        </w:rPr>
      </w:pPr>
    </w:p>
    <w:p w14:paraId="6D9AB1F7" w14:textId="77777777" w:rsidR="000E1C96" w:rsidRPr="008B4C99" w:rsidRDefault="000E1C96" w:rsidP="008B4C99">
      <w:pPr>
        <w:spacing w:after="0" w:line="480" w:lineRule="auto"/>
        <w:jc w:val="both"/>
        <w:rPr>
          <w:rFonts w:ascii="Times New Roman" w:hAnsi="Times New Roman" w:cs="Times New Roman"/>
        </w:rPr>
      </w:pPr>
    </w:p>
    <w:p w14:paraId="0ED75795" w14:textId="0B2ECD0B" w:rsidR="00742243" w:rsidRPr="00742243" w:rsidRDefault="008B4C99" w:rsidP="008B4C99">
      <w:pPr>
        <w:spacing w:after="0" w:line="480" w:lineRule="auto"/>
        <w:jc w:val="both"/>
        <w:rPr>
          <w:rFonts w:ascii="Times New Roman" w:hAnsi="Times New Roman" w:cs="Times New Roman"/>
          <w:bCs/>
          <w:sz w:val="24"/>
          <w:szCs w:val="24"/>
        </w:rPr>
      </w:pPr>
      <w:r w:rsidRPr="00742243">
        <w:rPr>
          <w:rFonts w:ascii="Times New Roman" w:hAnsi="Times New Roman" w:cs="Times New Roman"/>
          <w:bCs/>
          <w:sz w:val="24"/>
          <w:szCs w:val="24"/>
        </w:rPr>
        <w:lastRenderedPageBreak/>
        <w:t>Data Mining</w:t>
      </w:r>
    </w:p>
    <w:p w14:paraId="6F1BF2B1" w14:textId="2CA03CE4" w:rsidR="008B4C99" w:rsidRDefault="008B4C99" w:rsidP="008B4C99">
      <w:pPr>
        <w:spacing w:after="0" w:line="480" w:lineRule="auto"/>
        <w:jc w:val="both"/>
        <w:rPr>
          <w:rFonts w:ascii="Times New Roman" w:hAnsi="Times New Roman" w:cs="Times New Roman"/>
        </w:rPr>
      </w:pPr>
      <w:r w:rsidRPr="008B4C99">
        <w:rPr>
          <w:rFonts w:ascii="Times New Roman" w:hAnsi="Times New Roman" w:cs="Times New Roman"/>
        </w:rPr>
        <w:tab/>
        <w:t xml:space="preserve">Data mining is a process of discerning patterns in big data sets and data warehouses (Romero &amp; Ventura, 2020). Various methods, including outlier analysis, classification, association, clustering, and regression analysis, are applied to data to obtain crucial results. They apply backend algorithms and software that foster analysis and unveil patterns. Examples of data mining techniques include frequent item-set mining, Bayes theorem analysis, and decision tree analysis (Atluri et al., 2018). The software market entails Rapid Miner, Orange, and Weka data mining equipment. The process of data mining commences with data input into the data mining equipment which engage algorithms and statistics to obtain the patterns and reports. The findings are pictured with the tools for comprehension and further application in conducting business modification and improvements. </w:t>
      </w:r>
      <w:r w:rsidR="000E1C96" w:rsidRPr="008B4C99">
        <w:rPr>
          <w:rFonts w:ascii="Times New Roman" w:hAnsi="Times New Roman" w:cs="Times New Roman"/>
        </w:rPr>
        <w:t>Organizations</w:t>
      </w:r>
      <w:r w:rsidRPr="008B4C99">
        <w:rPr>
          <w:rFonts w:ascii="Times New Roman" w:hAnsi="Times New Roman" w:cs="Times New Roman"/>
        </w:rPr>
        <w:t xml:space="preserve"> use data mining to build a marketing strategy by eCommerce for selling merchandises in websites (Mughal, 2018). Real-life examples of the use of data mining include the following:</w:t>
      </w:r>
    </w:p>
    <w:p w14:paraId="36EAD253" w14:textId="77777777" w:rsidR="00742243" w:rsidRPr="008B4C99" w:rsidRDefault="00742243" w:rsidP="008B4C99">
      <w:pPr>
        <w:spacing w:after="0" w:line="480" w:lineRule="auto"/>
        <w:jc w:val="both"/>
        <w:rPr>
          <w:rFonts w:ascii="Times New Roman" w:hAnsi="Times New Roman" w:cs="Times New Roman"/>
        </w:rPr>
      </w:pPr>
    </w:p>
    <w:p w14:paraId="4C2E848B" w14:textId="7BF899BC" w:rsidR="00742243" w:rsidRPr="00742243" w:rsidRDefault="008B4C99" w:rsidP="008B4C99">
      <w:pPr>
        <w:spacing w:after="0" w:line="480" w:lineRule="auto"/>
        <w:jc w:val="both"/>
        <w:rPr>
          <w:rFonts w:ascii="Times New Roman" w:hAnsi="Times New Roman" w:cs="Times New Roman"/>
          <w:bCs/>
          <w:sz w:val="24"/>
          <w:szCs w:val="24"/>
        </w:rPr>
      </w:pPr>
      <w:r w:rsidRPr="00742243">
        <w:rPr>
          <w:rFonts w:ascii="Times New Roman" w:hAnsi="Times New Roman" w:cs="Times New Roman"/>
          <w:bCs/>
          <w:sz w:val="24"/>
          <w:szCs w:val="24"/>
        </w:rPr>
        <w:t>Retail Sector</w:t>
      </w:r>
    </w:p>
    <w:p w14:paraId="10163FFC" w14:textId="718C3280" w:rsidR="000E1C96" w:rsidRDefault="008B4C99" w:rsidP="000E1C96">
      <w:pPr>
        <w:spacing w:after="0" w:line="480" w:lineRule="auto"/>
        <w:ind w:firstLine="720"/>
        <w:jc w:val="both"/>
        <w:rPr>
          <w:rFonts w:ascii="Times New Roman" w:hAnsi="Times New Roman" w:cs="Times New Roman"/>
        </w:rPr>
      </w:pPr>
      <w:r w:rsidRPr="008B4C99">
        <w:rPr>
          <w:rFonts w:ascii="Times New Roman" w:hAnsi="Times New Roman" w:cs="Times New Roman"/>
        </w:rPr>
        <w:t>Supermarket and retail sector owners use data mining to acknowledge customers' choices. Data mining tools show the customers' buying preferences by scrutinizing the customers’ purchase history. The results help the retailers design the products on shelves and give presents and special discounts on some items. The recency, frequency, and monetary (RFM) grouping guide awarding promotions (Atluri et al., 2018). Different treatment is applied on a customer engage minimal frequency but huge shopping chunks from the customer who is much frequent in shopping even though in small proportions. In this case, data mining is generally applied in cross-referencing items and product recommendations.</w:t>
      </w:r>
    </w:p>
    <w:p w14:paraId="57448D68" w14:textId="506C5A39" w:rsidR="00914438" w:rsidRDefault="00914438" w:rsidP="00FB0DEE">
      <w:pPr>
        <w:spacing w:after="0" w:line="480" w:lineRule="auto"/>
        <w:jc w:val="both"/>
        <w:rPr>
          <w:rFonts w:ascii="Times New Roman" w:hAnsi="Times New Roman" w:cs="Times New Roman"/>
        </w:rPr>
      </w:pPr>
    </w:p>
    <w:p w14:paraId="67CE0D07" w14:textId="77777777" w:rsidR="00FB0DEE" w:rsidRPr="008B4C99" w:rsidRDefault="00FB0DEE" w:rsidP="00FB0DEE">
      <w:pPr>
        <w:spacing w:after="0" w:line="480" w:lineRule="auto"/>
        <w:jc w:val="both"/>
        <w:rPr>
          <w:rFonts w:ascii="Times New Roman" w:hAnsi="Times New Roman" w:cs="Times New Roman"/>
        </w:rPr>
      </w:pPr>
    </w:p>
    <w:p w14:paraId="6CBFECF5" w14:textId="19F256D0" w:rsidR="00914438" w:rsidRDefault="008B4C99" w:rsidP="00914438">
      <w:pPr>
        <w:spacing w:line="480" w:lineRule="auto"/>
        <w:jc w:val="both"/>
        <w:rPr>
          <w:rFonts w:ascii="Times New Roman" w:hAnsi="Times New Roman" w:cs="Times New Roman"/>
          <w:bCs/>
          <w:sz w:val="24"/>
          <w:szCs w:val="24"/>
        </w:rPr>
      </w:pPr>
      <w:r w:rsidRPr="00742243">
        <w:rPr>
          <w:rFonts w:ascii="Times New Roman" w:hAnsi="Times New Roman" w:cs="Times New Roman"/>
          <w:bCs/>
          <w:sz w:val="24"/>
          <w:szCs w:val="24"/>
        </w:rPr>
        <w:lastRenderedPageBreak/>
        <w:t>Detect Financial Crimes</w:t>
      </w:r>
      <w:r w:rsidR="00914438">
        <w:rPr>
          <w:rFonts w:ascii="Times New Roman" w:hAnsi="Times New Roman" w:cs="Times New Roman"/>
          <w:bCs/>
          <w:sz w:val="24"/>
          <w:szCs w:val="24"/>
        </w:rPr>
        <w:t xml:space="preserve"> </w:t>
      </w:r>
    </w:p>
    <w:p w14:paraId="0804949F" w14:textId="56F4EAF1" w:rsidR="008B4C99" w:rsidRPr="00914438" w:rsidRDefault="00914438" w:rsidP="00914438">
      <w:pPr>
        <w:spacing w:line="480" w:lineRule="auto"/>
        <w:jc w:val="both"/>
        <w:rPr>
          <w:rFonts w:ascii="Times New Roman" w:hAnsi="Times New Roman" w:cs="Times New Roman"/>
          <w:bCs/>
          <w:sz w:val="24"/>
          <w:szCs w:val="24"/>
        </w:rPr>
      </w:pPr>
      <w:r>
        <w:rPr>
          <w:rFonts w:ascii="Times New Roman" w:hAnsi="Times New Roman" w:cs="Times New Roman"/>
        </w:rPr>
        <w:t xml:space="preserve">             </w:t>
      </w:r>
      <w:r w:rsidR="008B4C99" w:rsidRPr="008B4C99">
        <w:rPr>
          <w:rFonts w:ascii="Times New Roman" w:hAnsi="Times New Roman" w:cs="Times New Roman"/>
        </w:rPr>
        <w:t xml:space="preserve">Banking data come from several bank locations, cities, and sources. Multiple data analysis tools are used in studying and detecting infrequent trends such as massive transactions. Outlier analysis tools, data </w:t>
      </w:r>
      <w:r w:rsidR="00742243" w:rsidRPr="008B4C99">
        <w:rPr>
          <w:rFonts w:ascii="Times New Roman" w:hAnsi="Times New Roman" w:cs="Times New Roman"/>
        </w:rPr>
        <w:t>visualization</w:t>
      </w:r>
      <w:r w:rsidR="008B4C99" w:rsidRPr="008B4C99">
        <w:rPr>
          <w:rFonts w:ascii="Times New Roman" w:hAnsi="Times New Roman" w:cs="Times New Roman"/>
        </w:rPr>
        <w:t xml:space="preserve"> equipment, and clustering gears, among others, help identify the relationships and patterns of action (Atluri et al., 2018).</w:t>
      </w:r>
    </w:p>
    <w:p w14:paraId="4E668346" w14:textId="77777777" w:rsidR="00742243" w:rsidRPr="008B4C99" w:rsidRDefault="00742243" w:rsidP="008B4C99">
      <w:pPr>
        <w:spacing w:line="480" w:lineRule="auto"/>
        <w:ind w:firstLine="720"/>
        <w:jc w:val="both"/>
        <w:rPr>
          <w:rFonts w:ascii="Times New Roman" w:hAnsi="Times New Roman" w:cs="Times New Roman"/>
        </w:rPr>
      </w:pPr>
    </w:p>
    <w:p w14:paraId="0FDE7AEB" w14:textId="54886001" w:rsidR="00742243" w:rsidRPr="00742243" w:rsidRDefault="008B4C99" w:rsidP="008B4C99">
      <w:pPr>
        <w:spacing w:line="480" w:lineRule="auto"/>
        <w:jc w:val="both"/>
        <w:rPr>
          <w:rFonts w:ascii="Times New Roman" w:hAnsi="Times New Roman" w:cs="Times New Roman"/>
          <w:bCs/>
          <w:sz w:val="24"/>
          <w:szCs w:val="24"/>
        </w:rPr>
      </w:pPr>
      <w:r w:rsidRPr="00742243">
        <w:rPr>
          <w:rFonts w:ascii="Times New Roman" w:hAnsi="Times New Roman" w:cs="Times New Roman"/>
          <w:bCs/>
          <w:sz w:val="24"/>
          <w:szCs w:val="24"/>
        </w:rPr>
        <w:t>Forecasting Market</w:t>
      </w:r>
    </w:p>
    <w:p w14:paraId="7DEAA1B0" w14:textId="63217170" w:rsidR="008B4C99" w:rsidRDefault="008B4C99" w:rsidP="008B4C99">
      <w:pPr>
        <w:spacing w:line="480" w:lineRule="auto"/>
        <w:ind w:firstLine="720"/>
        <w:jc w:val="both"/>
        <w:rPr>
          <w:rFonts w:ascii="Times New Roman" w:hAnsi="Times New Roman" w:cs="Times New Roman"/>
        </w:rPr>
      </w:pPr>
      <w:r w:rsidRPr="008B4C99">
        <w:rPr>
          <w:rFonts w:ascii="Times New Roman" w:hAnsi="Times New Roman" w:cs="Times New Roman"/>
        </w:rPr>
        <w:t>Data mining methods are used by marketing professional to monitor customer habits, variations, behavior, and customer reaction, among factors like incurring costs and marketing budget (Romero &amp; Ventura, 2020). This makes it easier in the future for professionals to predict the customers whenever there are factor changes.</w:t>
      </w:r>
    </w:p>
    <w:p w14:paraId="1509C39C" w14:textId="77777777" w:rsidR="005F459E" w:rsidRPr="008B4C99" w:rsidRDefault="005F459E" w:rsidP="008B4C99">
      <w:pPr>
        <w:spacing w:line="480" w:lineRule="auto"/>
        <w:ind w:firstLine="720"/>
        <w:jc w:val="both"/>
        <w:rPr>
          <w:rFonts w:ascii="Times New Roman" w:hAnsi="Times New Roman" w:cs="Times New Roman"/>
        </w:rPr>
      </w:pPr>
    </w:p>
    <w:p w14:paraId="7F9D63CD" w14:textId="50AB3E78" w:rsidR="005F459E" w:rsidRPr="005F459E" w:rsidRDefault="008B4C99" w:rsidP="008B4C99">
      <w:pPr>
        <w:spacing w:line="480" w:lineRule="auto"/>
        <w:jc w:val="both"/>
        <w:rPr>
          <w:rFonts w:ascii="Times New Roman" w:hAnsi="Times New Roman" w:cs="Times New Roman"/>
          <w:bCs/>
          <w:sz w:val="24"/>
          <w:szCs w:val="24"/>
        </w:rPr>
      </w:pPr>
      <w:r w:rsidRPr="005F459E">
        <w:rPr>
          <w:rFonts w:ascii="Times New Roman" w:hAnsi="Times New Roman" w:cs="Times New Roman"/>
          <w:bCs/>
          <w:sz w:val="24"/>
          <w:szCs w:val="24"/>
        </w:rPr>
        <w:t>Text Mining</w:t>
      </w:r>
    </w:p>
    <w:p w14:paraId="17FB9400" w14:textId="296986FD" w:rsidR="00FB0DEE" w:rsidRPr="008B4C99" w:rsidRDefault="008B4C99" w:rsidP="00FB0DEE">
      <w:pPr>
        <w:spacing w:line="480" w:lineRule="auto"/>
        <w:ind w:firstLine="720"/>
        <w:jc w:val="both"/>
        <w:rPr>
          <w:rFonts w:ascii="Times New Roman" w:hAnsi="Times New Roman" w:cs="Times New Roman"/>
        </w:rPr>
      </w:pPr>
      <w:r w:rsidRPr="008B4C99">
        <w:rPr>
          <w:rFonts w:ascii="Times New Roman" w:hAnsi="Times New Roman" w:cs="Times New Roman"/>
        </w:rPr>
        <w:t>Text mining is a transformation process where unstructured text is converted into structured information to ascertain significant configurations. Organizations use innovative techniques of analysis, including Support Vector Machines, Naïve Bayes, among other intricate algorithms to discover and explore concealed relations within the amorphous data (Antons et al., 2020). Some of the commonly used text mining methods are information retrieval, National language processing, and information extraction.</w:t>
      </w:r>
    </w:p>
    <w:p w14:paraId="3571D7E0" w14:textId="77777777" w:rsidR="00914438" w:rsidRDefault="008B4C99" w:rsidP="00914438">
      <w:pPr>
        <w:spacing w:line="480" w:lineRule="auto"/>
        <w:jc w:val="both"/>
        <w:rPr>
          <w:rFonts w:ascii="Times New Roman" w:hAnsi="Times New Roman" w:cs="Times New Roman"/>
          <w:bCs/>
          <w:sz w:val="24"/>
          <w:szCs w:val="24"/>
        </w:rPr>
      </w:pPr>
      <w:r w:rsidRPr="005F459E">
        <w:rPr>
          <w:rFonts w:ascii="Times New Roman" w:hAnsi="Times New Roman" w:cs="Times New Roman"/>
          <w:bCs/>
          <w:sz w:val="24"/>
          <w:szCs w:val="24"/>
        </w:rPr>
        <w:t>Information retrieva</w:t>
      </w:r>
      <w:r w:rsidR="00914438">
        <w:rPr>
          <w:rFonts w:ascii="Times New Roman" w:hAnsi="Times New Roman" w:cs="Times New Roman"/>
          <w:bCs/>
          <w:sz w:val="24"/>
          <w:szCs w:val="24"/>
        </w:rPr>
        <w:t xml:space="preserve">l </w:t>
      </w:r>
    </w:p>
    <w:p w14:paraId="680B8085" w14:textId="5D73E484" w:rsidR="008B4C99" w:rsidRPr="00914438" w:rsidRDefault="00914438" w:rsidP="00914438">
      <w:pPr>
        <w:spacing w:line="480" w:lineRule="auto"/>
        <w:jc w:val="both"/>
        <w:rPr>
          <w:rFonts w:ascii="Times New Roman" w:hAnsi="Times New Roman" w:cs="Times New Roman"/>
        </w:rPr>
      </w:pPr>
      <w:r>
        <w:rPr>
          <w:rFonts w:ascii="Times New Roman" w:hAnsi="Times New Roman" w:cs="Times New Roman"/>
        </w:rPr>
        <w:t xml:space="preserve">           </w:t>
      </w:r>
      <w:r w:rsidR="008B4C99" w:rsidRPr="008B4C99">
        <w:rPr>
          <w:rFonts w:ascii="Times New Roman" w:hAnsi="Times New Roman" w:cs="Times New Roman"/>
        </w:rPr>
        <w:t xml:space="preserve">Information retrieval, commonly used in popular search engines, like Google and library catalog systems, yields pertinent documents grounded on a pre-demarcated phrases or queries </w:t>
      </w:r>
      <w:r w:rsidR="008B4C99" w:rsidRPr="008B4C99">
        <w:rPr>
          <w:rFonts w:ascii="Times New Roman" w:hAnsi="Times New Roman" w:cs="Times New Roman"/>
        </w:rPr>
        <w:lastRenderedPageBreak/>
        <w:t xml:space="preserve">(Antons et al., 2020). Information retrieval systems use algorithms to trace the patterns of the user and ascertain pertinent data. The overt information retrieval sub-tasks include tokenization and stemming (Antons et al., 2020). Tokenization is the process of “breaking out long-form text into sentences and words called </w:t>
      </w:r>
      <w:r w:rsidR="008B4C99" w:rsidRPr="008B4C99">
        <w:rPr>
          <w:rFonts w:ascii="Times New Roman" w:hAnsi="Times New Roman" w:cs="Times New Roman"/>
          <w:i/>
        </w:rPr>
        <w:t>tokens</w:t>
      </w:r>
      <w:r w:rsidR="008B4C99" w:rsidRPr="008B4C99">
        <w:rPr>
          <w:rFonts w:ascii="Times New Roman" w:hAnsi="Times New Roman" w:cs="Times New Roman"/>
        </w:rPr>
        <w:t>." Stemming involves the separation of suffixes and prefixes from a word to get the root word and connotation.</w:t>
      </w:r>
    </w:p>
    <w:p w14:paraId="02AEAEB1" w14:textId="77777777" w:rsidR="005F459E" w:rsidRPr="008B4C99" w:rsidRDefault="005F459E" w:rsidP="008B4C99">
      <w:pPr>
        <w:spacing w:line="480" w:lineRule="auto"/>
        <w:ind w:firstLine="720"/>
        <w:jc w:val="both"/>
        <w:rPr>
          <w:rFonts w:ascii="Times New Roman" w:hAnsi="Times New Roman" w:cs="Times New Roman"/>
        </w:rPr>
      </w:pPr>
    </w:p>
    <w:p w14:paraId="323EA836" w14:textId="421277BE" w:rsidR="005F459E" w:rsidRPr="005F459E" w:rsidRDefault="008B4C99" w:rsidP="008B4C99">
      <w:pPr>
        <w:spacing w:after="0" w:line="480" w:lineRule="auto"/>
        <w:jc w:val="both"/>
        <w:rPr>
          <w:rFonts w:ascii="Times New Roman" w:hAnsi="Times New Roman" w:cs="Times New Roman"/>
          <w:bCs/>
          <w:sz w:val="24"/>
          <w:szCs w:val="24"/>
        </w:rPr>
      </w:pPr>
      <w:r w:rsidRPr="005F459E">
        <w:rPr>
          <w:rFonts w:ascii="Times New Roman" w:hAnsi="Times New Roman" w:cs="Times New Roman"/>
          <w:bCs/>
          <w:sz w:val="24"/>
          <w:szCs w:val="24"/>
        </w:rPr>
        <w:t xml:space="preserve"> Natural language processing (NLP)</w:t>
      </w:r>
    </w:p>
    <w:p w14:paraId="049FDC46" w14:textId="17CCDCA1" w:rsidR="008B4C99" w:rsidRDefault="008B4C99" w:rsidP="008B4C99">
      <w:pPr>
        <w:spacing w:after="0" w:line="480" w:lineRule="auto"/>
        <w:ind w:firstLine="720"/>
        <w:jc w:val="both"/>
        <w:rPr>
          <w:rFonts w:ascii="Times New Roman" w:hAnsi="Times New Roman" w:cs="Times New Roman"/>
        </w:rPr>
      </w:pPr>
      <w:r w:rsidRPr="008B4C99">
        <w:rPr>
          <w:rFonts w:ascii="Times New Roman" w:hAnsi="Times New Roman" w:cs="Times New Roman"/>
        </w:rPr>
        <w:t>NLP uses approaches from data science, linguistics, artificial intelligence, and computer science, to assist computers to comprehend human language in both verbal and written forms (Ferreira-Melo et al., 2019). NLP let computers “read” through the analysis of grammar and sentence structure. Common sub-tasks include sentiment analysis, text categorization, summarization, and Part-of-Speech (PoS) tagging.</w:t>
      </w:r>
    </w:p>
    <w:p w14:paraId="2938C583" w14:textId="77777777" w:rsidR="005F459E" w:rsidRPr="008B4C99" w:rsidRDefault="005F459E" w:rsidP="008B4C99">
      <w:pPr>
        <w:spacing w:after="0" w:line="480" w:lineRule="auto"/>
        <w:ind w:firstLine="720"/>
        <w:jc w:val="both"/>
        <w:rPr>
          <w:rFonts w:ascii="Times New Roman" w:hAnsi="Times New Roman" w:cs="Times New Roman"/>
        </w:rPr>
      </w:pPr>
    </w:p>
    <w:p w14:paraId="0E3EE117" w14:textId="59887B0E" w:rsidR="005F459E" w:rsidRPr="005F459E" w:rsidRDefault="008B4C99" w:rsidP="008B4C99">
      <w:pPr>
        <w:spacing w:after="0" w:line="480" w:lineRule="auto"/>
        <w:jc w:val="both"/>
        <w:rPr>
          <w:rFonts w:ascii="Times New Roman" w:hAnsi="Times New Roman" w:cs="Times New Roman"/>
          <w:bCs/>
          <w:sz w:val="24"/>
          <w:szCs w:val="24"/>
        </w:rPr>
      </w:pPr>
      <w:r w:rsidRPr="005F459E">
        <w:rPr>
          <w:rFonts w:ascii="Times New Roman" w:hAnsi="Times New Roman" w:cs="Times New Roman"/>
          <w:bCs/>
          <w:sz w:val="24"/>
          <w:szCs w:val="24"/>
        </w:rPr>
        <w:t>Information extraction</w:t>
      </w:r>
    </w:p>
    <w:p w14:paraId="2D6F902E" w14:textId="3F875C63" w:rsidR="008B4C99" w:rsidRDefault="008B4C99" w:rsidP="008B4C99">
      <w:pPr>
        <w:spacing w:after="0" w:line="480" w:lineRule="auto"/>
        <w:ind w:firstLine="360"/>
        <w:jc w:val="both"/>
        <w:rPr>
          <w:rFonts w:ascii="Times New Roman" w:hAnsi="Times New Roman" w:cs="Times New Roman"/>
        </w:rPr>
      </w:pPr>
      <w:r w:rsidRPr="008B4C99">
        <w:rPr>
          <w:rFonts w:ascii="Times New Roman" w:hAnsi="Times New Roman" w:cs="Times New Roman"/>
        </w:rPr>
        <w:t xml:space="preserve">Information extraction (IE) emphasize extraction of structured data from free text and packing these attributes, entities, and correlated information in a database. IE sub-tasks are feature selection, feature extraction, and named-entity recognition (NER) (Ferreira-Melo et al., 2019). </w:t>
      </w:r>
      <w:r w:rsidRPr="008B4C99">
        <w:rPr>
          <w:rFonts w:ascii="Times New Roman" w:hAnsi="Times New Roman" w:cs="Times New Roman"/>
          <w:bCs/>
        </w:rPr>
        <w:t>Feature selection</w:t>
      </w:r>
      <w:r w:rsidRPr="008B4C99">
        <w:rPr>
          <w:rFonts w:ascii="Times New Roman" w:hAnsi="Times New Roman" w:cs="Times New Roman"/>
          <w:b/>
          <w:bCs/>
        </w:rPr>
        <w:t xml:space="preserve"> </w:t>
      </w:r>
      <w:r w:rsidRPr="008B4C99">
        <w:rPr>
          <w:rFonts w:ascii="Times New Roman" w:hAnsi="Times New Roman" w:cs="Times New Roman"/>
        </w:rPr>
        <w:t xml:space="preserve">involves choosing the most vital features to contribute to the output of a prognostic analysis model. </w:t>
      </w:r>
      <w:r w:rsidRPr="008B4C99">
        <w:rPr>
          <w:rFonts w:ascii="Times New Roman" w:hAnsi="Times New Roman" w:cs="Times New Roman"/>
          <w:bCs/>
        </w:rPr>
        <w:t>Feature extraction</w:t>
      </w:r>
      <w:r w:rsidRPr="008B4C99">
        <w:rPr>
          <w:rFonts w:ascii="Times New Roman" w:hAnsi="Times New Roman" w:cs="Times New Roman"/>
        </w:rPr>
        <w:t xml:space="preserve"> involves picking a subset of features to advance the precision of a sorting assignment. </w:t>
      </w:r>
      <w:r w:rsidRPr="008B4C99">
        <w:rPr>
          <w:rFonts w:ascii="Times New Roman" w:hAnsi="Times New Roman" w:cs="Times New Roman"/>
          <w:bCs/>
        </w:rPr>
        <w:t xml:space="preserve">Named-entity recognition </w:t>
      </w:r>
      <w:r w:rsidRPr="008B4C99">
        <w:rPr>
          <w:rFonts w:ascii="Times New Roman" w:hAnsi="Times New Roman" w:cs="Times New Roman"/>
        </w:rPr>
        <w:t>categorizes precise units in text, like locations or names (Ferreira-Melo et al., 2019). For instance, NER classifies “New York” as a locality and "Mary" as the name of a woman.</w:t>
      </w:r>
    </w:p>
    <w:p w14:paraId="46F00ED8" w14:textId="02764CE3" w:rsidR="00FB0DEE" w:rsidRDefault="00FB0DEE" w:rsidP="008B4C99">
      <w:pPr>
        <w:spacing w:after="0" w:line="480" w:lineRule="auto"/>
        <w:ind w:firstLine="360"/>
        <w:jc w:val="both"/>
        <w:rPr>
          <w:rFonts w:ascii="Times New Roman" w:hAnsi="Times New Roman" w:cs="Times New Roman"/>
        </w:rPr>
      </w:pPr>
    </w:p>
    <w:p w14:paraId="0F7060D5" w14:textId="77777777" w:rsidR="00FB0DEE" w:rsidRPr="008B4C99" w:rsidRDefault="00FB0DEE" w:rsidP="008B4C99">
      <w:pPr>
        <w:spacing w:after="0" w:line="480" w:lineRule="auto"/>
        <w:ind w:firstLine="360"/>
        <w:jc w:val="both"/>
        <w:rPr>
          <w:rFonts w:ascii="Times New Roman" w:hAnsi="Times New Roman" w:cs="Times New Roman"/>
        </w:rPr>
      </w:pPr>
    </w:p>
    <w:p w14:paraId="2BFB070F" w14:textId="77777777" w:rsidR="008B4C99" w:rsidRPr="008B4C99" w:rsidRDefault="008B4C99" w:rsidP="008B4C99">
      <w:pPr>
        <w:spacing w:line="480" w:lineRule="auto"/>
        <w:jc w:val="both"/>
        <w:rPr>
          <w:rFonts w:ascii="Times New Roman" w:hAnsi="Times New Roman" w:cs="Times New Roman"/>
          <w:b/>
        </w:rPr>
      </w:pPr>
    </w:p>
    <w:p w14:paraId="584A95D3" w14:textId="77777777" w:rsidR="008B4C99" w:rsidRPr="00914438" w:rsidRDefault="008B4C99" w:rsidP="008B4C99">
      <w:pPr>
        <w:spacing w:line="480" w:lineRule="auto"/>
        <w:jc w:val="both"/>
        <w:rPr>
          <w:rFonts w:ascii="Times New Roman" w:hAnsi="Times New Roman" w:cs="Times New Roman"/>
          <w:bCs/>
          <w:sz w:val="24"/>
          <w:szCs w:val="24"/>
        </w:rPr>
      </w:pPr>
      <w:r w:rsidRPr="00914438">
        <w:rPr>
          <w:rFonts w:ascii="Times New Roman" w:hAnsi="Times New Roman" w:cs="Times New Roman"/>
          <w:bCs/>
          <w:sz w:val="24"/>
          <w:szCs w:val="24"/>
        </w:rPr>
        <w:lastRenderedPageBreak/>
        <w:t xml:space="preserve">Advantages and Disadvantages of SPSS and Excel </w:t>
      </w:r>
    </w:p>
    <w:p w14:paraId="4062B584" w14:textId="77777777" w:rsidR="008B4C99" w:rsidRPr="008B4C99" w:rsidRDefault="008B4C99" w:rsidP="008B4C99">
      <w:pPr>
        <w:spacing w:line="480" w:lineRule="auto"/>
        <w:jc w:val="both"/>
        <w:rPr>
          <w:rFonts w:ascii="Times New Roman" w:hAnsi="Times New Roman" w:cs="Times New Roman"/>
          <w:b/>
        </w:rPr>
      </w:pPr>
      <w:r w:rsidRPr="008B4C99">
        <w:rPr>
          <w:rFonts w:ascii="Times New Roman" w:hAnsi="Times New Roman" w:cs="Times New Roman"/>
          <w:b/>
        </w:rPr>
        <w:t>SPSS</w:t>
      </w:r>
    </w:p>
    <w:tbl>
      <w:tblPr>
        <w:tblStyle w:val="Tabelgril"/>
        <w:tblW w:w="0" w:type="auto"/>
        <w:tblLook w:val="04A0" w:firstRow="1" w:lastRow="0" w:firstColumn="1" w:lastColumn="0" w:noHBand="0" w:noVBand="1"/>
      </w:tblPr>
      <w:tblGrid>
        <w:gridCol w:w="4286"/>
        <w:gridCol w:w="4316"/>
      </w:tblGrid>
      <w:tr w:rsidR="008B4C99" w:rsidRPr="008B4C99" w14:paraId="5C5BD6E5" w14:textId="77777777" w:rsidTr="00792D44">
        <w:tc>
          <w:tcPr>
            <w:tcW w:w="4675" w:type="dxa"/>
          </w:tcPr>
          <w:p w14:paraId="25DA5814" w14:textId="77777777" w:rsidR="008B4C99" w:rsidRPr="008B4C99" w:rsidRDefault="008B4C99" w:rsidP="008B4C99">
            <w:pPr>
              <w:spacing w:line="480" w:lineRule="auto"/>
              <w:jc w:val="both"/>
              <w:rPr>
                <w:rFonts w:ascii="Times New Roman" w:hAnsi="Times New Roman" w:cs="Times New Roman"/>
                <w:b/>
              </w:rPr>
            </w:pPr>
            <w:r w:rsidRPr="008B4C99">
              <w:rPr>
                <w:rFonts w:ascii="Times New Roman" w:hAnsi="Times New Roman" w:cs="Times New Roman"/>
                <w:b/>
              </w:rPr>
              <w:t xml:space="preserve">Advantages </w:t>
            </w:r>
          </w:p>
        </w:tc>
        <w:tc>
          <w:tcPr>
            <w:tcW w:w="4675" w:type="dxa"/>
          </w:tcPr>
          <w:p w14:paraId="4471C9E9" w14:textId="77777777" w:rsidR="008B4C99" w:rsidRPr="008B4C99" w:rsidRDefault="008B4C99" w:rsidP="008B4C99">
            <w:pPr>
              <w:spacing w:line="480" w:lineRule="auto"/>
              <w:jc w:val="both"/>
              <w:rPr>
                <w:rFonts w:ascii="Times New Roman" w:hAnsi="Times New Roman" w:cs="Times New Roman"/>
                <w:b/>
              </w:rPr>
            </w:pPr>
            <w:r w:rsidRPr="008B4C99">
              <w:rPr>
                <w:rFonts w:ascii="Times New Roman" w:hAnsi="Times New Roman" w:cs="Times New Roman"/>
                <w:b/>
              </w:rPr>
              <w:t>Disadvantages</w:t>
            </w:r>
          </w:p>
        </w:tc>
      </w:tr>
      <w:tr w:rsidR="008B4C99" w:rsidRPr="008B4C99" w14:paraId="08F11F52" w14:textId="77777777" w:rsidTr="00792D44">
        <w:tc>
          <w:tcPr>
            <w:tcW w:w="4675" w:type="dxa"/>
          </w:tcPr>
          <w:p w14:paraId="4A4FF492"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It helps with both qualitative and quantitative data.</w:t>
            </w:r>
          </w:p>
        </w:tc>
        <w:tc>
          <w:tcPr>
            <w:tcW w:w="4675" w:type="dxa"/>
          </w:tcPr>
          <w:p w14:paraId="786655A9"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Default graphics are far from publication quality. For example, SPSS does not provide any graphic capabilities for moderation in regression (Pramila, 2021).</w:t>
            </w:r>
          </w:p>
        </w:tc>
      </w:tr>
      <w:tr w:rsidR="008B4C99" w:rsidRPr="008B4C99" w14:paraId="3FB33AE5" w14:textId="77777777" w:rsidTr="00792D44">
        <w:tc>
          <w:tcPr>
            <w:tcW w:w="4675" w:type="dxa"/>
          </w:tcPr>
          <w:p w14:paraId="254B480F"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Requires much less time to analyze the data than most other statistical tools.</w:t>
            </w:r>
          </w:p>
        </w:tc>
        <w:tc>
          <w:tcPr>
            <w:tcW w:w="4675" w:type="dxa"/>
          </w:tcPr>
          <w:p w14:paraId="541834ED"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It is quite expensive considering that it has new releases almost every year, with higher subscription charges.</w:t>
            </w:r>
          </w:p>
        </w:tc>
      </w:tr>
      <w:tr w:rsidR="008B4C99" w:rsidRPr="008B4C99" w14:paraId="02FB923B" w14:textId="77777777" w:rsidTr="00792D44">
        <w:tc>
          <w:tcPr>
            <w:tcW w:w="4675" w:type="dxa"/>
          </w:tcPr>
          <w:p w14:paraId="59E73204"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Requires quite a little effort when analysing data using the software since it is automated.</w:t>
            </w:r>
          </w:p>
        </w:tc>
        <w:tc>
          <w:tcPr>
            <w:tcW w:w="4675" w:type="dxa"/>
          </w:tcPr>
          <w:p w14:paraId="1576A098"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Support for individual users is not easily accessible. For instance, when a subscriber has a problem with licenser codes, finding help from support is almost impossible (Rahman &amp; Muktadir).</w:t>
            </w:r>
          </w:p>
        </w:tc>
      </w:tr>
      <w:tr w:rsidR="008B4C99" w:rsidRPr="008B4C99" w14:paraId="59F90128" w14:textId="77777777" w:rsidTr="00792D44">
        <w:tc>
          <w:tcPr>
            <w:tcW w:w="4675" w:type="dxa"/>
          </w:tcPr>
          <w:p w14:paraId="08259EF4"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The chances of error occurrence are minimum with SPSS.</w:t>
            </w:r>
          </w:p>
        </w:tc>
        <w:tc>
          <w:tcPr>
            <w:tcW w:w="4675" w:type="dxa"/>
          </w:tcPr>
          <w:p w14:paraId="264FAEFE"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 xml:space="preserve">Finding documentation about algorithms is, in most cases, difficult. SPSS also uses names for statistics inconsistent with those used in books. For example, the </w:t>
            </w:r>
            <w:r w:rsidRPr="008B4C99">
              <w:rPr>
                <w:rFonts w:ascii="Times New Roman" w:hAnsi="Times New Roman" w:cs="Times New Roman"/>
                <w:i/>
              </w:rPr>
              <w:t>kurtosis</w:t>
            </w:r>
            <w:r w:rsidRPr="008B4C99">
              <w:rPr>
                <w:rFonts w:ascii="Times New Roman" w:hAnsi="Times New Roman" w:cs="Times New Roman"/>
              </w:rPr>
              <w:t xml:space="preserve"> in SPSS corresponds to the books’ </w:t>
            </w:r>
            <w:r w:rsidRPr="008B4C99">
              <w:rPr>
                <w:rFonts w:ascii="Times New Roman" w:hAnsi="Times New Roman" w:cs="Times New Roman"/>
                <w:i/>
              </w:rPr>
              <w:t>excess kurtosis</w:t>
            </w:r>
            <w:r w:rsidRPr="008B4C99">
              <w:rPr>
                <w:rFonts w:ascii="Times New Roman" w:hAnsi="Times New Roman" w:cs="Times New Roman"/>
              </w:rPr>
              <w:t>.</w:t>
            </w:r>
          </w:p>
        </w:tc>
      </w:tr>
      <w:tr w:rsidR="008B4C99" w:rsidRPr="008B4C99" w14:paraId="7848F3B2" w14:textId="77777777" w:rsidTr="00792D44">
        <w:tc>
          <w:tcPr>
            <w:tcW w:w="4675" w:type="dxa"/>
          </w:tcPr>
          <w:p w14:paraId="40AE43A5"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Users get to select a preferable graph type that matches their distribution needs.</w:t>
            </w:r>
          </w:p>
        </w:tc>
        <w:tc>
          <w:tcPr>
            <w:tcW w:w="4675" w:type="dxa"/>
          </w:tcPr>
          <w:p w14:paraId="7865E682"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Information about effect size and confidence intervals is missing for many techniques. For instance, SPSS does not report Pearson </w:t>
            </w:r>
            <w:r w:rsidRPr="008B4C99">
              <w:rPr>
                <w:rFonts w:ascii="Times New Roman" w:hAnsi="Times New Roman" w:cs="Times New Roman"/>
                <w:i/>
                <w:iCs/>
              </w:rPr>
              <w:t>r</w:t>
            </w:r>
            <w:r w:rsidRPr="008B4C99">
              <w:rPr>
                <w:rFonts w:ascii="Times New Roman" w:hAnsi="Times New Roman" w:cs="Times New Roman"/>
              </w:rPr>
              <w:t xml:space="preserve"> with confidence intervals.</w:t>
            </w:r>
          </w:p>
        </w:tc>
      </w:tr>
    </w:tbl>
    <w:p w14:paraId="21B9F837" w14:textId="77777777" w:rsidR="008B4C99" w:rsidRPr="008B4C99" w:rsidRDefault="008B4C99" w:rsidP="008B4C99">
      <w:pPr>
        <w:spacing w:line="480" w:lineRule="auto"/>
        <w:jc w:val="both"/>
        <w:rPr>
          <w:rFonts w:ascii="Times New Roman" w:hAnsi="Times New Roman" w:cs="Times New Roman"/>
        </w:rPr>
      </w:pPr>
    </w:p>
    <w:p w14:paraId="767415E4" w14:textId="77777777" w:rsidR="008B4C99" w:rsidRPr="008B4C99" w:rsidRDefault="008B4C99" w:rsidP="008B4C99">
      <w:pPr>
        <w:spacing w:line="480" w:lineRule="auto"/>
        <w:jc w:val="both"/>
        <w:rPr>
          <w:rFonts w:ascii="Times New Roman" w:hAnsi="Times New Roman" w:cs="Times New Roman"/>
          <w:b/>
        </w:rPr>
      </w:pPr>
      <w:r w:rsidRPr="008B4C99">
        <w:rPr>
          <w:rFonts w:ascii="Times New Roman" w:hAnsi="Times New Roman" w:cs="Times New Roman"/>
          <w:b/>
        </w:rPr>
        <w:lastRenderedPageBreak/>
        <w:t>Excel</w:t>
      </w:r>
    </w:p>
    <w:tbl>
      <w:tblPr>
        <w:tblStyle w:val="Tabelgril"/>
        <w:tblW w:w="0" w:type="auto"/>
        <w:tblLook w:val="04A0" w:firstRow="1" w:lastRow="0" w:firstColumn="1" w:lastColumn="0" w:noHBand="0" w:noVBand="1"/>
      </w:tblPr>
      <w:tblGrid>
        <w:gridCol w:w="4300"/>
        <w:gridCol w:w="4302"/>
      </w:tblGrid>
      <w:tr w:rsidR="008B4C99" w:rsidRPr="008B4C99" w14:paraId="38BFD48C" w14:textId="77777777" w:rsidTr="00792D44">
        <w:tc>
          <w:tcPr>
            <w:tcW w:w="4675" w:type="dxa"/>
          </w:tcPr>
          <w:p w14:paraId="5E78C9B5" w14:textId="77777777" w:rsidR="008B4C99" w:rsidRPr="008B4C99" w:rsidRDefault="008B4C99" w:rsidP="008B4C99">
            <w:pPr>
              <w:spacing w:line="480" w:lineRule="auto"/>
              <w:jc w:val="both"/>
              <w:rPr>
                <w:rFonts w:ascii="Times New Roman" w:hAnsi="Times New Roman" w:cs="Times New Roman"/>
                <w:b/>
              </w:rPr>
            </w:pPr>
            <w:r w:rsidRPr="008B4C99">
              <w:rPr>
                <w:rFonts w:ascii="Times New Roman" w:hAnsi="Times New Roman" w:cs="Times New Roman"/>
                <w:b/>
              </w:rPr>
              <w:t>Advantages</w:t>
            </w:r>
          </w:p>
        </w:tc>
        <w:tc>
          <w:tcPr>
            <w:tcW w:w="4675" w:type="dxa"/>
          </w:tcPr>
          <w:p w14:paraId="5ADF0496" w14:textId="77777777" w:rsidR="008B4C99" w:rsidRPr="008B4C99" w:rsidRDefault="008B4C99" w:rsidP="008B4C99">
            <w:pPr>
              <w:spacing w:line="480" w:lineRule="auto"/>
              <w:jc w:val="both"/>
              <w:rPr>
                <w:rFonts w:ascii="Times New Roman" w:hAnsi="Times New Roman" w:cs="Times New Roman"/>
                <w:b/>
              </w:rPr>
            </w:pPr>
            <w:r w:rsidRPr="008B4C99">
              <w:rPr>
                <w:rFonts w:ascii="Times New Roman" w:hAnsi="Times New Roman" w:cs="Times New Roman"/>
                <w:b/>
              </w:rPr>
              <w:t>Disadvantages</w:t>
            </w:r>
          </w:p>
        </w:tc>
      </w:tr>
      <w:tr w:rsidR="008B4C99" w:rsidRPr="008B4C99" w14:paraId="7A149E4F" w14:textId="77777777" w:rsidTr="00792D44">
        <w:tc>
          <w:tcPr>
            <w:tcW w:w="4675" w:type="dxa"/>
          </w:tcPr>
          <w:p w14:paraId="3249C179"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Powerful analysis of huge data chunks. Excel has been upgraded and now supports the analysis of large data sets (Pramila, 2021). The software has powerful sorting, filtering, and search tools.</w:t>
            </w:r>
          </w:p>
        </w:tc>
        <w:tc>
          <w:tcPr>
            <w:tcW w:w="4675" w:type="dxa"/>
          </w:tcPr>
          <w:p w14:paraId="529004CA" w14:textId="1458C80B" w:rsidR="008B4C99" w:rsidRPr="008B4C99" w:rsidRDefault="00914438" w:rsidP="008B4C99">
            <w:pPr>
              <w:spacing w:line="480" w:lineRule="auto"/>
              <w:jc w:val="both"/>
              <w:rPr>
                <w:rFonts w:ascii="Times New Roman" w:hAnsi="Times New Roman" w:cs="Times New Roman"/>
              </w:rPr>
            </w:pPr>
            <w:r w:rsidRPr="008B4C99">
              <w:rPr>
                <w:rFonts w:ascii="Times New Roman" w:hAnsi="Times New Roman" w:cs="Times New Roman"/>
              </w:rPr>
              <w:t>Customizable</w:t>
            </w:r>
            <w:r w:rsidR="008B4C99" w:rsidRPr="008B4C99">
              <w:rPr>
                <w:rFonts w:ascii="Times New Roman" w:hAnsi="Times New Roman" w:cs="Times New Roman"/>
              </w:rPr>
              <w:t xml:space="preserve"> Graphs. Excel presents unintuitive combination of various types of graphs and various data sets, which is a drawback.</w:t>
            </w:r>
          </w:p>
        </w:tc>
      </w:tr>
      <w:tr w:rsidR="008B4C99" w:rsidRPr="008B4C99" w14:paraId="37B7C177" w14:textId="77777777" w:rsidTr="00792D44">
        <w:tc>
          <w:tcPr>
            <w:tcW w:w="4675" w:type="dxa"/>
          </w:tcPr>
          <w:p w14:paraId="040A303E"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Easy and effective comparisons. The graphing aptitudes of Excel allow for summarizing data, thus improving the capability to consolidate and organize data.</w:t>
            </w:r>
          </w:p>
        </w:tc>
        <w:tc>
          <w:tcPr>
            <w:tcW w:w="4675" w:type="dxa"/>
          </w:tcPr>
          <w:p w14:paraId="15E97199"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Scalability. With the introduction of binary formats and large spreadsheets, the use of huge data sets on the average PC can slacken and halt the PC (Opie, 2019).</w:t>
            </w:r>
          </w:p>
        </w:tc>
      </w:tr>
      <w:tr w:rsidR="008B4C99" w:rsidRPr="008B4C99" w14:paraId="6D517E68" w14:textId="77777777" w:rsidTr="00792D44">
        <w:tc>
          <w:tcPr>
            <w:tcW w:w="4675" w:type="dxa"/>
          </w:tcPr>
          <w:p w14:paraId="1F85C5A1"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Microsoft Excel Mobile &amp; iPad Apps allows for manipulation and updating spreadsheets, and then view the documents on a tablet. The worksheets can be presented to a client without carrying the Laptop (Opie, 2019).</w:t>
            </w:r>
          </w:p>
        </w:tc>
        <w:tc>
          <w:tcPr>
            <w:tcW w:w="4675" w:type="dxa"/>
          </w:tcPr>
          <w:p w14:paraId="69FB6B55"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Not easy to share. Sharing functionality need some improvements to attain the world-class level. Even with Microsoft's great strides on their Web applications, sharing is still slacking behind. An additional software ought to be downloaded on the PC to share, which is a cumbersome process.</w:t>
            </w:r>
          </w:p>
        </w:tc>
      </w:tr>
      <w:tr w:rsidR="008B4C99" w:rsidRPr="008B4C99" w14:paraId="41FE5F75" w14:textId="77777777" w:rsidTr="00792D44">
        <w:tc>
          <w:tcPr>
            <w:tcW w:w="4675" w:type="dxa"/>
          </w:tcPr>
          <w:p w14:paraId="6A6B5683"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It enables working together of users. One can work on spreadsheets simultaneously with other users with the introduction of the Excel Web App.</w:t>
            </w:r>
          </w:p>
        </w:tc>
        <w:tc>
          <w:tcPr>
            <w:tcW w:w="4675" w:type="dxa"/>
          </w:tcPr>
          <w:p w14:paraId="32E2CDCF" w14:textId="77777777" w:rsidR="008B4C99" w:rsidRPr="008B4C99" w:rsidRDefault="008B4C99" w:rsidP="008B4C99">
            <w:pPr>
              <w:spacing w:line="480" w:lineRule="auto"/>
              <w:jc w:val="both"/>
              <w:rPr>
                <w:rFonts w:ascii="Times New Roman" w:hAnsi="Times New Roman" w:cs="Times New Roman"/>
              </w:rPr>
            </w:pPr>
            <w:r w:rsidRPr="008B4C99">
              <w:rPr>
                <w:rFonts w:ascii="Times New Roman" w:hAnsi="Times New Roman" w:cs="Times New Roman"/>
              </w:rPr>
              <w:t>Nonrelational. Microsoft Excel lacks any true relational functionality aside from some lookup tools (Opie, 2019).</w:t>
            </w:r>
          </w:p>
        </w:tc>
      </w:tr>
    </w:tbl>
    <w:p w14:paraId="2A728A83" w14:textId="1AB8DA3B" w:rsidR="00742243" w:rsidRDefault="00742243" w:rsidP="008B4C99">
      <w:pPr>
        <w:spacing w:after="0" w:line="480" w:lineRule="auto"/>
        <w:jc w:val="both"/>
        <w:rPr>
          <w:rFonts w:ascii="Times New Roman" w:hAnsi="Times New Roman" w:cs="Times New Roman"/>
          <w:b/>
        </w:rPr>
      </w:pPr>
    </w:p>
    <w:p w14:paraId="4098BBA3" w14:textId="77777777" w:rsidR="00FB0DEE" w:rsidRDefault="00FB0DEE" w:rsidP="008B4C99">
      <w:pPr>
        <w:spacing w:after="0" w:line="480" w:lineRule="auto"/>
        <w:jc w:val="both"/>
        <w:rPr>
          <w:rFonts w:ascii="Times New Roman" w:hAnsi="Times New Roman" w:cs="Times New Roman"/>
          <w:b/>
        </w:rPr>
      </w:pPr>
    </w:p>
    <w:p w14:paraId="2127A035" w14:textId="77777777" w:rsidR="00742243" w:rsidRPr="008B4C99" w:rsidRDefault="00742243" w:rsidP="008B4C99">
      <w:pPr>
        <w:spacing w:after="0" w:line="480" w:lineRule="auto"/>
        <w:jc w:val="both"/>
        <w:rPr>
          <w:rFonts w:ascii="Times New Roman" w:hAnsi="Times New Roman" w:cs="Times New Roman"/>
          <w:b/>
        </w:rPr>
      </w:pPr>
    </w:p>
    <w:p w14:paraId="23AE874B" w14:textId="219724C4" w:rsidR="008B4C99" w:rsidRPr="001D2FD5" w:rsidRDefault="008B4C99" w:rsidP="00742243">
      <w:pPr>
        <w:spacing w:after="0" w:line="480" w:lineRule="auto"/>
        <w:jc w:val="both"/>
        <w:rPr>
          <w:rFonts w:ascii="Times New Roman" w:hAnsi="Times New Roman" w:cs="Times New Roman"/>
          <w:b/>
          <w:sz w:val="24"/>
          <w:szCs w:val="24"/>
        </w:rPr>
      </w:pPr>
      <w:r w:rsidRPr="001D2FD5">
        <w:rPr>
          <w:rFonts w:ascii="Times New Roman" w:hAnsi="Times New Roman" w:cs="Times New Roman"/>
          <w:b/>
          <w:sz w:val="24"/>
          <w:szCs w:val="24"/>
        </w:rPr>
        <w:lastRenderedPageBreak/>
        <w:t>References</w:t>
      </w:r>
      <w:r w:rsidR="00742243" w:rsidRPr="001D2FD5">
        <w:rPr>
          <w:rFonts w:ascii="Times New Roman" w:hAnsi="Times New Roman" w:cs="Times New Roman"/>
          <w:b/>
          <w:sz w:val="24"/>
          <w:szCs w:val="24"/>
        </w:rPr>
        <w:t>:</w:t>
      </w:r>
    </w:p>
    <w:p w14:paraId="3E6A3C8F" w14:textId="77777777" w:rsidR="00742243" w:rsidRPr="00742243" w:rsidRDefault="00742243" w:rsidP="0046544A">
      <w:pPr>
        <w:spacing w:after="0" w:line="480" w:lineRule="auto"/>
        <w:jc w:val="both"/>
        <w:rPr>
          <w:rFonts w:ascii="Times New Roman" w:hAnsi="Times New Roman" w:cs="Times New Roman"/>
          <w:bCs/>
          <w:sz w:val="24"/>
          <w:szCs w:val="24"/>
        </w:rPr>
      </w:pPr>
    </w:p>
    <w:p w14:paraId="1B2D0BD7" w14:textId="3E8A9873"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Antons, D., Grünwald, E., Cichy, P., Salge, T.</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2020</w:t>
      </w:r>
      <w:r w:rsidR="001D2FD5">
        <w:rPr>
          <w:rFonts w:ascii="Times New Roman" w:hAnsi="Times New Roman" w:cs="Times New Roman"/>
        </w:rPr>
        <w:t>)</w:t>
      </w:r>
      <w:r w:rsidRPr="008B4C99">
        <w:rPr>
          <w:rFonts w:ascii="Times New Roman" w:hAnsi="Times New Roman" w:cs="Times New Roman"/>
        </w:rPr>
        <w:t>. The application of text mining methods in innovation research: current state, evolution patterns, and development priorities. </w:t>
      </w:r>
      <w:r w:rsidRPr="008B4C99">
        <w:rPr>
          <w:rFonts w:ascii="Times New Roman" w:hAnsi="Times New Roman" w:cs="Times New Roman"/>
          <w:i/>
          <w:iCs/>
        </w:rPr>
        <w:t>R&amp;D</w:t>
      </w:r>
      <w:r w:rsidR="000C662E">
        <w:rPr>
          <w:rFonts w:ascii="Times New Roman" w:hAnsi="Times New Roman" w:cs="Times New Roman"/>
          <w:i/>
          <w:iCs/>
        </w:rPr>
        <w:t xml:space="preserve"> </w:t>
      </w:r>
      <w:r w:rsidRPr="008B4C99">
        <w:rPr>
          <w:rFonts w:ascii="Times New Roman" w:hAnsi="Times New Roman" w:cs="Times New Roman"/>
          <w:i/>
          <w:iCs/>
        </w:rPr>
        <w:t>Management</w:t>
      </w:r>
      <w:r w:rsidRPr="008B4C99">
        <w:rPr>
          <w:rFonts w:ascii="Times New Roman" w:hAnsi="Times New Roman" w:cs="Times New Roman"/>
        </w:rPr>
        <w:t>, </w:t>
      </w:r>
      <w:r w:rsidRPr="008B4C99">
        <w:rPr>
          <w:rFonts w:ascii="Times New Roman" w:hAnsi="Times New Roman" w:cs="Times New Roman"/>
          <w:i/>
          <w:iCs/>
        </w:rPr>
        <w:t>50</w:t>
      </w:r>
      <w:r w:rsidRPr="008B4C99">
        <w:rPr>
          <w:rFonts w:ascii="Times New Roman" w:hAnsi="Times New Roman" w:cs="Times New Roman"/>
        </w:rPr>
        <w:t>(3), 329-351.</w:t>
      </w:r>
    </w:p>
    <w:p w14:paraId="7622F623" w14:textId="52903AB2"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Atluri, G., Karpatne, A., Kumar, V.</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2018</w:t>
      </w:r>
      <w:r w:rsidR="001D2FD5">
        <w:rPr>
          <w:rFonts w:ascii="Times New Roman" w:hAnsi="Times New Roman" w:cs="Times New Roman"/>
        </w:rPr>
        <w:t>)</w:t>
      </w:r>
      <w:r w:rsidRPr="008B4C99">
        <w:rPr>
          <w:rFonts w:ascii="Times New Roman" w:hAnsi="Times New Roman" w:cs="Times New Roman"/>
        </w:rPr>
        <w:t>. Spatio-temporal data mining: A survey of problems and methods. </w:t>
      </w:r>
      <w:r w:rsidRPr="008B4C99">
        <w:rPr>
          <w:rFonts w:ascii="Times New Roman" w:hAnsi="Times New Roman" w:cs="Times New Roman"/>
          <w:i/>
          <w:iCs/>
        </w:rPr>
        <w:t>ACM Computing Surveys (CSUR)</w:t>
      </w:r>
      <w:r w:rsidRPr="008B4C99">
        <w:rPr>
          <w:rFonts w:ascii="Times New Roman" w:hAnsi="Times New Roman" w:cs="Times New Roman"/>
        </w:rPr>
        <w:t>, </w:t>
      </w:r>
      <w:r w:rsidRPr="008B4C99">
        <w:rPr>
          <w:rFonts w:ascii="Times New Roman" w:hAnsi="Times New Roman" w:cs="Times New Roman"/>
          <w:i/>
          <w:iCs/>
        </w:rPr>
        <w:t>51</w:t>
      </w:r>
      <w:r w:rsidRPr="008B4C99">
        <w:rPr>
          <w:rFonts w:ascii="Times New Roman" w:hAnsi="Times New Roman" w:cs="Times New Roman"/>
        </w:rPr>
        <w:t xml:space="preserve">(4), 1-41. </w:t>
      </w:r>
    </w:p>
    <w:p w14:paraId="3F948673" w14:textId="6C1A9E23" w:rsidR="008B4C99" w:rsidRPr="000C662E" w:rsidRDefault="008B4C99" w:rsidP="000C662E">
      <w:pPr>
        <w:spacing w:after="0" w:line="480" w:lineRule="auto"/>
        <w:jc w:val="both"/>
        <w:rPr>
          <w:rFonts w:ascii="Times New Roman" w:hAnsi="Times New Roman" w:cs="Times New Roman"/>
          <w:i/>
          <w:iCs/>
        </w:rPr>
      </w:pPr>
      <w:r w:rsidRPr="008B4C99">
        <w:rPr>
          <w:rFonts w:ascii="Times New Roman" w:hAnsi="Times New Roman" w:cs="Times New Roman"/>
        </w:rPr>
        <w:t>Bell, B., Costa, R., Machin, S.</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2022</w:t>
      </w:r>
      <w:r w:rsidR="001D2FD5">
        <w:rPr>
          <w:rFonts w:ascii="Times New Roman" w:hAnsi="Times New Roman" w:cs="Times New Roman"/>
        </w:rPr>
        <w:t>)</w:t>
      </w:r>
      <w:r w:rsidRPr="008B4C99">
        <w:rPr>
          <w:rFonts w:ascii="Times New Roman" w:hAnsi="Times New Roman" w:cs="Times New Roman"/>
        </w:rPr>
        <w:t>. Why does education reduce crime?. </w:t>
      </w:r>
      <w:r w:rsidRPr="008B4C99">
        <w:rPr>
          <w:rFonts w:ascii="Times New Roman" w:hAnsi="Times New Roman" w:cs="Times New Roman"/>
          <w:i/>
          <w:iCs/>
        </w:rPr>
        <w:t>Journal of Political</w:t>
      </w:r>
      <w:r w:rsidR="000C662E">
        <w:rPr>
          <w:rFonts w:ascii="Times New Roman" w:hAnsi="Times New Roman" w:cs="Times New Roman"/>
          <w:i/>
          <w:iCs/>
        </w:rPr>
        <w:t xml:space="preserve"> </w:t>
      </w:r>
      <w:r w:rsidRPr="008B4C99">
        <w:rPr>
          <w:rFonts w:ascii="Times New Roman" w:hAnsi="Times New Roman" w:cs="Times New Roman"/>
          <w:i/>
          <w:iCs/>
        </w:rPr>
        <w:t>Economy</w:t>
      </w:r>
      <w:r w:rsidRPr="008B4C99">
        <w:rPr>
          <w:rFonts w:ascii="Times New Roman" w:hAnsi="Times New Roman" w:cs="Times New Roman"/>
        </w:rPr>
        <w:t>, </w:t>
      </w:r>
      <w:r w:rsidRPr="008B4C99">
        <w:rPr>
          <w:rFonts w:ascii="Times New Roman" w:hAnsi="Times New Roman" w:cs="Times New Roman"/>
          <w:i/>
          <w:iCs/>
        </w:rPr>
        <w:t>130</w:t>
      </w:r>
      <w:r w:rsidRPr="008B4C99">
        <w:rPr>
          <w:rFonts w:ascii="Times New Roman" w:hAnsi="Times New Roman" w:cs="Times New Roman"/>
        </w:rPr>
        <w:t>(3), 732-765.</w:t>
      </w:r>
    </w:p>
    <w:p w14:paraId="763A52E8" w14:textId="0B776C66"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Ferreira‐Mello, R., André, M., Pinheiro, A., Costa, E., Romero, C.</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2019</w:t>
      </w:r>
      <w:r w:rsidR="001D2FD5">
        <w:rPr>
          <w:rFonts w:ascii="Times New Roman" w:hAnsi="Times New Roman" w:cs="Times New Roman"/>
        </w:rPr>
        <w:t>)</w:t>
      </w:r>
      <w:r w:rsidRPr="008B4C99">
        <w:rPr>
          <w:rFonts w:ascii="Times New Roman" w:hAnsi="Times New Roman" w:cs="Times New Roman"/>
        </w:rPr>
        <w:t>. Text mining in education. </w:t>
      </w:r>
      <w:r w:rsidRPr="008B4C99">
        <w:rPr>
          <w:rFonts w:ascii="Times New Roman" w:hAnsi="Times New Roman" w:cs="Times New Roman"/>
          <w:i/>
          <w:iCs/>
        </w:rPr>
        <w:t>Wiley Interdisciplinary Reviews: Data Mining and Knowledge Discovery</w:t>
      </w:r>
      <w:r w:rsidRPr="008B4C99">
        <w:rPr>
          <w:rFonts w:ascii="Times New Roman" w:hAnsi="Times New Roman" w:cs="Times New Roman"/>
        </w:rPr>
        <w:t>, </w:t>
      </w:r>
      <w:r w:rsidRPr="008B4C99">
        <w:rPr>
          <w:rFonts w:ascii="Times New Roman" w:hAnsi="Times New Roman" w:cs="Times New Roman"/>
          <w:i/>
          <w:iCs/>
        </w:rPr>
        <w:t>9</w:t>
      </w:r>
      <w:r w:rsidRPr="008B4C99">
        <w:rPr>
          <w:rFonts w:ascii="Times New Roman" w:hAnsi="Times New Roman" w:cs="Times New Roman"/>
        </w:rPr>
        <w:t>(6), e1332.</w:t>
      </w:r>
    </w:p>
    <w:p w14:paraId="2292A09F" w14:textId="6F695139"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Fine, A.</w:t>
      </w:r>
      <w:r w:rsidR="001D2FD5">
        <w:rPr>
          <w:rFonts w:ascii="Times New Roman" w:hAnsi="Times New Roman" w:cs="Times New Roman"/>
        </w:rPr>
        <w:t>,</w:t>
      </w:r>
      <w:r w:rsidRPr="008B4C99">
        <w:rPr>
          <w:rFonts w:ascii="Times New Roman" w:hAnsi="Times New Roman" w:cs="Times New Roman"/>
        </w:rPr>
        <w:t xml:space="preserve"> Donley, S., Cavanagh, C., Cauffman, E.</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2020</w:t>
      </w:r>
      <w:r w:rsidR="001D2FD5">
        <w:rPr>
          <w:rFonts w:ascii="Times New Roman" w:hAnsi="Times New Roman" w:cs="Times New Roman"/>
        </w:rPr>
        <w:t>)</w:t>
      </w:r>
      <w:r w:rsidRPr="008B4C99">
        <w:rPr>
          <w:rFonts w:ascii="Times New Roman" w:hAnsi="Times New Roman" w:cs="Times New Roman"/>
        </w:rPr>
        <w:t>. Youth perceptions of law enforcement and worry about crime from 1976 to 2016. </w:t>
      </w:r>
      <w:r w:rsidRPr="008B4C99">
        <w:rPr>
          <w:rFonts w:ascii="Times New Roman" w:hAnsi="Times New Roman" w:cs="Times New Roman"/>
          <w:i/>
          <w:iCs/>
        </w:rPr>
        <w:t>Criminal justice and behavior</w:t>
      </w:r>
      <w:r w:rsidRPr="008B4C99">
        <w:rPr>
          <w:rFonts w:ascii="Times New Roman" w:hAnsi="Times New Roman" w:cs="Times New Roman"/>
        </w:rPr>
        <w:t>, </w:t>
      </w:r>
      <w:r w:rsidRPr="008B4C99">
        <w:rPr>
          <w:rFonts w:ascii="Times New Roman" w:hAnsi="Times New Roman" w:cs="Times New Roman"/>
          <w:i/>
          <w:iCs/>
        </w:rPr>
        <w:t>47</w:t>
      </w:r>
      <w:r w:rsidRPr="008B4C99">
        <w:rPr>
          <w:rFonts w:ascii="Times New Roman" w:hAnsi="Times New Roman" w:cs="Times New Roman"/>
        </w:rPr>
        <w:t>(5), 564-581.</w:t>
      </w:r>
    </w:p>
    <w:p w14:paraId="2B53A1ED" w14:textId="6A532C21"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Fone, Z., Sabia, J., Cesur, R.</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2019</w:t>
      </w:r>
      <w:r w:rsidR="001D2FD5">
        <w:rPr>
          <w:rFonts w:ascii="Times New Roman" w:hAnsi="Times New Roman" w:cs="Times New Roman"/>
        </w:rPr>
        <w:t>)</w:t>
      </w:r>
      <w:r w:rsidRPr="008B4C99">
        <w:rPr>
          <w:rFonts w:ascii="Times New Roman" w:hAnsi="Times New Roman" w:cs="Times New Roman"/>
        </w:rPr>
        <w:t>. </w:t>
      </w:r>
      <w:r w:rsidRPr="008B4C99">
        <w:rPr>
          <w:rFonts w:ascii="Times New Roman" w:hAnsi="Times New Roman" w:cs="Times New Roman"/>
          <w:i/>
          <w:iCs/>
        </w:rPr>
        <w:t>Do Minimum Wage Increases Reduce Crime?</w:t>
      </w:r>
      <w:r w:rsidRPr="008B4C99">
        <w:rPr>
          <w:rFonts w:ascii="Times New Roman" w:hAnsi="Times New Roman" w:cs="Times New Roman"/>
        </w:rPr>
        <w:t xml:space="preserve"> (No.w25647). National Bureau of Economic Research. </w:t>
      </w:r>
    </w:p>
    <w:p w14:paraId="0728E821" w14:textId="2787766C"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Ghosh, P., Hoover, G., Liu, Z.</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2020</w:t>
      </w:r>
      <w:r w:rsidR="001D2FD5">
        <w:rPr>
          <w:rFonts w:ascii="Times New Roman" w:hAnsi="Times New Roman" w:cs="Times New Roman"/>
        </w:rPr>
        <w:t>)</w:t>
      </w:r>
      <w:r w:rsidRPr="008B4C99">
        <w:rPr>
          <w:rFonts w:ascii="Times New Roman" w:hAnsi="Times New Roman" w:cs="Times New Roman"/>
        </w:rPr>
        <w:t>. Do State Minimum Wages Affect the Incarceration Rate?. </w:t>
      </w:r>
      <w:r w:rsidRPr="008B4C99">
        <w:rPr>
          <w:rFonts w:ascii="Times New Roman" w:hAnsi="Times New Roman" w:cs="Times New Roman"/>
          <w:i/>
          <w:iCs/>
        </w:rPr>
        <w:t>Southern Economic Journal</w:t>
      </w:r>
      <w:r w:rsidRPr="008B4C99">
        <w:rPr>
          <w:rFonts w:ascii="Times New Roman" w:hAnsi="Times New Roman" w:cs="Times New Roman"/>
        </w:rPr>
        <w:t>, </w:t>
      </w:r>
      <w:r w:rsidRPr="008B4C99">
        <w:rPr>
          <w:rFonts w:ascii="Times New Roman" w:hAnsi="Times New Roman" w:cs="Times New Roman"/>
          <w:i/>
          <w:iCs/>
        </w:rPr>
        <w:t>86</w:t>
      </w:r>
      <w:r w:rsidRPr="008B4C99">
        <w:rPr>
          <w:rFonts w:ascii="Times New Roman" w:hAnsi="Times New Roman" w:cs="Times New Roman"/>
        </w:rPr>
        <w:t>(3), 845-872.</w:t>
      </w:r>
    </w:p>
    <w:p w14:paraId="770A5B51" w14:textId="1926E9AB"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Kolawole, E., Kazeem Oyedele, L</w:t>
      </w:r>
      <w:r w:rsidR="001D2FD5">
        <w:rPr>
          <w:rFonts w:ascii="Times New Roman" w:hAnsi="Times New Roman" w:cs="Times New Roman"/>
        </w:rPr>
        <w:t>,</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2021</w:t>
      </w:r>
      <w:r w:rsidR="001D2FD5">
        <w:rPr>
          <w:rFonts w:ascii="Times New Roman" w:hAnsi="Times New Roman" w:cs="Times New Roman"/>
        </w:rPr>
        <w:t>)</w:t>
      </w:r>
      <w:r w:rsidRPr="008B4C99">
        <w:rPr>
          <w:rFonts w:ascii="Times New Roman" w:hAnsi="Times New Roman" w:cs="Times New Roman"/>
        </w:rPr>
        <w:t xml:space="preserve">. Effect Of </w:t>
      </w:r>
      <w:r w:rsidR="001D2FD5">
        <w:rPr>
          <w:rFonts w:ascii="Times New Roman" w:hAnsi="Times New Roman" w:cs="Times New Roman"/>
        </w:rPr>
        <w:t xml:space="preserve"> </w:t>
      </w:r>
      <w:r w:rsidRPr="008B4C99">
        <w:rPr>
          <w:rFonts w:ascii="Times New Roman" w:hAnsi="Times New Roman" w:cs="Times New Roman"/>
        </w:rPr>
        <w:t>Youth Unemployment On The Rate Of Crime In Nigeria: A Study Of Dstv Viewing Centres In Two Local Government Areas In Nigeria. </w:t>
      </w:r>
      <w:r w:rsidRPr="008B4C99">
        <w:rPr>
          <w:rFonts w:ascii="Times New Roman" w:hAnsi="Times New Roman" w:cs="Times New Roman"/>
          <w:i/>
          <w:iCs/>
        </w:rPr>
        <w:t>Annals of Spiru Haret University, Economic Series</w:t>
      </w:r>
      <w:r w:rsidRPr="008B4C99">
        <w:rPr>
          <w:rFonts w:ascii="Times New Roman" w:hAnsi="Times New Roman" w:cs="Times New Roman"/>
        </w:rPr>
        <w:t>, </w:t>
      </w:r>
      <w:r w:rsidRPr="008B4C99">
        <w:rPr>
          <w:rFonts w:ascii="Times New Roman" w:hAnsi="Times New Roman" w:cs="Times New Roman"/>
          <w:i/>
          <w:iCs/>
        </w:rPr>
        <w:t>21</w:t>
      </w:r>
      <w:r w:rsidRPr="008B4C99">
        <w:rPr>
          <w:rFonts w:ascii="Times New Roman" w:hAnsi="Times New Roman" w:cs="Times New Roman"/>
        </w:rPr>
        <w:t>(3), 109-127.</w:t>
      </w:r>
      <w:r w:rsidRPr="008B4C99">
        <w:rPr>
          <w:rFonts w:ascii="Times New Roman" w:hAnsi="Times New Roman" w:cs="Times New Roman"/>
        </w:rPr>
        <w:tab/>
      </w:r>
    </w:p>
    <w:p w14:paraId="2E6A6C04" w14:textId="2F0646B0"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Juárez, N., Urdal, H., Vadlamannati, K.</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2022</w:t>
      </w:r>
      <w:r w:rsidR="001D2FD5">
        <w:rPr>
          <w:rFonts w:ascii="Times New Roman" w:hAnsi="Times New Roman" w:cs="Times New Roman"/>
        </w:rPr>
        <w:t>)</w:t>
      </w:r>
      <w:r w:rsidRPr="008B4C99">
        <w:rPr>
          <w:rFonts w:ascii="Times New Roman" w:hAnsi="Times New Roman" w:cs="Times New Roman"/>
        </w:rPr>
        <w:t>. The significance of age structure, education, and youth unemployment for explaining subnational variation in violent youth crime in Mexico. </w:t>
      </w:r>
      <w:r w:rsidRPr="008B4C99">
        <w:rPr>
          <w:rFonts w:ascii="Times New Roman" w:hAnsi="Times New Roman" w:cs="Times New Roman"/>
          <w:i/>
          <w:iCs/>
        </w:rPr>
        <w:t>Conflict Management and Peace Science</w:t>
      </w:r>
      <w:r w:rsidRPr="008B4C99">
        <w:rPr>
          <w:rFonts w:ascii="Times New Roman" w:hAnsi="Times New Roman" w:cs="Times New Roman"/>
        </w:rPr>
        <w:t>, </w:t>
      </w:r>
      <w:r w:rsidRPr="008B4C99">
        <w:rPr>
          <w:rFonts w:ascii="Times New Roman" w:hAnsi="Times New Roman" w:cs="Times New Roman"/>
          <w:i/>
          <w:iCs/>
        </w:rPr>
        <w:t>39</w:t>
      </w:r>
      <w:r w:rsidRPr="008B4C99">
        <w:rPr>
          <w:rFonts w:ascii="Times New Roman" w:hAnsi="Times New Roman" w:cs="Times New Roman"/>
        </w:rPr>
        <w:t xml:space="preserve">(1), 49-73. </w:t>
      </w:r>
    </w:p>
    <w:p w14:paraId="012D31E7" w14:textId="0DA74694"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Kassem, M., Ali, A., Audi, M.</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2019</w:t>
      </w:r>
      <w:r w:rsidR="001D2FD5">
        <w:rPr>
          <w:rFonts w:ascii="Times New Roman" w:hAnsi="Times New Roman" w:cs="Times New Roman"/>
        </w:rPr>
        <w:t>)</w:t>
      </w:r>
      <w:r w:rsidRPr="008B4C99">
        <w:rPr>
          <w:rFonts w:ascii="Times New Roman" w:hAnsi="Times New Roman" w:cs="Times New Roman"/>
        </w:rPr>
        <w:t xml:space="preserve">. An empirical analysis is the unemployment rate, population density and crime rate in Punjab (Pakistan). </w:t>
      </w:r>
      <w:r w:rsidRPr="008B4C99">
        <w:rPr>
          <w:rFonts w:ascii="Times New Roman" w:hAnsi="Times New Roman" w:cs="Times New Roman"/>
          <w:i/>
          <w:iCs/>
        </w:rPr>
        <w:t>Bulletin of Business and Economics (BBE)</w:t>
      </w:r>
      <w:r w:rsidRPr="008B4C99">
        <w:rPr>
          <w:rFonts w:ascii="Times New Roman" w:hAnsi="Times New Roman" w:cs="Times New Roman"/>
        </w:rPr>
        <w:t>, </w:t>
      </w:r>
      <w:r w:rsidRPr="008B4C99">
        <w:rPr>
          <w:rFonts w:ascii="Times New Roman" w:hAnsi="Times New Roman" w:cs="Times New Roman"/>
          <w:i/>
          <w:iCs/>
        </w:rPr>
        <w:t>8</w:t>
      </w:r>
      <w:r w:rsidRPr="008B4C99">
        <w:rPr>
          <w:rFonts w:ascii="Times New Roman" w:hAnsi="Times New Roman" w:cs="Times New Roman"/>
        </w:rPr>
        <w:t>(2), 92-104.</w:t>
      </w:r>
    </w:p>
    <w:p w14:paraId="591204D7" w14:textId="6D33F46A"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lang w:val="it-IT"/>
        </w:rPr>
        <w:lastRenderedPageBreak/>
        <w:t>Kumar, S., Kar, A., Ilavarasan, P.</w:t>
      </w:r>
      <w:r w:rsidR="00365A2E">
        <w:rPr>
          <w:rFonts w:ascii="Times New Roman" w:hAnsi="Times New Roman" w:cs="Times New Roman"/>
          <w:lang w:val="it-IT"/>
        </w:rPr>
        <w:t xml:space="preserve">, </w:t>
      </w:r>
      <w:r w:rsidR="001D2FD5">
        <w:rPr>
          <w:rFonts w:ascii="Times New Roman" w:hAnsi="Times New Roman" w:cs="Times New Roman"/>
          <w:lang w:val="it-IT"/>
        </w:rPr>
        <w:t>(</w:t>
      </w:r>
      <w:r w:rsidRPr="008B4C99">
        <w:rPr>
          <w:rFonts w:ascii="Times New Roman" w:hAnsi="Times New Roman" w:cs="Times New Roman"/>
          <w:lang w:val="it-IT"/>
        </w:rPr>
        <w:t>2021</w:t>
      </w:r>
      <w:r w:rsidR="001D2FD5">
        <w:rPr>
          <w:rFonts w:ascii="Times New Roman" w:hAnsi="Times New Roman" w:cs="Times New Roman"/>
          <w:lang w:val="it-IT"/>
        </w:rPr>
        <w:t>)</w:t>
      </w:r>
      <w:r w:rsidRPr="008B4C99">
        <w:rPr>
          <w:rFonts w:ascii="Times New Roman" w:hAnsi="Times New Roman" w:cs="Times New Roman"/>
          <w:lang w:val="it-IT"/>
        </w:rPr>
        <w:t xml:space="preserve">. </w:t>
      </w:r>
      <w:r w:rsidRPr="008B4C99">
        <w:rPr>
          <w:rFonts w:ascii="Times New Roman" w:hAnsi="Times New Roman" w:cs="Times New Roman"/>
        </w:rPr>
        <w:t>Applications of text mining in services management: A systematic literature review. </w:t>
      </w:r>
      <w:r w:rsidRPr="008B4C99">
        <w:rPr>
          <w:rFonts w:ascii="Times New Roman" w:hAnsi="Times New Roman" w:cs="Times New Roman"/>
          <w:i/>
          <w:iCs/>
        </w:rPr>
        <w:t>International Journal of Information Management Data Insights</w:t>
      </w:r>
      <w:r w:rsidRPr="008B4C99">
        <w:rPr>
          <w:rFonts w:ascii="Times New Roman" w:hAnsi="Times New Roman" w:cs="Times New Roman"/>
        </w:rPr>
        <w:t>, </w:t>
      </w:r>
      <w:r w:rsidRPr="008B4C99">
        <w:rPr>
          <w:rFonts w:ascii="Times New Roman" w:hAnsi="Times New Roman" w:cs="Times New Roman"/>
          <w:i/>
          <w:iCs/>
        </w:rPr>
        <w:t>1</w:t>
      </w:r>
      <w:r w:rsidRPr="008B4C99">
        <w:rPr>
          <w:rFonts w:ascii="Times New Roman" w:hAnsi="Times New Roman" w:cs="Times New Roman"/>
        </w:rPr>
        <w:t>(1), 100008.</w:t>
      </w:r>
    </w:p>
    <w:p w14:paraId="631E275C" w14:textId="621851C3"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Lu, J.</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2020</w:t>
      </w:r>
      <w:r w:rsidR="001D2FD5">
        <w:rPr>
          <w:rFonts w:ascii="Times New Roman" w:hAnsi="Times New Roman" w:cs="Times New Roman"/>
        </w:rPr>
        <w:t>)</w:t>
      </w:r>
      <w:r w:rsidRPr="008B4C99">
        <w:rPr>
          <w:rFonts w:ascii="Times New Roman" w:hAnsi="Times New Roman" w:cs="Times New Roman"/>
        </w:rPr>
        <w:t xml:space="preserve">. Data Analytics Research-Informed Teaching in a Digital </w:t>
      </w:r>
      <w:r w:rsidR="00365A2E" w:rsidRPr="008B4C99">
        <w:rPr>
          <w:rFonts w:ascii="Times New Roman" w:hAnsi="Times New Roman" w:cs="Times New Roman"/>
        </w:rPr>
        <w:t xml:space="preserve">Technologies </w:t>
      </w:r>
      <w:r w:rsidR="00365A2E">
        <w:rPr>
          <w:rFonts w:ascii="Times New Roman" w:hAnsi="Times New Roman" w:cs="Times New Roman"/>
        </w:rPr>
        <w:t>Curriculum</w:t>
      </w:r>
      <w:r w:rsidRPr="008B4C99">
        <w:rPr>
          <w:rFonts w:ascii="Times New Roman" w:hAnsi="Times New Roman" w:cs="Times New Roman"/>
        </w:rPr>
        <w:t>. </w:t>
      </w:r>
      <w:r w:rsidRPr="008B4C99">
        <w:rPr>
          <w:rFonts w:ascii="Times New Roman" w:hAnsi="Times New Roman" w:cs="Times New Roman"/>
          <w:i/>
          <w:iCs/>
        </w:rPr>
        <w:t>INFORMS Transactions on Education</w:t>
      </w:r>
      <w:r w:rsidRPr="008B4C99">
        <w:rPr>
          <w:rFonts w:ascii="Times New Roman" w:hAnsi="Times New Roman" w:cs="Times New Roman"/>
        </w:rPr>
        <w:t>, </w:t>
      </w:r>
      <w:r w:rsidRPr="008B4C99">
        <w:rPr>
          <w:rFonts w:ascii="Times New Roman" w:hAnsi="Times New Roman" w:cs="Times New Roman"/>
          <w:i/>
          <w:iCs/>
        </w:rPr>
        <w:t>20</w:t>
      </w:r>
      <w:r w:rsidRPr="008B4C99">
        <w:rPr>
          <w:rFonts w:ascii="Times New Roman" w:hAnsi="Times New Roman" w:cs="Times New Roman"/>
        </w:rPr>
        <w:t xml:space="preserve">(2), 57-72. </w:t>
      </w:r>
    </w:p>
    <w:p w14:paraId="1A11081D" w14:textId="2B881C16"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Lu, R., Willits, D., Stohr, M., Makin, D., Snyder, J., Lovrich, N., Hemmens, C.</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2021</w:t>
      </w:r>
      <w:r w:rsidR="001D2FD5">
        <w:rPr>
          <w:rFonts w:ascii="Times New Roman" w:hAnsi="Times New Roman" w:cs="Times New Roman"/>
        </w:rPr>
        <w:t>)</w:t>
      </w:r>
      <w:r w:rsidRPr="008B4C99">
        <w:rPr>
          <w:rFonts w:ascii="Times New Roman" w:hAnsi="Times New Roman" w:cs="Times New Roman"/>
        </w:rPr>
        <w:t>. The cannabis effect on crime: Time-series analysis of crime in Colorado and Washington State. </w:t>
      </w:r>
      <w:r w:rsidRPr="008B4C99">
        <w:rPr>
          <w:rFonts w:ascii="Times New Roman" w:hAnsi="Times New Roman" w:cs="Times New Roman"/>
          <w:i/>
          <w:iCs/>
        </w:rPr>
        <w:t>Justice Quarterly</w:t>
      </w:r>
      <w:r w:rsidRPr="008B4C99">
        <w:rPr>
          <w:rFonts w:ascii="Times New Roman" w:hAnsi="Times New Roman" w:cs="Times New Roman"/>
        </w:rPr>
        <w:t>, </w:t>
      </w:r>
      <w:r w:rsidRPr="008B4C99">
        <w:rPr>
          <w:rFonts w:ascii="Times New Roman" w:hAnsi="Times New Roman" w:cs="Times New Roman"/>
          <w:i/>
          <w:iCs/>
        </w:rPr>
        <w:t>38</w:t>
      </w:r>
      <w:r w:rsidRPr="008B4C99">
        <w:rPr>
          <w:rFonts w:ascii="Times New Roman" w:hAnsi="Times New Roman" w:cs="Times New Roman"/>
        </w:rPr>
        <w:t>(4), 565-595.</w:t>
      </w:r>
    </w:p>
    <w:p w14:paraId="7B5C1C9A" w14:textId="6E1C25A4"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Mughal, M.</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2018</w:t>
      </w:r>
      <w:r w:rsidR="001D2FD5">
        <w:rPr>
          <w:rFonts w:ascii="Times New Roman" w:hAnsi="Times New Roman" w:cs="Times New Roman"/>
        </w:rPr>
        <w:t>)</w:t>
      </w:r>
      <w:r w:rsidRPr="008B4C99">
        <w:rPr>
          <w:rFonts w:ascii="Times New Roman" w:hAnsi="Times New Roman" w:cs="Times New Roman"/>
        </w:rPr>
        <w:t>. Data mining: Web data mining techniques, tools, and algorithms: An</w:t>
      </w:r>
      <w:r w:rsidR="00365A2E">
        <w:rPr>
          <w:rFonts w:ascii="Times New Roman" w:hAnsi="Times New Roman" w:cs="Times New Roman"/>
        </w:rPr>
        <w:t xml:space="preserve"> </w:t>
      </w:r>
      <w:r w:rsidRPr="008B4C99">
        <w:rPr>
          <w:rFonts w:ascii="Times New Roman" w:hAnsi="Times New Roman" w:cs="Times New Roman"/>
        </w:rPr>
        <w:t>overview. </w:t>
      </w:r>
      <w:r w:rsidRPr="008B4C99">
        <w:rPr>
          <w:rFonts w:ascii="Times New Roman" w:hAnsi="Times New Roman" w:cs="Times New Roman"/>
          <w:i/>
          <w:iCs/>
        </w:rPr>
        <w:t>Information Retrieval</w:t>
      </w:r>
      <w:r w:rsidRPr="008B4C99">
        <w:rPr>
          <w:rFonts w:ascii="Times New Roman" w:hAnsi="Times New Roman" w:cs="Times New Roman"/>
        </w:rPr>
        <w:t>, </w:t>
      </w:r>
      <w:r w:rsidRPr="008B4C99">
        <w:rPr>
          <w:rFonts w:ascii="Times New Roman" w:hAnsi="Times New Roman" w:cs="Times New Roman"/>
          <w:i/>
          <w:iCs/>
        </w:rPr>
        <w:t>9</w:t>
      </w:r>
      <w:r w:rsidRPr="008B4C99">
        <w:rPr>
          <w:rFonts w:ascii="Times New Roman" w:hAnsi="Times New Roman" w:cs="Times New Roman"/>
        </w:rPr>
        <w:t xml:space="preserve">(6). </w:t>
      </w:r>
    </w:p>
    <w:p w14:paraId="1182CACC" w14:textId="5EC3045E"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Nordin, M.</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2018</w:t>
      </w:r>
      <w:r w:rsidR="001D2FD5">
        <w:rPr>
          <w:rFonts w:ascii="Times New Roman" w:hAnsi="Times New Roman" w:cs="Times New Roman"/>
        </w:rPr>
        <w:t>)</w:t>
      </w:r>
      <w:r w:rsidRPr="008B4C99">
        <w:rPr>
          <w:rFonts w:ascii="Times New Roman" w:hAnsi="Times New Roman" w:cs="Times New Roman"/>
        </w:rPr>
        <w:t>. Does eligibility for tertiary education affect crime rates? Quasi-experimental</w:t>
      </w:r>
      <w:r w:rsidR="00365A2E">
        <w:rPr>
          <w:rFonts w:ascii="Times New Roman" w:hAnsi="Times New Roman" w:cs="Times New Roman"/>
        </w:rPr>
        <w:t xml:space="preserve"> </w:t>
      </w:r>
      <w:r w:rsidRPr="008B4C99">
        <w:rPr>
          <w:rFonts w:ascii="Times New Roman" w:hAnsi="Times New Roman" w:cs="Times New Roman"/>
        </w:rPr>
        <w:t>evidence. </w:t>
      </w:r>
      <w:r w:rsidRPr="008B4C99">
        <w:rPr>
          <w:rFonts w:ascii="Times New Roman" w:hAnsi="Times New Roman" w:cs="Times New Roman"/>
          <w:i/>
          <w:iCs/>
        </w:rPr>
        <w:t>Journal of quantitative criminology</w:t>
      </w:r>
      <w:r w:rsidRPr="008B4C99">
        <w:rPr>
          <w:rFonts w:ascii="Times New Roman" w:hAnsi="Times New Roman" w:cs="Times New Roman"/>
        </w:rPr>
        <w:t>, </w:t>
      </w:r>
      <w:r w:rsidRPr="008B4C99">
        <w:rPr>
          <w:rFonts w:ascii="Times New Roman" w:hAnsi="Times New Roman" w:cs="Times New Roman"/>
          <w:i/>
          <w:iCs/>
        </w:rPr>
        <w:t>34</w:t>
      </w:r>
      <w:r w:rsidRPr="008B4C99">
        <w:rPr>
          <w:rFonts w:ascii="Times New Roman" w:hAnsi="Times New Roman" w:cs="Times New Roman"/>
        </w:rPr>
        <w:t>(3), 805-829.</w:t>
      </w:r>
    </w:p>
    <w:p w14:paraId="6BFD0AE0" w14:textId="07256C01"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Onwuka, E., Ugwu, K., Chukwuma, E.</w:t>
      </w:r>
      <w:r w:rsidR="00365A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2020</w:t>
      </w:r>
      <w:r w:rsidR="001D2FD5">
        <w:rPr>
          <w:rFonts w:ascii="Times New Roman" w:hAnsi="Times New Roman" w:cs="Times New Roman"/>
        </w:rPr>
        <w:t>)</w:t>
      </w:r>
      <w:r w:rsidRPr="008B4C99">
        <w:rPr>
          <w:rFonts w:ascii="Times New Roman" w:hAnsi="Times New Roman" w:cs="Times New Roman"/>
        </w:rPr>
        <w:t xml:space="preserve">. Implications of youth unemployment and violent crime on the economic growth (a case study of Anambra State, Nigeria). </w:t>
      </w:r>
      <w:r w:rsidRPr="008B4C99">
        <w:rPr>
          <w:rFonts w:ascii="Times New Roman" w:hAnsi="Times New Roman" w:cs="Times New Roman"/>
          <w:i/>
          <w:iCs/>
        </w:rPr>
        <w:t>Australian Journal of Commerce Study</w:t>
      </w:r>
      <w:r w:rsidRPr="008B4C99">
        <w:rPr>
          <w:rFonts w:ascii="Times New Roman" w:hAnsi="Times New Roman" w:cs="Times New Roman"/>
        </w:rPr>
        <w:t>.</w:t>
      </w:r>
    </w:p>
    <w:p w14:paraId="736374CA" w14:textId="2AD7CC00" w:rsidR="008B4C99" w:rsidRPr="000C662E" w:rsidRDefault="008B4C99" w:rsidP="000C662E">
      <w:pPr>
        <w:spacing w:after="0" w:line="480" w:lineRule="auto"/>
        <w:jc w:val="both"/>
        <w:rPr>
          <w:rFonts w:ascii="Times New Roman" w:hAnsi="Times New Roman" w:cs="Times New Roman"/>
          <w:i/>
          <w:iCs/>
        </w:rPr>
      </w:pPr>
      <w:r w:rsidRPr="008B4C99">
        <w:rPr>
          <w:rFonts w:ascii="Times New Roman" w:hAnsi="Times New Roman" w:cs="Times New Roman"/>
        </w:rPr>
        <w:t>Opie, C.</w:t>
      </w:r>
      <w:r w:rsidR="000C66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2019</w:t>
      </w:r>
      <w:r w:rsidR="001D2FD5">
        <w:rPr>
          <w:rFonts w:ascii="Times New Roman" w:hAnsi="Times New Roman" w:cs="Times New Roman"/>
        </w:rPr>
        <w:t>)</w:t>
      </w:r>
      <w:r w:rsidRPr="008B4C99">
        <w:rPr>
          <w:rFonts w:ascii="Times New Roman" w:hAnsi="Times New Roman" w:cs="Times New Roman"/>
        </w:rPr>
        <w:t>. Using excel/spas in your research. </w:t>
      </w:r>
      <w:r w:rsidRPr="008B4C99">
        <w:rPr>
          <w:rFonts w:ascii="Times New Roman" w:hAnsi="Times New Roman" w:cs="Times New Roman"/>
          <w:i/>
          <w:iCs/>
        </w:rPr>
        <w:t>Getting Started in Your Educational Research: Design, Data Production, and Analysis</w:t>
      </w:r>
      <w:r w:rsidRPr="008B4C99">
        <w:rPr>
          <w:rFonts w:ascii="Times New Roman" w:hAnsi="Times New Roman" w:cs="Times New Roman"/>
        </w:rPr>
        <w:t>, </w:t>
      </w:r>
      <w:r w:rsidRPr="008B4C99">
        <w:rPr>
          <w:rFonts w:ascii="Times New Roman" w:hAnsi="Times New Roman" w:cs="Times New Roman"/>
          <w:i/>
          <w:iCs/>
        </w:rPr>
        <w:t>309</w:t>
      </w:r>
      <w:r w:rsidRPr="008B4C99">
        <w:rPr>
          <w:rFonts w:ascii="Times New Roman" w:hAnsi="Times New Roman" w:cs="Times New Roman"/>
        </w:rPr>
        <w:t>.</w:t>
      </w:r>
    </w:p>
    <w:p w14:paraId="49846637" w14:textId="7CC6310E"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Pramila Malik, S.</w:t>
      </w:r>
      <w:r w:rsidR="000C66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2021</w:t>
      </w:r>
      <w:r w:rsidR="001D2FD5">
        <w:rPr>
          <w:rFonts w:ascii="Times New Roman" w:hAnsi="Times New Roman" w:cs="Times New Roman"/>
        </w:rPr>
        <w:t>)</w:t>
      </w:r>
      <w:r w:rsidRPr="008B4C99">
        <w:rPr>
          <w:rFonts w:ascii="Times New Roman" w:hAnsi="Times New Roman" w:cs="Times New Roman"/>
        </w:rPr>
        <w:t xml:space="preserve">. Advantages And Disadvantages Of Online Learning Resources For </w:t>
      </w:r>
    </w:p>
    <w:p w14:paraId="77521721" w14:textId="77777777"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Students. </w:t>
      </w:r>
      <w:r w:rsidRPr="008B4C99">
        <w:rPr>
          <w:rFonts w:ascii="Times New Roman" w:hAnsi="Times New Roman" w:cs="Times New Roman"/>
          <w:i/>
          <w:iCs/>
        </w:rPr>
        <w:t>NVEO-NATURAL VOLATILES &amp; ESSENTIAL OILS Journal| NVEO</w:t>
      </w:r>
      <w:r w:rsidRPr="008B4C99">
        <w:rPr>
          <w:rFonts w:ascii="Times New Roman" w:hAnsi="Times New Roman" w:cs="Times New Roman"/>
        </w:rPr>
        <w:t>, 1656-1664.</w:t>
      </w:r>
    </w:p>
    <w:p w14:paraId="234E5450" w14:textId="6682CD30"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 xml:space="preserve">Rahman, A., Muktadir, M. G. SPSS: An Imperative Quantitative Data Analysis Tool for </w:t>
      </w:r>
    </w:p>
    <w:p w14:paraId="0F053657" w14:textId="367D32B4"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Social Science Research.</w:t>
      </w:r>
    </w:p>
    <w:p w14:paraId="560260B3" w14:textId="04D744DC" w:rsidR="008B4C99" w:rsidRPr="008B4C99" w:rsidRDefault="008B4C99" w:rsidP="000C662E">
      <w:pPr>
        <w:spacing w:after="0" w:line="480" w:lineRule="auto"/>
        <w:jc w:val="both"/>
        <w:rPr>
          <w:rFonts w:ascii="Times New Roman" w:hAnsi="Times New Roman" w:cs="Times New Roman"/>
          <w:i/>
          <w:iCs/>
        </w:rPr>
      </w:pPr>
      <w:r w:rsidRPr="008B4C99">
        <w:rPr>
          <w:rFonts w:ascii="Times New Roman" w:hAnsi="Times New Roman" w:cs="Times New Roman"/>
        </w:rPr>
        <w:t>Recher, V.</w:t>
      </w:r>
      <w:r w:rsidR="000C66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2020</w:t>
      </w:r>
      <w:r w:rsidR="001D2FD5">
        <w:rPr>
          <w:rFonts w:ascii="Times New Roman" w:hAnsi="Times New Roman" w:cs="Times New Roman"/>
        </w:rPr>
        <w:t>)</w:t>
      </w:r>
      <w:r w:rsidRPr="008B4C99">
        <w:rPr>
          <w:rFonts w:ascii="Times New Roman" w:hAnsi="Times New Roman" w:cs="Times New Roman"/>
        </w:rPr>
        <w:t>. Unemployment and property crime: evidence from Croatia. </w:t>
      </w:r>
      <w:r w:rsidRPr="008B4C99">
        <w:rPr>
          <w:rFonts w:ascii="Times New Roman" w:hAnsi="Times New Roman" w:cs="Times New Roman"/>
          <w:i/>
          <w:iCs/>
        </w:rPr>
        <w:t xml:space="preserve">Crime, Law and </w:t>
      </w:r>
    </w:p>
    <w:p w14:paraId="34449C9A" w14:textId="77777777"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i/>
          <w:iCs/>
        </w:rPr>
        <w:tab/>
        <w:t>Social Change</w:t>
      </w:r>
      <w:r w:rsidRPr="008B4C99">
        <w:rPr>
          <w:rFonts w:ascii="Times New Roman" w:hAnsi="Times New Roman" w:cs="Times New Roman"/>
        </w:rPr>
        <w:t>, </w:t>
      </w:r>
      <w:r w:rsidRPr="008B4C99">
        <w:rPr>
          <w:rFonts w:ascii="Times New Roman" w:hAnsi="Times New Roman" w:cs="Times New Roman"/>
          <w:i/>
          <w:iCs/>
        </w:rPr>
        <w:t>73</w:t>
      </w:r>
      <w:r w:rsidRPr="008B4C99">
        <w:rPr>
          <w:rFonts w:ascii="Times New Roman" w:hAnsi="Times New Roman" w:cs="Times New Roman"/>
        </w:rPr>
        <w:t xml:space="preserve">(3), 357-376. </w:t>
      </w:r>
    </w:p>
    <w:p w14:paraId="610BEA37" w14:textId="2F505A17" w:rsidR="008B4C99" w:rsidRPr="000C662E" w:rsidRDefault="008B4C99" w:rsidP="000C662E">
      <w:pPr>
        <w:spacing w:after="0" w:line="480" w:lineRule="auto"/>
        <w:jc w:val="both"/>
        <w:rPr>
          <w:rFonts w:ascii="Times New Roman" w:hAnsi="Times New Roman" w:cs="Times New Roman"/>
          <w:i/>
          <w:iCs/>
        </w:rPr>
      </w:pPr>
      <w:r w:rsidRPr="008B4C99">
        <w:rPr>
          <w:rFonts w:ascii="Times New Roman" w:hAnsi="Times New Roman" w:cs="Times New Roman"/>
        </w:rPr>
        <w:t>Rijdt, T.</w:t>
      </w:r>
      <w:r w:rsidR="000C662E">
        <w:rPr>
          <w:rFonts w:ascii="Times New Roman" w:hAnsi="Times New Roman" w:cs="Times New Roman"/>
        </w:rPr>
        <w:t>,</w:t>
      </w:r>
      <w:r w:rsidR="001D2FD5">
        <w:rPr>
          <w:rFonts w:ascii="Times New Roman" w:hAnsi="Times New Roman" w:cs="Times New Roman"/>
        </w:rPr>
        <w:t xml:space="preserve"> (</w:t>
      </w:r>
      <w:r w:rsidRPr="008B4C99">
        <w:rPr>
          <w:rFonts w:ascii="Times New Roman" w:hAnsi="Times New Roman" w:cs="Times New Roman"/>
        </w:rPr>
        <w:t>2021</w:t>
      </w:r>
      <w:r w:rsidR="001D2FD5">
        <w:rPr>
          <w:rFonts w:ascii="Times New Roman" w:hAnsi="Times New Roman" w:cs="Times New Roman"/>
        </w:rPr>
        <w:t>)</w:t>
      </w:r>
      <w:r w:rsidRPr="008B4C99">
        <w:rPr>
          <w:rFonts w:ascii="Times New Roman" w:hAnsi="Times New Roman" w:cs="Times New Roman"/>
        </w:rPr>
        <w:t>. </w:t>
      </w:r>
      <w:r w:rsidRPr="008B4C99">
        <w:rPr>
          <w:rFonts w:ascii="Times New Roman" w:hAnsi="Times New Roman" w:cs="Times New Roman"/>
          <w:i/>
          <w:iCs/>
        </w:rPr>
        <w:t>The relation between migration background and crime from an age, education, and gender perspective</w:t>
      </w:r>
      <w:r w:rsidRPr="008B4C99">
        <w:rPr>
          <w:rFonts w:ascii="Times New Roman" w:hAnsi="Times New Roman" w:cs="Times New Roman"/>
        </w:rPr>
        <w:t xml:space="preserve"> (Doctoral dissertation). </w:t>
      </w:r>
    </w:p>
    <w:p w14:paraId="2BA94D6E" w14:textId="78EAA02E"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lastRenderedPageBreak/>
        <w:t>Romero, C., Ventura, S.</w:t>
      </w:r>
      <w:r w:rsidR="000C66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2020</w:t>
      </w:r>
      <w:r w:rsidR="001D2FD5">
        <w:rPr>
          <w:rFonts w:ascii="Times New Roman" w:hAnsi="Times New Roman" w:cs="Times New Roman"/>
        </w:rPr>
        <w:t>)</w:t>
      </w:r>
      <w:r w:rsidRPr="008B4C99">
        <w:rPr>
          <w:rFonts w:ascii="Times New Roman" w:hAnsi="Times New Roman" w:cs="Times New Roman"/>
        </w:rPr>
        <w:t>. Educational data mining and learning analytics: An updated survey. </w:t>
      </w:r>
      <w:r w:rsidRPr="008B4C99">
        <w:rPr>
          <w:rFonts w:ascii="Times New Roman" w:hAnsi="Times New Roman" w:cs="Times New Roman"/>
          <w:i/>
          <w:iCs/>
        </w:rPr>
        <w:t>Wiley Interdisciplinary Reviews: Data Mining and Knowledge Discovery</w:t>
      </w:r>
      <w:r w:rsidRPr="008B4C99">
        <w:rPr>
          <w:rFonts w:ascii="Times New Roman" w:hAnsi="Times New Roman" w:cs="Times New Roman"/>
        </w:rPr>
        <w:t>, </w:t>
      </w:r>
      <w:r w:rsidRPr="008B4C99">
        <w:rPr>
          <w:rFonts w:ascii="Times New Roman" w:hAnsi="Times New Roman" w:cs="Times New Roman"/>
          <w:i/>
          <w:iCs/>
        </w:rPr>
        <w:t>10</w:t>
      </w:r>
      <w:r w:rsidRPr="008B4C99">
        <w:rPr>
          <w:rFonts w:ascii="Times New Roman" w:hAnsi="Times New Roman" w:cs="Times New Roman"/>
        </w:rPr>
        <w:t>(3), e1355.</w:t>
      </w:r>
    </w:p>
    <w:p w14:paraId="0754CA5D" w14:textId="594D53DA" w:rsidR="008B4C99" w:rsidRPr="008B4C99" w:rsidRDefault="008B4C99" w:rsidP="000C662E">
      <w:pPr>
        <w:spacing w:after="0" w:line="480" w:lineRule="auto"/>
        <w:jc w:val="both"/>
        <w:rPr>
          <w:rFonts w:ascii="Times New Roman" w:hAnsi="Times New Roman" w:cs="Times New Roman"/>
        </w:rPr>
      </w:pPr>
      <w:r w:rsidRPr="008B4C99">
        <w:rPr>
          <w:rFonts w:ascii="Times New Roman" w:hAnsi="Times New Roman" w:cs="Times New Roman"/>
        </w:rPr>
        <w:t xml:space="preserve">Zaman, K., Usman, B., Sheikh, S., Khan, A., Koenig, A., Rosman, A., ... </w:t>
      </w:r>
      <w:r w:rsidR="000C662E">
        <w:rPr>
          <w:rFonts w:ascii="Times New Roman" w:hAnsi="Times New Roman" w:cs="Times New Roman"/>
        </w:rPr>
        <w:t>H</w:t>
      </w:r>
      <w:r w:rsidRPr="008B4C99">
        <w:rPr>
          <w:rFonts w:ascii="Times New Roman" w:hAnsi="Times New Roman" w:cs="Times New Roman"/>
        </w:rPr>
        <w:t>ishan, S.</w:t>
      </w:r>
      <w:r w:rsidR="000C662E">
        <w:rPr>
          <w:rFonts w:ascii="Times New Roman" w:hAnsi="Times New Roman" w:cs="Times New Roman"/>
        </w:rPr>
        <w:t xml:space="preserve">, </w:t>
      </w:r>
      <w:r w:rsidR="001D2FD5">
        <w:rPr>
          <w:rFonts w:ascii="Times New Roman" w:hAnsi="Times New Roman" w:cs="Times New Roman"/>
        </w:rPr>
        <w:t>(</w:t>
      </w:r>
      <w:r w:rsidRPr="008B4C99">
        <w:rPr>
          <w:rFonts w:ascii="Times New Roman" w:hAnsi="Times New Roman" w:cs="Times New Roman"/>
        </w:rPr>
        <w:t>2019</w:t>
      </w:r>
      <w:r w:rsidR="001D2FD5">
        <w:rPr>
          <w:rFonts w:ascii="Times New Roman" w:hAnsi="Times New Roman" w:cs="Times New Roman"/>
        </w:rPr>
        <w:t>)</w:t>
      </w:r>
      <w:r w:rsidRPr="008B4C99">
        <w:rPr>
          <w:rFonts w:ascii="Times New Roman" w:hAnsi="Times New Roman" w:cs="Times New Roman"/>
        </w:rPr>
        <w:t>. Managing crime through quality education: A model of justice. </w:t>
      </w:r>
      <w:r w:rsidRPr="008B4C99">
        <w:rPr>
          <w:rFonts w:ascii="Times New Roman" w:hAnsi="Times New Roman" w:cs="Times New Roman"/>
          <w:i/>
          <w:iCs/>
        </w:rPr>
        <w:t>Science &amp; Justice</w:t>
      </w:r>
      <w:r w:rsidRPr="008B4C99">
        <w:rPr>
          <w:rFonts w:ascii="Times New Roman" w:hAnsi="Times New Roman" w:cs="Times New Roman"/>
        </w:rPr>
        <w:t>, </w:t>
      </w:r>
      <w:r w:rsidRPr="008B4C99">
        <w:rPr>
          <w:rFonts w:ascii="Times New Roman" w:hAnsi="Times New Roman" w:cs="Times New Roman"/>
          <w:i/>
          <w:iCs/>
        </w:rPr>
        <w:t>59</w:t>
      </w:r>
      <w:r w:rsidRPr="008B4C99">
        <w:rPr>
          <w:rFonts w:ascii="Times New Roman" w:hAnsi="Times New Roman" w:cs="Times New Roman"/>
        </w:rPr>
        <w:t>(6), 597-605.</w:t>
      </w:r>
    </w:p>
    <w:p w14:paraId="09E1CBDC" w14:textId="77777777" w:rsidR="008B4C99" w:rsidRPr="008B4C99" w:rsidRDefault="008B4C99" w:rsidP="000C662E">
      <w:pPr>
        <w:spacing w:line="480" w:lineRule="auto"/>
        <w:jc w:val="both"/>
        <w:rPr>
          <w:rFonts w:ascii="Times New Roman" w:hAnsi="Times New Roman" w:cs="Times New Roman"/>
        </w:rPr>
      </w:pPr>
    </w:p>
    <w:p w14:paraId="2220AE78" w14:textId="77777777" w:rsidR="00F75A87" w:rsidRPr="008B4C99" w:rsidRDefault="00F75A87" w:rsidP="00742243">
      <w:pPr>
        <w:spacing w:line="480" w:lineRule="auto"/>
        <w:rPr>
          <w:rFonts w:ascii="Times New Roman" w:hAnsi="Times New Roman" w:cs="Times New Roman"/>
        </w:rPr>
      </w:pPr>
    </w:p>
    <w:sectPr w:rsidR="00F75A87" w:rsidRPr="008B4C99" w:rsidSect="008B4C99">
      <w:footerReference w:type="default" r:id="rId13"/>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6F8FC" w14:textId="77777777" w:rsidR="00474B5C" w:rsidRDefault="00474B5C" w:rsidP="008B4C99">
      <w:pPr>
        <w:spacing w:after="0" w:line="240" w:lineRule="auto"/>
      </w:pPr>
      <w:r>
        <w:separator/>
      </w:r>
    </w:p>
  </w:endnote>
  <w:endnote w:type="continuationSeparator" w:id="0">
    <w:p w14:paraId="26E17D55" w14:textId="77777777" w:rsidR="00474B5C" w:rsidRDefault="00474B5C" w:rsidP="008B4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4415666"/>
      <w:docPartObj>
        <w:docPartGallery w:val="Page Numbers (Bottom of Page)"/>
        <w:docPartUnique/>
      </w:docPartObj>
    </w:sdtPr>
    <w:sdtEndPr>
      <w:rPr>
        <w:noProof/>
      </w:rPr>
    </w:sdtEndPr>
    <w:sdtContent>
      <w:p w14:paraId="1CE066F2" w14:textId="34B1209C" w:rsidR="008B4C99" w:rsidRDefault="008B4C9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E341C8D" w14:textId="77777777" w:rsidR="008B4C99" w:rsidRDefault="008B4C9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7CCF9" w14:textId="77777777" w:rsidR="00474B5C" w:rsidRDefault="00474B5C" w:rsidP="008B4C99">
      <w:pPr>
        <w:spacing w:after="0" w:line="240" w:lineRule="auto"/>
      </w:pPr>
      <w:r>
        <w:separator/>
      </w:r>
    </w:p>
  </w:footnote>
  <w:footnote w:type="continuationSeparator" w:id="0">
    <w:p w14:paraId="27B525ED" w14:textId="77777777" w:rsidR="00474B5C" w:rsidRDefault="00474B5C" w:rsidP="008B4C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546"/>
    <w:rsid w:val="000C662E"/>
    <w:rsid w:val="000E1C96"/>
    <w:rsid w:val="000F6250"/>
    <w:rsid w:val="001507B7"/>
    <w:rsid w:val="001D2FD5"/>
    <w:rsid w:val="00282476"/>
    <w:rsid w:val="00337968"/>
    <w:rsid w:val="00365A2E"/>
    <w:rsid w:val="0046544A"/>
    <w:rsid w:val="00474B5C"/>
    <w:rsid w:val="005F459E"/>
    <w:rsid w:val="006E4A76"/>
    <w:rsid w:val="00742243"/>
    <w:rsid w:val="008B4C99"/>
    <w:rsid w:val="00914438"/>
    <w:rsid w:val="00D14546"/>
    <w:rsid w:val="00F75A87"/>
    <w:rsid w:val="00FB0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6D677"/>
  <w15:chartTrackingRefBased/>
  <w15:docId w15:val="{81B3BA25-D0B5-4C56-8177-2059E7B73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C99"/>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8B4C9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B4C99"/>
  </w:style>
  <w:style w:type="paragraph" w:styleId="Subsol">
    <w:name w:val="footer"/>
    <w:basedOn w:val="Normal"/>
    <w:link w:val="SubsolCaracter"/>
    <w:uiPriority w:val="99"/>
    <w:unhideWhenUsed/>
    <w:rsid w:val="008B4C9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B4C99"/>
  </w:style>
  <w:style w:type="table" w:styleId="Tabelgril">
    <w:name w:val="Table Grid"/>
    <w:basedOn w:val="TabelNormal"/>
    <w:uiPriority w:val="39"/>
    <w:rsid w:val="008B4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14/relationships/chartEx" Target="charts/chartEx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4.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user\Downloads\Ice_cream_csv%20(1).csv" TargetMode="External"/><Relationship Id="rId4" Type="http://schemas.openxmlformats.org/officeDocument/2006/relationships/themeOverride" Target="../theme/themeOverrid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[Crime_data.csv]Sheet1!PivotTable1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Crime</a:t>
            </a:r>
            <a:r>
              <a:rPr lang="en-US" sz="1200" baseline="0">
                <a:latin typeface="Times New Roman" panose="02020603050405020304" pitchFamily="18" charset="0"/>
                <a:cs typeface="Times New Roman" panose="02020603050405020304" pitchFamily="18" charset="0"/>
              </a:rPr>
              <a:t> Rate Among the Youth</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pivotFmt>
      <c:pivotFmt>
        <c:idx val="3"/>
        <c:spPr>
          <a:solidFill>
            <a:schemeClr val="accent1"/>
          </a:solidFill>
          <a:ln w="28575" cap="rnd">
            <a:solidFill>
              <a:schemeClr val="accent1"/>
            </a:solidFill>
            <a:round/>
          </a:ln>
          <a:effectLst/>
        </c:spPr>
        <c:marker>
          <c:symbol val="none"/>
        </c:marker>
      </c:pivotFmt>
      <c:pivotFmt>
        <c:idx val="4"/>
        <c:spPr>
          <a:solidFill>
            <a:schemeClr val="accent1"/>
          </a:solidFill>
          <a:ln w="28575" cap="rnd">
            <a:solidFill>
              <a:schemeClr val="accent1"/>
            </a:solidFill>
            <a:round/>
          </a:ln>
          <a:effectLst/>
        </c:spPr>
        <c:marker>
          <c:symbol val="none"/>
        </c:marker>
      </c:pivotFmt>
      <c:pivotFmt>
        <c:idx val="5"/>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Sheet1!$B$3</c:f>
              <c:strCache>
                <c:ptCount val="1"/>
                <c:pt idx="0">
                  <c:v>Sum of CrimeRate</c:v>
                </c:pt>
              </c:strCache>
            </c:strRef>
          </c:tx>
          <c:spPr>
            <a:ln w="28575" cap="rnd">
              <a:solidFill>
                <a:schemeClr val="accent1"/>
              </a:solidFill>
              <a:round/>
            </a:ln>
            <a:effectLst/>
          </c:spPr>
          <c:marker>
            <c:symbol val="none"/>
          </c:marker>
          <c:cat>
            <c:multiLvlStrRef>
              <c:f>Sheet1!$A$4:$A$75</c:f>
              <c:multiLvlStrCache>
                <c:ptCount val="45"/>
                <c:lvl>
                  <c:pt idx="0">
                    <c:v>119</c:v>
                  </c:pt>
                  <c:pt idx="1">
                    <c:v>126</c:v>
                  </c:pt>
                  <c:pt idx="2">
                    <c:v>127</c:v>
                  </c:pt>
                  <c:pt idx="3">
                    <c:v>126</c:v>
                  </c:pt>
                  <c:pt idx="4">
                    <c:v>130</c:v>
                  </c:pt>
                  <c:pt idx="5">
                    <c:v>128</c:v>
                  </c:pt>
                  <c:pt idx="6">
                    <c:v>140</c:v>
                  </c:pt>
                  <c:pt idx="7">
                    <c:v>131</c:v>
                  </c:pt>
                  <c:pt idx="8">
                    <c:v>121</c:v>
                  </c:pt>
                  <c:pt idx="9">
                    <c:v>131</c:v>
                  </c:pt>
                  <c:pt idx="10">
                    <c:v>134</c:v>
                  </c:pt>
                  <c:pt idx="11">
                    <c:v>123</c:v>
                  </c:pt>
                  <c:pt idx="12">
                    <c:v>124</c:v>
                  </c:pt>
                  <c:pt idx="13">
                    <c:v>125</c:v>
                  </c:pt>
                  <c:pt idx="14">
                    <c:v>126</c:v>
                  </c:pt>
                  <c:pt idx="15">
                    <c:v>131</c:v>
                  </c:pt>
                  <c:pt idx="16">
                    <c:v>133</c:v>
                  </c:pt>
                  <c:pt idx="17">
                    <c:v>135</c:v>
                  </c:pt>
                  <c:pt idx="18">
                    <c:v>148</c:v>
                  </c:pt>
                  <c:pt idx="19">
                    <c:v>132</c:v>
                  </c:pt>
                  <c:pt idx="20">
                    <c:v>135</c:v>
                  </c:pt>
                  <c:pt idx="21">
                    <c:v>140</c:v>
                  </c:pt>
                  <c:pt idx="22">
                    <c:v>135</c:v>
                  </c:pt>
                  <c:pt idx="23">
                    <c:v>139</c:v>
                  </c:pt>
                  <c:pt idx="24">
                    <c:v>147</c:v>
                  </c:pt>
                  <c:pt idx="25">
                    <c:v>125</c:v>
                  </c:pt>
                  <c:pt idx="26">
                    <c:v>136</c:v>
                  </c:pt>
                  <c:pt idx="27">
                    <c:v>141</c:v>
                  </c:pt>
                  <c:pt idx="28">
                    <c:v>142</c:v>
                  </c:pt>
                  <c:pt idx="29">
                    <c:v>143</c:v>
                  </c:pt>
                  <c:pt idx="30">
                    <c:v>143</c:v>
                  </c:pt>
                  <c:pt idx="31">
                    <c:v>142</c:v>
                  </c:pt>
                  <c:pt idx="32">
                    <c:v>149</c:v>
                  </c:pt>
                  <c:pt idx="33">
                    <c:v>152</c:v>
                  </c:pt>
                  <c:pt idx="34">
                    <c:v>152</c:v>
                  </c:pt>
                  <c:pt idx="35">
                    <c:v>130</c:v>
                  </c:pt>
                  <c:pt idx="36">
                    <c:v>141</c:v>
                  </c:pt>
                  <c:pt idx="37">
                    <c:v>150</c:v>
                  </c:pt>
                  <c:pt idx="38">
                    <c:v>157</c:v>
                  </c:pt>
                  <c:pt idx="39">
                    <c:v>166</c:v>
                  </c:pt>
                  <c:pt idx="40">
                    <c:v>145</c:v>
                  </c:pt>
                  <c:pt idx="41">
                    <c:v>157</c:v>
                  </c:pt>
                  <c:pt idx="42">
                    <c:v>151</c:v>
                  </c:pt>
                  <c:pt idx="43">
                    <c:v>162</c:v>
                  </c:pt>
                  <c:pt idx="44">
                    <c:v>177</c:v>
                  </c:pt>
                </c:lvl>
                <c:lvl>
                  <c:pt idx="0">
                    <c:v>120</c:v>
                  </c:pt>
                  <c:pt idx="1">
                    <c:v>125</c:v>
                  </c:pt>
                  <c:pt idx="3">
                    <c:v>126</c:v>
                  </c:pt>
                  <c:pt idx="4">
                    <c:v>127</c:v>
                  </c:pt>
                  <c:pt idx="5">
                    <c:v>128</c:v>
                  </c:pt>
                  <c:pt idx="6">
                    <c:v>130</c:v>
                  </c:pt>
                  <c:pt idx="7">
                    <c:v>131</c:v>
                  </c:pt>
                  <c:pt idx="8">
                    <c:v>132</c:v>
                  </c:pt>
                  <c:pt idx="10">
                    <c:v>133</c:v>
                  </c:pt>
                  <c:pt idx="11">
                    <c:v>134</c:v>
                  </c:pt>
                  <c:pt idx="19">
                    <c:v>135</c:v>
                  </c:pt>
                  <c:pt idx="22">
                    <c:v>137</c:v>
                  </c:pt>
                  <c:pt idx="23">
                    <c:v>139</c:v>
                  </c:pt>
                  <c:pt idx="25">
                    <c:v>140</c:v>
                  </c:pt>
                  <c:pt idx="27">
                    <c:v>142</c:v>
                  </c:pt>
                  <c:pt idx="30">
                    <c:v>143</c:v>
                  </c:pt>
                  <c:pt idx="31">
                    <c:v>147</c:v>
                  </c:pt>
                  <c:pt idx="32">
                    <c:v>150</c:v>
                  </c:pt>
                  <c:pt idx="33">
                    <c:v>151</c:v>
                  </c:pt>
                  <c:pt idx="34">
                    <c:v>152</c:v>
                  </c:pt>
                  <c:pt idx="35">
                    <c:v>153</c:v>
                  </c:pt>
                  <c:pt idx="40">
                    <c:v>154</c:v>
                  </c:pt>
                  <c:pt idx="41">
                    <c:v>156</c:v>
                  </c:pt>
                  <c:pt idx="42">
                    <c:v>161</c:v>
                  </c:pt>
                  <c:pt idx="43">
                    <c:v>162</c:v>
                  </c:pt>
                  <c:pt idx="44">
                    <c:v>164</c:v>
                  </c:pt>
                </c:lvl>
              </c:multiLvlStrCache>
            </c:multiLvlStrRef>
          </c:cat>
          <c:val>
            <c:numRef>
              <c:f>Sheet1!$B$4:$B$75</c:f>
              <c:numCache>
                <c:formatCode>General</c:formatCode>
                <c:ptCount val="45"/>
                <c:pt idx="0">
                  <c:v>119.7</c:v>
                </c:pt>
                <c:pt idx="1">
                  <c:v>64.2</c:v>
                </c:pt>
                <c:pt idx="2">
                  <c:v>114.3</c:v>
                </c:pt>
                <c:pt idx="3">
                  <c:v>108.3</c:v>
                </c:pt>
                <c:pt idx="4">
                  <c:v>94.3</c:v>
                </c:pt>
                <c:pt idx="5">
                  <c:v>67.599999999999994</c:v>
                </c:pt>
                <c:pt idx="6">
                  <c:v>88</c:v>
                </c:pt>
                <c:pt idx="7">
                  <c:v>145.4</c:v>
                </c:pt>
                <c:pt idx="8">
                  <c:v>84.9</c:v>
                </c:pt>
                <c:pt idx="9">
                  <c:v>161.80000000000001</c:v>
                </c:pt>
                <c:pt idx="10">
                  <c:v>104.3</c:v>
                </c:pt>
                <c:pt idx="11">
                  <c:v>82.3</c:v>
                </c:pt>
                <c:pt idx="12">
                  <c:v>154.30000000000001</c:v>
                </c:pt>
                <c:pt idx="13">
                  <c:v>95.3</c:v>
                </c:pt>
                <c:pt idx="14">
                  <c:v>92.3</c:v>
                </c:pt>
                <c:pt idx="15">
                  <c:v>115.1</c:v>
                </c:pt>
                <c:pt idx="16">
                  <c:v>78.099999999999994</c:v>
                </c:pt>
                <c:pt idx="17">
                  <c:v>109.4</c:v>
                </c:pt>
                <c:pt idx="18">
                  <c:v>107.2</c:v>
                </c:pt>
                <c:pt idx="19">
                  <c:v>127.2</c:v>
                </c:pt>
                <c:pt idx="20">
                  <c:v>45.5</c:v>
                </c:pt>
                <c:pt idx="21">
                  <c:v>52.3</c:v>
                </c:pt>
                <c:pt idx="22">
                  <c:v>83.1</c:v>
                </c:pt>
                <c:pt idx="23">
                  <c:v>60.3</c:v>
                </c:pt>
                <c:pt idx="24">
                  <c:v>121.6</c:v>
                </c:pt>
                <c:pt idx="25">
                  <c:v>135.5</c:v>
                </c:pt>
                <c:pt idx="26">
                  <c:v>274.89999999999998</c:v>
                </c:pt>
                <c:pt idx="27">
                  <c:v>137.80000000000001</c:v>
                </c:pt>
                <c:pt idx="28">
                  <c:v>79.8</c:v>
                </c:pt>
                <c:pt idx="29">
                  <c:v>149.30000000000001</c:v>
                </c:pt>
                <c:pt idx="30">
                  <c:v>73.2</c:v>
                </c:pt>
                <c:pt idx="31">
                  <c:v>112.1</c:v>
                </c:pt>
                <c:pt idx="32">
                  <c:v>99.9</c:v>
                </c:pt>
                <c:pt idx="33">
                  <c:v>132.4</c:v>
                </c:pt>
                <c:pt idx="34">
                  <c:v>97.4</c:v>
                </c:pt>
                <c:pt idx="35">
                  <c:v>176.4</c:v>
                </c:pt>
                <c:pt idx="36">
                  <c:v>75</c:v>
                </c:pt>
                <c:pt idx="37">
                  <c:v>140.80000000000001</c:v>
                </c:pt>
                <c:pt idx="38">
                  <c:v>56.6</c:v>
                </c:pt>
                <c:pt idx="39">
                  <c:v>85.6</c:v>
                </c:pt>
                <c:pt idx="40">
                  <c:v>123.4</c:v>
                </c:pt>
                <c:pt idx="41">
                  <c:v>106.6</c:v>
                </c:pt>
                <c:pt idx="42">
                  <c:v>96.8</c:v>
                </c:pt>
                <c:pt idx="43">
                  <c:v>98.7</c:v>
                </c:pt>
                <c:pt idx="44">
                  <c:v>103</c:v>
                </c:pt>
              </c:numCache>
            </c:numRef>
          </c:val>
          <c:smooth val="0"/>
          <c:extLst>
            <c:ext xmlns:c16="http://schemas.microsoft.com/office/drawing/2014/chart" uri="{C3380CC4-5D6E-409C-BE32-E72D297353CC}">
              <c16:uniqueId val="{00000000-B815-4217-8D72-3F7653CBBCC1}"/>
            </c:ext>
          </c:extLst>
        </c:ser>
        <c:ser>
          <c:idx val="1"/>
          <c:order val="1"/>
          <c:tx>
            <c:strRef>
              <c:f>Sheet1!$C$3</c:f>
              <c:strCache>
                <c:ptCount val="1"/>
                <c:pt idx="0">
                  <c:v>Sum of CrimeRate10</c:v>
                </c:pt>
              </c:strCache>
            </c:strRef>
          </c:tx>
          <c:spPr>
            <a:ln w="28575" cap="rnd">
              <a:solidFill>
                <a:schemeClr val="accent2"/>
              </a:solidFill>
              <a:round/>
            </a:ln>
            <a:effectLst/>
          </c:spPr>
          <c:marker>
            <c:symbol val="none"/>
          </c:marker>
          <c:cat>
            <c:multiLvlStrRef>
              <c:f>Sheet1!$A$4:$A$75</c:f>
              <c:multiLvlStrCache>
                <c:ptCount val="45"/>
                <c:lvl>
                  <c:pt idx="0">
                    <c:v>119</c:v>
                  </c:pt>
                  <c:pt idx="1">
                    <c:v>126</c:v>
                  </c:pt>
                  <c:pt idx="2">
                    <c:v>127</c:v>
                  </c:pt>
                  <c:pt idx="3">
                    <c:v>126</c:v>
                  </c:pt>
                  <c:pt idx="4">
                    <c:v>130</c:v>
                  </c:pt>
                  <c:pt idx="5">
                    <c:v>128</c:v>
                  </c:pt>
                  <c:pt idx="6">
                    <c:v>140</c:v>
                  </c:pt>
                  <c:pt idx="7">
                    <c:v>131</c:v>
                  </c:pt>
                  <c:pt idx="8">
                    <c:v>121</c:v>
                  </c:pt>
                  <c:pt idx="9">
                    <c:v>131</c:v>
                  </c:pt>
                  <c:pt idx="10">
                    <c:v>134</c:v>
                  </c:pt>
                  <c:pt idx="11">
                    <c:v>123</c:v>
                  </c:pt>
                  <c:pt idx="12">
                    <c:v>124</c:v>
                  </c:pt>
                  <c:pt idx="13">
                    <c:v>125</c:v>
                  </c:pt>
                  <c:pt idx="14">
                    <c:v>126</c:v>
                  </c:pt>
                  <c:pt idx="15">
                    <c:v>131</c:v>
                  </c:pt>
                  <c:pt idx="16">
                    <c:v>133</c:v>
                  </c:pt>
                  <c:pt idx="17">
                    <c:v>135</c:v>
                  </c:pt>
                  <c:pt idx="18">
                    <c:v>148</c:v>
                  </c:pt>
                  <c:pt idx="19">
                    <c:v>132</c:v>
                  </c:pt>
                  <c:pt idx="20">
                    <c:v>135</c:v>
                  </c:pt>
                  <c:pt idx="21">
                    <c:v>140</c:v>
                  </c:pt>
                  <c:pt idx="22">
                    <c:v>135</c:v>
                  </c:pt>
                  <c:pt idx="23">
                    <c:v>139</c:v>
                  </c:pt>
                  <c:pt idx="24">
                    <c:v>147</c:v>
                  </c:pt>
                  <c:pt idx="25">
                    <c:v>125</c:v>
                  </c:pt>
                  <c:pt idx="26">
                    <c:v>136</c:v>
                  </c:pt>
                  <c:pt idx="27">
                    <c:v>141</c:v>
                  </c:pt>
                  <c:pt idx="28">
                    <c:v>142</c:v>
                  </c:pt>
                  <c:pt idx="29">
                    <c:v>143</c:v>
                  </c:pt>
                  <c:pt idx="30">
                    <c:v>143</c:v>
                  </c:pt>
                  <c:pt idx="31">
                    <c:v>142</c:v>
                  </c:pt>
                  <c:pt idx="32">
                    <c:v>149</c:v>
                  </c:pt>
                  <c:pt idx="33">
                    <c:v>152</c:v>
                  </c:pt>
                  <c:pt idx="34">
                    <c:v>152</c:v>
                  </c:pt>
                  <c:pt idx="35">
                    <c:v>130</c:v>
                  </c:pt>
                  <c:pt idx="36">
                    <c:v>141</c:v>
                  </c:pt>
                  <c:pt idx="37">
                    <c:v>150</c:v>
                  </c:pt>
                  <c:pt idx="38">
                    <c:v>157</c:v>
                  </c:pt>
                  <c:pt idx="39">
                    <c:v>166</c:v>
                  </c:pt>
                  <c:pt idx="40">
                    <c:v>145</c:v>
                  </c:pt>
                  <c:pt idx="41">
                    <c:v>157</c:v>
                  </c:pt>
                  <c:pt idx="42">
                    <c:v>151</c:v>
                  </c:pt>
                  <c:pt idx="43">
                    <c:v>162</c:v>
                  </c:pt>
                  <c:pt idx="44">
                    <c:v>177</c:v>
                  </c:pt>
                </c:lvl>
                <c:lvl>
                  <c:pt idx="0">
                    <c:v>120</c:v>
                  </c:pt>
                  <c:pt idx="1">
                    <c:v>125</c:v>
                  </c:pt>
                  <c:pt idx="3">
                    <c:v>126</c:v>
                  </c:pt>
                  <c:pt idx="4">
                    <c:v>127</c:v>
                  </c:pt>
                  <c:pt idx="5">
                    <c:v>128</c:v>
                  </c:pt>
                  <c:pt idx="6">
                    <c:v>130</c:v>
                  </c:pt>
                  <c:pt idx="7">
                    <c:v>131</c:v>
                  </c:pt>
                  <c:pt idx="8">
                    <c:v>132</c:v>
                  </c:pt>
                  <c:pt idx="10">
                    <c:v>133</c:v>
                  </c:pt>
                  <c:pt idx="11">
                    <c:v>134</c:v>
                  </c:pt>
                  <c:pt idx="19">
                    <c:v>135</c:v>
                  </c:pt>
                  <c:pt idx="22">
                    <c:v>137</c:v>
                  </c:pt>
                  <c:pt idx="23">
                    <c:v>139</c:v>
                  </c:pt>
                  <c:pt idx="25">
                    <c:v>140</c:v>
                  </c:pt>
                  <c:pt idx="27">
                    <c:v>142</c:v>
                  </c:pt>
                  <c:pt idx="30">
                    <c:v>143</c:v>
                  </c:pt>
                  <c:pt idx="31">
                    <c:v>147</c:v>
                  </c:pt>
                  <c:pt idx="32">
                    <c:v>150</c:v>
                  </c:pt>
                  <c:pt idx="33">
                    <c:v>151</c:v>
                  </c:pt>
                  <c:pt idx="34">
                    <c:v>152</c:v>
                  </c:pt>
                  <c:pt idx="35">
                    <c:v>153</c:v>
                  </c:pt>
                  <c:pt idx="40">
                    <c:v>154</c:v>
                  </c:pt>
                  <c:pt idx="41">
                    <c:v>156</c:v>
                  </c:pt>
                  <c:pt idx="42">
                    <c:v>161</c:v>
                  </c:pt>
                  <c:pt idx="43">
                    <c:v>162</c:v>
                  </c:pt>
                  <c:pt idx="44">
                    <c:v>164</c:v>
                  </c:pt>
                </c:lvl>
              </c:multiLvlStrCache>
            </c:multiLvlStrRef>
          </c:cat>
          <c:val>
            <c:numRef>
              <c:f>Sheet1!$C$4:$C$75</c:f>
              <c:numCache>
                <c:formatCode>General</c:formatCode>
                <c:ptCount val="45"/>
                <c:pt idx="0">
                  <c:v>129.80000000000001</c:v>
                </c:pt>
                <c:pt idx="1">
                  <c:v>46.7</c:v>
                </c:pt>
                <c:pt idx="2">
                  <c:v>119.7</c:v>
                </c:pt>
                <c:pt idx="3">
                  <c:v>110.5</c:v>
                </c:pt>
                <c:pt idx="4">
                  <c:v>92.9</c:v>
                </c:pt>
                <c:pt idx="5">
                  <c:v>47.9</c:v>
                </c:pt>
                <c:pt idx="6">
                  <c:v>82.2</c:v>
                </c:pt>
                <c:pt idx="7">
                  <c:v>157.30000000000001</c:v>
                </c:pt>
                <c:pt idx="8">
                  <c:v>78.599999999999994</c:v>
                </c:pt>
                <c:pt idx="9">
                  <c:v>178.2</c:v>
                </c:pt>
                <c:pt idx="10">
                  <c:v>104.5</c:v>
                </c:pt>
                <c:pt idx="11">
                  <c:v>75.400000000000006</c:v>
                </c:pt>
                <c:pt idx="12">
                  <c:v>169.6</c:v>
                </c:pt>
                <c:pt idx="13">
                  <c:v>94.1</c:v>
                </c:pt>
                <c:pt idx="14">
                  <c:v>87.5</c:v>
                </c:pt>
                <c:pt idx="15">
                  <c:v>124.5</c:v>
                </c:pt>
                <c:pt idx="16">
                  <c:v>65.400000000000006</c:v>
                </c:pt>
                <c:pt idx="17">
                  <c:v>113.5</c:v>
                </c:pt>
                <c:pt idx="18">
                  <c:v>110.1</c:v>
                </c:pt>
                <c:pt idx="19">
                  <c:v>134.6</c:v>
                </c:pt>
                <c:pt idx="20">
                  <c:v>26.5</c:v>
                </c:pt>
                <c:pt idx="21">
                  <c:v>35.9</c:v>
                </c:pt>
                <c:pt idx="22">
                  <c:v>77.3</c:v>
                </c:pt>
                <c:pt idx="23">
                  <c:v>42.7</c:v>
                </c:pt>
                <c:pt idx="24">
                  <c:v>130.69999999999999</c:v>
                </c:pt>
                <c:pt idx="25">
                  <c:v>140.5</c:v>
                </c:pt>
                <c:pt idx="26">
                  <c:v>305</c:v>
                </c:pt>
                <c:pt idx="27">
                  <c:v>145.69999999999999</c:v>
                </c:pt>
                <c:pt idx="28">
                  <c:v>71.400000000000006</c:v>
                </c:pt>
                <c:pt idx="29">
                  <c:v>162.69999999999999</c:v>
                </c:pt>
                <c:pt idx="30">
                  <c:v>55.9</c:v>
                </c:pt>
                <c:pt idx="31">
                  <c:v>116.3</c:v>
                </c:pt>
                <c:pt idx="32">
                  <c:v>101.4</c:v>
                </c:pt>
                <c:pt idx="33">
                  <c:v>137.5</c:v>
                </c:pt>
                <c:pt idx="34">
                  <c:v>97.8</c:v>
                </c:pt>
                <c:pt idx="35">
                  <c:v>157</c:v>
                </c:pt>
                <c:pt idx="36">
                  <c:v>61.8</c:v>
                </c:pt>
                <c:pt idx="37">
                  <c:v>150.6</c:v>
                </c:pt>
                <c:pt idx="38">
                  <c:v>37.1</c:v>
                </c:pt>
                <c:pt idx="39">
                  <c:v>80.599999999999994</c:v>
                </c:pt>
                <c:pt idx="40">
                  <c:v>132.5</c:v>
                </c:pt>
                <c:pt idx="41">
                  <c:v>107.8</c:v>
                </c:pt>
                <c:pt idx="42">
                  <c:v>96.2</c:v>
                </c:pt>
                <c:pt idx="43">
                  <c:v>99.9</c:v>
                </c:pt>
                <c:pt idx="44">
                  <c:v>103.5</c:v>
                </c:pt>
              </c:numCache>
            </c:numRef>
          </c:val>
          <c:smooth val="0"/>
          <c:extLst>
            <c:ext xmlns:c16="http://schemas.microsoft.com/office/drawing/2014/chart" uri="{C3380CC4-5D6E-409C-BE32-E72D297353CC}">
              <c16:uniqueId val="{00000001-B815-4217-8D72-3F7653CBBCC1}"/>
            </c:ext>
          </c:extLst>
        </c:ser>
        <c:dLbls>
          <c:showLegendKey val="0"/>
          <c:showVal val="0"/>
          <c:showCatName val="0"/>
          <c:showSerName val="0"/>
          <c:showPercent val="0"/>
          <c:showBubbleSize val="0"/>
        </c:dLbls>
        <c:smooth val="0"/>
        <c:axId val="171338752"/>
        <c:axId val="295633664"/>
      </c:lineChart>
      <c:catAx>
        <c:axId val="171338752"/>
        <c:scaling>
          <c:orientation val="minMax"/>
        </c:scaling>
        <c:delete val="0"/>
        <c:axPos val="b"/>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95633664"/>
        <c:crosses val="autoZero"/>
        <c:auto val="1"/>
        <c:lblAlgn val="ctr"/>
        <c:lblOffset val="100"/>
        <c:noMultiLvlLbl val="0"/>
      </c:catAx>
      <c:valAx>
        <c:axId val="29563366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713387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ro-RO"/>
    </a:p>
  </c:txPr>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[Crime_data.csv]Sheet1!PivotTable1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Relationship</a:t>
            </a:r>
            <a:r>
              <a:rPr lang="en-US" sz="1200" baseline="0">
                <a:latin typeface="Times New Roman" panose="02020603050405020304" pitchFamily="18" charset="0"/>
                <a:cs typeface="Times New Roman" panose="02020603050405020304" pitchFamily="18" charset="0"/>
              </a:rPr>
              <a:t> Between Youth Unemployment and Crime Rate</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s>
    <c:plotArea>
      <c:layout/>
      <c:barChart>
        <c:barDir val="col"/>
        <c:grouping val="clustered"/>
        <c:varyColors val="0"/>
        <c:ser>
          <c:idx val="0"/>
          <c:order val="0"/>
          <c:tx>
            <c:strRef>
              <c:f>Sheet1!$B$3</c:f>
              <c:strCache>
                <c:ptCount val="1"/>
                <c:pt idx="0">
                  <c:v>Sum of CrimeRate</c:v>
                </c:pt>
              </c:strCache>
            </c:strRef>
          </c:tx>
          <c:spPr>
            <a:solidFill>
              <a:schemeClr val="accent1"/>
            </a:solidFill>
            <a:ln>
              <a:noFill/>
            </a:ln>
            <a:effectLst/>
          </c:spPr>
          <c:invertIfNegative val="0"/>
          <c:cat>
            <c:multiLvlStrRef>
              <c:f>Sheet1!$A$4:$A$83</c:f>
              <c:multiLvlStrCache>
                <c:ptCount val="46"/>
                <c:lvl>
                  <c:pt idx="0">
                    <c:v>70</c:v>
                  </c:pt>
                  <c:pt idx="1">
                    <c:v>72</c:v>
                  </c:pt>
                  <c:pt idx="2">
                    <c:v>76</c:v>
                  </c:pt>
                  <c:pt idx="3">
                    <c:v>76</c:v>
                  </c:pt>
                  <c:pt idx="4">
                    <c:v>77</c:v>
                  </c:pt>
                  <c:pt idx="5">
                    <c:v>78</c:v>
                  </c:pt>
                  <c:pt idx="6">
                    <c:v>73</c:v>
                  </c:pt>
                  <c:pt idx="7">
                    <c:v>77</c:v>
                  </c:pt>
                  <c:pt idx="8">
                    <c:v>77</c:v>
                  </c:pt>
                  <c:pt idx="9">
                    <c:v>79</c:v>
                  </c:pt>
                  <c:pt idx="10">
                    <c:v>80</c:v>
                  </c:pt>
                  <c:pt idx="11">
                    <c:v>84</c:v>
                  </c:pt>
                  <c:pt idx="12">
                    <c:v>83</c:v>
                  </c:pt>
                  <c:pt idx="13">
                    <c:v>86</c:v>
                  </c:pt>
                  <c:pt idx="14">
                    <c:v>81</c:v>
                  </c:pt>
                  <c:pt idx="15">
                    <c:v>83</c:v>
                  </c:pt>
                  <c:pt idx="16">
                    <c:v>84</c:v>
                  </c:pt>
                  <c:pt idx="17">
                    <c:v>87</c:v>
                  </c:pt>
                  <c:pt idx="18">
                    <c:v>88</c:v>
                  </c:pt>
                  <c:pt idx="19">
                    <c:v>92</c:v>
                  </c:pt>
                  <c:pt idx="20">
                    <c:v>89</c:v>
                  </c:pt>
                  <c:pt idx="21">
                    <c:v>92</c:v>
                  </c:pt>
                  <c:pt idx="22">
                    <c:v>94</c:v>
                  </c:pt>
                  <c:pt idx="23">
                    <c:v>91</c:v>
                  </c:pt>
                  <c:pt idx="24">
                    <c:v>96</c:v>
                  </c:pt>
                  <c:pt idx="25">
                    <c:v>99</c:v>
                  </c:pt>
                  <c:pt idx="26">
                    <c:v>97</c:v>
                  </c:pt>
                  <c:pt idx="27">
                    <c:v>97</c:v>
                  </c:pt>
                  <c:pt idx="28">
                    <c:v>102</c:v>
                  </c:pt>
                  <c:pt idx="29">
                    <c:v>102</c:v>
                  </c:pt>
                  <c:pt idx="30">
                    <c:v>100</c:v>
                  </c:pt>
                  <c:pt idx="31">
                    <c:v>103</c:v>
                  </c:pt>
                  <c:pt idx="32">
                    <c:v>105</c:v>
                  </c:pt>
                  <c:pt idx="33">
                    <c:v>102</c:v>
                  </c:pt>
                  <c:pt idx="34">
                    <c:v>102</c:v>
                  </c:pt>
                  <c:pt idx="35">
                    <c:v>107</c:v>
                  </c:pt>
                  <c:pt idx="36">
                    <c:v>108</c:v>
                  </c:pt>
                  <c:pt idx="37">
                    <c:v>111</c:v>
                  </c:pt>
                  <c:pt idx="38">
                    <c:v>116</c:v>
                  </c:pt>
                  <c:pt idx="39">
                    <c:v>113</c:v>
                  </c:pt>
                  <c:pt idx="40">
                    <c:v>114</c:v>
                  </c:pt>
                  <c:pt idx="41">
                    <c:v>124</c:v>
                  </c:pt>
                  <c:pt idx="42">
                    <c:v>130</c:v>
                  </c:pt>
                  <c:pt idx="43">
                    <c:v>135</c:v>
                  </c:pt>
                  <c:pt idx="44">
                    <c:v>135</c:v>
                  </c:pt>
                  <c:pt idx="45">
                    <c:v>142</c:v>
                  </c:pt>
                </c:lvl>
                <c:lvl>
                  <c:pt idx="0">
                    <c:v>71</c:v>
                  </c:pt>
                  <c:pt idx="1">
                    <c:v>76</c:v>
                  </c:pt>
                  <c:pt idx="2">
                    <c:v>78</c:v>
                  </c:pt>
                  <c:pt idx="3">
                    <c:v>79</c:v>
                  </c:pt>
                  <c:pt idx="6">
                    <c:v>80</c:v>
                  </c:pt>
                  <c:pt idx="8">
                    <c:v>81</c:v>
                  </c:pt>
                  <c:pt idx="9">
                    <c:v>82</c:v>
                  </c:pt>
                  <c:pt idx="12">
                    <c:v>83</c:v>
                  </c:pt>
                  <c:pt idx="13">
                    <c:v>84</c:v>
                  </c:pt>
                  <c:pt idx="14">
                    <c:v>85</c:v>
                  </c:pt>
                  <c:pt idx="15">
                    <c:v>87</c:v>
                  </c:pt>
                  <c:pt idx="17">
                    <c:v>88</c:v>
                  </c:pt>
                  <c:pt idx="18">
                    <c:v>89</c:v>
                  </c:pt>
                  <c:pt idx="19">
                    <c:v>92</c:v>
                  </c:pt>
                  <c:pt idx="20">
                    <c:v>93</c:v>
                  </c:pt>
                  <c:pt idx="23">
                    <c:v>94</c:v>
                  </c:pt>
                  <c:pt idx="24">
                    <c:v>97</c:v>
                  </c:pt>
                  <c:pt idx="26">
                    <c:v>98</c:v>
                  </c:pt>
                  <c:pt idx="27">
                    <c:v>99</c:v>
                  </c:pt>
                  <c:pt idx="28">
                    <c:v>100</c:v>
                  </c:pt>
                  <c:pt idx="29">
                    <c:v>103</c:v>
                  </c:pt>
                  <c:pt idx="30">
                    <c:v>104</c:v>
                  </c:pt>
                  <c:pt idx="31">
                    <c:v>105</c:v>
                  </c:pt>
                  <c:pt idx="32">
                    <c:v>106</c:v>
                  </c:pt>
                  <c:pt idx="33">
                    <c:v>107</c:v>
                  </c:pt>
                  <c:pt idx="34">
                    <c:v>110</c:v>
                  </c:pt>
                  <c:pt idx="37">
                    <c:v>115</c:v>
                  </c:pt>
                  <c:pt idx="38">
                    <c:v>117</c:v>
                  </c:pt>
                  <c:pt idx="39">
                    <c:v>119</c:v>
                  </c:pt>
                  <c:pt idx="41">
                    <c:v>125</c:v>
                  </c:pt>
                  <c:pt idx="42">
                    <c:v>131</c:v>
                  </c:pt>
                  <c:pt idx="44">
                    <c:v>138</c:v>
                  </c:pt>
                  <c:pt idx="45">
                    <c:v>143</c:v>
                  </c:pt>
                </c:lvl>
              </c:multiLvlStrCache>
            </c:multiLvlStrRef>
          </c:cat>
          <c:val>
            <c:numRef>
              <c:f>Sheet1!$B$4:$B$83</c:f>
              <c:numCache>
                <c:formatCode>General</c:formatCode>
                <c:ptCount val="46"/>
                <c:pt idx="0">
                  <c:v>70.5</c:v>
                </c:pt>
                <c:pt idx="1">
                  <c:v>85.6</c:v>
                </c:pt>
                <c:pt idx="2">
                  <c:v>121.6</c:v>
                </c:pt>
                <c:pt idx="3">
                  <c:v>103</c:v>
                </c:pt>
                <c:pt idx="4">
                  <c:v>154.30000000000001</c:v>
                </c:pt>
                <c:pt idx="5">
                  <c:v>158.5</c:v>
                </c:pt>
                <c:pt idx="6">
                  <c:v>98.7</c:v>
                </c:pt>
                <c:pt idx="7">
                  <c:v>83.1</c:v>
                </c:pt>
                <c:pt idx="8">
                  <c:v>67.599999999999994</c:v>
                </c:pt>
                <c:pt idx="9">
                  <c:v>145.4</c:v>
                </c:pt>
                <c:pt idx="10">
                  <c:v>45.5</c:v>
                </c:pt>
                <c:pt idx="11">
                  <c:v>84.9</c:v>
                </c:pt>
                <c:pt idx="12">
                  <c:v>127.2</c:v>
                </c:pt>
                <c:pt idx="13">
                  <c:v>99.9</c:v>
                </c:pt>
                <c:pt idx="14">
                  <c:v>106.6</c:v>
                </c:pt>
                <c:pt idx="15">
                  <c:v>104.3</c:v>
                </c:pt>
                <c:pt idx="16">
                  <c:v>107.2</c:v>
                </c:pt>
                <c:pt idx="17">
                  <c:v>140.80000000000001</c:v>
                </c:pt>
                <c:pt idx="18">
                  <c:v>123.4</c:v>
                </c:pt>
                <c:pt idx="19">
                  <c:v>97.4</c:v>
                </c:pt>
                <c:pt idx="20">
                  <c:v>109.4</c:v>
                </c:pt>
                <c:pt idx="21">
                  <c:v>119.7</c:v>
                </c:pt>
                <c:pt idx="22">
                  <c:v>79.8</c:v>
                </c:pt>
                <c:pt idx="23">
                  <c:v>137.80000000000001</c:v>
                </c:pt>
                <c:pt idx="24">
                  <c:v>149.30000000000001</c:v>
                </c:pt>
                <c:pt idx="25">
                  <c:v>78.099999999999994</c:v>
                </c:pt>
                <c:pt idx="26">
                  <c:v>56.6</c:v>
                </c:pt>
                <c:pt idx="27">
                  <c:v>114.3</c:v>
                </c:pt>
                <c:pt idx="28">
                  <c:v>161.80000000000001</c:v>
                </c:pt>
                <c:pt idx="29">
                  <c:v>108.3</c:v>
                </c:pt>
                <c:pt idx="30">
                  <c:v>88</c:v>
                </c:pt>
                <c:pt idx="31">
                  <c:v>132.4</c:v>
                </c:pt>
                <c:pt idx="32">
                  <c:v>95.3</c:v>
                </c:pt>
                <c:pt idx="33">
                  <c:v>92.3</c:v>
                </c:pt>
                <c:pt idx="34">
                  <c:v>157.69999999999999</c:v>
                </c:pt>
                <c:pt idx="35">
                  <c:v>75</c:v>
                </c:pt>
                <c:pt idx="36">
                  <c:v>96.8</c:v>
                </c:pt>
                <c:pt idx="37">
                  <c:v>117.2</c:v>
                </c:pt>
                <c:pt idx="38">
                  <c:v>112.1</c:v>
                </c:pt>
                <c:pt idx="39">
                  <c:v>105.9</c:v>
                </c:pt>
                <c:pt idx="40">
                  <c:v>73.2</c:v>
                </c:pt>
                <c:pt idx="41">
                  <c:v>82.3</c:v>
                </c:pt>
                <c:pt idx="42">
                  <c:v>135.5</c:v>
                </c:pt>
                <c:pt idx="43">
                  <c:v>60.3</c:v>
                </c:pt>
                <c:pt idx="44">
                  <c:v>52.3</c:v>
                </c:pt>
                <c:pt idx="45">
                  <c:v>115.1</c:v>
                </c:pt>
              </c:numCache>
            </c:numRef>
          </c:val>
          <c:extLst>
            <c:ext xmlns:c16="http://schemas.microsoft.com/office/drawing/2014/chart" uri="{C3380CC4-5D6E-409C-BE32-E72D297353CC}">
              <c16:uniqueId val="{00000000-345B-417F-913E-A17BD1F2625F}"/>
            </c:ext>
          </c:extLst>
        </c:ser>
        <c:ser>
          <c:idx val="1"/>
          <c:order val="1"/>
          <c:tx>
            <c:strRef>
              <c:f>Sheet1!$C$3</c:f>
              <c:strCache>
                <c:ptCount val="1"/>
                <c:pt idx="0">
                  <c:v>Sum of CrimeRate10</c:v>
                </c:pt>
              </c:strCache>
            </c:strRef>
          </c:tx>
          <c:spPr>
            <a:solidFill>
              <a:schemeClr val="accent2"/>
            </a:solidFill>
            <a:ln>
              <a:noFill/>
            </a:ln>
            <a:effectLst/>
          </c:spPr>
          <c:invertIfNegative val="0"/>
          <c:cat>
            <c:multiLvlStrRef>
              <c:f>Sheet1!$A$4:$A$83</c:f>
              <c:multiLvlStrCache>
                <c:ptCount val="46"/>
                <c:lvl>
                  <c:pt idx="0">
                    <c:v>70</c:v>
                  </c:pt>
                  <c:pt idx="1">
                    <c:v>72</c:v>
                  </c:pt>
                  <c:pt idx="2">
                    <c:v>76</c:v>
                  </c:pt>
                  <c:pt idx="3">
                    <c:v>76</c:v>
                  </c:pt>
                  <c:pt idx="4">
                    <c:v>77</c:v>
                  </c:pt>
                  <c:pt idx="5">
                    <c:v>78</c:v>
                  </c:pt>
                  <c:pt idx="6">
                    <c:v>73</c:v>
                  </c:pt>
                  <c:pt idx="7">
                    <c:v>77</c:v>
                  </c:pt>
                  <c:pt idx="8">
                    <c:v>77</c:v>
                  </c:pt>
                  <c:pt idx="9">
                    <c:v>79</c:v>
                  </c:pt>
                  <c:pt idx="10">
                    <c:v>80</c:v>
                  </c:pt>
                  <c:pt idx="11">
                    <c:v>84</c:v>
                  </c:pt>
                  <c:pt idx="12">
                    <c:v>83</c:v>
                  </c:pt>
                  <c:pt idx="13">
                    <c:v>86</c:v>
                  </c:pt>
                  <c:pt idx="14">
                    <c:v>81</c:v>
                  </c:pt>
                  <c:pt idx="15">
                    <c:v>83</c:v>
                  </c:pt>
                  <c:pt idx="16">
                    <c:v>84</c:v>
                  </c:pt>
                  <c:pt idx="17">
                    <c:v>87</c:v>
                  </c:pt>
                  <c:pt idx="18">
                    <c:v>88</c:v>
                  </c:pt>
                  <c:pt idx="19">
                    <c:v>92</c:v>
                  </c:pt>
                  <c:pt idx="20">
                    <c:v>89</c:v>
                  </c:pt>
                  <c:pt idx="21">
                    <c:v>92</c:v>
                  </c:pt>
                  <c:pt idx="22">
                    <c:v>94</c:v>
                  </c:pt>
                  <c:pt idx="23">
                    <c:v>91</c:v>
                  </c:pt>
                  <c:pt idx="24">
                    <c:v>96</c:v>
                  </c:pt>
                  <c:pt idx="25">
                    <c:v>99</c:v>
                  </c:pt>
                  <c:pt idx="26">
                    <c:v>97</c:v>
                  </c:pt>
                  <c:pt idx="27">
                    <c:v>97</c:v>
                  </c:pt>
                  <c:pt idx="28">
                    <c:v>102</c:v>
                  </c:pt>
                  <c:pt idx="29">
                    <c:v>102</c:v>
                  </c:pt>
                  <c:pt idx="30">
                    <c:v>100</c:v>
                  </c:pt>
                  <c:pt idx="31">
                    <c:v>103</c:v>
                  </c:pt>
                  <c:pt idx="32">
                    <c:v>105</c:v>
                  </c:pt>
                  <c:pt idx="33">
                    <c:v>102</c:v>
                  </c:pt>
                  <c:pt idx="34">
                    <c:v>102</c:v>
                  </c:pt>
                  <c:pt idx="35">
                    <c:v>107</c:v>
                  </c:pt>
                  <c:pt idx="36">
                    <c:v>108</c:v>
                  </c:pt>
                  <c:pt idx="37">
                    <c:v>111</c:v>
                  </c:pt>
                  <c:pt idx="38">
                    <c:v>116</c:v>
                  </c:pt>
                  <c:pt idx="39">
                    <c:v>113</c:v>
                  </c:pt>
                  <c:pt idx="40">
                    <c:v>114</c:v>
                  </c:pt>
                  <c:pt idx="41">
                    <c:v>124</c:v>
                  </c:pt>
                  <c:pt idx="42">
                    <c:v>130</c:v>
                  </c:pt>
                  <c:pt idx="43">
                    <c:v>135</c:v>
                  </c:pt>
                  <c:pt idx="44">
                    <c:v>135</c:v>
                  </c:pt>
                  <c:pt idx="45">
                    <c:v>142</c:v>
                  </c:pt>
                </c:lvl>
                <c:lvl>
                  <c:pt idx="0">
                    <c:v>71</c:v>
                  </c:pt>
                  <c:pt idx="1">
                    <c:v>76</c:v>
                  </c:pt>
                  <c:pt idx="2">
                    <c:v>78</c:v>
                  </c:pt>
                  <c:pt idx="3">
                    <c:v>79</c:v>
                  </c:pt>
                  <c:pt idx="6">
                    <c:v>80</c:v>
                  </c:pt>
                  <c:pt idx="8">
                    <c:v>81</c:v>
                  </c:pt>
                  <c:pt idx="9">
                    <c:v>82</c:v>
                  </c:pt>
                  <c:pt idx="12">
                    <c:v>83</c:v>
                  </c:pt>
                  <c:pt idx="13">
                    <c:v>84</c:v>
                  </c:pt>
                  <c:pt idx="14">
                    <c:v>85</c:v>
                  </c:pt>
                  <c:pt idx="15">
                    <c:v>87</c:v>
                  </c:pt>
                  <c:pt idx="17">
                    <c:v>88</c:v>
                  </c:pt>
                  <c:pt idx="18">
                    <c:v>89</c:v>
                  </c:pt>
                  <c:pt idx="19">
                    <c:v>92</c:v>
                  </c:pt>
                  <c:pt idx="20">
                    <c:v>93</c:v>
                  </c:pt>
                  <c:pt idx="23">
                    <c:v>94</c:v>
                  </c:pt>
                  <c:pt idx="24">
                    <c:v>97</c:v>
                  </c:pt>
                  <c:pt idx="26">
                    <c:v>98</c:v>
                  </c:pt>
                  <c:pt idx="27">
                    <c:v>99</c:v>
                  </c:pt>
                  <c:pt idx="28">
                    <c:v>100</c:v>
                  </c:pt>
                  <c:pt idx="29">
                    <c:v>103</c:v>
                  </c:pt>
                  <c:pt idx="30">
                    <c:v>104</c:v>
                  </c:pt>
                  <c:pt idx="31">
                    <c:v>105</c:v>
                  </c:pt>
                  <c:pt idx="32">
                    <c:v>106</c:v>
                  </c:pt>
                  <c:pt idx="33">
                    <c:v>107</c:v>
                  </c:pt>
                  <c:pt idx="34">
                    <c:v>110</c:v>
                  </c:pt>
                  <c:pt idx="37">
                    <c:v>115</c:v>
                  </c:pt>
                  <c:pt idx="38">
                    <c:v>117</c:v>
                  </c:pt>
                  <c:pt idx="39">
                    <c:v>119</c:v>
                  </c:pt>
                  <c:pt idx="41">
                    <c:v>125</c:v>
                  </c:pt>
                  <c:pt idx="42">
                    <c:v>131</c:v>
                  </c:pt>
                  <c:pt idx="44">
                    <c:v>138</c:v>
                  </c:pt>
                  <c:pt idx="45">
                    <c:v>143</c:v>
                  </c:pt>
                </c:lvl>
              </c:multiLvlStrCache>
            </c:multiLvlStrRef>
          </c:cat>
          <c:val>
            <c:numRef>
              <c:f>Sheet1!$C$4:$C$83</c:f>
              <c:numCache>
                <c:formatCode>General</c:formatCode>
                <c:ptCount val="46"/>
                <c:pt idx="0">
                  <c:v>50.6</c:v>
                </c:pt>
                <c:pt idx="1">
                  <c:v>80.599999999999994</c:v>
                </c:pt>
                <c:pt idx="2">
                  <c:v>130.69999999999999</c:v>
                </c:pt>
                <c:pt idx="3">
                  <c:v>103.5</c:v>
                </c:pt>
                <c:pt idx="4">
                  <c:v>169.6</c:v>
                </c:pt>
                <c:pt idx="5">
                  <c:v>139.60000000000002</c:v>
                </c:pt>
                <c:pt idx="6">
                  <c:v>99.9</c:v>
                </c:pt>
                <c:pt idx="7">
                  <c:v>77.3</c:v>
                </c:pt>
                <c:pt idx="8">
                  <c:v>47.9</c:v>
                </c:pt>
                <c:pt idx="9">
                  <c:v>157.30000000000001</c:v>
                </c:pt>
                <c:pt idx="10">
                  <c:v>26.5</c:v>
                </c:pt>
                <c:pt idx="11">
                  <c:v>78.599999999999994</c:v>
                </c:pt>
                <c:pt idx="12">
                  <c:v>134.6</c:v>
                </c:pt>
                <c:pt idx="13">
                  <c:v>101.4</c:v>
                </c:pt>
                <c:pt idx="14">
                  <c:v>107.8</c:v>
                </c:pt>
                <c:pt idx="15">
                  <c:v>104.5</c:v>
                </c:pt>
                <c:pt idx="16">
                  <c:v>110.1</c:v>
                </c:pt>
                <c:pt idx="17">
                  <c:v>150.6</c:v>
                </c:pt>
                <c:pt idx="18">
                  <c:v>132.5</c:v>
                </c:pt>
                <c:pt idx="19">
                  <c:v>97.8</c:v>
                </c:pt>
                <c:pt idx="20">
                  <c:v>113.5</c:v>
                </c:pt>
                <c:pt idx="21">
                  <c:v>129.80000000000001</c:v>
                </c:pt>
                <c:pt idx="22">
                  <c:v>71.400000000000006</c:v>
                </c:pt>
                <c:pt idx="23">
                  <c:v>145.69999999999999</c:v>
                </c:pt>
                <c:pt idx="24">
                  <c:v>162.69999999999999</c:v>
                </c:pt>
                <c:pt idx="25">
                  <c:v>65.400000000000006</c:v>
                </c:pt>
                <c:pt idx="26">
                  <c:v>37.1</c:v>
                </c:pt>
                <c:pt idx="27">
                  <c:v>119.7</c:v>
                </c:pt>
                <c:pt idx="28">
                  <c:v>178.2</c:v>
                </c:pt>
                <c:pt idx="29">
                  <c:v>110.5</c:v>
                </c:pt>
                <c:pt idx="30">
                  <c:v>82.2</c:v>
                </c:pt>
                <c:pt idx="31">
                  <c:v>137.5</c:v>
                </c:pt>
                <c:pt idx="32">
                  <c:v>94.1</c:v>
                </c:pt>
                <c:pt idx="33">
                  <c:v>87.5</c:v>
                </c:pt>
                <c:pt idx="34">
                  <c:v>177.2</c:v>
                </c:pt>
                <c:pt idx="35">
                  <c:v>61.8</c:v>
                </c:pt>
                <c:pt idx="36">
                  <c:v>96.2</c:v>
                </c:pt>
                <c:pt idx="37">
                  <c:v>127.8</c:v>
                </c:pt>
                <c:pt idx="38">
                  <c:v>116.3</c:v>
                </c:pt>
                <c:pt idx="39">
                  <c:v>106.4</c:v>
                </c:pt>
                <c:pt idx="40">
                  <c:v>55.9</c:v>
                </c:pt>
                <c:pt idx="41">
                  <c:v>75.400000000000006</c:v>
                </c:pt>
                <c:pt idx="42">
                  <c:v>140.5</c:v>
                </c:pt>
                <c:pt idx="43">
                  <c:v>42.7</c:v>
                </c:pt>
                <c:pt idx="44">
                  <c:v>35.9</c:v>
                </c:pt>
                <c:pt idx="45">
                  <c:v>124.5</c:v>
                </c:pt>
              </c:numCache>
            </c:numRef>
          </c:val>
          <c:extLst>
            <c:ext xmlns:c16="http://schemas.microsoft.com/office/drawing/2014/chart" uri="{C3380CC4-5D6E-409C-BE32-E72D297353CC}">
              <c16:uniqueId val="{00000001-345B-417F-913E-A17BD1F2625F}"/>
            </c:ext>
          </c:extLst>
        </c:ser>
        <c:dLbls>
          <c:showLegendKey val="0"/>
          <c:showVal val="0"/>
          <c:showCatName val="0"/>
          <c:showSerName val="0"/>
          <c:showPercent val="0"/>
          <c:showBubbleSize val="0"/>
        </c:dLbls>
        <c:gapWidth val="150"/>
        <c:axId val="295685120"/>
        <c:axId val="295691008"/>
      </c:barChart>
      <c:catAx>
        <c:axId val="295685120"/>
        <c:scaling>
          <c:orientation val="minMax"/>
        </c:scaling>
        <c:delete val="0"/>
        <c:axPos val="b"/>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95691008"/>
        <c:crosses val="autoZero"/>
        <c:auto val="1"/>
        <c:lblAlgn val="ctr"/>
        <c:lblOffset val="100"/>
        <c:noMultiLvlLbl val="0"/>
      </c:catAx>
      <c:valAx>
        <c:axId val="29569100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956851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ro-RO"/>
    </a:p>
  </c:txPr>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[Crime_data.csv]Sheet1!PivotTable1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Relationship</a:t>
            </a:r>
            <a:r>
              <a:rPr lang="en-US" sz="1200" baseline="0">
                <a:latin typeface="Times New Roman" panose="02020603050405020304" pitchFamily="18" charset="0"/>
                <a:cs typeface="Times New Roman" panose="02020603050405020304" pitchFamily="18" charset="0"/>
              </a:rPr>
              <a:t> Between Wage and Crime Rate</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w="28575" cap="rnd">
            <a:solidFill>
              <a:schemeClr val="accent1"/>
            </a:solidFill>
            <a:round/>
          </a:ln>
          <a:effectLst/>
        </c:spPr>
        <c:marker>
          <c:symbol val="none"/>
        </c:marker>
      </c:pivotFmt>
      <c:pivotFmt>
        <c:idx val="7"/>
        <c:spPr>
          <a:solidFill>
            <a:schemeClr val="accent1"/>
          </a:solidFill>
          <a:ln w="28575" cap="rnd">
            <a:solidFill>
              <a:schemeClr val="accent1"/>
            </a:solidFill>
            <a:round/>
          </a:ln>
          <a:effectLst/>
        </c:spPr>
        <c:marker>
          <c:symbol val="none"/>
        </c:marker>
      </c:pivotFmt>
      <c:pivotFmt>
        <c:idx val="8"/>
        <c:spPr>
          <a:solidFill>
            <a:schemeClr val="accent1"/>
          </a:solidFill>
          <a:ln w="28575" cap="rnd">
            <a:solidFill>
              <a:schemeClr val="accent1"/>
            </a:solidFill>
            <a:round/>
          </a:ln>
          <a:effectLst/>
        </c:spPr>
        <c:marker>
          <c:symbol val="none"/>
        </c:marker>
      </c:pivotFmt>
      <c:pivotFmt>
        <c:idx val="9"/>
        <c:spPr>
          <a:solidFill>
            <a:schemeClr val="accent1"/>
          </a:solidFill>
          <a:ln w="28575" cap="rnd">
            <a:solidFill>
              <a:schemeClr val="accent1"/>
            </a:solidFill>
            <a:round/>
          </a:ln>
          <a:effectLst/>
        </c:spPr>
        <c:marker>
          <c:symbol val="none"/>
        </c:marker>
      </c:pivotFmt>
      <c:pivotFmt>
        <c:idx val="10"/>
        <c:spPr>
          <a:solidFill>
            <a:schemeClr val="accent1"/>
          </a:solidFill>
          <a:ln w="28575" cap="rnd">
            <a:solidFill>
              <a:schemeClr val="accent1"/>
            </a:solidFill>
            <a:round/>
          </a:ln>
          <a:effectLst/>
        </c:spPr>
        <c:marker>
          <c:symbol val="none"/>
        </c:marker>
      </c:pivotFmt>
      <c:pivotFmt>
        <c:idx val="11"/>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Sheet1!$B$3</c:f>
              <c:strCache>
                <c:ptCount val="1"/>
                <c:pt idx="0">
                  <c:v>Sum of CrimeRate</c:v>
                </c:pt>
              </c:strCache>
            </c:strRef>
          </c:tx>
          <c:spPr>
            <a:ln w="28575" cap="rnd">
              <a:solidFill>
                <a:schemeClr val="accent1"/>
              </a:solidFill>
              <a:round/>
            </a:ln>
            <a:effectLst/>
          </c:spPr>
          <c:marker>
            <c:symbol val="none"/>
          </c:marker>
          <c:cat>
            <c:multiLvlStrRef>
              <c:f>Sheet1!$A$4:$A$97</c:f>
              <c:multiLvlStrCache>
                <c:ptCount val="47"/>
                <c:lvl>
                  <c:pt idx="0">
                    <c:v>359</c:v>
                  </c:pt>
                  <c:pt idx="1">
                    <c:v>378</c:v>
                  </c:pt>
                  <c:pt idx="2">
                    <c:v>456</c:v>
                  </c:pt>
                  <c:pt idx="3">
                    <c:v>465</c:v>
                  </c:pt>
                  <c:pt idx="4">
                    <c:v>476</c:v>
                  </c:pt>
                  <c:pt idx="5">
                    <c:v>568</c:v>
                  </c:pt>
                  <c:pt idx="6">
                    <c:v>470</c:v>
                  </c:pt>
                  <c:pt idx="7">
                    <c:v>499</c:v>
                  </c:pt>
                  <c:pt idx="8">
                    <c:v>499</c:v>
                  </c:pt>
                  <c:pt idx="9">
                    <c:v>500</c:v>
                  </c:pt>
                  <c:pt idx="10">
                    <c:v>521</c:v>
                  </c:pt>
                  <c:pt idx="11">
                    <c:v>510</c:v>
                  </c:pt>
                  <c:pt idx="12">
                    <c:v>511</c:v>
                  </c:pt>
                  <c:pt idx="13">
                    <c:v>539</c:v>
                  </c:pt>
                  <c:pt idx="14">
                    <c:v>556</c:v>
                  </c:pt>
                  <c:pt idx="15">
                    <c:v>561</c:v>
                  </c:pt>
                  <c:pt idx="16">
                    <c:v>550</c:v>
                  </c:pt>
                  <c:pt idx="17">
                    <c:v>550</c:v>
                  </c:pt>
                  <c:pt idx="18">
                    <c:v>562</c:v>
                  </c:pt>
                  <c:pt idx="19">
                    <c:v>571</c:v>
                  </c:pt>
                  <c:pt idx="20">
                    <c:v>589</c:v>
                  </c:pt>
                  <c:pt idx="21">
                    <c:v>570</c:v>
                  </c:pt>
                  <c:pt idx="22">
                    <c:v>591</c:v>
                  </c:pt>
                  <c:pt idx="23">
                    <c:v>617</c:v>
                  </c:pt>
                  <c:pt idx="24">
                    <c:v>615</c:v>
                  </c:pt>
                  <c:pt idx="25">
                    <c:v>621</c:v>
                  </c:pt>
                  <c:pt idx="26">
                    <c:v>625</c:v>
                  </c:pt>
                  <c:pt idx="27">
                    <c:v>635</c:v>
                  </c:pt>
                  <c:pt idx="28">
                    <c:v>632</c:v>
                  </c:pt>
                  <c:pt idx="29">
                    <c:v>639</c:v>
                  </c:pt>
                  <c:pt idx="30">
                    <c:v>649</c:v>
                  </c:pt>
                  <c:pt idx="31">
                    <c:v>649</c:v>
                  </c:pt>
                  <c:pt idx="32">
                    <c:v>649</c:v>
                  </c:pt>
                  <c:pt idx="33">
                    <c:v>659</c:v>
                  </c:pt>
                  <c:pt idx="34">
                    <c:v>656</c:v>
                  </c:pt>
                  <c:pt idx="35">
                    <c:v>660</c:v>
                  </c:pt>
                  <c:pt idx="36">
                    <c:v>679</c:v>
                  </c:pt>
                  <c:pt idx="37">
                    <c:v>696</c:v>
                  </c:pt>
                  <c:pt idx="38">
                    <c:v>691</c:v>
                  </c:pt>
                  <c:pt idx="39">
                    <c:v>684</c:v>
                  </c:pt>
                  <c:pt idx="40">
                    <c:v>692</c:v>
                  </c:pt>
                  <c:pt idx="41">
                    <c:v>703</c:v>
                  </c:pt>
                  <c:pt idx="42">
                    <c:v>698</c:v>
                  </c:pt>
                  <c:pt idx="43">
                    <c:v>719</c:v>
                  </c:pt>
                  <c:pt idx="44">
                    <c:v>739</c:v>
                  </c:pt>
                  <c:pt idx="45">
                    <c:v>748</c:v>
                  </c:pt>
                  <c:pt idx="46">
                    <c:v>742</c:v>
                  </c:pt>
                </c:lvl>
                <c:lvl>
                  <c:pt idx="0">
                    <c:v>288</c:v>
                  </c:pt>
                  <c:pt idx="1">
                    <c:v>318</c:v>
                  </c:pt>
                  <c:pt idx="2">
                    <c:v>382</c:v>
                  </c:pt>
                  <c:pt idx="3">
                    <c:v>394</c:v>
                  </c:pt>
                  <c:pt idx="4">
                    <c:v>395</c:v>
                  </c:pt>
                  <c:pt idx="5">
                    <c:v>396</c:v>
                  </c:pt>
                  <c:pt idx="6">
                    <c:v>405</c:v>
                  </c:pt>
                  <c:pt idx="7">
                    <c:v>421</c:v>
                  </c:pt>
                  <c:pt idx="8">
                    <c:v>425</c:v>
                  </c:pt>
                  <c:pt idx="9">
                    <c:v>427</c:v>
                  </c:pt>
                  <c:pt idx="10">
                    <c:v>453</c:v>
                  </c:pt>
                  <c:pt idx="11">
                    <c:v>457</c:v>
                  </c:pt>
                  <c:pt idx="12">
                    <c:v>462</c:v>
                  </c:pt>
                  <c:pt idx="13">
                    <c:v>472</c:v>
                  </c:pt>
                  <c:pt idx="14">
                    <c:v>486</c:v>
                  </c:pt>
                  <c:pt idx="15">
                    <c:v>487</c:v>
                  </c:pt>
                  <c:pt idx="16">
                    <c:v>488</c:v>
                  </c:pt>
                  <c:pt idx="17">
                    <c:v>489</c:v>
                  </c:pt>
                  <c:pt idx="18">
                    <c:v>496</c:v>
                  </c:pt>
                  <c:pt idx="19">
                    <c:v>507</c:v>
                  </c:pt>
                  <c:pt idx="20">
                    <c:v>513</c:v>
                  </c:pt>
                  <c:pt idx="21">
                    <c:v>526</c:v>
                  </c:pt>
                  <c:pt idx="22">
                    <c:v>529</c:v>
                  </c:pt>
                  <c:pt idx="23">
                    <c:v>537</c:v>
                  </c:pt>
                  <c:pt idx="24">
                    <c:v>540</c:v>
                  </c:pt>
                  <c:pt idx="25">
                    <c:v>557</c:v>
                  </c:pt>
                  <c:pt idx="27">
                    <c:v>559</c:v>
                  </c:pt>
                  <c:pt idx="28">
                    <c:v>564</c:v>
                  </c:pt>
                  <c:pt idx="29">
                    <c:v>572</c:v>
                  </c:pt>
                  <c:pt idx="30">
                    <c:v>578</c:v>
                  </c:pt>
                  <c:pt idx="31">
                    <c:v>580</c:v>
                  </c:pt>
                  <c:pt idx="32">
                    <c:v>588</c:v>
                  </c:pt>
                  <c:pt idx="33">
                    <c:v>589</c:v>
                  </c:pt>
                  <c:pt idx="34">
                    <c:v>590</c:v>
                  </c:pt>
                  <c:pt idx="35">
                    <c:v>593</c:v>
                  </c:pt>
                  <c:pt idx="36">
                    <c:v>617</c:v>
                  </c:pt>
                  <c:pt idx="37">
                    <c:v>620</c:v>
                  </c:pt>
                  <c:pt idx="38">
                    <c:v>622</c:v>
                  </c:pt>
                  <c:pt idx="39">
                    <c:v>626</c:v>
                  </c:pt>
                  <c:pt idx="40">
                    <c:v>627</c:v>
                  </c:pt>
                  <c:pt idx="41">
                    <c:v>631</c:v>
                  </c:pt>
                  <c:pt idx="42">
                    <c:v>637</c:v>
                  </c:pt>
                  <c:pt idx="43">
                    <c:v>657</c:v>
                  </c:pt>
                  <c:pt idx="44">
                    <c:v>673</c:v>
                  </c:pt>
                  <c:pt idx="45">
                    <c:v>674</c:v>
                  </c:pt>
                  <c:pt idx="46">
                    <c:v>689</c:v>
                  </c:pt>
                </c:lvl>
              </c:multiLvlStrCache>
            </c:multiLvlStrRef>
          </c:cat>
          <c:val>
            <c:numRef>
              <c:f>Sheet1!$B$4:$B$97</c:f>
              <c:numCache>
                <c:formatCode>General</c:formatCode>
                <c:ptCount val="47"/>
                <c:pt idx="0">
                  <c:v>56.6</c:v>
                </c:pt>
                <c:pt idx="1">
                  <c:v>79.8</c:v>
                </c:pt>
                <c:pt idx="2">
                  <c:v>103</c:v>
                </c:pt>
                <c:pt idx="3">
                  <c:v>96.8</c:v>
                </c:pt>
                <c:pt idx="4">
                  <c:v>99.9</c:v>
                </c:pt>
                <c:pt idx="5">
                  <c:v>85.6</c:v>
                </c:pt>
                <c:pt idx="6">
                  <c:v>97.4</c:v>
                </c:pt>
                <c:pt idx="7">
                  <c:v>106.6</c:v>
                </c:pt>
                <c:pt idx="8">
                  <c:v>78.099999999999994</c:v>
                </c:pt>
                <c:pt idx="9">
                  <c:v>112.1</c:v>
                </c:pt>
                <c:pt idx="10">
                  <c:v>52.3</c:v>
                </c:pt>
                <c:pt idx="11">
                  <c:v>60.3</c:v>
                </c:pt>
                <c:pt idx="12">
                  <c:v>121.6</c:v>
                </c:pt>
                <c:pt idx="13">
                  <c:v>145.4</c:v>
                </c:pt>
                <c:pt idx="14">
                  <c:v>70.5</c:v>
                </c:pt>
                <c:pt idx="15">
                  <c:v>73.2</c:v>
                </c:pt>
                <c:pt idx="16">
                  <c:v>123.4</c:v>
                </c:pt>
                <c:pt idx="17">
                  <c:v>75</c:v>
                </c:pt>
                <c:pt idx="18">
                  <c:v>98.7</c:v>
                </c:pt>
                <c:pt idx="19">
                  <c:v>67.599999999999994</c:v>
                </c:pt>
                <c:pt idx="20">
                  <c:v>127.2</c:v>
                </c:pt>
                <c:pt idx="21">
                  <c:v>88</c:v>
                </c:pt>
                <c:pt idx="22">
                  <c:v>83.1</c:v>
                </c:pt>
                <c:pt idx="23">
                  <c:v>132.4</c:v>
                </c:pt>
                <c:pt idx="24">
                  <c:v>115.1</c:v>
                </c:pt>
                <c:pt idx="25">
                  <c:v>92.3</c:v>
                </c:pt>
                <c:pt idx="26">
                  <c:v>149.30000000000001</c:v>
                </c:pt>
                <c:pt idx="27">
                  <c:v>140.80000000000001</c:v>
                </c:pt>
                <c:pt idx="28">
                  <c:v>45.5</c:v>
                </c:pt>
                <c:pt idx="29">
                  <c:v>82.3</c:v>
                </c:pt>
                <c:pt idx="30">
                  <c:v>137.80000000000001</c:v>
                </c:pt>
                <c:pt idx="31">
                  <c:v>104.3</c:v>
                </c:pt>
                <c:pt idx="32">
                  <c:v>105.9</c:v>
                </c:pt>
                <c:pt idx="33">
                  <c:v>108.3</c:v>
                </c:pt>
                <c:pt idx="34">
                  <c:v>107.2</c:v>
                </c:pt>
                <c:pt idx="35">
                  <c:v>64.2</c:v>
                </c:pt>
                <c:pt idx="36">
                  <c:v>95.3</c:v>
                </c:pt>
                <c:pt idx="37">
                  <c:v>114.3</c:v>
                </c:pt>
                <c:pt idx="38">
                  <c:v>117.2</c:v>
                </c:pt>
                <c:pt idx="39">
                  <c:v>135.5</c:v>
                </c:pt>
                <c:pt idx="40">
                  <c:v>94.3</c:v>
                </c:pt>
                <c:pt idx="41">
                  <c:v>109.4</c:v>
                </c:pt>
                <c:pt idx="42">
                  <c:v>119.7</c:v>
                </c:pt>
                <c:pt idx="43">
                  <c:v>154.30000000000001</c:v>
                </c:pt>
                <c:pt idx="44">
                  <c:v>157.69999999999999</c:v>
                </c:pt>
                <c:pt idx="45">
                  <c:v>161.80000000000001</c:v>
                </c:pt>
                <c:pt idx="46">
                  <c:v>84.9</c:v>
                </c:pt>
              </c:numCache>
            </c:numRef>
          </c:val>
          <c:smooth val="0"/>
          <c:extLst>
            <c:ext xmlns:c16="http://schemas.microsoft.com/office/drawing/2014/chart" uri="{C3380CC4-5D6E-409C-BE32-E72D297353CC}">
              <c16:uniqueId val="{00000000-1F5E-4A24-A402-A52AFF7184E6}"/>
            </c:ext>
          </c:extLst>
        </c:ser>
        <c:ser>
          <c:idx val="1"/>
          <c:order val="1"/>
          <c:tx>
            <c:strRef>
              <c:f>Sheet1!$C$3</c:f>
              <c:strCache>
                <c:ptCount val="1"/>
                <c:pt idx="0">
                  <c:v>Sum of CrimeRate10</c:v>
                </c:pt>
              </c:strCache>
            </c:strRef>
          </c:tx>
          <c:spPr>
            <a:ln w="28575" cap="rnd">
              <a:solidFill>
                <a:schemeClr val="accent2"/>
              </a:solidFill>
              <a:round/>
            </a:ln>
            <a:effectLst/>
          </c:spPr>
          <c:marker>
            <c:symbol val="none"/>
          </c:marker>
          <c:cat>
            <c:multiLvlStrRef>
              <c:f>Sheet1!$A$4:$A$97</c:f>
              <c:multiLvlStrCache>
                <c:ptCount val="47"/>
                <c:lvl>
                  <c:pt idx="0">
                    <c:v>359</c:v>
                  </c:pt>
                  <c:pt idx="1">
                    <c:v>378</c:v>
                  </c:pt>
                  <c:pt idx="2">
                    <c:v>456</c:v>
                  </c:pt>
                  <c:pt idx="3">
                    <c:v>465</c:v>
                  </c:pt>
                  <c:pt idx="4">
                    <c:v>476</c:v>
                  </c:pt>
                  <c:pt idx="5">
                    <c:v>568</c:v>
                  </c:pt>
                  <c:pt idx="6">
                    <c:v>470</c:v>
                  </c:pt>
                  <c:pt idx="7">
                    <c:v>499</c:v>
                  </c:pt>
                  <c:pt idx="8">
                    <c:v>499</c:v>
                  </c:pt>
                  <c:pt idx="9">
                    <c:v>500</c:v>
                  </c:pt>
                  <c:pt idx="10">
                    <c:v>521</c:v>
                  </c:pt>
                  <c:pt idx="11">
                    <c:v>510</c:v>
                  </c:pt>
                  <c:pt idx="12">
                    <c:v>511</c:v>
                  </c:pt>
                  <c:pt idx="13">
                    <c:v>539</c:v>
                  </c:pt>
                  <c:pt idx="14">
                    <c:v>556</c:v>
                  </c:pt>
                  <c:pt idx="15">
                    <c:v>561</c:v>
                  </c:pt>
                  <c:pt idx="16">
                    <c:v>550</c:v>
                  </c:pt>
                  <c:pt idx="17">
                    <c:v>550</c:v>
                  </c:pt>
                  <c:pt idx="18">
                    <c:v>562</c:v>
                  </c:pt>
                  <c:pt idx="19">
                    <c:v>571</c:v>
                  </c:pt>
                  <c:pt idx="20">
                    <c:v>589</c:v>
                  </c:pt>
                  <c:pt idx="21">
                    <c:v>570</c:v>
                  </c:pt>
                  <c:pt idx="22">
                    <c:v>591</c:v>
                  </c:pt>
                  <c:pt idx="23">
                    <c:v>617</c:v>
                  </c:pt>
                  <c:pt idx="24">
                    <c:v>615</c:v>
                  </c:pt>
                  <c:pt idx="25">
                    <c:v>621</c:v>
                  </c:pt>
                  <c:pt idx="26">
                    <c:v>625</c:v>
                  </c:pt>
                  <c:pt idx="27">
                    <c:v>635</c:v>
                  </c:pt>
                  <c:pt idx="28">
                    <c:v>632</c:v>
                  </c:pt>
                  <c:pt idx="29">
                    <c:v>639</c:v>
                  </c:pt>
                  <c:pt idx="30">
                    <c:v>649</c:v>
                  </c:pt>
                  <c:pt idx="31">
                    <c:v>649</c:v>
                  </c:pt>
                  <c:pt idx="32">
                    <c:v>649</c:v>
                  </c:pt>
                  <c:pt idx="33">
                    <c:v>659</c:v>
                  </c:pt>
                  <c:pt idx="34">
                    <c:v>656</c:v>
                  </c:pt>
                  <c:pt idx="35">
                    <c:v>660</c:v>
                  </c:pt>
                  <c:pt idx="36">
                    <c:v>679</c:v>
                  </c:pt>
                  <c:pt idx="37">
                    <c:v>696</c:v>
                  </c:pt>
                  <c:pt idx="38">
                    <c:v>691</c:v>
                  </c:pt>
                  <c:pt idx="39">
                    <c:v>684</c:v>
                  </c:pt>
                  <c:pt idx="40">
                    <c:v>692</c:v>
                  </c:pt>
                  <c:pt idx="41">
                    <c:v>703</c:v>
                  </c:pt>
                  <c:pt idx="42">
                    <c:v>698</c:v>
                  </c:pt>
                  <c:pt idx="43">
                    <c:v>719</c:v>
                  </c:pt>
                  <c:pt idx="44">
                    <c:v>739</c:v>
                  </c:pt>
                  <c:pt idx="45">
                    <c:v>748</c:v>
                  </c:pt>
                  <c:pt idx="46">
                    <c:v>742</c:v>
                  </c:pt>
                </c:lvl>
                <c:lvl>
                  <c:pt idx="0">
                    <c:v>288</c:v>
                  </c:pt>
                  <c:pt idx="1">
                    <c:v>318</c:v>
                  </c:pt>
                  <c:pt idx="2">
                    <c:v>382</c:v>
                  </c:pt>
                  <c:pt idx="3">
                    <c:v>394</c:v>
                  </c:pt>
                  <c:pt idx="4">
                    <c:v>395</c:v>
                  </c:pt>
                  <c:pt idx="5">
                    <c:v>396</c:v>
                  </c:pt>
                  <c:pt idx="6">
                    <c:v>405</c:v>
                  </c:pt>
                  <c:pt idx="7">
                    <c:v>421</c:v>
                  </c:pt>
                  <c:pt idx="8">
                    <c:v>425</c:v>
                  </c:pt>
                  <c:pt idx="9">
                    <c:v>427</c:v>
                  </c:pt>
                  <c:pt idx="10">
                    <c:v>453</c:v>
                  </c:pt>
                  <c:pt idx="11">
                    <c:v>457</c:v>
                  </c:pt>
                  <c:pt idx="12">
                    <c:v>462</c:v>
                  </c:pt>
                  <c:pt idx="13">
                    <c:v>472</c:v>
                  </c:pt>
                  <c:pt idx="14">
                    <c:v>486</c:v>
                  </c:pt>
                  <c:pt idx="15">
                    <c:v>487</c:v>
                  </c:pt>
                  <c:pt idx="16">
                    <c:v>488</c:v>
                  </c:pt>
                  <c:pt idx="17">
                    <c:v>489</c:v>
                  </c:pt>
                  <c:pt idx="18">
                    <c:v>496</c:v>
                  </c:pt>
                  <c:pt idx="19">
                    <c:v>507</c:v>
                  </c:pt>
                  <c:pt idx="20">
                    <c:v>513</c:v>
                  </c:pt>
                  <c:pt idx="21">
                    <c:v>526</c:v>
                  </c:pt>
                  <c:pt idx="22">
                    <c:v>529</c:v>
                  </c:pt>
                  <c:pt idx="23">
                    <c:v>537</c:v>
                  </c:pt>
                  <c:pt idx="24">
                    <c:v>540</c:v>
                  </c:pt>
                  <c:pt idx="25">
                    <c:v>557</c:v>
                  </c:pt>
                  <c:pt idx="27">
                    <c:v>559</c:v>
                  </c:pt>
                  <c:pt idx="28">
                    <c:v>564</c:v>
                  </c:pt>
                  <c:pt idx="29">
                    <c:v>572</c:v>
                  </c:pt>
                  <c:pt idx="30">
                    <c:v>578</c:v>
                  </c:pt>
                  <c:pt idx="31">
                    <c:v>580</c:v>
                  </c:pt>
                  <c:pt idx="32">
                    <c:v>588</c:v>
                  </c:pt>
                  <c:pt idx="33">
                    <c:v>589</c:v>
                  </c:pt>
                  <c:pt idx="34">
                    <c:v>590</c:v>
                  </c:pt>
                  <c:pt idx="35">
                    <c:v>593</c:v>
                  </c:pt>
                  <c:pt idx="36">
                    <c:v>617</c:v>
                  </c:pt>
                  <c:pt idx="37">
                    <c:v>620</c:v>
                  </c:pt>
                  <c:pt idx="38">
                    <c:v>622</c:v>
                  </c:pt>
                  <c:pt idx="39">
                    <c:v>626</c:v>
                  </c:pt>
                  <c:pt idx="40">
                    <c:v>627</c:v>
                  </c:pt>
                  <c:pt idx="41">
                    <c:v>631</c:v>
                  </c:pt>
                  <c:pt idx="42">
                    <c:v>637</c:v>
                  </c:pt>
                  <c:pt idx="43">
                    <c:v>657</c:v>
                  </c:pt>
                  <c:pt idx="44">
                    <c:v>673</c:v>
                  </c:pt>
                  <c:pt idx="45">
                    <c:v>674</c:v>
                  </c:pt>
                  <c:pt idx="46">
                    <c:v>689</c:v>
                  </c:pt>
                </c:lvl>
              </c:multiLvlStrCache>
            </c:multiLvlStrRef>
          </c:cat>
          <c:val>
            <c:numRef>
              <c:f>Sheet1!$C$4:$C$97</c:f>
              <c:numCache>
                <c:formatCode>General</c:formatCode>
                <c:ptCount val="47"/>
                <c:pt idx="0">
                  <c:v>37.1</c:v>
                </c:pt>
                <c:pt idx="1">
                  <c:v>71.400000000000006</c:v>
                </c:pt>
                <c:pt idx="2">
                  <c:v>103.5</c:v>
                </c:pt>
                <c:pt idx="3">
                  <c:v>96.2</c:v>
                </c:pt>
                <c:pt idx="4">
                  <c:v>101.4</c:v>
                </c:pt>
                <c:pt idx="5">
                  <c:v>80.599999999999994</c:v>
                </c:pt>
                <c:pt idx="6">
                  <c:v>97.8</c:v>
                </c:pt>
                <c:pt idx="7">
                  <c:v>107.8</c:v>
                </c:pt>
                <c:pt idx="8">
                  <c:v>65.400000000000006</c:v>
                </c:pt>
                <c:pt idx="9">
                  <c:v>116.3</c:v>
                </c:pt>
                <c:pt idx="10">
                  <c:v>35.9</c:v>
                </c:pt>
                <c:pt idx="11">
                  <c:v>42.7</c:v>
                </c:pt>
                <c:pt idx="12">
                  <c:v>130.69999999999999</c:v>
                </c:pt>
                <c:pt idx="13">
                  <c:v>157.30000000000001</c:v>
                </c:pt>
                <c:pt idx="14">
                  <c:v>50.6</c:v>
                </c:pt>
                <c:pt idx="15">
                  <c:v>55.9</c:v>
                </c:pt>
                <c:pt idx="16">
                  <c:v>132.5</c:v>
                </c:pt>
                <c:pt idx="17">
                  <c:v>61.8</c:v>
                </c:pt>
                <c:pt idx="18">
                  <c:v>99.9</c:v>
                </c:pt>
                <c:pt idx="19">
                  <c:v>47.9</c:v>
                </c:pt>
                <c:pt idx="20">
                  <c:v>134.6</c:v>
                </c:pt>
                <c:pt idx="21">
                  <c:v>82.2</c:v>
                </c:pt>
                <c:pt idx="22">
                  <c:v>77.3</c:v>
                </c:pt>
                <c:pt idx="23">
                  <c:v>137.5</c:v>
                </c:pt>
                <c:pt idx="24">
                  <c:v>124.5</c:v>
                </c:pt>
                <c:pt idx="25">
                  <c:v>87.5</c:v>
                </c:pt>
                <c:pt idx="26">
                  <c:v>162.69999999999999</c:v>
                </c:pt>
                <c:pt idx="27">
                  <c:v>150.6</c:v>
                </c:pt>
                <c:pt idx="28">
                  <c:v>26.5</c:v>
                </c:pt>
                <c:pt idx="29">
                  <c:v>75.400000000000006</c:v>
                </c:pt>
                <c:pt idx="30">
                  <c:v>145.69999999999999</c:v>
                </c:pt>
                <c:pt idx="31">
                  <c:v>104.5</c:v>
                </c:pt>
                <c:pt idx="32">
                  <c:v>106.4</c:v>
                </c:pt>
                <c:pt idx="33">
                  <c:v>110.5</c:v>
                </c:pt>
                <c:pt idx="34">
                  <c:v>110.1</c:v>
                </c:pt>
                <c:pt idx="35">
                  <c:v>46.7</c:v>
                </c:pt>
                <c:pt idx="36">
                  <c:v>94.1</c:v>
                </c:pt>
                <c:pt idx="37">
                  <c:v>119.7</c:v>
                </c:pt>
                <c:pt idx="38">
                  <c:v>127.8</c:v>
                </c:pt>
                <c:pt idx="39">
                  <c:v>140.5</c:v>
                </c:pt>
                <c:pt idx="40">
                  <c:v>92.9</c:v>
                </c:pt>
                <c:pt idx="41">
                  <c:v>113.5</c:v>
                </c:pt>
                <c:pt idx="42">
                  <c:v>129.80000000000001</c:v>
                </c:pt>
                <c:pt idx="43">
                  <c:v>169.6</c:v>
                </c:pt>
                <c:pt idx="44">
                  <c:v>177.2</c:v>
                </c:pt>
                <c:pt idx="45">
                  <c:v>178.2</c:v>
                </c:pt>
                <c:pt idx="46">
                  <c:v>78.599999999999994</c:v>
                </c:pt>
              </c:numCache>
            </c:numRef>
          </c:val>
          <c:smooth val="0"/>
          <c:extLst>
            <c:ext xmlns:c16="http://schemas.microsoft.com/office/drawing/2014/chart" uri="{C3380CC4-5D6E-409C-BE32-E72D297353CC}">
              <c16:uniqueId val="{00000001-1F5E-4A24-A402-A52AFF7184E6}"/>
            </c:ext>
          </c:extLst>
        </c:ser>
        <c:dLbls>
          <c:showLegendKey val="0"/>
          <c:showVal val="0"/>
          <c:showCatName val="0"/>
          <c:showSerName val="0"/>
          <c:showPercent val="0"/>
          <c:showBubbleSize val="0"/>
        </c:dLbls>
        <c:smooth val="0"/>
        <c:axId val="296231296"/>
        <c:axId val="296232832"/>
      </c:lineChart>
      <c:catAx>
        <c:axId val="29623129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96232832"/>
        <c:crosses val="autoZero"/>
        <c:auto val="1"/>
        <c:lblAlgn val="ctr"/>
        <c:lblOffset val="100"/>
        <c:noMultiLvlLbl val="0"/>
      </c:catAx>
      <c:valAx>
        <c:axId val="29623283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962312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ro-RO"/>
    </a:p>
  </c:txPr>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[Crime_data.csv]Sheet1!PivotTable1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Relationship</a:t>
            </a:r>
            <a:r>
              <a:rPr lang="en-US" sz="1200" baseline="0">
                <a:latin typeface="Times New Roman" panose="02020603050405020304" pitchFamily="18" charset="0"/>
                <a:cs typeface="Times New Roman" panose="02020603050405020304" pitchFamily="18" charset="0"/>
              </a:rPr>
              <a:t> Between Education and Crime Rate</a:t>
            </a:r>
            <a:endParaRPr lang="en-US" sz="1200">
              <a:latin typeface="Times New Roman" panose="02020603050405020304" pitchFamily="18" charset="0"/>
              <a:cs typeface="Times New Roman" panose="02020603050405020304" pitchFamily="18" charset="0"/>
            </a:endParaRPr>
          </a:p>
        </c:rich>
      </c:tx>
      <c:layout>
        <c:manualLayout>
          <c:xMode val="edge"/>
          <c:yMode val="edge"/>
          <c:x val="0.20093341971494069"/>
          <c:y val="2.8282828282828285E-2"/>
        </c:manualLayout>
      </c:layout>
      <c:overlay val="0"/>
      <c:spPr>
        <a:noFill/>
        <a:ln>
          <a:noFill/>
        </a:ln>
        <a:effectLst/>
      </c:sp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w="28575" cap="rnd">
            <a:solidFill>
              <a:schemeClr val="accent1"/>
            </a:solidFill>
            <a:round/>
          </a:ln>
          <a:effectLst/>
        </c:spPr>
        <c:marker>
          <c:symbol val="none"/>
        </c:marker>
      </c:pivotFmt>
      <c:pivotFmt>
        <c:idx val="7"/>
        <c:spPr>
          <a:solidFill>
            <a:schemeClr val="accent1"/>
          </a:solidFill>
          <a:ln w="28575" cap="rnd">
            <a:solidFill>
              <a:schemeClr val="accent1"/>
            </a:solidFill>
            <a:round/>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w="28575" cap="rnd">
            <a:solidFill>
              <a:schemeClr val="accent1"/>
            </a:solidFill>
            <a:round/>
          </a:ln>
          <a:effectLst/>
        </c:spPr>
        <c:marker>
          <c:symbol val="none"/>
        </c:marker>
      </c:pivotFmt>
      <c:pivotFmt>
        <c:idx val="11"/>
        <c:spPr>
          <a:solidFill>
            <a:schemeClr val="accent1"/>
          </a:solidFill>
          <a:ln w="28575" cap="rnd">
            <a:solidFill>
              <a:schemeClr val="accent1"/>
            </a:solidFill>
            <a:round/>
          </a:ln>
          <a:effectLst/>
        </c:spPr>
        <c:marker>
          <c:symbol val="none"/>
        </c:marker>
      </c:pivotFmt>
      <c:pivotFmt>
        <c:idx val="12"/>
        <c:spPr>
          <a:solidFill>
            <a:schemeClr val="accent1"/>
          </a:solidFill>
          <a:ln w="28575" cap="rnd">
            <a:solidFill>
              <a:schemeClr val="accent1"/>
            </a:solidFill>
            <a:round/>
          </a:ln>
          <a:effectLst/>
        </c:spPr>
        <c:marker>
          <c:symbol val="none"/>
        </c:marker>
      </c:pivotFmt>
      <c:pivotFmt>
        <c:idx val="13"/>
        <c:spPr>
          <a:solidFill>
            <a:schemeClr val="accent1"/>
          </a:solidFill>
          <a:ln w="28575" cap="rnd">
            <a:solidFill>
              <a:schemeClr val="accent1"/>
            </a:solidFill>
            <a:round/>
          </a:ln>
          <a:effectLst/>
        </c:spPr>
        <c:marker>
          <c:symbol val="none"/>
        </c:marker>
      </c:pivotFmt>
      <c:pivotFmt>
        <c:idx val="14"/>
        <c:spPr>
          <a:solidFill>
            <a:schemeClr val="accent1"/>
          </a:solidFill>
          <a:ln w="28575" cap="rnd">
            <a:solidFill>
              <a:schemeClr val="accent1"/>
            </a:solidFill>
            <a:round/>
          </a:ln>
          <a:effectLst/>
        </c:spPr>
        <c:marker>
          <c:symbol val="none"/>
        </c:marker>
      </c:pivotFmt>
      <c:pivotFmt>
        <c:idx val="15"/>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Sheet1!$B$3</c:f>
              <c:strCache>
                <c:ptCount val="1"/>
                <c:pt idx="0">
                  <c:v>Sum of CrimeRate</c:v>
                </c:pt>
              </c:strCache>
            </c:strRef>
          </c:tx>
          <c:spPr>
            <a:ln w="28575" cap="rnd">
              <a:solidFill>
                <a:schemeClr val="accent1"/>
              </a:solidFill>
              <a:round/>
            </a:ln>
            <a:effectLst/>
          </c:spPr>
          <c:marker>
            <c:symbol val="none"/>
          </c:marker>
          <c:cat>
            <c:multiLvlStrRef>
              <c:f>Sheet1!$A$4:$A$78</c:f>
              <c:multiLvlStrCache>
                <c:ptCount val="43"/>
                <c:lvl>
                  <c:pt idx="0">
                    <c:v>10.1</c:v>
                  </c:pt>
                  <c:pt idx="1">
                    <c:v>10.2</c:v>
                  </c:pt>
                  <c:pt idx="2">
                    <c:v>10.7</c:v>
                  </c:pt>
                  <c:pt idx="3">
                    <c:v>11</c:v>
                  </c:pt>
                  <c:pt idx="4">
                    <c:v>10.7</c:v>
                  </c:pt>
                  <c:pt idx="5">
                    <c:v>10.9</c:v>
                  </c:pt>
                  <c:pt idx="6">
                    <c:v>10.9</c:v>
                  </c:pt>
                  <c:pt idx="7">
                    <c:v>11.2</c:v>
                  </c:pt>
                  <c:pt idx="8">
                    <c:v>11</c:v>
                  </c:pt>
                  <c:pt idx="9">
                    <c:v>11.2</c:v>
                  </c:pt>
                  <c:pt idx="10">
                    <c:v>11.3</c:v>
                  </c:pt>
                  <c:pt idx="11">
                    <c:v>11.8</c:v>
                  </c:pt>
                  <c:pt idx="12">
                    <c:v>11.8</c:v>
                  </c:pt>
                  <c:pt idx="13">
                    <c:v>11.9</c:v>
                  </c:pt>
                  <c:pt idx="14">
                    <c:v>11.9</c:v>
                  </c:pt>
                  <c:pt idx="15">
                    <c:v>12</c:v>
                  </c:pt>
                  <c:pt idx="16">
                    <c:v>12.1</c:v>
                  </c:pt>
                  <c:pt idx="17">
                    <c:v>12</c:v>
                  </c:pt>
                  <c:pt idx="18">
                    <c:v>12.1</c:v>
                  </c:pt>
                  <c:pt idx="19">
                    <c:v>12.2</c:v>
                  </c:pt>
                  <c:pt idx="20">
                    <c:v>12.2</c:v>
                  </c:pt>
                  <c:pt idx="21">
                    <c:v>12.5</c:v>
                  </c:pt>
                  <c:pt idx="22">
                    <c:v>12.4</c:v>
                  </c:pt>
                  <c:pt idx="23">
                    <c:v>12.5</c:v>
                  </c:pt>
                  <c:pt idx="24">
                    <c:v>12.7</c:v>
                  </c:pt>
                  <c:pt idx="25">
                    <c:v>12.9</c:v>
                  </c:pt>
                  <c:pt idx="26">
                    <c:v>12.9</c:v>
                  </c:pt>
                  <c:pt idx="27">
                    <c:v>12.9</c:v>
                  </c:pt>
                  <c:pt idx="28">
                    <c:v>13</c:v>
                  </c:pt>
                  <c:pt idx="29">
                    <c:v>13.1</c:v>
                  </c:pt>
                  <c:pt idx="30">
                    <c:v>13.2</c:v>
                  </c:pt>
                  <c:pt idx="31">
                    <c:v>13.3</c:v>
                  </c:pt>
                  <c:pt idx="32">
                    <c:v>13.3</c:v>
                  </c:pt>
                  <c:pt idx="33">
                    <c:v>13.4</c:v>
                  </c:pt>
                  <c:pt idx="34">
                    <c:v>13.8</c:v>
                  </c:pt>
                  <c:pt idx="35">
                    <c:v>13.7</c:v>
                  </c:pt>
                  <c:pt idx="36">
                    <c:v>13.6</c:v>
                  </c:pt>
                  <c:pt idx="37">
                    <c:v>13.9</c:v>
                  </c:pt>
                  <c:pt idx="38">
                    <c:v>13.8</c:v>
                  </c:pt>
                  <c:pt idx="39">
                    <c:v>14</c:v>
                  </c:pt>
                  <c:pt idx="40">
                    <c:v>14.1</c:v>
                  </c:pt>
                  <c:pt idx="41">
                    <c:v>14.2</c:v>
                  </c:pt>
                  <c:pt idx="42">
                    <c:v>15.2</c:v>
                  </c:pt>
                </c:lvl>
                <c:lvl>
                  <c:pt idx="0">
                    <c:v>10</c:v>
                  </c:pt>
                  <c:pt idx="1">
                    <c:v>10.4</c:v>
                  </c:pt>
                  <c:pt idx="2">
                    <c:v>10.7</c:v>
                  </c:pt>
                  <c:pt idx="3">
                    <c:v>10.8</c:v>
                  </c:pt>
                  <c:pt idx="4">
                    <c:v>10.9</c:v>
                  </c:pt>
                  <c:pt idx="6">
                    <c:v>11</c:v>
                  </c:pt>
                  <c:pt idx="7">
                    <c:v>11.1</c:v>
                  </c:pt>
                  <c:pt idx="8">
                    <c:v>11.2</c:v>
                  </c:pt>
                  <c:pt idx="9">
                    <c:v>11.4</c:v>
                  </c:pt>
                  <c:pt idx="11">
                    <c:v>11.7</c:v>
                  </c:pt>
                  <c:pt idx="12">
                    <c:v>11.9</c:v>
                  </c:pt>
                  <c:pt idx="14">
                    <c:v>12</c:v>
                  </c:pt>
                  <c:pt idx="17">
                    <c:v>12.1</c:v>
                  </c:pt>
                  <c:pt idx="18">
                    <c:v>12.2</c:v>
                  </c:pt>
                  <c:pt idx="20">
                    <c:v>12.3</c:v>
                  </c:pt>
                  <c:pt idx="21">
                    <c:v>12.4</c:v>
                  </c:pt>
                  <c:pt idx="22">
                    <c:v>12.5</c:v>
                  </c:pt>
                  <c:pt idx="25">
                    <c:v>12.7</c:v>
                  </c:pt>
                  <c:pt idx="26">
                    <c:v>12.8</c:v>
                  </c:pt>
                  <c:pt idx="27">
                    <c:v>12.9</c:v>
                  </c:pt>
                  <c:pt idx="30">
                    <c:v>13.2</c:v>
                  </c:pt>
                  <c:pt idx="32">
                    <c:v>13.3</c:v>
                  </c:pt>
                  <c:pt idx="33">
                    <c:v>13.4</c:v>
                  </c:pt>
                  <c:pt idx="34">
                    <c:v>13.5</c:v>
                  </c:pt>
                  <c:pt idx="35">
                    <c:v>13.6</c:v>
                  </c:pt>
                  <c:pt idx="36">
                    <c:v>13.7</c:v>
                  </c:pt>
                  <c:pt idx="38">
                    <c:v>13.8</c:v>
                  </c:pt>
                  <c:pt idx="39">
                    <c:v>13.9</c:v>
                  </c:pt>
                  <c:pt idx="40">
                    <c:v>14.1</c:v>
                  </c:pt>
                  <c:pt idx="41">
                    <c:v>14.2</c:v>
                  </c:pt>
                  <c:pt idx="42">
                    <c:v>15.1</c:v>
                  </c:pt>
                </c:lvl>
              </c:multiLvlStrCache>
            </c:multiLvlStrRef>
          </c:cat>
          <c:val>
            <c:numRef>
              <c:f>Sheet1!$B$4:$B$78</c:f>
              <c:numCache>
                <c:formatCode>General</c:formatCode>
                <c:ptCount val="43"/>
                <c:pt idx="0">
                  <c:v>96.8</c:v>
                </c:pt>
                <c:pt idx="1">
                  <c:v>127.2</c:v>
                </c:pt>
                <c:pt idx="2">
                  <c:v>99.9</c:v>
                </c:pt>
                <c:pt idx="3">
                  <c:v>97.4</c:v>
                </c:pt>
                <c:pt idx="4">
                  <c:v>112.1</c:v>
                </c:pt>
                <c:pt idx="5">
                  <c:v>52.3</c:v>
                </c:pt>
                <c:pt idx="6">
                  <c:v>103</c:v>
                </c:pt>
                <c:pt idx="7">
                  <c:v>106.6</c:v>
                </c:pt>
                <c:pt idx="8">
                  <c:v>56.6</c:v>
                </c:pt>
                <c:pt idx="9">
                  <c:v>163.69999999999999</c:v>
                </c:pt>
                <c:pt idx="10">
                  <c:v>109.4</c:v>
                </c:pt>
                <c:pt idx="11">
                  <c:v>123.4</c:v>
                </c:pt>
                <c:pt idx="12">
                  <c:v>60.3</c:v>
                </c:pt>
                <c:pt idx="13">
                  <c:v>119.7</c:v>
                </c:pt>
                <c:pt idx="14">
                  <c:v>95.3</c:v>
                </c:pt>
                <c:pt idx="15">
                  <c:v>140.80000000000001</c:v>
                </c:pt>
                <c:pt idx="16">
                  <c:v>132.4</c:v>
                </c:pt>
                <c:pt idx="17">
                  <c:v>98.7</c:v>
                </c:pt>
                <c:pt idx="18">
                  <c:v>145.4</c:v>
                </c:pt>
                <c:pt idx="19">
                  <c:v>64.2</c:v>
                </c:pt>
                <c:pt idx="20">
                  <c:v>303.60000000000002</c:v>
                </c:pt>
                <c:pt idx="21">
                  <c:v>45.5</c:v>
                </c:pt>
                <c:pt idx="22">
                  <c:v>82.3</c:v>
                </c:pt>
                <c:pt idx="23">
                  <c:v>135.5</c:v>
                </c:pt>
                <c:pt idx="24">
                  <c:v>104.3</c:v>
                </c:pt>
                <c:pt idx="25">
                  <c:v>92.3</c:v>
                </c:pt>
                <c:pt idx="26">
                  <c:v>114.3</c:v>
                </c:pt>
                <c:pt idx="27">
                  <c:v>163</c:v>
                </c:pt>
                <c:pt idx="28">
                  <c:v>190.4</c:v>
                </c:pt>
                <c:pt idx="29">
                  <c:v>79.8</c:v>
                </c:pt>
                <c:pt idx="30">
                  <c:v>161.80000000000001</c:v>
                </c:pt>
                <c:pt idx="31">
                  <c:v>84.9</c:v>
                </c:pt>
                <c:pt idx="32">
                  <c:v>94.3</c:v>
                </c:pt>
                <c:pt idx="33">
                  <c:v>105.9</c:v>
                </c:pt>
                <c:pt idx="34">
                  <c:v>67.599999999999994</c:v>
                </c:pt>
                <c:pt idx="35">
                  <c:v>83.1</c:v>
                </c:pt>
                <c:pt idx="36">
                  <c:v>115.1</c:v>
                </c:pt>
                <c:pt idx="37">
                  <c:v>107.2</c:v>
                </c:pt>
                <c:pt idx="38">
                  <c:v>108.3</c:v>
                </c:pt>
                <c:pt idx="39">
                  <c:v>121.6</c:v>
                </c:pt>
                <c:pt idx="40">
                  <c:v>70.5</c:v>
                </c:pt>
                <c:pt idx="41">
                  <c:v>137.80000000000001</c:v>
                </c:pt>
                <c:pt idx="42">
                  <c:v>157.69999999999999</c:v>
                </c:pt>
              </c:numCache>
            </c:numRef>
          </c:val>
          <c:smooth val="0"/>
          <c:extLst>
            <c:ext xmlns:c16="http://schemas.microsoft.com/office/drawing/2014/chart" uri="{C3380CC4-5D6E-409C-BE32-E72D297353CC}">
              <c16:uniqueId val="{00000000-A45B-4F08-8F22-6ABE296BC729}"/>
            </c:ext>
          </c:extLst>
        </c:ser>
        <c:ser>
          <c:idx val="1"/>
          <c:order val="1"/>
          <c:tx>
            <c:strRef>
              <c:f>Sheet1!$C$3</c:f>
              <c:strCache>
                <c:ptCount val="1"/>
                <c:pt idx="0">
                  <c:v>Sum of CrimeRate10</c:v>
                </c:pt>
              </c:strCache>
            </c:strRef>
          </c:tx>
          <c:spPr>
            <a:ln w="28575" cap="rnd">
              <a:solidFill>
                <a:schemeClr val="accent2"/>
              </a:solidFill>
              <a:round/>
            </a:ln>
            <a:effectLst/>
          </c:spPr>
          <c:marker>
            <c:symbol val="none"/>
          </c:marker>
          <c:cat>
            <c:multiLvlStrRef>
              <c:f>Sheet1!$A$4:$A$78</c:f>
              <c:multiLvlStrCache>
                <c:ptCount val="43"/>
                <c:lvl>
                  <c:pt idx="0">
                    <c:v>10.1</c:v>
                  </c:pt>
                  <c:pt idx="1">
                    <c:v>10.2</c:v>
                  </c:pt>
                  <c:pt idx="2">
                    <c:v>10.7</c:v>
                  </c:pt>
                  <c:pt idx="3">
                    <c:v>11</c:v>
                  </c:pt>
                  <c:pt idx="4">
                    <c:v>10.7</c:v>
                  </c:pt>
                  <c:pt idx="5">
                    <c:v>10.9</c:v>
                  </c:pt>
                  <c:pt idx="6">
                    <c:v>10.9</c:v>
                  </c:pt>
                  <c:pt idx="7">
                    <c:v>11.2</c:v>
                  </c:pt>
                  <c:pt idx="8">
                    <c:v>11</c:v>
                  </c:pt>
                  <c:pt idx="9">
                    <c:v>11.2</c:v>
                  </c:pt>
                  <c:pt idx="10">
                    <c:v>11.3</c:v>
                  </c:pt>
                  <c:pt idx="11">
                    <c:v>11.8</c:v>
                  </c:pt>
                  <c:pt idx="12">
                    <c:v>11.8</c:v>
                  </c:pt>
                  <c:pt idx="13">
                    <c:v>11.9</c:v>
                  </c:pt>
                  <c:pt idx="14">
                    <c:v>11.9</c:v>
                  </c:pt>
                  <c:pt idx="15">
                    <c:v>12</c:v>
                  </c:pt>
                  <c:pt idx="16">
                    <c:v>12.1</c:v>
                  </c:pt>
                  <c:pt idx="17">
                    <c:v>12</c:v>
                  </c:pt>
                  <c:pt idx="18">
                    <c:v>12.1</c:v>
                  </c:pt>
                  <c:pt idx="19">
                    <c:v>12.2</c:v>
                  </c:pt>
                  <c:pt idx="20">
                    <c:v>12.2</c:v>
                  </c:pt>
                  <c:pt idx="21">
                    <c:v>12.5</c:v>
                  </c:pt>
                  <c:pt idx="22">
                    <c:v>12.4</c:v>
                  </c:pt>
                  <c:pt idx="23">
                    <c:v>12.5</c:v>
                  </c:pt>
                  <c:pt idx="24">
                    <c:v>12.7</c:v>
                  </c:pt>
                  <c:pt idx="25">
                    <c:v>12.9</c:v>
                  </c:pt>
                  <c:pt idx="26">
                    <c:v>12.9</c:v>
                  </c:pt>
                  <c:pt idx="27">
                    <c:v>12.9</c:v>
                  </c:pt>
                  <c:pt idx="28">
                    <c:v>13</c:v>
                  </c:pt>
                  <c:pt idx="29">
                    <c:v>13.1</c:v>
                  </c:pt>
                  <c:pt idx="30">
                    <c:v>13.2</c:v>
                  </c:pt>
                  <c:pt idx="31">
                    <c:v>13.3</c:v>
                  </c:pt>
                  <c:pt idx="32">
                    <c:v>13.3</c:v>
                  </c:pt>
                  <c:pt idx="33">
                    <c:v>13.4</c:v>
                  </c:pt>
                  <c:pt idx="34">
                    <c:v>13.8</c:v>
                  </c:pt>
                  <c:pt idx="35">
                    <c:v>13.7</c:v>
                  </c:pt>
                  <c:pt idx="36">
                    <c:v>13.6</c:v>
                  </c:pt>
                  <c:pt idx="37">
                    <c:v>13.9</c:v>
                  </c:pt>
                  <c:pt idx="38">
                    <c:v>13.8</c:v>
                  </c:pt>
                  <c:pt idx="39">
                    <c:v>14</c:v>
                  </c:pt>
                  <c:pt idx="40">
                    <c:v>14.1</c:v>
                  </c:pt>
                  <c:pt idx="41">
                    <c:v>14.2</c:v>
                  </c:pt>
                  <c:pt idx="42">
                    <c:v>15.2</c:v>
                  </c:pt>
                </c:lvl>
                <c:lvl>
                  <c:pt idx="0">
                    <c:v>10</c:v>
                  </c:pt>
                  <c:pt idx="1">
                    <c:v>10.4</c:v>
                  </c:pt>
                  <c:pt idx="2">
                    <c:v>10.7</c:v>
                  </c:pt>
                  <c:pt idx="3">
                    <c:v>10.8</c:v>
                  </c:pt>
                  <c:pt idx="4">
                    <c:v>10.9</c:v>
                  </c:pt>
                  <c:pt idx="6">
                    <c:v>11</c:v>
                  </c:pt>
                  <c:pt idx="7">
                    <c:v>11.1</c:v>
                  </c:pt>
                  <c:pt idx="8">
                    <c:v>11.2</c:v>
                  </c:pt>
                  <c:pt idx="9">
                    <c:v>11.4</c:v>
                  </c:pt>
                  <c:pt idx="11">
                    <c:v>11.7</c:v>
                  </c:pt>
                  <c:pt idx="12">
                    <c:v>11.9</c:v>
                  </c:pt>
                  <c:pt idx="14">
                    <c:v>12</c:v>
                  </c:pt>
                  <c:pt idx="17">
                    <c:v>12.1</c:v>
                  </c:pt>
                  <c:pt idx="18">
                    <c:v>12.2</c:v>
                  </c:pt>
                  <c:pt idx="20">
                    <c:v>12.3</c:v>
                  </c:pt>
                  <c:pt idx="21">
                    <c:v>12.4</c:v>
                  </c:pt>
                  <c:pt idx="22">
                    <c:v>12.5</c:v>
                  </c:pt>
                  <c:pt idx="25">
                    <c:v>12.7</c:v>
                  </c:pt>
                  <c:pt idx="26">
                    <c:v>12.8</c:v>
                  </c:pt>
                  <c:pt idx="27">
                    <c:v>12.9</c:v>
                  </c:pt>
                  <c:pt idx="30">
                    <c:v>13.2</c:v>
                  </c:pt>
                  <c:pt idx="32">
                    <c:v>13.3</c:v>
                  </c:pt>
                  <c:pt idx="33">
                    <c:v>13.4</c:v>
                  </c:pt>
                  <c:pt idx="34">
                    <c:v>13.5</c:v>
                  </c:pt>
                  <c:pt idx="35">
                    <c:v>13.6</c:v>
                  </c:pt>
                  <c:pt idx="36">
                    <c:v>13.7</c:v>
                  </c:pt>
                  <c:pt idx="38">
                    <c:v>13.8</c:v>
                  </c:pt>
                  <c:pt idx="39">
                    <c:v>13.9</c:v>
                  </c:pt>
                  <c:pt idx="40">
                    <c:v>14.1</c:v>
                  </c:pt>
                  <c:pt idx="41">
                    <c:v>14.2</c:v>
                  </c:pt>
                  <c:pt idx="42">
                    <c:v>15.1</c:v>
                  </c:pt>
                </c:lvl>
              </c:multiLvlStrCache>
            </c:multiLvlStrRef>
          </c:cat>
          <c:val>
            <c:numRef>
              <c:f>Sheet1!$C$4:$C$78</c:f>
              <c:numCache>
                <c:formatCode>General</c:formatCode>
                <c:ptCount val="43"/>
                <c:pt idx="0">
                  <c:v>96.2</c:v>
                </c:pt>
                <c:pt idx="1">
                  <c:v>134.6</c:v>
                </c:pt>
                <c:pt idx="2">
                  <c:v>101.4</c:v>
                </c:pt>
                <c:pt idx="3">
                  <c:v>97.8</c:v>
                </c:pt>
                <c:pt idx="4">
                  <c:v>116.3</c:v>
                </c:pt>
                <c:pt idx="5">
                  <c:v>35.9</c:v>
                </c:pt>
                <c:pt idx="6">
                  <c:v>103.5</c:v>
                </c:pt>
                <c:pt idx="7">
                  <c:v>107.8</c:v>
                </c:pt>
                <c:pt idx="8">
                  <c:v>37.1</c:v>
                </c:pt>
                <c:pt idx="9">
                  <c:v>146</c:v>
                </c:pt>
                <c:pt idx="10">
                  <c:v>113.5</c:v>
                </c:pt>
                <c:pt idx="11">
                  <c:v>132.5</c:v>
                </c:pt>
                <c:pt idx="12">
                  <c:v>42.7</c:v>
                </c:pt>
                <c:pt idx="13">
                  <c:v>129.80000000000001</c:v>
                </c:pt>
                <c:pt idx="14">
                  <c:v>94.1</c:v>
                </c:pt>
                <c:pt idx="15">
                  <c:v>150.6</c:v>
                </c:pt>
                <c:pt idx="16">
                  <c:v>137.5</c:v>
                </c:pt>
                <c:pt idx="17">
                  <c:v>99.9</c:v>
                </c:pt>
                <c:pt idx="18">
                  <c:v>157.30000000000001</c:v>
                </c:pt>
                <c:pt idx="19">
                  <c:v>46.7</c:v>
                </c:pt>
                <c:pt idx="20">
                  <c:v>332.29999999999995</c:v>
                </c:pt>
                <c:pt idx="21">
                  <c:v>26.5</c:v>
                </c:pt>
                <c:pt idx="22">
                  <c:v>75.400000000000006</c:v>
                </c:pt>
                <c:pt idx="23">
                  <c:v>140.5</c:v>
                </c:pt>
                <c:pt idx="24">
                  <c:v>104.5</c:v>
                </c:pt>
                <c:pt idx="25">
                  <c:v>87.5</c:v>
                </c:pt>
                <c:pt idx="26">
                  <c:v>119.7</c:v>
                </c:pt>
                <c:pt idx="27">
                  <c:v>144</c:v>
                </c:pt>
                <c:pt idx="28">
                  <c:v>183.7</c:v>
                </c:pt>
                <c:pt idx="29">
                  <c:v>71.400000000000006</c:v>
                </c:pt>
                <c:pt idx="30">
                  <c:v>178.2</c:v>
                </c:pt>
                <c:pt idx="31">
                  <c:v>78.599999999999994</c:v>
                </c:pt>
                <c:pt idx="32">
                  <c:v>92.9</c:v>
                </c:pt>
                <c:pt idx="33">
                  <c:v>106.4</c:v>
                </c:pt>
                <c:pt idx="34">
                  <c:v>47.9</c:v>
                </c:pt>
                <c:pt idx="35">
                  <c:v>77.3</c:v>
                </c:pt>
                <c:pt idx="36">
                  <c:v>124.5</c:v>
                </c:pt>
                <c:pt idx="37">
                  <c:v>110.1</c:v>
                </c:pt>
                <c:pt idx="38">
                  <c:v>110.5</c:v>
                </c:pt>
                <c:pt idx="39">
                  <c:v>130.69999999999999</c:v>
                </c:pt>
                <c:pt idx="40">
                  <c:v>50.6</c:v>
                </c:pt>
                <c:pt idx="41">
                  <c:v>145.69999999999999</c:v>
                </c:pt>
                <c:pt idx="42">
                  <c:v>177.2</c:v>
                </c:pt>
              </c:numCache>
            </c:numRef>
          </c:val>
          <c:smooth val="0"/>
          <c:extLst>
            <c:ext xmlns:c16="http://schemas.microsoft.com/office/drawing/2014/chart" uri="{C3380CC4-5D6E-409C-BE32-E72D297353CC}">
              <c16:uniqueId val="{00000001-A45B-4F08-8F22-6ABE296BC729}"/>
            </c:ext>
          </c:extLst>
        </c:ser>
        <c:dLbls>
          <c:showLegendKey val="0"/>
          <c:showVal val="0"/>
          <c:showCatName val="0"/>
          <c:showSerName val="0"/>
          <c:showPercent val="0"/>
          <c:showBubbleSize val="0"/>
        </c:dLbls>
        <c:smooth val="0"/>
        <c:axId val="296279040"/>
        <c:axId val="296280832"/>
      </c:lineChart>
      <c:catAx>
        <c:axId val="2962790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96280832"/>
        <c:crosses val="autoZero"/>
        <c:auto val="1"/>
        <c:lblAlgn val="ctr"/>
        <c:lblOffset val="100"/>
        <c:noMultiLvlLbl val="0"/>
      </c:catAx>
      <c:valAx>
        <c:axId val="29628083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962790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ro-RO"/>
    </a:p>
  </c:txPr>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'Ice_cream_csv (1)'!$A$2:$A$201</cx:f>
        <cx:lvl ptCount="200" formatCode="General">
          <cx:pt idx="0">70</cx:pt>
          <cx:pt idx="1">121</cx:pt>
          <cx:pt idx="2">86</cx:pt>
          <cx:pt idx="3">141</cx:pt>
          <cx:pt idx="4">172</cx:pt>
          <cx:pt idx="5">113</cx:pt>
          <cx:pt idx="6">50</cx:pt>
          <cx:pt idx="7">11</cx:pt>
          <cx:pt idx="8">84</cx:pt>
          <cx:pt idx="9">48</cx:pt>
          <cx:pt idx="10">75</cx:pt>
          <cx:pt idx="11">60</cx:pt>
          <cx:pt idx="12">95</cx:pt>
          <cx:pt idx="13">104</cx:pt>
          <cx:pt idx="14">38</cx:pt>
          <cx:pt idx="15">115</cx:pt>
          <cx:pt idx="16">76</cx:pt>
          <cx:pt idx="17">195</cx:pt>
          <cx:pt idx="18">114</cx:pt>
          <cx:pt idx="19">85</cx:pt>
          <cx:pt idx="20">167</cx:pt>
          <cx:pt idx="21">143</cx:pt>
          <cx:pt idx="22">41</cx:pt>
          <cx:pt idx="23">20</cx:pt>
          <cx:pt idx="24">12</cx:pt>
          <cx:pt idx="25">53</cx:pt>
          <cx:pt idx="26">154</cx:pt>
          <cx:pt idx="27">178</cx:pt>
          <cx:pt idx="28">196</cx:pt>
          <cx:pt idx="29">29</cx:pt>
          <cx:pt idx="30">126</cx:pt>
          <cx:pt idx="31">103</cx:pt>
          <cx:pt idx="32">192</cx:pt>
          <cx:pt idx="33">150</cx:pt>
          <cx:pt idx="34">199</cx:pt>
          <cx:pt idx="35">144</cx:pt>
          <cx:pt idx="36">200</cx:pt>
          <cx:pt idx="37">80</cx:pt>
          <cx:pt idx="38">16</cx:pt>
          <cx:pt idx="39">153</cx:pt>
          <cx:pt idx="40">176</cx:pt>
          <cx:pt idx="41">177</cx:pt>
          <cx:pt idx="42">168</cx:pt>
          <cx:pt idx="43">40</cx:pt>
          <cx:pt idx="44">62</cx:pt>
          <cx:pt idx="45">169</cx:pt>
          <cx:pt idx="46">49</cx:pt>
          <cx:pt idx="47">136</cx:pt>
          <cx:pt idx="48">189</cx:pt>
          <cx:pt idx="49">7</cx:pt>
          <cx:pt idx="50">27</cx:pt>
          <cx:pt idx="51">128</cx:pt>
          <cx:pt idx="52">21</cx:pt>
          <cx:pt idx="53">183</cx:pt>
          <cx:pt idx="54">132</cx:pt>
          <cx:pt idx="55">15</cx:pt>
          <cx:pt idx="56">67</cx:pt>
          <cx:pt idx="57">22</cx:pt>
          <cx:pt idx="58">185</cx:pt>
          <cx:pt idx="59">9</cx:pt>
          <cx:pt idx="60">181</cx:pt>
          <cx:pt idx="61">170</cx:pt>
          <cx:pt idx="62">134</cx:pt>
          <cx:pt idx="63">108</cx:pt>
          <cx:pt idx="64">197</cx:pt>
          <cx:pt idx="65">140</cx:pt>
          <cx:pt idx="66">171</cx:pt>
          <cx:pt idx="67">107</cx:pt>
          <cx:pt idx="68">81</cx:pt>
          <cx:pt idx="69">18</cx:pt>
          <cx:pt idx="70">155</cx:pt>
          <cx:pt idx="71">97</cx:pt>
          <cx:pt idx="72">68</cx:pt>
          <cx:pt idx="73">157</cx:pt>
          <cx:pt idx="74">56</cx:pt>
          <cx:pt idx="75">5</cx:pt>
          <cx:pt idx="76">159</cx:pt>
          <cx:pt idx="77">123</cx:pt>
          <cx:pt idx="78">164</cx:pt>
          <cx:pt idx="79">14</cx:pt>
          <cx:pt idx="80">127</cx:pt>
          <cx:pt idx="81">165</cx:pt>
          <cx:pt idx="82">174</cx:pt>
          <cx:pt idx="83">3</cx:pt>
          <cx:pt idx="84">58</cx:pt>
          <cx:pt idx="85">146</cx:pt>
          <cx:pt idx="86">102</cx:pt>
          <cx:pt idx="87">117</cx:pt>
          <cx:pt idx="88">133</cx:pt>
          <cx:pt idx="89">94</cx:pt>
          <cx:pt idx="90">24</cx:pt>
          <cx:pt idx="91">149</cx:pt>
          <cx:pt idx="92">82</cx:pt>
          <cx:pt idx="93">8</cx:pt>
          <cx:pt idx="94">129</cx:pt>
          <cx:pt idx="95">173</cx:pt>
          <cx:pt idx="96">57</cx:pt>
          <cx:pt idx="97">100</cx:pt>
          <cx:pt idx="98">1</cx:pt>
          <cx:pt idx="99">194</cx:pt>
          <cx:pt idx="100">88</cx:pt>
          <cx:pt idx="101">99</cx:pt>
          <cx:pt idx="102">47</cx:pt>
          <cx:pt idx="103">120</cx:pt>
          <cx:pt idx="104">166</cx:pt>
          <cx:pt idx="105">65</cx:pt>
          <cx:pt idx="106">101</cx:pt>
          <cx:pt idx="107">89</cx:pt>
          <cx:pt idx="108">54</cx:pt>
          <cx:pt idx="109">180</cx:pt>
          <cx:pt idx="110">162</cx:pt>
          <cx:pt idx="111">4</cx:pt>
          <cx:pt idx="112">131</cx:pt>
          <cx:pt idx="113">125</cx:pt>
          <cx:pt idx="114">34</cx:pt>
          <cx:pt idx="115">106</cx:pt>
          <cx:pt idx="116">130</cx:pt>
          <cx:pt idx="117">93</cx:pt>
          <cx:pt idx="118">163</cx:pt>
          <cx:pt idx="119">37</cx:pt>
          <cx:pt idx="120">35</cx:pt>
          <cx:pt idx="121">87</cx:pt>
          <cx:pt idx="122">73</cx:pt>
          <cx:pt idx="123">151</cx:pt>
          <cx:pt idx="124">44</cx:pt>
          <cx:pt idx="125">152</cx:pt>
          <cx:pt idx="126">105</cx:pt>
          <cx:pt idx="127">28</cx:pt>
          <cx:pt idx="128">91</cx:pt>
          <cx:pt idx="129">45</cx:pt>
          <cx:pt idx="130">116</cx:pt>
          <cx:pt idx="131">33</cx:pt>
          <cx:pt idx="132">66</cx:pt>
          <cx:pt idx="133">72</cx:pt>
          <cx:pt idx="134">77</cx:pt>
          <cx:pt idx="135">61</cx:pt>
          <cx:pt idx="136">190</cx:pt>
          <cx:pt idx="137">42</cx:pt>
          <cx:pt idx="138">2</cx:pt>
          <cx:pt idx="139">55</cx:pt>
          <cx:pt idx="140">19</cx:pt>
          <cx:pt idx="141">90</cx:pt>
          <cx:pt idx="142">142</cx:pt>
          <cx:pt idx="143">17</cx:pt>
          <cx:pt idx="144">122</cx:pt>
          <cx:pt idx="145">191</cx:pt>
          <cx:pt idx="146">83</cx:pt>
          <cx:pt idx="147">182</cx:pt>
          <cx:pt idx="148">6</cx:pt>
          <cx:pt idx="149">46</cx:pt>
          <cx:pt idx="150">43</cx:pt>
          <cx:pt idx="151">96</cx:pt>
          <cx:pt idx="152">138</cx:pt>
          <cx:pt idx="153">10</cx:pt>
          <cx:pt idx="154">71</cx:pt>
          <cx:pt idx="155">139</cx:pt>
          <cx:pt idx="156">110</cx:pt>
          <cx:pt idx="157">148</cx:pt>
          <cx:pt idx="158">109</cx:pt>
          <cx:pt idx="159">39</cx:pt>
          <cx:pt idx="160">147</cx:pt>
          <cx:pt idx="161">74</cx:pt>
          <cx:pt idx="162">198</cx:pt>
          <cx:pt idx="163">161</cx:pt>
          <cx:pt idx="164">112</cx:pt>
          <cx:pt idx="165">69</cx:pt>
          <cx:pt idx="166">156</cx:pt>
          <cx:pt idx="167">111</cx:pt>
          <cx:pt idx="168">186</cx:pt>
          <cx:pt idx="169">98</cx:pt>
          <cx:pt idx="170">119</cx:pt>
          <cx:pt idx="171">13</cx:pt>
          <cx:pt idx="172">51</cx:pt>
          <cx:pt idx="173">26</cx:pt>
          <cx:pt idx="174">36</cx:pt>
          <cx:pt idx="175">135</cx:pt>
          <cx:pt idx="176">59</cx:pt>
          <cx:pt idx="177">78</cx:pt>
          <cx:pt idx="178">64</cx:pt>
          <cx:pt idx="179">63</cx:pt>
          <cx:pt idx="180">79</cx:pt>
          <cx:pt idx="181">193</cx:pt>
          <cx:pt idx="182">92</cx:pt>
          <cx:pt idx="183">160</cx:pt>
          <cx:pt idx="184">32</cx:pt>
          <cx:pt idx="185">23</cx:pt>
          <cx:pt idx="186">158</cx:pt>
          <cx:pt idx="187">25</cx:pt>
          <cx:pt idx="188">188</cx:pt>
          <cx:pt idx="189">52</cx:pt>
          <cx:pt idx="190">124</cx:pt>
          <cx:pt idx="191">175</cx:pt>
          <cx:pt idx="192">184</cx:pt>
          <cx:pt idx="193">30</cx:pt>
          <cx:pt idx="194">179</cx:pt>
          <cx:pt idx="195">31</cx:pt>
          <cx:pt idx="196">145</cx:pt>
          <cx:pt idx="197">187</cx:pt>
          <cx:pt idx="198">118</cx:pt>
          <cx:pt idx="199">137</cx:pt>
        </cx:lvl>
      </cx:numDim>
    </cx:data>
    <cx:data id="1">
      <cx:numDim type="val">
        <cx:f>'Ice_cream_csv (1)'!$B$2:$B$201</cx:f>
        <cx:lvl ptCount="200" formatCode="General">
          <cx:pt idx="0">0</cx:pt>
          <cx:pt idx="1">1</cx:pt>
          <cx:pt idx="2">0</cx:pt>
          <cx:pt idx="3">0</cx:pt>
          <cx:pt idx="4">0</cx:pt>
          <cx:pt idx="5">0</cx:pt>
          <cx:pt idx="6">0</cx:pt>
          <cx:pt idx="7">0</cx:pt>
          <cx:pt idx="8">0</cx:pt>
          <cx:pt idx="9">0</cx:pt>
          <cx:pt idx="10">0</cx:pt>
          <cx:pt idx="11">0</cx:pt>
          <cx:pt idx="12">0</cx:pt>
          <cx:pt idx="13">0</cx:pt>
          <cx:pt idx="14">0</cx:pt>
          <cx:pt idx="15">0</cx:pt>
          <cx:pt idx="16">0</cx:pt>
          <cx:pt idx="17">0</cx:pt>
          <cx:pt idx="18">0</cx:pt>
          <cx:pt idx="19">0</cx:pt>
          <cx:pt idx="20">0</cx:pt>
          <cx:pt idx="21">0</cx:pt>
          <cx:pt idx="22">0</cx:pt>
          <cx:pt idx="23">0</cx:pt>
          <cx:pt idx="24">0</cx:pt>
          <cx:pt idx="25">0</cx:pt>
          <cx:pt idx="26">0</cx:pt>
          <cx:pt idx="27">0</cx:pt>
          <cx:pt idx="28">0</cx:pt>
          <cx:pt idx="29">0</cx:pt>
          <cx:pt idx="30">0</cx:pt>
          <cx:pt idx="31">0</cx:pt>
          <cx:pt idx="32">0</cx:pt>
          <cx:pt idx="33">0</cx:pt>
          <cx:pt idx="34">0</cx:pt>
          <cx:pt idx="35">0</cx:pt>
          <cx:pt idx="36">0</cx:pt>
          <cx:pt idx="37">0</cx:pt>
          <cx:pt idx="38">0</cx:pt>
          <cx:pt idx="39">0</cx:pt>
          <cx:pt idx="40">0</cx:pt>
          <cx:pt idx="41">0</cx:pt>
          <cx:pt idx="42">0</cx:pt>
          <cx:pt idx="43">0</cx:pt>
          <cx:pt idx="44">0</cx:pt>
          <cx:pt idx="45">0</cx:pt>
          <cx:pt idx="46">0</cx:pt>
          <cx:pt idx="47">0</cx:pt>
          <cx:pt idx="48">0</cx:pt>
          <cx:pt idx="49">0</cx:pt>
          <cx:pt idx="50">0</cx:pt>
          <cx:pt idx="51">0</cx:pt>
          <cx:pt idx="52">0</cx:pt>
          <cx:pt idx="53">0</cx:pt>
          <cx:pt idx="54">0</cx:pt>
          <cx:pt idx="55">0</cx:pt>
          <cx:pt idx="56">0</cx:pt>
          <cx:pt idx="57">0</cx:pt>
          <cx:pt idx="58">0</cx:pt>
          <cx:pt idx="59">0</cx:pt>
          <cx:pt idx="60">0</cx:pt>
          <cx:pt idx="61">0</cx:pt>
          <cx:pt idx="62">0</cx:pt>
          <cx:pt idx="63">0</cx:pt>
          <cx:pt idx="64">0</cx:pt>
          <cx:pt idx="65">0</cx:pt>
          <cx:pt idx="66">0</cx:pt>
          <cx:pt idx="67">0</cx:pt>
          <cx:pt idx="68">0</cx:pt>
          <cx:pt idx="69">0</cx:pt>
          <cx:pt idx="70">0</cx:pt>
          <cx:pt idx="71">0</cx:pt>
          <cx:pt idx="72">0</cx:pt>
          <cx:pt idx="73">0</cx:pt>
          <cx:pt idx="74">0</cx:pt>
          <cx:pt idx="75">0</cx:pt>
          <cx:pt idx="76">0</cx:pt>
          <cx:pt idx="77">0</cx:pt>
          <cx:pt idx="78">0</cx:pt>
          <cx:pt idx="79">0</cx:pt>
          <cx:pt idx="80">0</cx:pt>
          <cx:pt idx="81">0</cx:pt>
          <cx:pt idx="82">0</cx:pt>
          <cx:pt idx="83">0</cx:pt>
          <cx:pt idx="84">0</cx:pt>
          <cx:pt idx="85">0</cx:pt>
          <cx:pt idx="86">0</cx:pt>
          <cx:pt idx="87">0</cx:pt>
          <cx:pt idx="88">0</cx:pt>
          <cx:pt idx="89">0</cx:pt>
          <cx:pt idx="90">0</cx:pt>
          <cx:pt idx="91">0</cx:pt>
          <cx:pt idx="92">1</cx:pt>
          <cx:pt idx="93">1</cx:pt>
          <cx:pt idx="94">1</cx:pt>
          <cx:pt idx="95">1</cx:pt>
          <cx:pt idx="96">1</cx:pt>
          <cx:pt idx="97">1</cx:pt>
          <cx:pt idx="98">1</cx:pt>
          <cx:pt idx="99">1</cx:pt>
          <cx:pt idx="100">1</cx:pt>
          <cx:pt idx="101">1</cx:pt>
          <cx:pt idx="102">1</cx:pt>
          <cx:pt idx="103">1</cx:pt>
          <cx:pt idx="104">1</cx:pt>
          <cx:pt idx="105">1</cx:pt>
          <cx:pt idx="106">1</cx:pt>
          <cx:pt idx="107">1</cx:pt>
          <cx:pt idx="108">1</cx:pt>
          <cx:pt idx="109">1</cx:pt>
          <cx:pt idx="110">1</cx:pt>
          <cx:pt idx="111">1</cx:pt>
          <cx:pt idx="112">1</cx:pt>
          <cx:pt idx="113">1</cx:pt>
          <cx:pt idx="114">1</cx:pt>
          <cx:pt idx="115">1</cx:pt>
          <cx:pt idx="116">1</cx:pt>
          <cx:pt idx="117">1</cx:pt>
          <cx:pt idx="118">1</cx:pt>
          <cx:pt idx="119">1</cx:pt>
          <cx:pt idx="120">1</cx:pt>
          <cx:pt idx="121">1</cx:pt>
          <cx:pt idx="122">1</cx:pt>
          <cx:pt idx="123">1</cx:pt>
          <cx:pt idx="124">1</cx:pt>
          <cx:pt idx="125">1</cx:pt>
          <cx:pt idx="126">1</cx:pt>
          <cx:pt idx="127">1</cx:pt>
          <cx:pt idx="128">1</cx:pt>
          <cx:pt idx="129">1</cx:pt>
          <cx:pt idx="130">1</cx:pt>
          <cx:pt idx="131">1</cx:pt>
          <cx:pt idx="132">1</cx:pt>
          <cx:pt idx="133">1</cx:pt>
          <cx:pt idx="134">1</cx:pt>
          <cx:pt idx="135">1</cx:pt>
          <cx:pt idx="136">1</cx:pt>
          <cx:pt idx="137">1</cx:pt>
          <cx:pt idx="138">1</cx:pt>
          <cx:pt idx="139">1</cx:pt>
          <cx:pt idx="140">1</cx:pt>
          <cx:pt idx="141">1</cx:pt>
          <cx:pt idx="142">1</cx:pt>
          <cx:pt idx="143">1</cx:pt>
          <cx:pt idx="144">1</cx:pt>
          <cx:pt idx="145">1</cx:pt>
          <cx:pt idx="146">1</cx:pt>
          <cx:pt idx="147">1</cx:pt>
          <cx:pt idx="148">1</cx:pt>
          <cx:pt idx="149">1</cx:pt>
          <cx:pt idx="150">1</cx:pt>
          <cx:pt idx="151">1</cx:pt>
          <cx:pt idx="152">1</cx:pt>
          <cx:pt idx="153">1</cx:pt>
          <cx:pt idx="154">1</cx:pt>
          <cx:pt idx="155">1</cx:pt>
          <cx:pt idx="156">1</cx:pt>
          <cx:pt idx="157">1</cx:pt>
          <cx:pt idx="158">1</cx:pt>
          <cx:pt idx="159">1</cx:pt>
          <cx:pt idx="160">1</cx:pt>
          <cx:pt idx="161">1</cx:pt>
          <cx:pt idx="162">1</cx:pt>
          <cx:pt idx="163">1</cx:pt>
          <cx:pt idx="164">1</cx:pt>
          <cx:pt idx="165">1</cx:pt>
          <cx:pt idx="166">1</cx:pt>
          <cx:pt idx="167">1</cx:pt>
          <cx:pt idx="168">1</cx:pt>
          <cx:pt idx="169">1</cx:pt>
          <cx:pt idx="170">1</cx:pt>
          <cx:pt idx="171">1</cx:pt>
          <cx:pt idx="172">1</cx:pt>
          <cx:pt idx="173">1</cx:pt>
          <cx:pt idx="174">1</cx:pt>
          <cx:pt idx="175">1</cx:pt>
          <cx:pt idx="176">1</cx:pt>
          <cx:pt idx="177">1</cx:pt>
          <cx:pt idx="178">1</cx:pt>
          <cx:pt idx="179">1</cx:pt>
          <cx:pt idx="180">1</cx:pt>
          <cx:pt idx="181">1</cx:pt>
          <cx:pt idx="182">1</cx:pt>
          <cx:pt idx="183">1</cx:pt>
          <cx:pt idx="184">1</cx:pt>
          <cx:pt idx="185">1</cx:pt>
          <cx:pt idx="186">1</cx:pt>
          <cx:pt idx="187">1</cx:pt>
          <cx:pt idx="188">1</cx:pt>
          <cx:pt idx="189">1</cx:pt>
          <cx:pt idx="190">1</cx:pt>
          <cx:pt idx="191">1</cx:pt>
          <cx:pt idx="192">1</cx:pt>
          <cx:pt idx="193">1</cx:pt>
          <cx:pt idx="194">1</cx:pt>
          <cx:pt idx="195">1</cx:pt>
          <cx:pt idx="196">1</cx:pt>
          <cx:pt idx="197">1</cx:pt>
          <cx:pt idx="198">1</cx:pt>
          <cx:pt idx="199">1</cx:pt>
        </cx:lvl>
      </cx:numDim>
    </cx:data>
    <cx:data id="2">
      <cx:numDim type="val">
        <cx:f>'Ice_cream_csv (1)'!$C$2:$C$201</cx:f>
        <cx:lvl ptCount="200" formatCode="General">
          <cx:pt idx="0">35</cx:pt>
          <cx:pt idx="1">1</cx:pt>
          <cx:pt idx="2">3</cx:pt>
          <cx:pt idx="3">3</cx:pt>
          <cx:pt idx="4">1</cx:pt>
          <cx:pt idx="5">1</cx:pt>
          <cx:pt idx="6">1</cx:pt>
          <cx:pt idx="7">1</cx:pt>
          <cx:pt idx="8">1</cx:pt>
          <cx:pt idx="9">1</cx:pt>
          <cx:pt idx="10">1</cx:pt>
          <cx:pt idx="11">1</cx:pt>
          <cx:pt idx="12">3</cx:pt>
          <cx:pt idx="13">3</cx:pt>
          <cx:pt idx="14">2</cx:pt>
          <cx:pt idx="15">2</cx:pt>
          <cx:pt idx="16">3</cx:pt>
          <cx:pt idx="17">1</cx:pt>
          <cx:pt idx="18">3</cx:pt>
          <cx:pt idx="19">1</cx:pt>
          <cx:pt idx="20">1</cx:pt>
          <cx:pt idx="21">1</cx:pt>
          <cx:pt idx="22">1</cx:pt>
          <cx:pt idx="23">3</cx:pt>
          <cx:pt idx="24">1</cx:pt>
          <cx:pt idx="25">1</cx:pt>
          <cx:pt idx="26">3</cx:pt>
          <cx:pt idx="27">1</cx:pt>
          <cx:pt idx="28">3</cx:pt>
          <cx:pt idx="29">2</cx:pt>
          <cx:pt idx="30">1</cx:pt>
          <cx:pt idx="31">3</cx:pt>
          <cx:pt idx="32">3</cx:pt>
          <cx:pt idx="33">1</cx:pt>
          <cx:pt idx="34">3</cx:pt>
          <cx:pt idx="35">3</cx:pt>
          <cx:pt idx="36">1</cx:pt>
          <cx:pt idx="37">3</cx:pt>
          <cx:pt idx="38">2</cx:pt>
          <cx:pt idx="39">1</cx:pt>
          <cx:pt idx="40">1</cx:pt>
          <cx:pt idx="41">1</cx:pt>
          <cx:pt idx="42">1</cx:pt>
          <cx:pt idx="43">2</cx:pt>
          <cx:pt idx="44">3</cx:pt>
          <cx:pt idx="45">2</cx:pt>
          <cx:pt idx="46">3</cx:pt>
          <cx:pt idx="47">1</cx:pt>
          <cx:pt idx="48">1</cx:pt>
          <cx:pt idx="49">1</cx:pt>
          <cx:pt idx="50">1</cx:pt>
          <cx:pt idx="51">3</cx:pt>
          <cx:pt idx="52">1</cx:pt>
          <cx:pt idx="53">1</cx:pt>
          <cx:pt idx="54">1</cx:pt>
          <cx:pt idx="55">3</cx:pt>
          <cx:pt idx="56">2</cx:pt>
          <cx:pt idx="57">1</cx:pt>
          <cx:pt idx="58">1</cx:pt>
          <cx:pt idx="59">1</cx:pt>
          <cx:pt idx="60">1</cx:pt>
          <cx:pt idx="61">3</cx:pt>
          <cx:pt idx="62">2</cx:pt>
          <cx:pt idx="63">1</cx:pt>
          <cx:pt idx="64">3</cx:pt>
          <cx:pt idx="65">1</cx:pt>
          <cx:pt idx="66">1</cx:pt>
          <cx:pt idx="67">2</cx:pt>
          <cx:pt idx="68">2</cx:pt>
          <cx:pt idx="69">1</cx:pt>
          <cx:pt idx="70">1</cx:pt>
          <cx:pt idx="71">3</cx:pt>
          <cx:pt idx="72">1</cx:pt>
          <cx:pt idx="73">1</cx:pt>
          <cx:pt idx="74">1</cx:pt>
          <cx:pt idx="75">2</cx:pt>
          <cx:pt idx="76">3</cx:pt>
          <cx:pt idx="77">3</cx:pt>
          <cx:pt idx="78">1</cx:pt>
          <cx:pt idx="79">3</cx:pt>
          <cx:pt idx="80">3</cx:pt>
          <cx:pt idx="81">2</cx:pt>
          <cx:pt idx="82">1</cx:pt>
          <cx:pt idx="83">2</cx:pt>
          <cx:pt idx="84">1</cx:pt>
          <cx:pt idx="85">3</cx:pt>
          <cx:pt idx="86">3</cx:pt>
          <cx:pt idx="87">3</cx:pt>
          <cx:pt idx="88">1</cx:pt>
          <cx:pt idx="89">3</cx:pt>
          <cx:pt idx="90">1</cx:pt>
          <cx:pt idx="91">2</cx:pt>
          <cx:pt idx="92">3</cx:pt>
          <cx:pt idx="93">2</cx:pt>
          <cx:pt idx="94">2</cx:pt>
          <cx:pt idx="95">2</cx:pt>
          <cx:pt idx="96">1</cx:pt>
          <cx:pt idx="97">3</cx:pt>
          <cx:pt idx="98">2</cx:pt>
          <cx:pt idx="99">3</cx:pt>
          <cx:pt idx="100">3</cx:pt>
          <cx:pt idx="101">3</cx:pt>
          <cx:pt idx="102">2</cx:pt>
          <cx:pt idx="103">3</cx:pt>
          <cx:pt idx="104">1</cx:pt>
          <cx:pt idx="105">1</cx:pt>
          <cx:pt idx="106">3</cx:pt>
          <cx:pt idx="107">2</cx:pt>
          <cx:pt idx="108">2</cx:pt>
          <cx:pt idx="109">3</cx:pt>
          <cx:pt idx="110">1</cx:pt>
          <cx:pt idx="111">2</cx:pt>
          <cx:pt idx="112">3</cx:pt>
          <cx:pt idx="113">2</cx:pt>
          <cx:pt idx="114">3</cx:pt>
          <cx:pt idx="115">1</cx:pt>
          <cx:pt idx="116">3</cx:pt>
          <cx:pt idx="117">3</cx:pt>
          <cx:pt idx="118">2</cx:pt>
          <cx:pt idx="119">2</cx:pt>
          <cx:pt idx="120">2</cx:pt>
          <cx:pt idx="121">1</cx:pt>
          <cx:pt idx="122">1</cx:pt>
          <cx:pt idx="123">1</cx:pt>
          <cx:pt idx="124">2</cx:pt>
          <cx:pt idx="125">3</cx:pt>
          <cx:pt idx="126">1</cx:pt>
          <cx:pt idx="127">1</cx:pt>
          <cx:pt idx="128">3</cx:pt>
          <cx:pt idx="129">2</cx:pt>
          <cx:pt idx="130">1</cx:pt>
          <cx:pt idx="131">2</cx:pt>
          <cx:pt idx="132">1</cx:pt>
          <cx:pt idx="133">1</cx:pt>
          <cx:pt idx="134">2</cx:pt>
          <cx:pt idx="135">3</cx:pt>
          <cx:pt idx="136">1</cx:pt>
          <cx:pt idx="137">1</cx:pt>
          <cx:pt idx="138">1</cx:pt>
          <cx:pt idx="139">1</cx:pt>
          <cx:pt idx="140">2</cx:pt>
          <cx:pt idx="141">3</cx:pt>
          <cx:pt idx="142">1</cx:pt>
          <cx:pt idx="143">1</cx:pt>
          <cx:pt idx="144">1</cx:pt>
          <cx:pt idx="145">3</cx:pt>
          <cx:pt idx="146">1</cx:pt>
          <cx:pt idx="147">1</cx:pt>
          <cx:pt idx="148">2</cx:pt>
          <cx:pt idx="149">2</cx:pt>
          <cx:pt idx="150">2</cx:pt>
          <cx:pt idx="151">3</cx:pt>
          <cx:pt idx="152">1</cx:pt>
          <cx:pt idx="153">1</cx:pt>
          <cx:pt idx="154">1</cx:pt>
          <cx:pt idx="155">1</cx:pt>
          <cx:pt idx="156">1</cx:pt>
          <cx:pt idx="157">1</cx:pt>
          <cx:pt idx="158">1</cx:pt>
          <cx:pt idx="159">3</cx:pt>
          <cx:pt idx="160">2</cx:pt>
          <cx:pt idx="161">1</cx:pt>
          <cx:pt idx="162">3</cx:pt>
          <cx:pt idx="163">2</cx:pt>
          <cx:pt idx="164">1</cx:pt>
          <cx:pt idx="165">2</cx:pt>
          <cx:pt idx="166">1</cx:pt>
          <cx:pt idx="167">2</cx:pt>
          <cx:pt idx="168">1</cx:pt>
          <cx:pt idx="169">2</cx:pt>
          <cx:pt idx="170">2</cx:pt>
          <cx:pt idx="171">1</cx:pt>
          <cx:pt idx="172">3</cx:pt>
          <cx:pt idx="173">3</cx:pt>
          <cx:pt idx="174">2</cx:pt>
          <cx:pt idx="175">2</cx:pt>
          <cx:pt idx="176">1</cx:pt>
          <cx:pt idx="177">1</cx:pt>
          <cx:pt idx="178">3</cx:pt>
          <cx:pt idx="179">2</cx:pt>
          <cx:pt idx="180">1</cx:pt>
          <cx:pt idx="181">1</cx:pt>
          <cx:pt idx="182">3</cx:pt>
          <cx:pt idx="183">1</cx:pt>
          <cx:pt idx="184">3</cx:pt>
          <cx:pt idx="185">2</cx:pt>
          <cx:pt idx="186">1</cx:pt>
          <cx:pt idx="187">1</cx:pt>
          <cx:pt idx="188">3</cx:pt>
          <cx:pt idx="189">2</cx:pt>
          <cx:pt idx="190">2</cx:pt>
          <cx:pt idx="191">3</cx:pt>
          <cx:pt idx="192">1</cx:pt>
          <cx:pt idx="193">3</cx:pt>
          <cx:pt idx="194">1</cx:pt>
          <cx:pt idx="195">1</cx:pt>
          <cx:pt idx="196">1</cx:pt>
          <cx:pt idx="197">1</cx:pt>
          <cx:pt idx="198">1</cx:pt>
          <cx:pt idx="199">3</cx:pt>
        </cx:lvl>
      </cx:numDim>
    </cx:data>
    <cx:data id="3">
      <cx:numDim type="val">
        <cx:f>'Ice_cream_csv (1)'!$D$2:$D$201</cx:f>
        <cx:lvl ptCount="200" formatCode="General">
          <cx:pt idx="0">47</cx:pt>
          <cx:pt idx="1">63</cx:pt>
          <cx:pt idx="2">58</cx:pt>
          <cx:pt idx="3">53</cx:pt>
          <cx:pt idx="4">53</cx:pt>
          <cx:pt idx="5">63</cx:pt>
          <cx:pt idx="6">53</cx:pt>
          <cx:pt idx="7">39</cx:pt>
          <cx:pt idx="8">58</cx:pt>
          <cx:pt idx="9">50</cx:pt>
          <cx:pt idx="10">53</cx:pt>
          <cx:pt idx="11">63</cx:pt>
          <cx:pt idx="12">61</cx:pt>
          <cx:pt idx="13">55</cx:pt>
          <cx:pt idx="14">31</cx:pt>
          <cx:pt idx="15">50</cx:pt>
          <cx:pt idx="16">50</cx:pt>
          <cx:pt idx="17">58</cx:pt>
          <cx:pt idx="18">55</cx:pt>
          <cx:pt idx="19">53</cx:pt>
          <cx:pt idx="20">66</cx:pt>
          <cx:pt idx="21">72</cx:pt>
          <cx:pt idx="22">55</cx:pt>
          <cx:pt idx="23">61</cx:pt>
          <cx:pt idx="24">39</cx:pt>
          <cx:pt idx="25">39</cx:pt>
          <cx:pt idx="26">61</cx:pt>
          <cx:pt idx="27">58</cx:pt>
          <cx:pt idx="28">39</cx:pt>
          <cx:pt idx="29">55</cx:pt>
          <cx:pt idx="30">47</cx:pt>
          <cx:pt idx="31">64</cx:pt>
          <cx:pt idx="32">66</cx:pt>
          <cx:pt idx="33">72</cx:pt>
          <cx:pt idx="34">61</cx:pt>
          <cx:pt idx="35">61</cx:pt>
          <cx:pt idx="36">66</cx:pt>
          <cx:pt idx="37">66</cx:pt>
          <cx:pt idx="38">36</cx:pt>
          <cx:pt idx="39">39</cx:pt>
          <cx:pt idx="40">42</cx:pt>
          <cx:pt idx="41">58</cx:pt>
          <cx:pt idx="42">55</cx:pt>
          <cx:pt idx="43">50</cx:pt>
          <cx:pt idx="44">63</cx:pt>
          <cx:pt idx="45">69</cx:pt>
          <cx:pt idx="46">49</cx:pt>
          <cx:pt idx="47">63</cx:pt>
          <cx:pt idx="48">53</cx:pt>
          <cx:pt idx="49">47</cx:pt>
          <cx:pt idx="50">57</cx:pt>
          <cx:pt idx="51">47</cx:pt>
          <cx:pt idx="52">50</cx:pt>
          <cx:pt idx="53">55</cx:pt>
          <cx:pt idx="54">69</cx:pt>
          <cx:pt idx="55">26</cx:pt>
          <cx:pt idx="56">33</cx:pt>
          <cx:pt idx="57">56</cx:pt>
          <cx:pt idx="58">58</cx:pt>
          <cx:pt idx="59">44</cx:pt>
          <cx:pt idx="60">58</cx:pt>
          <cx:pt idx="61">69</cx:pt>
          <cx:pt idx="62">34</cx:pt>
          <cx:pt idx="63">36</cx:pt>
          <cx:pt idx="64">36</cx:pt>
          <cx:pt idx="65">50</cx:pt>
          <cx:pt idx="66">55</cx:pt>
          <cx:pt idx="67">42</cx:pt>
          <cx:pt idx="68">65</cx:pt>
          <cx:pt idx="69">44</cx:pt>
          <cx:pt idx="70">39</cx:pt>
          <cx:pt idx="71">58</cx:pt>
          <cx:pt idx="72">63</cx:pt>
          <cx:pt idx="73">74</cx:pt>
          <cx:pt idx="74">58</cx:pt>
          <cx:pt idx="75">45</cx:pt>
          <cx:pt idx="76">49</cx:pt>
          <cx:pt idx="77">63</cx:pt>
          <cx:pt idx="78">39</cx:pt>
          <cx:pt idx="79">42</cx:pt>
          <cx:pt idx="80">55</cx:pt>
          <cx:pt idx="81">61</cx:pt>
          <cx:pt idx="82">66</cx:pt>
          <cx:pt idx="83">63</cx:pt>
          <cx:pt idx="84">44</cx:pt>
          <cx:pt idx="85">63</cx:pt>
          <cx:pt idx="86">53</cx:pt>
          <cx:pt idx="87">42</cx:pt>
          <cx:pt idx="88">34</cx:pt>
          <cx:pt idx="89">61</cx:pt>
          <cx:pt idx="90">47</cx:pt>
          <cx:pt idx="91">66</cx:pt>
          <cx:pt idx="92">69</cx:pt>
          <cx:pt idx="93">44</cx:pt>
          <cx:pt idx="94">47</cx:pt>
          <cx:pt idx="95">63</cx:pt>
          <cx:pt idx="96">66</cx:pt>
          <cx:pt idx="97">69</cx:pt>
          <cx:pt idx="98">39</cx:pt>
          <cx:pt idx="99">61</cx:pt>
          <cx:pt idx="100">69</cx:pt>
          <cx:pt idx="101">66</cx:pt>
          <cx:pt idx="102">33</cx:pt>
          <cx:pt idx="103">50</cx:pt>
          <cx:pt idx="104">61</cx:pt>
          <cx:pt idx="105">42</cx:pt>
          <cx:pt idx="106">50</cx:pt>
          <cx:pt idx="107">51</cx:pt>
          <cx:pt idx="108">50</cx:pt>
          <cx:pt idx="109">58</cx:pt>
          <cx:pt idx="110">61</cx:pt>
          <cx:pt idx="111">39</cx:pt>
          <cx:pt idx="112">46</cx:pt>
          <cx:pt idx="113">59</cx:pt>
          <cx:pt idx="114">55</cx:pt>
          <cx:pt idx="115">42</cx:pt>
          <cx:pt idx="116">55</cx:pt>
          <cx:pt idx="117">58</cx:pt>
          <cx:pt idx="118">58</cx:pt>
          <cx:pt idx="119">39</cx:pt>
          <cx:pt idx="120">50</cx:pt>
          <cx:pt idx="121">50</cx:pt>
          <cx:pt idx="122">39</cx:pt>
          <cx:pt idx="123">48</cx:pt>
          <cx:pt idx="124">34</cx:pt>
          <cx:pt idx="125">58</cx:pt>
          <cx:pt idx="126">44</cx:pt>
          <cx:pt idx="127">50</cx:pt>
          <cx:pt idx="128">47</cx:pt>
          <cx:pt idx="129">29</cx:pt>
          <cx:pt idx="130">50</cx:pt>
          <cx:pt idx="131">54</cx:pt>
          <cx:pt idx="132">50</cx:pt>
          <cx:pt idx="133">47</cx:pt>
          <cx:pt idx="134">44</cx:pt>
          <cx:pt idx="135">67</cx:pt>
          <cx:pt idx="136">58</cx:pt>
          <cx:pt idx="137">44</cx:pt>
          <cx:pt idx="138">42</cx:pt>
          <cx:pt idx="139">44</cx:pt>
          <cx:pt idx="140">44</cx:pt>
          <cx:pt idx="141">50</cx:pt>
          <cx:pt idx="142">39</cx:pt>
          <cx:pt idx="143">44</cx:pt>
          <cx:pt idx="144">53</cx:pt>
          <cx:pt idx="145">48</cx:pt>
          <cx:pt idx="146">55</cx:pt>
          <cx:pt idx="147">44</cx:pt>
          <cx:pt idx="148">40</cx:pt>
          <cx:pt idx="149">34</cx:pt>
          <cx:pt idx="150">42</cx:pt>
          <cx:pt idx="151">58</cx:pt>
          <cx:pt idx="152">50</cx:pt>
          <cx:pt idx="153">53</cx:pt>
          <cx:pt idx="154">58</cx:pt>
          <cx:pt idx="155">55</cx:pt>
          <cx:pt idx="156">54</cx:pt>
          <cx:pt idx="157">47</cx:pt>
          <cx:pt idx="158">42</cx:pt>
          <cx:pt idx="159">61</cx:pt>
          <cx:pt idx="160">53</cx:pt>
          <cx:pt idx="161">51</cx:pt>
          <cx:pt idx="162">63</cx:pt>
          <cx:pt idx="163">61</cx:pt>
          <cx:pt idx="164">55</cx:pt>
          <cx:pt idx="165">40</cx:pt>
          <cx:pt idx="166">61</cx:pt>
          <cx:pt idx="167">47</cx:pt>
          <cx:pt idx="168">55</cx:pt>
          <cx:pt idx="169">53</cx:pt>
          <cx:pt idx="170">50</cx:pt>
          <cx:pt idx="171">47</cx:pt>
          <cx:pt idx="172">31</cx:pt>
          <cx:pt idx="173">61</cx:pt>
          <cx:pt idx="174">35</cx:pt>
          <cx:pt idx="175">54</cx:pt>
          <cx:pt idx="176">55</cx:pt>
          <cx:pt idx="177">53</cx:pt>
          <cx:pt idx="178">58</cx:pt>
          <cx:pt idx="179">56</cx:pt>
          <cx:pt idx="180">50</cx:pt>
          <cx:pt idx="181">39</cx:pt>
          <cx:pt idx="182">63</cx:pt>
          <cx:pt idx="183">50</cx:pt>
          <cx:pt idx="184">66</cx:pt>
          <cx:pt idx="185">58</cx:pt>
          <cx:pt idx="186">53</cx:pt>
          <cx:pt idx="187">42</cx:pt>
          <cx:pt idx="188">55</cx:pt>
          <cx:pt idx="189">53</cx:pt>
          <cx:pt idx="190">42</cx:pt>
          <cx:pt idx="191">50</cx:pt>
          <cx:pt idx="192">55</cx:pt>
          <cx:pt idx="193">34</cx:pt>
          <cx:pt idx="194">50</cx:pt>
          <cx:pt idx="195">42</cx:pt>
          <cx:pt idx="196">36</cx:pt>
          <cx:pt idx="197">55</cx:pt>
          <cx:pt idx="198">58</cx:pt>
          <cx:pt idx="199">53</cx:pt>
        </cx:lvl>
      </cx:numDim>
    </cx:data>
    <cx:data id="4">
      <cx:numDim type="val">
        <cx:f>'Ice_cream_csv (1)'!$E$2:$E$201</cx:f>
        <cx:lvl ptCount="200" formatCode="General">
          <cx:pt idx="0">57</cx:pt>
          <cx:pt idx="1">61</cx:pt>
          <cx:pt idx="2">31</cx:pt>
          <cx:pt idx="3">56</cx:pt>
          <cx:pt idx="4">61</cx:pt>
          <cx:pt idx="5">61</cx:pt>
          <cx:pt idx="6">61</cx:pt>
          <cx:pt idx="7">36</cx:pt>
          <cx:pt idx="8">51</cx:pt>
          <cx:pt idx="9">51</cx:pt>
          <cx:pt idx="10">61</cx:pt>
          <cx:pt idx="11">61</cx:pt>
          <cx:pt idx="12">71</cx:pt>
          <cx:pt idx="13">46</cx:pt>
          <cx:pt idx="14">56</cx:pt>
          <cx:pt idx="15">56</cx:pt>
          <cx:pt idx="16">56</cx:pt>
          <cx:pt idx="17">56</cx:pt>
          <cx:pt idx="18">61</cx:pt>
          <cx:pt idx="19">46</cx:pt>
          <cx:pt idx="20">41</cx:pt>
          <cx:pt idx="21">66</cx:pt>
          <cx:pt idx="22">56</cx:pt>
          <cx:pt idx="23">61</cx:pt>
          <cx:pt idx="24">46</cx:pt>
          <cx:pt idx="25">31</cx:pt>
          <cx:pt idx="26">66</cx:pt>
          <cx:pt idx="27">46</cx:pt>
          <cx:pt idx="28">46</cx:pt>
          <cx:pt idx="29">41</cx:pt>
          <cx:pt idx="30">51</cx:pt>
          <cx:pt idx="31">61</cx:pt>
          <cx:pt idx="32">71</cx:pt>
          <cx:pt idx="33">31</cx:pt>
          <cx:pt idx="34">61</cx:pt>
          <cx:pt idx="35">66</cx:pt>
          <cx:pt idx="36">66</cx:pt>
          <cx:pt idx="37">66</cx:pt>
          <cx:pt idx="38">36</cx:pt>
          <cx:pt idx="39">51</cx:pt>
          <cx:pt idx="40">51</cx:pt>
          <cx:pt idx="41">51</cx:pt>
          <cx:pt idx="42">51</cx:pt>
          <cx:pt idx="43">41</cx:pt>
          <cx:pt idx="44">66</cx:pt>
          <cx:pt idx="45">46</cx:pt>
          <cx:pt idx="46">47</cx:pt>
          <cx:pt idx="47">51</cx:pt>
          <cx:pt idx="48">46</cx:pt>
          <cx:pt idx="49">51</cx:pt>
          <cx:pt idx="50">56</cx:pt>
          <cx:pt idx="51">41</cx:pt>
          <cx:pt idx="52">46</cx:pt>
          <cx:pt idx="53">71</cx:pt>
          <cx:pt idx="54">66</cx:pt>
          <cx:pt idx="55">42</cx:pt>
          <cx:pt idx="56">32</cx:pt>
          <cx:pt idx="57">46</cx:pt>
          <cx:pt idx="58">41</cx:pt>
          <cx:pt idx="59">51</cx:pt>
          <cx:pt idx="60">61</cx:pt>
          <cx:pt idx="61">66</cx:pt>
          <cx:pt idx="62">46</cx:pt>
          <cx:pt idx="63">36</cx:pt>
          <cx:pt idx="64">61</cx:pt>
          <cx:pt idx="65">26</cx:pt>
          <cx:pt idx="66">66</cx:pt>
          <cx:pt idx="67">26</cx:pt>
          <cx:pt idx="68">44</cx:pt>
          <cx:pt idx="69">36</cx:pt>
          <cx:pt idx="70">51</cx:pt>
          <cx:pt idx="71">61</cx:pt>
          <cx:pt idx="72">66</cx:pt>
          <cx:pt idx="73">66</cx:pt>
          <cx:pt idx="74">51</cx:pt>
          <cx:pt idx="75">31</cx:pt>
          <cx:pt idx="76">61</cx:pt>
          <cx:pt idx="77">66</cx:pt>
          <cx:pt idx="78">46</cx:pt>
          <cx:pt idx="79">56</cx:pt>
          <cx:pt idx="80">56</cx:pt>
          <cx:pt idx="81">36</cx:pt>
          <cx:pt idx="82">56</cx:pt>
          <cx:pt idx="83">56</cx:pt>
          <cx:pt idx="84">41</cx:pt>
          <cx:pt idx="85">66</cx:pt>
          <cx:pt idx="86">56</cx:pt>
          <cx:pt idx="87">56</cx:pt>
          <cx:pt idx="88">31</cx:pt>
          <cx:pt idx="89">56</cx:pt>
          <cx:pt idx="90">46</cx:pt>
          <cx:pt idx="91">46</cx:pt>
          <cx:pt idx="92">61</cx:pt>
          <cx:pt idx="93">48</cx:pt>
          <cx:pt idx="94">51</cx:pt>
          <cx:pt idx="95">51</cx:pt>
          <cx:pt idx="96">56</cx:pt>
          <cx:pt idx="97">71</cx:pt>
          <cx:pt idx="98">41</cx:pt>
          <cx:pt idx="99">61</cx:pt>
          <cx:pt idx="100">66</cx:pt>
          <cx:pt idx="101">61</cx:pt>
          <cx:pt idx="102">41</cx:pt>
          <cx:pt idx="103">51</cx:pt>
          <cx:pt idx="104">51</cx:pt>
          <cx:pt idx="105">56</cx:pt>
          <cx:pt idx="106">56</cx:pt>
          <cx:pt idx="107">33</cx:pt>
          <cx:pt idx="108">56</cx:pt>
          <cx:pt idx="109">71</cx:pt>
          <cx:pt idx="110">56</cx:pt>
          <cx:pt idx="111">51</cx:pt>
          <cx:pt idx="112">66</cx:pt>
          <cx:pt idx="113">56</cx:pt>
          <cx:pt idx="114">66</cx:pt>
          <cx:pt idx="115">41</cx:pt>
          <cx:pt idx="116">46</cx:pt>
          <cx:pt idx="117">66</cx:pt>
          <cx:pt idx="118">56</cx:pt>
          <cx:pt idx="119">51</cx:pt>
          <cx:pt idx="120">51</cx:pt>
          <cx:pt idx="121">56</cx:pt>
          <cx:pt idx="122">56</cx:pt>
          <cx:pt idx="123">46</cx:pt>
          <cx:pt idx="124">46</cx:pt>
          <cx:pt idx="125">61</cx:pt>
          <cx:pt idx="126">56</cx:pt>
          <cx:pt idx="127">41</cx:pt>
          <cx:pt idx="128">46</cx:pt>
          <cx:pt idx="129">26</cx:pt>
          <cx:pt idx="130">56</cx:pt>
          <cx:pt idx="131">56</cx:pt>
          <cx:pt idx="132">51</cx:pt>
          <cx:pt idx="133">46</cx:pt>
          <cx:pt idx="134">66</cx:pt>
          <cx:pt idx="135">66</cx:pt>
          <cx:pt idx="136">46</cx:pt>
          <cx:pt idx="137">56</cx:pt>
          <cx:pt idx="138">41</cx:pt>
          <cx:pt idx="139">61</cx:pt>
          <cx:pt idx="140">51</cx:pt>
          <cx:pt idx="141">52</cx:pt>
          <cx:pt idx="142">51</cx:pt>
          <cx:pt idx="143">41</cx:pt>
          <cx:pt idx="144">66</cx:pt>
          <cx:pt idx="145">61</cx:pt>
          <cx:pt idx="146">31</cx:pt>
          <cx:pt idx="147">51</cx:pt>
          <cx:pt idx="148">41</cx:pt>
          <cx:pt idx="149">41</cx:pt>
          <cx:pt idx="150">46</cx:pt>
          <cx:pt idx="151">56</cx:pt>
          <cx:pt idx="152">51</cx:pt>
          <cx:pt idx="153">61</cx:pt>
          <cx:pt idx="154">66</cx:pt>
          <cx:pt idx="155">71</cx:pt>
          <cx:pt idx="156">61</cx:pt>
          <cx:pt idx="157">61</cx:pt>
          <cx:pt idx="158">41</cx:pt>
          <cx:pt idx="159">66</cx:pt>
          <cx:pt idx="160">61</cx:pt>
          <cx:pt idx="161">58</cx:pt>
          <cx:pt idx="162">31</cx:pt>
          <cx:pt idx="163">61</cx:pt>
          <cx:pt idx="164">61</cx:pt>
          <cx:pt idx="165">31</cx:pt>
          <cx:pt idx="166">61</cx:pt>
          <cx:pt idx="167">36</cx:pt>
          <cx:pt idx="168">41</cx:pt>
          <cx:pt idx="169">37</cx:pt>
          <cx:pt idx="170">43</cx:pt>
          <cx:pt idx="171">61</cx:pt>
          <cx:pt idx="172">39</cx:pt>
          <cx:pt idx="173">51</cx:pt>
          <cx:pt idx="174">51</cx:pt>
          <cx:pt idx="175">66</cx:pt>
          <cx:pt idx="176">71</cx:pt>
          <cx:pt idx="177">41</cx:pt>
          <cx:pt idx="178">36</cx:pt>
          <cx:pt idx="179">51</cx:pt>
          <cx:pt idx="180">51</cx:pt>
          <cx:pt idx="181">51</cx:pt>
          <cx:pt idx="182">61</cx:pt>
          <cx:pt idx="183">61</cx:pt>
          <cx:pt idx="184">56</cx:pt>
          <cx:pt idx="185">71</cx:pt>
          <cx:pt idx="186">51</cx:pt>
          <cx:pt idx="187">36</cx:pt>
          <cx:pt idx="188">61</cx:pt>
          <cx:pt idx="189">66</cx:pt>
          <cx:pt idx="190">41</cx:pt>
          <cx:pt idx="191">41</cx:pt>
          <cx:pt idx="192">56</cx:pt>
          <cx:pt idx="193">51</cx:pt>
          <cx:pt idx="194">56</cx:pt>
          <cx:pt idx="195">56</cx:pt>
          <cx:pt idx="196">46</cx:pt>
          <cx:pt idx="197">52</cx:pt>
          <cx:pt idx="198">61</cx:pt>
          <cx:pt idx="199">61</cx:pt>
        </cx:lvl>
      </cx:numDim>
    </cx:data>
  </cx:chartData>
  <cx:chart>
    <cx:title pos="t" align="ctr" overlay="0">
      <cx:tx>
        <cx:txData>
          <cx:v>Relationship Between Video, Game, and Gender with Respect to Ice Cream Type</cx:v>
        </cx:txData>
      </cx:tx>
      <cx:txPr>
        <a:bodyPr spcFirstLastPara="1" vertOverflow="ellipsis" wrap="square" lIns="0" tIns="0" rIns="0" bIns="0" anchor="ctr" anchorCtr="1"/>
        <a:lstStyle/>
        <a:p>
          <a:pPr algn="ctr">
            <a:defRPr/>
          </a:pPr>
          <a:r>
            <a:rPr lang="en-US" sz="1200">
              <a:latin typeface="Times New Roman" panose="02020603050405020304" pitchFamily="18" charset="0"/>
              <a:cs typeface="Times New Roman" panose="02020603050405020304" pitchFamily="18" charset="0"/>
            </a:rPr>
            <a:t>Relationship Between Video, Game, and Gender with Respect to Ice Cream Type</a:t>
          </a:r>
        </a:p>
      </cx:txPr>
    </cx:title>
    <cx:plotArea>
      <cx:plotAreaRegion>
        <cx:series layoutId="clusteredColumn" uniqueId="{4B1FA514-33CC-4243-983F-41800BD9DEED}" formatIdx="0">
          <cx:tx>
            <cx:txData>
              <cx:f>'Ice_cream_csv (1)'!$A$1</cx:f>
              <cx:v>id</cx:v>
            </cx:txData>
          </cx:tx>
          <cx:dataId val="0"/>
          <cx:layoutPr>
            <cx:binning intervalClosed="r"/>
          </cx:layoutPr>
        </cx:series>
        <cx:series layoutId="clusteredColumn" hidden="1" uniqueId="{956883D0-61CC-448B-A286-2CD32348FD8D}" formatIdx="1">
          <cx:tx>
            <cx:txData>
              <cx:f>'Ice_cream_csv (1)'!$B$1</cx:f>
              <cx:v>female</cx:v>
            </cx:txData>
          </cx:tx>
          <cx:dataId val="1"/>
          <cx:layoutPr>
            <cx:binning intervalClosed="r"/>
          </cx:layoutPr>
        </cx:series>
        <cx:series layoutId="clusteredColumn" hidden="1" uniqueId="{85C93BA9-59A3-4D90-B7F2-CAF0474D0F48}" formatIdx="2">
          <cx:tx>
            <cx:txData>
              <cx:f>'Ice_cream_csv (1)'!$C$1</cx:f>
              <cx:v>ice_cream</cx:v>
            </cx:txData>
          </cx:tx>
          <cx:dataId val="2"/>
          <cx:layoutPr>
            <cx:binning intervalClosed="r"/>
          </cx:layoutPr>
        </cx:series>
        <cx:series layoutId="clusteredColumn" hidden="1" uniqueId="{82997958-FC25-4CB1-811B-048A9F50C256}" formatIdx="3">
          <cx:tx>
            <cx:txData>
              <cx:f>'Ice_cream_csv (1)'!$D$1</cx:f>
              <cx:v>video</cx:v>
            </cx:txData>
          </cx:tx>
          <cx:dataId val="3"/>
          <cx:layoutPr>
            <cx:binning intervalClosed="r"/>
          </cx:layoutPr>
        </cx:series>
        <cx:series layoutId="clusteredColumn" hidden="1" uniqueId="{8EF06F92-F448-465F-851D-305F9B1F150B}" formatIdx="4">
          <cx:tx>
            <cx:txData>
              <cx:f>'Ice_cream_csv (1)'!$E$1</cx:f>
              <cx:v>puzzle</cx:v>
            </cx:txData>
          </cx:tx>
          <cx:dataId val="4"/>
          <cx:layoutPr>
            <cx:binning intervalClosed="r"/>
          </cx:layoutPr>
        </cx:series>
      </cx:plotAreaRegion>
      <cx:axis id="0">
        <cx:catScaling gapWidth="0"/>
        <cx:majorTickMarks type="cross"/>
        <cx:minorTickMarks type="cross"/>
        <cx:tickLabels/>
      </cx:axis>
      <cx:axis id="1">
        <cx:valScaling/>
        <cx:majorGridlines/>
        <cx:majorTickMarks type="cross"/>
        <cx:minorTickMarks type="cros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cs:seriesAxis>
  <cs:seriesLine>
    <cs:lnRef idx="0"/>
    <cs:fillRef idx="0"/>
    <cs:effectRef idx="0"/>
    <cs:fontRef idx="minor">
      <a:schemeClr val="tx1"/>
    </cs:fontRef>
    <cs:spPr>
      <a:ln w="9525">
        <a:solidFill>
          <a:srgbClr val="D9D9D9"/>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62</TotalTime>
  <Pages>17</Pages>
  <Words>3333</Words>
  <Characters>19338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Antonescu (1817787)</dc:creator>
  <cp:keywords/>
  <dc:description/>
  <cp:lastModifiedBy>ghiocelteodor@yahoo.ro</cp:lastModifiedBy>
  <cp:revision>6</cp:revision>
  <dcterms:created xsi:type="dcterms:W3CDTF">2022-03-16T10:01:00Z</dcterms:created>
  <dcterms:modified xsi:type="dcterms:W3CDTF">2022-04-22T14:55:00Z</dcterms:modified>
</cp:coreProperties>
</file>