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7696D" w14:textId="77777777" w:rsidR="000F7F3E" w:rsidRDefault="000F7F3E" w:rsidP="000F7F3E">
      <w:pPr>
        <w:jc w:val="center"/>
        <w:rPr>
          <w:rFonts w:ascii="Times New Roman" w:hAnsi="Times New Roman" w:cs="Times New Roman"/>
          <w:b/>
          <w:sz w:val="32"/>
          <w:szCs w:val="32"/>
        </w:rPr>
      </w:pPr>
    </w:p>
    <w:p w14:paraId="45A476C1" w14:textId="77777777" w:rsidR="000F7F3E" w:rsidRDefault="000F7F3E" w:rsidP="000F7F3E">
      <w:pPr>
        <w:jc w:val="center"/>
        <w:rPr>
          <w:rFonts w:ascii="Times New Roman" w:hAnsi="Times New Roman" w:cs="Times New Roman"/>
          <w:b/>
          <w:sz w:val="32"/>
          <w:szCs w:val="32"/>
        </w:rPr>
      </w:pPr>
    </w:p>
    <w:p w14:paraId="516CA321" w14:textId="77777777" w:rsidR="000F7F3E" w:rsidRDefault="000F7F3E" w:rsidP="000F7F3E">
      <w:pPr>
        <w:jc w:val="center"/>
        <w:rPr>
          <w:rFonts w:ascii="Times New Roman" w:hAnsi="Times New Roman" w:cs="Times New Roman"/>
          <w:b/>
          <w:sz w:val="32"/>
          <w:szCs w:val="32"/>
        </w:rPr>
      </w:pPr>
    </w:p>
    <w:p w14:paraId="4FBAFABC" w14:textId="77777777" w:rsidR="000F7F3E" w:rsidRDefault="000F7F3E" w:rsidP="000F7F3E">
      <w:pPr>
        <w:jc w:val="center"/>
        <w:rPr>
          <w:rFonts w:ascii="Times New Roman" w:hAnsi="Times New Roman" w:cs="Times New Roman"/>
          <w:b/>
          <w:sz w:val="32"/>
          <w:szCs w:val="32"/>
        </w:rPr>
      </w:pPr>
    </w:p>
    <w:p w14:paraId="5331DEA7" w14:textId="77777777" w:rsidR="000F7F3E" w:rsidRDefault="000F7F3E" w:rsidP="000F7F3E">
      <w:pPr>
        <w:jc w:val="center"/>
        <w:rPr>
          <w:rFonts w:ascii="Times New Roman" w:hAnsi="Times New Roman" w:cs="Times New Roman"/>
          <w:b/>
          <w:sz w:val="32"/>
          <w:szCs w:val="32"/>
        </w:rPr>
      </w:pPr>
    </w:p>
    <w:p w14:paraId="3B379D23" w14:textId="77777777" w:rsidR="000F7F3E" w:rsidRDefault="000F7F3E" w:rsidP="000F7F3E">
      <w:pPr>
        <w:jc w:val="center"/>
        <w:rPr>
          <w:rFonts w:ascii="Times New Roman" w:hAnsi="Times New Roman" w:cs="Times New Roman"/>
          <w:b/>
          <w:sz w:val="32"/>
          <w:szCs w:val="32"/>
        </w:rPr>
      </w:pPr>
    </w:p>
    <w:p w14:paraId="5F9413D7" w14:textId="77777777" w:rsidR="000F7F3E" w:rsidRDefault="000F7F3E" w:rsidP="000F7F3E">
      <w:pPr>
        <w:jc w:val="center"/>
        <w:rPr>
          <w:rFonts w:ascii="Times New Roman" w:hAnsi="Times New Roman" w:cs="Times New Roman"/>
          <w:b/>
          <w:sz w:val="32"/>
          <w:szCs w:val="32"/>
        </w:rPr>
      </w:pPr>
    </w:p>
    <w:p w14:paraId="4ECA0DED" w14:textId="77777777" w:rsidR="000F7F3E" w:rsidRDefault="000F7F3E" w:rsidP="000F7F3E">
      <w:pPr>
        <w:jc w:val="center"/>
        <w:rPr>
          <w:rFonts w:ascii="Times New Roman" w:hAnsi="Times New Roman" w:cs="Times New Roman"/>
          <w:b/>
          <w:sz w:val="32"/>
          <w:szCs w:val="32"/>
        </w:rPr>
      </w:pPr>
    </w:p>
    <w:p w14:paraId="38850960" w14:textId="77777777" w:rsidR="000F7F3E" w:rsidRDefault="000F7F3E" w:rsidP="000F7F3E">
      <w:pPr>
        <w:jc w:val="center"/>
        <w:rPr>
          <w:rFonts w:ascii="Times New Roman" w:hAnsi="Times New Roman" w:cs="Times New Roman"/>
          <w:b/>
          <w:sz w:val="32"/>
          <w:szCs w:val="32"/>
        </w:rPr>
      </w:pPr>
    </w:p>
    <w:p w14:paraId="62C57E44" w14:textId="77777777" w:rsidR="000F7F3E" w:rsidRDefault="000F7F3E" w:rsidP="000F7F3E">
      <w:pPr>
        <w:jc w:val="center"/>
        <w:rPr>
          <w:rFonts w:ascii="Times New Roman" w:hAnsi="Times New Roman" w:cs="Times New Roman"/>
          <w:b/>
          <w:sz w:val="32"/>
          <w:szCs w:val="32"/>
        </w:rPr>
      </w:pPr>
    </w:p>
    <w:p w14:paraId="4D89E11A" w14:textId="77777777" w:rsidR="000F7F3E" w:rsidRDefault="000F7F3E" w:rsidP="000F7F3E">
      <w:pPr>
        <w:jc w:val="center"/>
        <w:rPr>
          <w:rFonts w:ascii="Times New Roman" w:hAnsi="Times New Roman" w:cs="Times New Roman"/>
          <w:b/>
          <w:sz w:val="32"/>
          <w:szCs w:val="32"/>
        </w:rPr>
      </w:pPr>
    </w:p>
    <w:p w14:paraId="3D8D7996" w14:textId="77777777" w:rsidR="000F7F3E" w:rsidRPr="00353FF8" w:rsidRDefault="0075427F" w:rsidP="000F7F3E">
      <w:pPr>
        <w:jc w:val="center"/>
        <w:rPr>
          <w:rFonts w:ascii="Arial" w:hAnsi="Arial" w:cs="Arial"/>
          <w:b/>
          <w:sz w:val="32"/>
          <w:szCs w:val="32"/>
        </w:rPr>
      </w:pPr>
      <w:r w:rsidRPr="00353FF8">
        <w:rPr>
          <w:rFonts w:ascii="Arial" w:hAnsi="Arial" w:cs="Arial"/>
          <w:b/>
          <w:sz w:val="32"/>
          <w:szCs w:val="32"/>
        </w:rPr>
        <w:t>Negligence</w:t>
      </w:r>
    </w:p>
    <w:p w14:paraId="777E52D8" w14:textId="77777777" w:rsidR="000F7F3E" w:rsidRPr="00353FF8" w:rsidRDefault="0075427F" w:rsidP="000F7F3E">
      <w:pPr>
        <w:jc w:val="center"/>
        <w:rPr>
          <w:rFonts w:ascii="Arial" w:hAnsi="Arial" w:cs="Arial"/>
          <w:b/>
          <w:sz w:val="32"/>
          <w:szCs w:val="32"/>
        </w:rPr>
      </w:pPr>
      <w:r w:rsidRPr="00353FF8">
        <w:rPr>
          <w:rFonts w:ascii="Arial" w:hAnsi="Arial" w:cs="Arial"/>
          <w:b/>
          <w:sz w:val="32"/>
          <w:szCs w:val="32"/>
        </w:rPr>
        <w:t>TORT LAW</w:t>
      </w:r>
    </w:p>
    <w:p w14:paraId="443D2320" w14:textId="77777777" w:rsidR="000F7F3E" w:rsidRPr="00353FF8" w:rsidRDefault="0075427F" w:rsidP="000F7F3E">
      <w:pPr>
        <w:jc w:val="center"/>
        <w:rPr>
          <w:rFonts w:ascii="Arial" w:hAnsi="Arial" w:cs="Arial"/>
          <w:b/>
          <w:sz w:val="32"/>
          <w:szCs w:val="32"/>
        </w:rPr>
      </w:pPr>
      <w:r w:rsidRPr="00353FF8">
        <w:rPr>
          <w:rFonts w:ascii="Arial" w:hAnsi="Arial" w:cs="Arial"/>
          <w:b/>
          <w:sz w:val="32"/>
          <w:szCs w:val="32"/>
        </w:rPr>
        <w:t>LEVEL 5 ASSESSMENT SPECIFICATION</w:t>
      </w:r>
    </w:p>
    <w:p w14:paraId="787969CC" w14:textId="77777777" w:rsidR="000F7F3E" w:rsidRDefault="000F7F3E" w:rsidP="000F7F3E">
      <w:pPr>
        <w:jc w:val="center"/>
        <w:rPr>
          <w:rFonts w:ascii="Times New Roman" w:hAnsi="Times New Roman" w:cs="Times New Roman"/>
          <w:sz w:val="32"/>
          <w:szCs w:val="32"/>
        </w:rPr>
      </w:pPr>
    </w:p>
    <w:p w14:paraId="64DCBBE1" w14:textId="77777777" w:rsidR="000F7F3E" w:rsidRDefault="000F7F3E" w:rsidP="000F7F3E">
      <w:pPr>
        <w:jc w:val="center"/>
        <w:rPr>
          <w:rFonts w:ascii="Times New Roman" w:hAnsi="Times New Roman" w:cs="Times New Roman"/>
          <w:sz w:val="32"/>
          <w:szCs w:val="32"/>
        </w:rPr>
      </w:pPr>
    </w:p>
    <w:p w14:paraId="0320A1D9" w14:textId="77777777" w:rsidR="000F7F3E" w:rsidRDefault="000F7F3E" w:rsidP="000F7F3E">
      <w:pPr>
        <w:jc w:val="center"/>
        <w:rPr>
          <w:rFonts w:ascii="Times New Roman" w:hAnsi="Times New Roman" w:cs="Times New Roman"/>
          <w:sz w:val="32"/>
          <w:szCs w:val="32"/>
        </w:rPr>
      </w:pPr>
    </w:p>
    <w:p w14:paraId="15EDC605" w14:textId="77777777" w:rsidR="000F7F3E" w:rsidRDefault="000F7F3E" w:rsidP="000F7F3E">
      <w:pPr>
        <w:jc w:val="center"/>
        <w:rPr>
          <w:rFonts w:ascii="Times New Roman" w:hAnsi="Times New Roman" w:cs="Times New Roman"/>
          <w:sz w:val="32"/>
          <w:szCs w:val="32"/>
        </w:rPr>
      </w:pPr>
    </w:p>
    <w:p w14:paraId="5DD26C88" w14:textId="77777777" w:rsidR="000F7F3E" w:rsidRDefault="000F7F3E" w:rsidP="000F7F3E">
      <w:pPr>
        <w:jc w:val="center"/>
        <w:rPr>
          <w:rFonts w:ascii="Times New Roman" w:hAnsi="Times New Roman" w:cs="Times New Roman"/>
          <w:sz w:val="32"/>
          <w:szCs w:val="32"/>
        </w:rPr>
      </w:pPr>
    </w:p>
    <w:p w14:paraId="6C9A8F85" w14:textId="77777777" w:rsidR="000F7F3E" w:rsidRDefault="000F7F3E" w:rsidP="000F7F3E">
      <w:pPr>
        <w:jc w:val="center"/>
        <w:rPr>
          <w:rFonts w:ascii="Times New Roman" w:hAnsi="Times New Roman" w:cs="Times New Roman"/>
          <w:sz w:val="32"/>
          <w:szCs w:val="32"/>
        </w:rPr>
      </w:pPr>
    </w:p>
    <w:p w14:paraId="0080D3A9" w14:textId="77777777" w:rsidR="000F7F3E" w:rsidRDefault="000F7F3E" w:rsidP="000F7F3E">
      <w:pPr>
        <w:jc w:val="center"/>
        <w:rPr>
          <w:rFonts w:ascii="Times New Roman" w:hAnsi="Times New Roman" w:cs="Times New Roman"/>
          <w:sz w:val="32"/>
          <w:szCs w:val="32"/>
        </w:rPr>
      </w:pPr>
    </w:p>
    <w:p w14:paraId="6944B510" w14:textId="77777777" w:rsidR="000F7F3E" w:rsidRDefault="000F7F3E" w:rsidP="000F7F3E">
      <w:pPr>
        <w:jc w:val="center"/>
        <w:rPr>
          <w:rFonts w:ascii="Times New Roman" w:hAnsi="Times New Roman" w:cs="Times New Roman"/>
          <w:sz w:val="32"/>
          <w:szCs w:val="32"/>
        </w:rPr>
      </w:pPr>
    </w:p>
    <w:p w14:paraId="0BE30946" w14:textId="77777777" w:rsidR="000F7F3E" w:rsidRDefault="000F7F3E" w:rsidP="000F7F3E">
      <w:pPr>
        <w:jc w:val="center"/>
        <w:rPr>
          <w:rFonts w:ascii="Times New Roman" w:hAnsi="Times New Roman" w:cs="Times New Roman"/>
          <w:sz w:val="32"/>
          <w:szCs w:val="32"/>
        </w:rPr>
      </w:pPr>
    </w:p>
    <w:p w14:paraId="1FE774EF" w14:textId="77777777" w:rsidR="000F7F3E" w:rsidRDefault="000F7F3E" w:rsidP="000F7F3E">
      <w:pPr>
        <w:jc w:val="center"/>
        <w:rPr>
          <w:rFonts w:ascii="Times New Roman" w:hAnsi="Times New Roman" w:cs="Times New Roman"/>
          <w:sz w:val="32"/>
          <w:szCs w:val="32"/>
        </w:rPr>
      </w:pPr>
    </w:p>
    <w:p w14:paraId="0D7DB8A3" w14:textId="77777777" w:rsidR="000F7F3E" w:rsidRDefault="000F7F3E" w:rsidP="000F7F3E">
      <w:pPr>
        <w:jc w:val="center"/>
        <w:rPr>
          <w:rFonts w:ascii="Times New Roman" w:hAnsi="Times New Roman" w:cs="Times New Roman"/>
          <w:sz w:val="32"/>
          <w:szCs w:val="32"/>
        </w:rPr>
      </w:pPr>
    </w:p>
    <w:p w14:paraId="2B210774" w14:textId="77777777" w:rsidR="000F7F3E" w:rsidRPr="00353FF8" w:rsidRDefault="0075427F" w:rsidP="000F7F3E">
      <w:pPr>
        <w:rPr>
          <w:rFonts w:ascii="Arial" w:hAnsi="Arial" w:cs="Arial"/>
          <w:b/>
          <w:sz w:val="28"/>
          <w:szCs w:val="28"/>
          <w:lang w:val="en-US"/>
        </w:rPr>
      </w:pPr>
      <w:r w:rsidRPr="00353FF8">
        <w:rPr>
          <w:rFonts w:ascii="Arial" w:hAnsi="Arial" w:cs="Arial"/>
          <w:b/>
          <w:sz w:val="28"/>
          <w:szCs w:val="28"/>
          <w:lang w:val="en-US"/>
        </w:rPr>
        <w:lastRenderedPageBreak/>
        <w:t xml:space="preserve">Task </w:t>
      </w:r>
    </w:p>
    <w:p w14:paraId="2D27B67F" w14:textId="77777777" w:rsidR="00EA6A2D" w:rsidRDefault="0075427F" w:rsidP="00353FF8">
      <w:pPr>
        <w:pBdr>
          <w:bottom w:val="single" w:sz="6" w:space="0" w:color="auto"/>
        </w:pBdr>
        <w:rPr>
          <w:rFonts w:ascii="Arial" w:hAnsi="Arial" w:cs="Arial"/>
          <w:b/>
          <w:bCs/>
          <w:sz w:val="28"/>
          <w:szCs w:val="28"/>
        </w:rPr>
      </w:pPr>
      <w:r w:rsidRPr="00353FF8">
        <w:rPr>
          <w:rFonts w:ascii="Arial" w:hAnsi="Arial" w:cs="Arial"/>
          <w:b/>
          <w:bCs/>
          <w:sz w:val="28"/>
          <w:szCs w:val="28"/>
        </w:rPr>
        <w:t>Critically analyze whether the standard of care in negligence provides a fair and flexible balance between the interests of claimants and those of defendants.</w:t>
      </w:r>
    </w:p>
    <w:p w14:paraId="6790F94E" w14:textId="77777777" w:rsidR="00EA6A2D" w:rsidRDefault="00EA6A2D" w:rsidP="00EA6A2D">
      <w:pPr>
        <w:rPr>
          <w:rFonts w:ascii="Arial" w:hAnsi="Arial" w:cs="Arial"/>
          <w:b/>
          <w:bCs/>
          <w:sz w:val="28"/>
          <w:szCs w:val="28"/>
        </w:rPr>
      </w:pPr>
    </w:p>
    <w:p w14:paraId="3FB91701" w14:textId="77777777" w:rsidR="00117404" w:rsidRPr="00F62639" w:rsidRDefault="0075427F" w:rsidP="00F62639">
      <w:pPr>
        <w:spacing w:line="360" w:lineRule="auto"/>
        <w:jc w:val="both"/>
        <w:rPr>
          <w:rFonts w:ascii="Times New Roman" w:hAnsi="Times New Roman" w:cs="Times New Roman"/>
          <w:b/>
          <w:bCs/>
          <w:sz w:val="24"/>
          <w:szCs w:val="24"/>
        </w:rPr>
      </w:pPr>
      <w:r w:rsidRPr="00F62639">
        <w:rPr>
          <w:rFonts w:ascii="Times New Roman" w:hAnsi="Times New Roman" w:cs="Times New Roman"/>
          <w:b/>
          <w:bCs/>
          <w:sz w:val="24"/>
          <w:szCs w:val="24"/>
        </w:rPr>
        <w:t>It would help if you started by explaining that the standard of care relates specifically to the requirement for 'breach of duty.  Define breach of duty and explain how the standard of care sits within this concept. Is it objective or subjective?</w:t>
      </w:r>
    </w:p>
    <w:p w14:paraId="3AB449E5"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phrase "negligence" is defined as "the failure to do anything." The notion of negligence states that if someone is injured or suffers injury due to another person's or organization's carelessness, the harmed person may sue for negligence. "Negligence happens when someone is injured as a result of another's failure to uphold a legal obligation of care." In contrast to deliberate torts, negligence torts do not need a person to have intended to suit for any injuries or damage caused by the ignored ingredient that resulted in the damage.</w:t>
      </w:r>
    </w:p>
    <w:p w14:paraId="3183A970"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concept of the duty of care "arises from the concept that whether we are to participate in society with the other people, some behavior can be abided and others cannot, and core tenets inherent the duty of care are that people are capable of acting as they please as long as it did do not interfere on the preferences of others," according to Wikipedia. The notion of social responsibility states that you may do anything you want as far as your activities do not damage others. The reasonable person criteria are used to establish whether or not a person's duty of care has been violated.</w:t>
      </w:r>
    </w:p>
    <w:p w14:paraId="2307FFF6"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Individuals might suffer from a variety of various types of neglect. As a result, the rational individual standards provide the criteria for determining whether the standard of care was broken. One of the responsibilities that property owners are required to fulfill is that of landowners. If someone is hurt on someone else's property, they have the right to sue for carelessness. The definition of negligence varies by nation and state. What may be considered negligent in the United States may not be so in Europe. Businesses around the country are obligated to notify customers of any dangerous objects or other items that might cause damage or injury to others.</w:t>
      </w:r>
    </w:p>
    <w:p w14:paraId="04F344C8"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Businesses have a responsibility to alert business invitees of potential dangers and take reasonable precautions to safeguard them. Businesses are accountable for the individuals on their premises if they are injured or hurt while there—the responsibility of businesses to maintain a safe environment. A person might sue for carelessness and seek recompense with his or her losses for various reasons.</w:t>
      </w:r>
    </w:p>
    <w:p w14:paraId="03A259EB"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It is objective, in my opinion, since most people expect to work in a safe environment where they are not in danger of bodily or mental damage. Employer responsibility may arise from incidents that occur due to work-related contacts and staff performing their job tasks. An attack occurs when one person attempts to touch another without permission, either with an item or body.</w:t>
      </w:r>
    </w:p>
    <w:p w14:paraId="066034C3"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Sue's right has been with the individuals who suffer and the perpetrator for their injuries. An employer might be held liable to a person for an attack committed by a manager of other employees while on the job. Let us say someone gets hurt at work by another employee. In such a situation, they are eligible for "personnel's payment" for missed work time and injuries, regardless of whether the coworker intended to damage them or not. A quid pro quo is evident when a supervisor considers an employee's working circumstances concerning how they react to their inappropriate gestures. When another person injures a worker seriously, the worker's comp system may not compensate the worker enough for the financial loss. It makes no provision for compensation for hardship and agony. Personnel who can show that their company is responsible for injuries received in a workplace attack are entitled to compensation for suffering and pain, as well as punitive damages, which should be considered.</w:t>
      </w:r>
    </w:p>
    <w:p w14:paraId="33D4CCA5"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For instance, negligence may arise when a person acts carelessly or fails to fulfill the duty of reasonable care for which they are accountable. I stumbled on a packet of crisps while going down the railway station steps many years ago. Although anybody may have trashed and left a bag of potato chips on the stairwell, the MTA staff are responsible for cleaning up the trash at the train station. I had a severe injury and still suffer from back problems as a result of it. I was meant to be at school at the time, not in Manhattan. The cops arrived and summoned an ambulance for me. However, fearful that my parents would find out that I was skipping school, I chose to run onto the next rail that went into the station.</w:t>
      </w:r>
    </w:p>
    <w:p w14:paraId="05BBAB70" w14:textId="77777777" w:rsidR="005E2C4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MTA staff failed to maintain the steps at the train station, which are meant to be maintained. If I had waited at the railway station instead of going to the hospital, I could have filed a negligence suit against the MTA. The emptied bag of chips on the stairwell, which is the MTA's duty, was the cause of my falling down the steps.</w:t>
      </w:r>
    </w:p>
    <w:p w14:paraId="0BACA4D5" w14:textId="77777777" w:rsidR="006C76F7" w:rsidRPr="00F62639" w:rsidRDefault="0075427F" w:rsidP="00F62639">
      <w:pPr>
        <w:spacing w:line="360" w:lineRule="auto"/>
        <w:jc w:val="both"/>
        <w:rPr>
          <w:rFonts w:ascii="Times New Roman" w:hAnsi="Times New Roman" w:cs="Times New Roman"/>
          <w:b/>
          <w:sz w:val="24"/>
          <w:szCs w:val="24"/>
        </w:rPr>
      </w:pPr>
      <w:r w:rsidRPr="00F62639">
        <w:rPr>
          <w:rFonts w:ascii="Times New Roman" w:hAnsi="Times New Roman" w:cs="Times New Roman"/>
          <w:b/>
          <w:bCs/>
          <w:sz w:val="24"/>
          <w:szCs w:val="24"/>
        </w:rPr>
        <w:t>The critical point in establishing the standard of care is how much care a reasonable person would/should have taken in the circumstances.</w:t>
      </w:r>
      <w:r w:rsidRPr="00F62639">
        <w:rPr>
          <w:rFonts w:ascii="Times New Roman" w:hAnsi="Times New Roman" w:cs="Times New Roman"/>
          <w:b/>
          <w:sz w:val="24"/>
          <w:szCs w:val="24"/>
        </w:rPr>
        <w:t xml:space="preserve"> How this varies as a result of case law is crucial to a full answer. For example, </w:t>
      </w:r>
      <w:r w:rsidRPr="00F62639">
        <w:rPr>
          <w:rFonts w:ascii="Times New Roman" w:hAnsi="Times New Roman" w:cs="Times New Roman"/>
          <w:b/>
          <w:bCs/>
          <w:sz w:val="24"/>
          <w:szCs w:val="24"/>
        </w:rPr>
        <w:t>think about the position of learner drivers, junior doctors, and reasonably competent tradesperson.</w:t>
      </w:r>
    </w:p>
    <w:p w14:paraId="793C3B3E" w14:textId="77777777" w:rsidR="003A01B5"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highest level of caring that a human can provide in a challenging situation. This changes depending on the severity of the emergency. It is objective because, in the instance of a novice driver, the learner must exercise extreme caution, yet if damages occur as a result of the learner's actions, the learner will undoubtedly be held liable for the harm caused. Consider a qualified tradesperson like a lawyer. Catherine is a lawyer who has worked as a researcher for a Non-Governmental Agency in Ca since 2012. James is the organization's director and a well-known researcher in the field of human rights. James has been pestering Catherine for the last two months, according to Catherine's manager. It started with dinner invites and drinks after work, according to Catherine, and escalated when James placed his hands over her shoulders and massaged her. During a three-day official field trip to San Francisco, James gets an opportunity to be alone with Catherine and takes a physical approach. James entered Catherine's hotel, stood outside the door, and refused to move until she agreed to meet him for a date. After Catherine's repeated objections, James imposes itself on her by initiating a sexual dialogue with her. When Catherine tries to make his actions public, James threatens to ruin her career. In this situation, James engages in sexual harassment as a form of payback. Catherine does not like his sexual banter or physical approaches. Such a circumstance creates a hostile working atmosphere, and James' sexually improper actions and statements make Catherine feel unsafe at work.</w:t>
      </w:r>
    </w:p>
    <w:p w14:paraId="16B9BEC0" w14:textId="77777777" w:rsidR="003A01B5"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Creating uniform guidelines for carrying out job duties and techniques covering concerns like employee expectations, customer engagement, and workplace conduct are possible mitigation strategies that the company can implement to reduce or eliminate its own potential future liability exposure. During employment legislation training for supervisors and managers, employers may combine claims filed against the firm and the events that led to them. Employers may also create a firm dedicated to best practices in personnel associations and a harassment-free workplace. Employers should devote time to educating employees on how to use approved occupational performance techniques. Employers may also hold periodic short-term training to refresh employees' knowledge and teach informed strategies. Employers may also ensure that supervisors, regardless of position or status, follow disciplinary procedures and promote strong employee relations and open communication.</w:t>
      </w:r>
    </w:p>
    <w:p w14:paraId="6ED77DBA" w14:textId="77777777" w:rsidR="003A01B5"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After an incident or a breach, the company's rules and performance requirements should be evaluated. An insurance tax policy's employment practice responsibility may also protect a corporation against the financial consequences of a workplace tort case.</w:t>
      </w:r>
    </w:p>
    <w:p w14:paraId="5BFF2854" w14:textId="77777777" w:rsidR="00794B14" w:rsidRPr="00F62639" w:rsidRDefault="0075427F" w:rsidP="00F62639">
      <w:pPr>
        <w:spacing w:line="360" w:lineRule="auto"/>
        <w:jc w:val="both"/>
        <w:rPr>
          <w:rFonts w:ascii="Times New Roman" w:hAnsi="Times New Roman" w:cs="Times New Roman"/>
          <w:b/>
          <w:bCs/>
          <w:sz w:val="24"/>
          <w:szCs w:val="24"/>
        </w:rPr>
      </w:pPr>
      <w:r w:rsidRPr="00F62639">
        <w:rPr>
          <w:rFonts w:ascii="Times New Roman" w:hAnsi="Times New Roman" w:cs="Times New Roman"/>
          <w:b/>
          <w:bCs/>
          <w:sz w:val="24"/>
          <w:szCs w:val="24"/>
        </w:rPr>
        <w:t>How does the concept vary depending on the circumstances?  What factors raise or lower the standard of care? When will personal characteristics be taken into account, and why might this be the case?  Remember that the question wants an evaluation of the extent to which the standard of care is fair and flexible.  The case law selected should support the arguments you advance.</w:t>
      </w:r>
    </w:p>
    <w:p w14:paraId="66BAFDBF" w14:textId="77777777" w:rsidR="00FF5022"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notion changes a lot depending on the situation. Protections are based on facts of the occurrence, how it occurred, and how it was resolved. Negligence defenses differ based on the circumstances. The defendant may generally utilize three main factors to protect himself against the plaintiffs' accusations of carelessness. Liability, superseding causes, and indirect and comparative negligence are some of the defenses available. Assumption of risk indicates that the plaintiff was aware of the danger he or she was putting themselves in by doing what did the injury—the defense of not having total control over unpredictable occurrences in the superseding cause.</w:t>
      </w:r>
    </w:p>
    <w:p w14:paraId="2EA5836C" w14:textId="77777777" w:rsidR="00FF5022"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Individuals' duty for their safety and care is referred to as contributory and comparative negligence. The plaintiff may lose their lawsuit if the defense shows that defendant was not careful and took a fair amount of care. "A plaintiff who was similarly incompetent (failure to exercise a sufficient degree of care) would be barred from recovering anything from the defendant." Another kind of defense employed by defendants for carelessness is comparative negligence. The plaintiff and defendant share a portion of the damages in a comparative defense case, and the judge decides on the amount. They are taking into account both sides of the neglect and judging which is more liable for what.</w:t>
      </w:r>
    </w:p>
    <w:p w14:paraId="1EAF8374" w14:textId="77777777" w:rsidR="00FF5022"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Strict variability is a tort in which a person is held liable even though they are not at fault, in contrast to intentional torts and negligence, which involve intentional and negligent conduct. To be deemed accountable under strict liability, one must participate in an action. "A person who participates in specific actions may be held liable for any injury caused to others, even though the individual took all reasonable precautions." To be held responsible for any injury, there must be no wrongdoing. In strict liability, just participating is sufficient.</w:t>
      </w:r>
    </w:p>
    <w:p w14:paraId="4E52BBFA"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As an example, consider the following:</w:t>
      </w:r>
    </w:p>
    <w:p w14:paraId="5702408F"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Palsgraf v. Staten Island R.R. Co., Ct. of App. of N.Y., </w:t>
      </w:r>
    </w:p>
    <w:p w14:paraId="0C738685"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Chief Justice of the United States, Benjamin Cardozo</w:t>
      </w:r>
    </w:p>
    <w:p w14:paraId="46FC4441"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USA court Appeal Ninth Circuit</w:t>
      </w:r>
    </w:p>
    <w:p w14:paraId="56D34455"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Fact</w:t>
      </w:r>
    </w:p>
    <w:p w14:paraId="01F15F1A"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A woman and her two children were on their way to the beach in 1924. A guy attempting to board a speeding train spilled his backpack containing pyrotechnics. The explosives go off as the guy gets on the train, generating much dust and smashed glass, injuring Ms. Palsgraf.</w:t>
      </w:r>
    </w:p>
    <w:p w14:paraId="23DA2357"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Laws that apply</w:t>
      </w:r>
    </w:p>
    <w:p w14:paraId="028A919C"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railroad was irresponsible and had a responsibility to safeguard its passengers, which it did not fulfill. Because the parcel became caught between both the railway and the station. The Staten Island Railway failed to take its duty of reasonable care seriously, resulting in the package being trapped between the rails and the platform, resulting in a breach.</w:t>
      </w:r>
    </w:p>
    <w:p w14:paraId="1900BF5A"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Court's Decision</w:t>
      </w:r>
    </w:p>
    <w:p w14:paraId="4CB9A395" w14:textId="77777777" w:rsidR="003D5669"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petitioner had won in the lower courts, prompting the defendant, the Staten Island Railroad, to appeal. The head of the judge at the appeals court likewise decided in favor of the plaintiff. Palsgraf won the lawsuit, and she was awarded $6,000 in damages for her injuries.</w:t>
      </w:r>
    </w:p>
    <w:p w14:paraId="08C56B57" w14:textId="77777777" w:rsidR="00F710B6" w:rsidRPr="00F62639" w:rsidRDefault="0075427F" w:rsidP="00F62639">
      <w:pPr>
        <w:spacing w:line="360" w:lineRule="auto"/>
        <w:jc w:val="both"/>
        <w:rPr>
          <w:rFonts w:ascii="Times New Roman" w:hAnsi="Times New Roman" w:cs="Times New Roman"/>
          <w:b/>
          <w:bCs/>
          <w:sz w:val="24"/>
          <w:szCs w:val="24"/>
        </w:rPr>
      </w:pPr>
      <w:r w:rsidRPr="00F62639">
        <w:rPr>
          <w:rFonts w:ascii="Times New Roman" w:hAnsi="Times New Roman" w:cs="Times New Roman"/>
          <w:b/>
          <w:bCs/>
          <w:sz w:val="24"/>
          <w:szCs w:val="24"/>
        </w:rPr>
        <w:t xml:space="preserve">What happens to the standard of care if the defendant is engaged in a risky activity in which the danger is more significant or vulnerable claimants are foreseeable victims?  Are there higher standards for professionals, and how does the case law in this area assist professionals? </w:t>
      </w:r>
    </w:p>
    <w:p w14:paraId="18B3A4C7" w14:textId="77777777" w:rsidR="00F710B6" w:rsidRPr="00F62639" w:rsidRDefault="0075427F" w:rsidP="00F62639">
      <w:pPr>
        <w:spacing w:line="360" w:lineRule="auto"/>
        <w:jc w:val="both"/>
        <w:rPr>
          <w:rFonts w:ascii="Times New Roman" w:hAnsi="Times New Roman" w:cs="Times New Roman"/>
          <w:bCs/>
          <w:sz w:val="24"/>
          <w:szCs w:val="24"/>
          <w:lang w:val="en-US"/>
        </w:rPr>
      </w:pPr>
      <w:r w:rsidRPr="00F62639">
        <w:rPr>
          <w:rFonts w:ascii="Times New Roman" w:hAnsi="Times New Roman" w:cs="Times New Roman"/>
          <w:bCs/>
          <w:sz w:val="24"/>
          <w:szCs w:val="24"/>
          <w:lang w:val="en-US"/>
        </w:rPr>
        <w:t xml:space="preserve">The concept of strict action is taken, as in this case for the liable person, and is strictly involved in an </w:t>
      </w:r>
      <w:r w:rsidR="00E2767E" w:rsidRPr="00F62639">
        <w:rPr>
          <w:rFonts w:ascii="Times New Roman" w:hAnsi="Times New Roman" w:cs="Times New Roman"/>
          <w:bCs/>
          <w:sz w:val="24"/>
          <w:szCs w:val="24"/>
          <w:lang w:val="en-US"/>
        </w:rPr>
        <w:t xml:space="preserve">activity that is very harmful to others. The case law helps the professionals provide the evidence </w:t>
      </w:r>
      <w:r w:rsidR="001E784D" w:rsidRPr="00F62639">
        <w:rPr>
          <w:rFonts w:ascii="Times New Roman" w:hAnsi="Times New Roman" w:cs="Times New Roman"/>
          <w:bCs/>
          <w:sz w:val="24"/>
          <w:szCs w:val="24"/>
          <w:lang w:val="en-US"/>
        </w:rPr>
        <w:t xml:space="preserve">to the professionals, provide the law for the assessment, and prove </w:t>
      </w:r>
      <w:r w:rsidR="00F569B3" w:rsidRPr="00F62639">
        <w:rPr>
          <w:rFonts w:ascii="Times New Roman" w:hAnsi="Times New Roman" w:cs="Times New Roman"/>
          <w:bCs/>
          <w:sz w:val="24"/>
          <w:szCs w:val="24"/>
          <w:lang w:val="en-US"/>
        </w:rPr>
        <w:t xml:space="preserve">guilty </w:t>
      </w:r>
      <w:r w:rsidR="000B70A3" w:rsidRPr="00F62639">
        <w:rPr>
          <w:rFonts w:ascii="Times New Roman" w:hAnsi="Times New Roman" w:cs="Times New Roman"/>
          <w:bCs/>
          <w:sz w:val="24"/>
          <w:szCs w:val="24"/>
          <w:lang w:val="en-US"/>
        </w:rPr>
        <w:t>for the defendant.</w:t>
      </w:r>
    </w:p>
    <w:p w14:paraId="3EC5144D" w14:textId="77777777" w:rsidR="00A155CB" w:rsidRPr="00F62639" w:rsidRDefault="0075427F" w:rsidP="00F62639">
      <w:pPr>
        <w:spacing w:line="360" w:lineRule="auto"/>
        <w:jc w:val="both"/>
        <w:rPr>
          <w:rFonts w:ascii="Times New Roman" w:hAnsi="Times New Roman" w:cs="Times New Roman"/>
          <w:bCs/>
          <w:sz w:val="24"/>
          <w:szCs w:val="24"/>
          <w:lang w:val="en-US"/>
        </w:rPr>
      </w:pPr>
      <w:r w:rsidRPr="00F62639">
        <w:rPr>
          <w:rFonts w:ascii="Times New Roman" w:hAnsi="Times New Roman" w:cs="Times New Roman"/>
          <w:bCs/>
          <w:sz w:val="24"/>
          <w:szCs w:val="24"/>
          <w:lang w:val="en-US"/>
        </w:rPr>
        <w:t>In the case of doctors, the risk of damage is high because, in case of loss or poor operation held, it would be the loss of human life. How the law helps the professionals, we see it through a case.</w:t>
      </w:r>
    </w:p>
    <w:p w14:paraId="29A895AE" w14:textId="77777777" w:rsidR="00A155CB" w:rsidRPr="00F62639" w:rsidRDefault="0075427F" w:rsidP="00F62639">
      <w:pPr>
        <w:spacing w:line="360" w:lineRule="auto"/>
        <w:jc w:val="both"/>
        <w:rPr>
          <w:rFonts w:ascii="Times New Roman" w:hAnsi="Times New Roman" w:cs="Times New Roman"/>
          <w:bCs/>
          <w:sz w:val="24"/>
          <w:szCs w:val="24"/>
          <w:lang w:val="en-US"/>
        </w:rPr>
      </w:pPr>
      <w:r w:rsidRPr="00F62639">
        <w:rPr>
          <w:rFonts w:ascii="Times New Roman" w:hAnsi="Times New Roman" w:cs="Times New Roman"/>
          <w:bCs/>
          <w:sz w:val="24"/>
          <w:szCs w:val="24"/>
          <w:lang w:val="en-US"/>
        </w:rPr>
        <w:t>Case</w:t>
      </w:r>
    </w:p>
    <w:p w14:paraId="43830788" w14:textId="77777777" w:rsidR="00AE3E48"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APPEALS Court Columbia MARY C. Gubbins vs. SUSAN. HURSON, M.D.</w:t>
      </w:r>
    </w:p>
    <w:p w14:paraId="14C4C5A6" w14:textId="77777777" w:rsidR="00AE3E48"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2005 D.C. 885 A.2d 269; 885 A.2d 269; 885 A.2d 269; 8</w:t>
      </w:r>
    </w:p>
    <w:p w14:paraId="5BDF3197" w14:textId="77777777" w:rsidR="00AE3E48"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Mary Gubbins had operations at Sibley Medical Center in 1996 to correct a leaky bladder and treat urinary stress incontinence, a related ailment. Gubbins' illness was addressed, and the procedure went smoothly. Gubbins could not stand or walk after the procedure and had to go to physical therapy. Gubbins, with her husband, claimed the hospital and physicians for negligence when she left the hospital a couple of months later and was capable of walking but remained in agony.</w:t>
      </w:r>
    </w:p>
    <w:p w14:paraId="1C7E6837" w14:textId="77777777" w:rsidR="00AE3E48"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Laws that apply</w:t>
      </w:r>
    </w:p>
    <w:p w14:paraId="3870D136" w14:textId="77777777" w:rsidR="00AE3E48"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Malpractice and Professional Responsibility of Healthcare Providers are two torts that are pertinent to this case. Professional responsibilities govern every profession. Professionals have specialized expertise that allows them to provide their customers with the treatment they need, and if it happens, the patient has the right to sue for negligence.</w:t>
      </w:r>
    </w:p>
    <w:p w14:paraId="5B16C62E" w14:textId="77777777" w:rsidR="00AE3E48"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The Court's Decision</w:t>
      </w:r>
    </w:p>
    <w:p w14:paraId="13BDAA15" w14:textId="77777777" w:rsidR="00AE3E48"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Because the physicians failed to administer the proper medication to the client during the operation, both the lower court and the court of appeals found the plaintiff in this case. "In a medical malpractice case, the teachings of res ipsa loquitur appear to apply when the adverse effects of the surgical condition (1) normally do not take place in the absence of carelessness, (2) are caused by an organization or instrumentality under the defendant's sole control, and (3) are not due to any free choice or contribution on the plaintiff's part."</w:t>
      </w:r>
    </w:p>
    <w:p w14:paraId="6E329329" w14:textId="77777777" w:rsidR="00F710B6" w:rsidRPr="00F62639" w:rsidRDefault="0075427F" w:rsidP="00F62639">
      <w:pPr>
        <w:spacing w:line="360" w:lineRule="auto"/>
        <w:jc w:val="both"/>
        <w:rPr>
          <w:rFonts w:ascii="Times New Roman" w:hAnsi="Times New Roman" w:cs="Times New Roman"/>
          <w:bCs/>
          <w:sz w:val="24"/>
          <w:szCs w:val="24"/>
        </w:rPr>
      </w:pPr>
      <w:r w:rsidRPr="00F62639">
        <w:rPr>
          <w:rFonts w:ascii="Times New Roman" w:hAnsi="Times New Roman" w:cs="Times New Roman"/>
          <w:bCs/>
          <w:sz w:val="24"/>
          <w:szCs w:val="24"/>
        </w:rPr>
        <w:t>Think about participants engaged in sporting activities or 'horseplay' and how the standard of care applies. What about those Defendants engaged in some activity that has value to society? How does your research around all these areas suggest that the standard of care is 'fair' and 'flexible' for claimants AND defendants?</w:t>
      </w:r>
    </w:p>
    <w:p w14:paraId="25447A31" w14:textId="77777777" w:rsidR="00F710B6" w:rsidRPr="00F62639" w:rsidRDefault="0075427F" w:rsidP="00F62639">
      <w:pPr>
        <w:spacing w:line="360" w:lineRule="auto"/>
        <w:jc w:val="both"/>
        <w:rPr>
          <w:rFonts w:ascii="Times New Roman" w:hAnsi="Times New Roman" w:cs="Times New Roman"/>
          <w:bCs/>
          <w:sz w:val="24"/>
          <w:szCs w:val="24"/>
          <w:lang w:val="en-US"/>
        </w:rPr>
      </w:pPr>
      <w:r w:rsidRPr="00F62639">
        <w:rPr>
          <w:rFonts w:ascii="Times New Roman" w:hAnsi="Times New Roman" w:cs="Times New Roman"/>
          <w:bCs/>
          <w:sz w:val="24"/>
          <w:szCs w:val="24"/>
          <w:lang w:val="en-US"/>
        </w:rPr>
        <w:t xml:space="preserve">In the case of horseplay: </w:t>
      </w:r>
    </w:p>
    <w:p w14:paraId="4F106BAA" w14:textId="77777777" w:rsidR="00AC0E0D" w:rsidRPr="00F62639" w:rsidRDefault="0075427F" w:rsidP="00F62639">
      <w:pPr>
        <w:spacing w:line="360" w:lineRule="auto"/>
        <w:jc w:val="both"/>
        <w:rPr>
          <w:rFonts w:ascii="Times New Roman" w:hAnsi="Times New Roman" w:cs="Times New Roman"/>
          <w:bCs/>
          <w:sz w:val="24"/>
          <w:szCs w:val="24"/>
          <w:lang w:val="en-US"/>
        </w:rPr>
      </w:pPr>
      <w:r w:rsidRPr="00F62639">
        <w:rPr>
          <w:rFonts w:ascii="Times New Roman" w:hAnsi="Times New Roman" w:cs="Times New Roman"/>
          <w:bCs/>
          <w:sz w:val="24"/>
          <w:szCs w:val="24"/>
          <w:lang w:val="en-US"/>
        </w:rPr>
        <w:t>Court of Appeal in Blake vs. Galloway [2004] 3 All ER 315</w:t>
      </w:r>
    </w:p>
    <w:p w14:paraId="43FF25A2" w14:textId="77777777" w:rsidR="00F53779" w:rsidRDefault="0075427F" w:rsidP="00F53779">
      <w:pPr>
        <w:spacing w:line="360" w:lineRule="auto"/>
        <w:jc w:val="both"/>
        <w:rPr>
          <w:rFonts w:ascii="Times New Roman" w:hAnsi="Times New Roman" w:cs="Times New Roman"/>
          <w:bCs/>
          <w:sz w:val="24"/>
          <w:szCs w:val="24"/>
          <w:lang w:val="en-US"/>
        </w:rPr>
      </w:pPr>
      <w:r w:rsidRPr="00F53779">
        <w:rPr>
          <w:rFonts w:ascii="Times New Roman" w:hAnsi="Times New Roman" w:cs="Times New Roman"/>
          <w:bCs/>
          <w:sz w:val="24"/>
          <w:szCs w:val="24"/>
          <w:lang w:val="en-US"/>
        </w:rPr>
        <w:t>The respondent went out with a group of friends, one of them being the claim, who had been 15 years old at the time. The guys started throwing bark chips and sticks at each other. The claimant first declined to participate but afterward threw a bark chip at the defendant, hurting him in the foot. The defendant snatched it up and tossed it back at the claimant</w:t>
      </w:r>
      <w:r>
        <w:rPr>
          <w:rFonts w:ascii="Times New Roman" w:hAnsi="Times New Roman" w:cs="Times New Roman"/>
          <w:bCs/>
          <w:sz w:val="24"/>
          <w:szCs w:val="24"/>
          <w:lang w:val="en-US"/>
        </w:rPr>
        <w:t xml:space="preserve">. </w:t>
      </w:r>
      <w:r w:rsidRPr="00F53779">
        <w:rPr>
          <w:rFonts w:ascii="Times New Roman" w:hAnsi="Times New Roman" w:cs="Times New Roman"/>
          <w:bCs/>
          <w:sz w:val="24"/>
          <w:szCs w:val="24"/>
          <w:lang w:val="en-US"/>
        </w:rPr>
        <w:t>The claim filed a lawsuit claiming the injuries were caused by the defendant's aggression and negligence. The defendant claimed Volenti non-set injuria. Although the compensation must be reduced by 50% under the State legislature Change (Contributory Liability) Act 1945, the trial court rejected the defense of violence. The defendant appealed, saying that there was no negligence case and that the judge erred in rejecting the volenti argument.</w:t>
      </w:r>
    </w:p>
    <w:p w14:paraId="2E539FA1" w14:textId="77777777" w:rsidR="00F53779" w:rsidRPr="00F53779" w:rsidRDefault="0075427F" w:rsidP="00F537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Held</w:t>
      </w:r>
    </w:p>
    <w:p w14:paraId="591FACEB" w14:textId="77777777" w:rsidR="00F53779" w:rsidRDefault="0075427F" w:rsidP="00F53779">
      <w:pPr>
        <w:spacing w:line="360" w:lineRule="auto"/>
        <w:jc w:val="both"/>
        <w:rPr>
          <w:rFonts w:ascii="Times New Roman" w:hAnsi="Times New Roman" w:cs="Times New Roman"/>
          <w:bCs/>
          <w:sz w:val="24"/>
          <w:szCs w:val="24"/>
          <w:lang w:val="en-US"/>
        </w:rPr>
      </w:pPr>
      <w:r w:rsidRPr="00F53779">
        <w:rPr>
          <w:rFonts w:ascii="Times New Roman" w:hAnsi="Times New Roman" w:cs="Times New Roman"/>
          <w:bCs/>
          <w:sz w:val="24"/>
          <w:szCs w:val="24"/>
          <w:lang w:val="en-US"/>
        </w:rPr>
        <w:t>The petition has been decided in favor of the plaintiff. As a consequence of 'horseplay,' there is only a breach of the duty of care where the defendant's actions amount to incompetence or a high level of negligence. The defendant had committed to the risk of harm occurring within the game's traditions and understanding.</w:t>
      </w:r>
    </w:p>
    <w:p w14:paraId="2F398D83" w14:textId="77777777" w:rsidR="00AC0E0D" w:rsidRPr="00F62639" w:rsidRDefault="0075427F" w:rsidP="00F53779">
      <w:pPr>
        <w:spacing w:line="360" w:lineRule="auto"/>
        <w:jc w:val="both"/>
        <w:rPr>
          <w:rFonts w:ascii="Times New Roman" w:hAnsi="Times New Roman" w:cs="Times New Roman"/>
          <w:bCs/>
          <w:sz w:val="24"/>
          <w:szCs w:val="24"/>
          <w:lang w:val="en-US"/>
        </w:rPr>
      </w:pPr>
      <w:r w:rsidRPr="00F62639">
        <w:rPr>
          <w:rFonts w:ascii="Times New Roman" w:hAnsi="Times New Roman" w:cs="Times New Roman"/>
          <w:bCs/>
          <w:sz w:val="24"/>
          <w:szCs w:val="24"/>
          <w:lang w:val="en-US"/>
        </w:rPr>
        <w:t>The game was designed such that the items were not hurled towards any specific portion of the body. As a result, an item thrown in the direction of a player without carelessness or purpose to injure him but hitting him in the face was thrown in line with the game's understandings and traditions and in a way the players had approved.</w:t>
      </w:r>
    </w:p>
    <w:p w14:paraId="4DF6A1C5" w14:textId="77777777" w:rsidR="00C60479" w:rsidRPr="00F62639" w:rsidRDefault="0075427F" w:rsidP="00F62639">
      <w:pPr>
        <w:spacing w:line="360" w:lineRule="auto"/>
        <w:jc w:val="both"/>
        <w:rPr>
          <w:rFonts w:ascii="Times New Roman" w:hAnsi="Times New Roman" w:cs="Times New Roman"/>
          <w:b/>
          <w:bCs/>
          <w:sz w:val="24"/>
          <w:szCs w:val="24"/>
          <w:lang w:val="en-US"/>
        </w:rPr>
      </w:pPr>
      <w:r w:rsidRPr="00F62639">
        <w:rPr>
          <w:rFonts w:ascii="Times New Roman" w:hAnsi="Times New Roman" w:cs="Times New Roman"/>
          <w:b/>
          <w:bCs/>
          <w:sz w:val="24"/>
          <w:szCs w:val="24"/>
          <w:lang w:val="en-US"/>
        </w:rPr>
        <w:t>References</w:t>
      </w:r>
    </w:p>
    <w:p w14:paraId="09A8F1D7" w14:textId="77777777" w:rsidR="00C60479" w:rsidRPr="0075427F" w:rsidRDefault="0075427F" w:rsidP="0075427F">
      <w:pPr>
        <w:pStyle w:val="ListParagraph"/>
        <w:numPr>
          <w:ilvl w:val="0"/>
          <w:numId w:val="1"/>
        </w:numPr>
        <w:spacing w:line="360" w:lineRule="auto"/>
        <w:jc w:val="both"/>
        <w:rPr>
          <w:rFonts w:ascii="Times New Roman" w:hAnsi="Times New Roman" w:cs="Times New Roman"/>
          <w:sz w:val="24"/>
          <w:szCs w:val="24"/>
        </w:rPr>
      </w:pPr>
      <w:r w:rsidRPr="00F62639">
        <w:rPr>
          <w:rFonts w:ascii="Times New Roman" w:hAnsi="Times New Roman" w:cs="Times New Roman"/>
          <w:sz w:val="24"/>
          <w:szCs w:val="24"/>
        </w:rPr>
        <w:t>The Long Island Rail Road, by Ross Daly</w:t>
      </w:r>
      <w:r>
        <w:rPr>
          <w:rFonts w:ascii="Times New Roman" w:hAnsi="Times New Roman" w:cs="Times New Roman"/>
          <w:sz w:val="24"/>
          <w:szCs w:val="24"/>
          <w:lang w:val="en-US"/>
        </w:rPr>
        <w:t xml:space="preserve">. </w:t>
      </w:r>
      <w:r w:rsidRPr="0075427F">
        <w:rPr>
          <w:rFonts w:ascii="Times New Roman" w:hAnsi="Times New Roman" w:cs="Times New Roman"/>
          <w:sz w:val="24"/>
          <w:szCs w:val="24"/>
        </w:rPr>
        <w:t>Text: West Business Law Comprehensive Edition: Clarkson, Miller, Jentz &amp; Cross 11th edition</w:t>
      </w:r>
    </w:p>
    <w:p w14:paraId="31526E78" w14:textId="77777777" w:rsidR="00F710B6" w:rsidRPr="00F62639" w:rsidRDefault="00F710B6" w:rsidP="00F62639">
      <w:pPr>
        <w:spacing w:line="360" w:lineRule="auto"/>
        <w:jc w:val="both"/>
        <w:rPr>
          <w:rFonts w:ascii="Times New Roman" w:hAnsi="Times New Roman" w:cs="Times New Roman"/>
          <w:sz w:val="24"/>
          <w:szCs w:val="24"/>
          <w:lang w:val="en-US"/>
        </w:rPr>
      </w:pPr>
    </w:p>
    <w:p w14:paraId="4264AF43" w14:textId="77777777" w:rsidR="005D4F43" w:rsidRPr="00F62639" w:rsidRDefault="005D4F43" w:rsidP="00F62639">
      <w:pPr>
        <w:spacing w:line="360" w:lineRule="auto"/>
        <w:jc w:val="both"/>
        <w:rPr>
          <w:rFonts w:ascii="Times New Roman" w:hAnsi="Times New Roman" w:cs="Times New Roman"/>
          <w:sz w:val="24"/>
          <w:szCs w:val="24"/>
          <w:lang w:val="en-US"/>
        </w:rPr>
      </w:pPr>
    </w:p>
    <w:p w14:paraId="2BA463A0" w14:textId="77777777" w:rsidR="00753544" w:rsidRPr="00F62639" w:rsidRDefault="00753544" w:rsidP="00F62639">
      <w:pPr>
        <w:spacing w:line="360" w:lineRule="auto"/>
        <w:jc w:val="both"/>
        <w:rPr>
          <w:rFonts w:ascii="Times New Roman" w:hAnsi="Times New Roman" w:cs="Times New Roman"/>
          <w:sz w:val="24"/>
          <w:szCs w:val="24"/>
          <w:lang w:val="en-US"/>
        </w:rPr>
      </w:pPr>
    </w:p>
    <w:p w14:paraId="5C8EB323" w14:textId="77777777" w:rsidR="000726B8" w:rsidRPr="00F62639" w:rsidRDefault="000726B8" w:rsidP="00F62639">
      <w:pPr>
        <w:spacing w:line="360" w:lineRule="auto"/>
        <w:jc w:val="both"/>
        <w:rPr>
          <w:rFonts w:ascii="Times New Roman" w:hAnsi="Times New Roman" w:cs="Times New Roman"/>
          <w:sz w:val="24"/>
          <w:szCs w:val="24"/>
          <w:lang w:val="en-US"/>
        </w:rPr>
      </w:pPr>
    </w:p>
    <w:sectPr w:rsidR="000726B8" w:rsidRPr="00F626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F65B22"/>
    <w:multiLevelType w:val="hybridMultilevel"/>
    <w:tmpl w:val="C7721D78"/>
    <w:lvl w:ilvl="0" w:tplc="2E6E8D46">
      <w:start w:val="1"/>
      <w:numFmt w:val="bullet"/>
      <w:lvlText w:val=""/>
      <w:lvlJc w:val="left"/>
      <w:pPr>
        <w:ind w:left="720" w:hanging="360"/>
      </w:pPr>
      <w:rPr>
        <w:rFonts w:ascii="Symbol" w:hAnsi="Symbol" w:hint="default"/>
      </w:rPr>
    </w:lvl>
    <w:lvl w:ilvl="1" w:tplc="402EAC8A" w:tentative="1">
      <w:start w:val="1"/>
      <w:numFmt w:val="bullet"/>
      <w:lvlText w:val="o"/>
      <w:lvlJc w:val="left"/>
      <w:pPr>
        <w:ind w:left="1440" w:hanging="360"/>
      </w:pPr>
      <w:rPr>
        <w:rFonts w:ascii="Courier New" w:hAnsi="Courier New" w:cs="Courier New" w:hint="default"/>
      </w:rPr>
    </w:lvl>
    <w:lvl w:ilvl="2" w:tplc="CCF8F18C" w:tentative="1">
      <w:start w:val="1"/>
      <w:numFmt w:val="bullet"/>
      <w:lvlText w:val=""/>
      <w:lvlJc w:val="left"/>
      <w:pPr>
        <w:ind w:left="2160" w:hanging="360"/>
      </w:pPr>
      <w:rPr>
        <w:rFonts w:ascii="Wingdings" w:hAnsi="Wingdings" w:hint="default"/>
      </w:rPr>
    </w:lvl>
    <w:lvl w:ilvl="3" w:tplc="19A634F8" w:tentative="1">
      <w:start w:val="1"/>
      <w:numFmt w:val="bullet"/>
      <w:lvlText w:val=""/>
      <w:lvlJc w:val="left"/>
      <w:pPr>
        <w:ind w:left="2880" w:hanging="360"/>
      </w:pPr>
      <w:rPr>
        <w:rFonts w:ascii="Symbol" w:hAnsi="Symbol" w:hint="default"/>
      </w:rPr>
    </w:lvl>
    <w:lvl w:ilvl="4" w:tplc="69EA9DAA" w:tentative="1">
      <w:start w:val="1"/>
      <w:numFmt w:val="bullet"/>
      <w:lvlText w:val="o"/>
      <w:lvlJc w:val="left"/>
      <w:pPr>
        <w:ind w:left="3600" w:hanging="360"/>
      </w:pPr>
      <w:rPr>
        <w:rFonts w:ascii="Courier New" w:hAnsi="Courier New" w:cs="Courier New" w:hint="default"/>
      </w:rPr>
    </w:lvl>
    <w:lvl w:ilvl="5" w:tplc="2D4AB992" w:tentative="1">
      <w:start w:val="1"/>
      <w:numFmt w:val="bullet"/>
      <w:lvlText w:val=""/>
      <w:lvlJc w:val="left"/>
      <w:pPr>
        <w:ind w:left="4320" w:hanging="360"/>
      </w:pPr>
      <w:rPr>
        <w:rFonts w:ascii="Wingdings" w:hAnsi="Wingdings" w:hint="default"/>
      </w:rPr>
    </w:lvl>
    <w:lvl w:ilvl="6" w:tplc="C234BF02" w:tentative="1">
      <w:start w:val="1"/>
      <w:numFmt w:val="bullet"/>
      <w:lvlText w:val=""/>
      <w:lvlJc w:val="left"/>
      <w:pPr>
        <w:ind w:left="5040" w:hanging="360"/>
      </w:pPr>
      <w:rPr>
        <w:rFonts w:ascii="Symbol" w:hAnsi="Symbol" w:hint="default"/>
      </w:rPr>
    </w:lvl>
    <w:lvl w:ilvl="7" w:tplc="56546FA2" w:tentative="1">
      <w:start w:val="1"/>
      <w:numFmt w:val="bullet"/>
      <w:lvlText w:val="o"/>
      <w:lvlJc w:val="left"/>
      <w:pPr>
        <w:ind w:left="5760" w:hanging="360"/>
      </w:pPr>
      <w:rPr>
        <w:rFonts w:ascii="Courier New" w:hAnsi="Courier New" w:cs="Courier New" w:hint="default"/>
      </w:rPr>
    </w:lvl>
    <w:lvl w:ilvl="8" w:tplc="3A0AF64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3E"/>
    <w:rsid w:val="00045D1E"/>
    <w:rsid w:val="00053162"/>
    <w:rsid w:val="000726B8"/>
    <w:rsid w:val="000B70A3"/>
    <w:rsid w:val="000F7F3E"/>
    <w:rsid w:val="00117404"/>
    <w:rsid w:val="001227F3"/>
    <w:rsid w:val="00166429"/>
    <w:rsid w:val="001D7A10"/>
    <w:rsid w:val="001E784D"/>
    <w:rsid w:val="002253AC"/>
    <w:rsid w:val="002C2551"/>
    <w:rsid w:val="002D062B"/>
    <w:rsid w:val="002E4496"/>
    <w:rsid w:val="002F6A0D"/>
    <w:rsid w:val="00353FF8"/>
    <w:rsid w:val="00354F63"/>
    <w:rsid w:val="003A01B5"/>
    <w:rsid w:val="003D5669"/>
    <w:rsid w:val="00404C83"/>
    <w:rsid w:val="00454DF2"/>
    <w:rsid w:val="005A770B"/>
    <w:rsid w:val="005D4F43"/>
    <w:rsid w:val="005E2C46"/>
    <w:rsid w:val="006116BF"/>
    <w:rsid w:val="0063378B"/>
    <w:rsid w:val="006C76F7"/>
    <w:rsid w:val="00725FD0"/>
    <w:rsid w:val="00753544"/>
    <w:rsid w:val="0075427F"/>
    <w:rsid w:val="00794B14"/>
    <w:rsid w:val="008467BA"/>
    <w:rsid w:val="00865ECA"/>
    <w:rsid w:val="0093215C"/>
    <w:rsid w:val="00A155CB"/>
    <w:rsid w:val="00AC0E0D"/>
    <w:rsid w:val="00AE3E48"/>
    <w:rsid w:val="00B866C2"/>
    <w:rsid w:val="00C443D3"/>
    <w:rsid w:val="00C60479"/>
    <w:rsid w:val="00E10702"/>
    <w:rsid w:val="00E2767E"/>
    <w:rsid w:val="00E47F2A"/>
    <w:rsid w:val="00EA6A2D"/>
    <w:rsid w:val="00F33A58"/>
    <w:rsid w:val="00F53779"/>
    <w:rsid w:val="00F569B3"/>
    <w:rsid w:val="00F62639"/>
    <w:rsid w:val="00F63F15"/>
    <w:rsid w:val="00F710B6"/>
    <w:rsid w:val="00F91DC0"/>
    <w:rsid w:val="00FF5022"/>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BBA94"/>
  <w15:chartTrackingRefBased/>
  <w15:docId w15:val="{D2DB0F44-64BE-4BB8-B8E8-A6C0ABC1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66C2"/>
    <w:rPr>
      <w:b/>
      <w:bCs/>
    </w:rPr>
  </w:style>
  <w:style w:type="character" w:styleId="Emphasis">
    <w:name w:val="Emphasis"/>
    <w:basedOn w:val="DefaultParagraphFont"/>
    <w:uiPriority w:val="20"/>
    <w:qFormat/>
    <w:rsid w:val="00B866C2"/>
    <w:rPr>
      <w:i/>
      <w:iCs/>
    </w:rPr>
  </w:style>
  <w:style w:type="paragraph" w:styleId="ListParagraph">
    <w:name w:val="List Paragraph"/>
    <w:basedOn w:val="Normal"/>
    <w:uiPriority w:val="34"/>
    <w:qFormat/>
    <w:rsid w:val="00F62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arsalan ali</dc:creator>
  <cp:lastModifiedBy>Nagina Bibi (1806584)</cp:lastModifiedBy>
  <cp:revision>2</cp:revision>
  <dcterms:created xsi:type="dcterms:W3CDTF">2021-11-05T22:03:00Z</dcterms:created>
  <dcterms:modified xsi:type="dcterms:W3CDTF">2021-11-05T22:03:00Z</dcterms:modified>
</cp:coreProperties>
</file>