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2DDA0" w14:textId="72AC18B2" w:rsidR="00304402" w:rsidRPr="004E7C14" w:rsidRDefault="004E7C14" w:rsidP="004E7C14">
      <w:pPr>
        <w:pStyle w:val="Title"/>
        <w:jc w:val="center"/>
        <w:rPr>
          <w:rFonts w:asciiTheme="minorHAnsi" w:hAnsiTheme="minorHAnsi" w:cstheme="minorHAnsi"/>
        </w:rPr>
      </w:pPr>
      <w:r w:rsidRPr="004E7C14">
        <w:rPr>
          <w:rFonts w:asciiTheme="minorHAnsi" w:hAnsiTheme="minorHAnsi" w:cstheme="minorHAnsi"/>
        </w:rPr>
        <w:t>Cowley_1700561_HPAR6013_1</w:t>
      </w:r>
    </w:p>
    <w:p w14:paraId="4F3C4DE6" w14:textId="77777777" w:rsidR="004E7C14" w:rsidRPr="00663A7C" w:rsidRDefault="004E7C14" w:rsidP="004E7C14"/>
    <w:p w14:paraId="4A1229E9" w14:textId="03BBC6EE" w:rsidR="001A5B7C" w:rsidRPr="00663A7C" w:rsidRDefault="004E7C14" w:rsidP="001C6F28">
      <w:pPr>
        <w:spacing w:line="360" w:lineRule="auto"/>
        <w:rPr>
          <w:rFonts w:cstheme="minorHAnsi"/>
        </w:rPr>
      </w:pPr>
      <w:r w:rsidRPr="00663A7C">
        <w:rPr>
          <w:rFonts w:cstheme="minorHAnsi"/>
          <w:b/>
          <w:bCs/>
        </w:rPr>
        <w:t>Q.</w:t>
      </w:r>
      <w:r w:rsidRPr="00663A7C">
        <w:rPr>
          <w:rFonts w:cstheme="minorHAnsi"/>
        </w:rPr>
        <w:t xml:space="preserve"> Provide a definition of what is meant by the ‘integrity’ of evidence and using proven “stated case law” (and Statutes), in the UK justice system, identify critical cases which have impacted on the UK Criminal Justice system, influencing the outcome of specific cases.</w:t>
      </w:r>
    </w:p>
    <w:p w14:paraId="392A3674" w14:textId="2377D64F" w:rsidR="001A5B7C" w:rsidRDefault="001A5B7C" w:rsidP="001C6F28">
      <w:pPr>
        <w:spacing w:line="360" w:lineRule="auto"/>
      </w:pPr>
    </w:p>
    <w:p w14:paraId="5093FECF" w14:textId="05852D56" w:rsidR="00E11081" w:rsidRPr="00F515F9" w:rsidRDefault="00E63C55" w:rsidP="001C6F28">
      <w:pPr>
        <w:spacing w:line="360" w:lineRule="auto"/>
      </w:pPr>
      <w:r w:rsidRPr="00F515F9">
        <w:t xml:space="preserve">There </w:t>
      </w:r>
      <w:r w:rsidR="00E11081" w:rsidRPr="00F515F9">
        <w:t>have</w:t>
      </w:r>
      <w:r w:rsidRPr="00F515F9">
        <w:t xml:space="preserve"> been many significant criminal cases over the past decades that have led to either the establishment or alteration of laws and statu</w:t>
      </w:r>
      <w:r w:rsidR="00AC677A">
        <w:t>t</w:t>
      </w:r>
      <w:r w:rsidRPr="00F515F9">
        <w:t xml:space="preserve">es within the UK’s Criminal Justice system. </w:t>
      </w:r>
      <w:r w:rsidR="00E11081" w:rsidRPr="00F515F9">
        <w:t xml:space="preserve">Whether they be focussed on the psychological aspects of a criminal’s mentality, physical and sexual offences, or on the techniques used to apprehend criminals, they all have their basis within </w:t>
      </w:r>
      <w:r w:rsidR="001256D2" w:rsidRPr="00F515F9">
        <w:t>several</w:t>
      </w:r>
      <w:r w:rsidR="00E11081" w:rsidRPr="00F515F9">
        <w:t xml:space="preserve"> critical cases. However, before identifying these important cases, we must first define a concept that is intertwined within every case, that is, the integrity of evidence.</w:t>
      </w:r>
    </w:p>
    <w:p w14:paraId="2A726EEF" w14:textId="77777777" w:rsidR="00E11081" w:rsidRPr="00F515F9" w:rsidRDefault="00E11081" w:rsidP="001C6F28">
      <w:pPr>
        <w:spacing w:line="360" w:lineRule="auto"/>
      </w:pPr>
    </w:p>
    <w:p w14:paraId="0D6E8C08" w14:textId="08C9F15B" w:rsidR="0008403E" w:rsidRDefault="001A5B7C" w:rsidP="001C6F28">
      <w:pPr>
        <w:spacing w:line="360" w:lineRule="auto"/>
        <w:rPr>
          <w:rFonts w:cstheme="minorHAnsi"/>
        </w:rPr>
      </w:pPr>
      <w:r w:rsidRPr="00F515F9">
        <w:t>The integrity of evidence forms the basis of every criminal case at a court of law, and</w:t>
      </w:r>
      <w:r w:rsidR="00676D57" w:rsidRPr="00F515F9">
        <w:t>,</w:t>
      </w:r>
      <w:r w:rsidRPr="00F515F9">
        <w:t xml:space="preserve"> by definition, refers to the reliability of evidence</w:t>
      </w:r>
      <w:r w:rsidR="00543042" w:rsidRPr="00F515F9">
        <w:t xml:space="preserve"> in terms of its construction (</w:t>
      </w:r>
      <w:r w:rsidR="00543042" w:rsidRPr="00F515F9">
        <w:rPr>
          <w:rFonts w:cstheme="minorHAnsi"/>
        </w:rPr>
        <w:t xml:space="preserve">Stevenson, 2010, </w:t>
      </w:r>
      <w:r w:rsidR="00676D57" w:rsidRPr="00F515F9">
        <w:rPr>
          <w:rFonts w:cstheme="minorHAnsi"/>
        </w:rPr>
        <w:t>p. 909</w:t>
      </w:r>
      <w:r w:rsidR="00543042" w:rsidRPr="00F515F9">
        <w:rPr>
          <w:rFonts w:cstheme="minorHAnsi"/>
        </w:rPr>
        <w:t>)</w:t>
      </w:r>
      <w:r w:rsidR="00676D57" w:rsidRPr="00F515F9">
        <w:rPr>
          <w:rFonts w:cstheme="minorHAnsi"/>
        </w:rPr>
        <w:t xml:space="preserve">. </w:t>
      </w:r>
      <w:r w:rsidR="001256D2" w:rsidRPr="00F515F9">
        <w:rPr>
          <w:rFonts w:cstheme="minorHAnsi"/>
        </w:rPr>
        <w:t>T</w:t>
      </w:r>
      <w:r w:rsidR="00676D57" w:rsidRPr="00F515F9">
        <w:rPr>
          <w:rFonts w:cstheme="minorHAnsi"/>
        </w:rPr>
        <w:t xml:space="preserve">his means that, from its initial discovery to its </w:t>
      </w:r>
      <w:r w:rsidR="00135BEB" w:rsidRPr="00F515F9">
        <w:rPr>
          <w:rFonts w:cstheme="minorHAnsi"/>
        </w:rPr>
        <w:t>examination</w:t>
      </w:r>
      <w:r w:rsidR="00676D57" w:rsidRPr="00F515F9">
        <w:rPr>
          <w:rFonts w:cstheme="minorHAnsi"/>
        </w:rPr>
        <w:t xml:space="preserve"> </w:t>
      </w:r>
      <w:r w:rsidR="001256D2" w:rsidRPr="00F515F9">
        <w:rPr>
          <w:rFonts w:cstheme="minorHAnsi"/>
        </w:rPr>
        <w:t>at trial</w:t>
      </w:r>
      <w:r w:rsidR="00676D57" w:rsidRPr="00F515F9">
        <w:rPr>
          <w:rFonts w:cstheme="minorHAnsi"/>
        </w:rPr>
        <w:t xml:space="preserve">, </w:t>
      </w:r>
      <w:r w:rsidR="001256D2" w:rsidRPr="00F515F9">
        <w:rPr>
          <w:rFonts w:cstheme="minorHAnsi"/>
        </w:rPr>
        <w:t>evidence</w:t>
      </w:r>
      <w:r w:rsidR="001256D2" w:rsidRPr="00F515F9">
        <w:rPr>
          <w:rFonts w:cstheme="minorHAnsi"/>
        </w:rPr>
        <w:t xml:space="preserve"> needs to be </w:t>
      </w:r>
      <w:r w:rsidR="00676D57" w:rsidRPr="00F515F9">
        <w:rPr>
          <w:rFonts w:cstheme="minorHAnsi"/>
        </w:rPr>
        <w:t xml:space="preserve">traceable so that when the exhibit is cross-examined by the defence, it can withstand </w:t>
      </w:r>
      <w:r w:rsidR="00135BEB" w:rsidRPr="00F515F9">
        <w:rPr>
          <w:rFonts w:cstheme="minorHAnsi"/>
        </w:rPr>
        <w:t>any criticisms and convict the</w:t>
      </w:r>
      <w:r w:rsidR="00135BEB">
        <w:rPr>
          <w:rFonts w:cstheme="minorHAnsi"/>
        </w:rPr>
        <w:t xml:space="preserve"> perpetrator. It is when this integrity breaks that criminals usually escape justice and sometimes go on to commit more heinous acts. An example of this is the </w:t>
      </w:r>
      <w:r w:rsidR="003179B0">
        <w:rPr>
          <w:rFonts w:cstheme="minorHAnsi"/>
        </w:rPr>
        <w:t>case</w:t>
      </w:r>
      <w:r w:rsidR="00135BEB">
        <w:rPr>
          <w:rFonts w:cstheme="minorHAnsi"/>
        </w:rPr>
        <w:t xml:space="preserve"> of </w:t>
      </w:r>
      <w:r w:rsidR="003179B0">
        <w:rPr>
          <w:rFonts w:cstheme="minorHAnsi"/>
        </w:rPr>
        <w:t>Sarah Payne, an 8-year-old girl who was abducted, raped, and subsequently murdered by a previously convicted paedophile in 2000. The previous conviction of Roy Whiting had been for similar offence</w:t>
      </w:r>
      <w:r w:rsidR="00F559C7">
        <w:rPr>
          <w:rFonts w:cstheme="minorHAnsi"/>
        </w:rPr>
        <w:t xml:space="preserve">s, and there is debate over whether a break in the integrity of evidence occurred </w:t>
      </w:r>
      <w:r w:rsidR="001256D2">
        <w:rPr>
          <w:rFonts w:cstheme="minorHAnsi"/>
        </w:rPr>
        <w:t xml:space="preserve">resulting in </w:t>
      </w:r>
      <w:r w:rsidR="00F559C7">
        <w:rPr>
          <w:rFonts w:cstheme="minorHAnsi"/>
        </w:rPr>
        <w:t xml:space="preserve">Whiting </w:t>
      </w:r>
      <w:r w:rsidR="00681D9F">
        <w:rPr>
          <w:rFonts w:cstheme="minorHAnsi"/>
        </w:rPr>
        <w:t xml:space="preserve">bypassing </w:t>
      </w:r>
      <w:r w:rsidR="00681D9F">
        <w:rPr>
          <w:rFonts w:cstheme="minorHAnsi"/>
        </w:rPr>
        <w:t>incarcerat</w:t>
      </w:r>
      <w:r w:rsidR="00681D9F">
        <w:rPr>
          <w:rFonts w:cstheme="minorHAnsi"/>
        </w:rPr>
        <w:t>ion</w:t>
      </w:r>
      <w:r w:rsidR="00681D9F">
        <w:rPr>
          <w:rFonts w:cstheme="minorHAnsi"/>
        </w:rPr>
        <w:t xml:space="preserve"> </w:t>
      </w:r>
      <w:r w:rsidR="00F559C7">
        <w:rPr>
          <w:rFonts w:cstheme="minorHAnsi"/>
        </w:rPr>
        <w:t xml:space="preserve">for longer than his 4-year sentence (Cornwall, 2007, pp. 80 – 81). Although the break in evidence in this earlier case is questionable, </w:t>
      </w:r>
      <w:proofErr w:type="gramStart"/>
      <w:r w:rsidR="00F559C7">
        <w:rPr>
          <w:rFonts w:cstheme="minorHAnsi"/>
        </w:rPr>
        <w:t>it is clear that a</w:t>
      </w:r>
      <w:proofErr w:type="gramEnd"/>
      <w:r w:rsidR="00F559C7">
        <w:rPr>
          <w:rFonts w:cstheme="minorHAnsi"/>
        </w:rPr>
        <w:t xml:space="preserve"> similar incident occurred in the Payne case, </w:t>
      </w:r>
      <w:r w:rsidR="00681D9F">
        <w:rPr>
          <w:rFonts w:cstheme="minorHAnsi"/>
        </w:rPr>
        <w:t>regarding</w:t>
      </w:r>
      <w:r w:rsidR="00CD488F">
        <w:rPr>
          <w:rFonts w:cstheme="minorHAnsi"/>
        </w:rPr>
        <w:t xml:space="preserve"> </w:t>
      </w:r>
      <w:r w:rsidR="00F559C7">
        <w:rPr>
          <w:rFonts w:cstheme="minorHAnsi"/>
        </w:rPr>
        <w:t xml:space="preserve">how the child’s hair ended up on the red sweatshirt of Whiting. The defence questioned </w:t>
      </w:r>
      <w:r w:rsidR="00D24698">
        <w:rPr>
          <w:rFonts w:cstheme="minorHAnsi"/>
        </w:rPr>
        <w:t xml:space="preserve">if it was possible that hairs found on the adhesive </w:t>
      </w:r>
      <w:r w:rsidR="0094044B">
        <w:rPr>
          <w:rFonts w:cstheme="minorHAnsi"/>
        </w:rPr>
        <w:t>part of some exhibit bags could have fallen off when analysed in the laboratory and ended up on the beforementioned item of clothing.</w:t>
      </w:r>
      <w:r w:rsidR="00CD488F">
        <w:rPr>
          <w:rFonts w:cstheme="minorHAnsi"/>
        </w:rPr>
        <w:t xml:space="preserve"> The believed reason for this was that the evidence, once it had been recorded, bagged, and tagged, was piled up together on the floor within the house of the victim, potentially explaining how hair ended up on and within sealed exhibit bags. </w:t>
      </w:r>
      <w:r w:rsidR="00D00F98">
        <w:rPr>
          <w:rFonts w:cstheme="minorHAnsi"/>
        </w:rPr>
        <w:t>T</w:t>
      </w:r>
      <w:r w:rsidR="0094044B">
        <w:rPr>
          <w:rFonts w:cstheme="minorHAnsi"/>
        </w:rPr>
        <w:t xml:space="preserve">he accused scientists stated that </w:t>
      </w:r>
      <w:r w:rsidR="00D00F98">
        <w:rPr>
          <w:rFonts w:cstheme="minorHAnsi"/>
        </w:rPr>
        <w:t xml:space="preserve">although such an instance was </w:t>
      </w:r>
      <w:r w:rsidR="0094044B">
        <w:rPr>
          <w:rFonts w:cstheme="minorHAnsi"/>
        </w:rPr>
        <w:t xml:space="preserve">possible, </w:t>
      </w:r>
      <w:r w:rsidR="00D00F98">
        <w:rPr>
          <w:rFonts w:cstheme="minorHAnsi"/>
        </w:rPr>
        <w:t xml:space="preserve">the chances of it happening were </w:t>
      </w:r>
      <w:r w:rsidR="0094044B">
        <w:rPr>
          <w:rFonts w:cstheme="minorHAnsi"/>
        </w:rPr>
        <w:t>highly unlikely</w:t>
      </w:r>
      <w:r w:rsidR="00D00F98">
        <w:rPr>
          <w:rFonts w:cstheme="minorHAnsi"/>
        </w:rPr>
        <w:t>, due to the fact that they separated the exhibits of the victim</w:t>
      </w:r>
      <w:r w:rsidR="00271F43">
        <w:rPr>
          <w:rFonts w:cstheme="minorHAnsi"/>
        </w:rPr>
        <w:t>, scene,</w:t>
      </w:r>
      <w:r w:rsidR="00D00F98">
        <w:rPr>
          <w:rFonts w:cstheme="minorHAnsi"/>
        </w:rPr>
        <w:t xml:space="preserve"> and suspect from each other, as well as examining each of them in </w:t>
      </w:r>
      <w:r w:rsidR="00D00F98">
        <w:rPr>
          <w:rFonts w:cstheme="minorHAnsi"/>
        </w:rPr>
        <w:lastRenderedPageBreak/>
        <w:t xml:space="preserve">separate rooms. Although this break in the integrity of evidence did not </w:t>
      </w:r>
      <w:r w:rsidR="0008403E">
        <w:rPr>
          <w:rFonts w:cstheme="minorHAnsi"/>
        </w:rPr>
        <w:t xml:space="preserve">cause the </w:t>
      </w:r>
      <w:r w:rsidR="00CD488F">
        <w:rPr>
          <w:rFonts w:cstheme="minorHAnsi"/>
        </w:rPr>
        <w:t>case</w:t>
      </w:r>
      <w:r w:rsidR="0008403E" w:rsidRPr="0008403E">
        <w:rPr>
          <w:rFonts w:cstheme="minorHAnsi"/>
        </w:rPr>
        <w:t xml:space="preserve"> </w:t>
      </w:r>
      <w:r w:rsidR="0008403E">
        <w:rPr>
          <w:rFonts w:cstheme="minorHAnsi"/>
        </w:rPr>
        <w:t>to fail</w:t>
      </w:r>
      <w:r w:rsidR="00CD488F">
        <w:rPr>
          <w:rFonts w:cstheme="minorHAnsi"/>
        </w:rPr>
        <w:t>, it clearly demonstrates the very real threat of contamination</w:t>
      </w:r>
      <w:r w:rsidR="0008403E">
        <w:rPr>
          <w:rFonts w:cstheme="minorHAnsi"/>
        </w:rPr>
        <w:t xml:space="preserve"> that is at risk of occurring</w:t>
      </w:r>
      <w:r w:rsidR="00CD488F">
        <w:rPr>
          <w:rFonts w:cstheme="minorHAnsi"/>
        </w:rPr>
        <w:t xml:space="preserve"> to the integrity of evidence </w:t>
      </w:r>
      <w:r w:rsidR="0008403E">
        <w:rPr>
          <w:rFonts w:cstheme="minorHAnsi"/>
        </w:rPr>
        <w:t xml:space="preserve">if the proper precautions are not taken to prevent it </w:t>
      </w:r>
      <w:r w:rsidR="00CD488F">
        <w:rPr>
          <w:rFonts w:cstheme="minorHAnsi"/>
        </w:rPr>
        <w:t xml:space="preserve">(Pepper, 2010, pp. 47 – 48). </w:t>
      </w:r>
    </w:p>
    <w:p w14:paraId="14F3FAE0" w14:textId="0CA0AC83" w:rsidR="00E53A8B" w:rsidRDefault="0008403E" w:rsidP="001C6F28">
      <w:pPr>
        <w:spacing w:line="360" w:lineRule="auto"/>
        <w:rPr>
          <w:rFonts w:cstheme="minorHAnsi"/>
        </w:rPr>
      </w:pPr>
      <w:r>
        <w:rPr>
          <w:rFonts w:cstheme="minorHAnsi"/>
        </w:rPr>
        <w:t>These precautions can take many forms, due to the multitude of ways in which contamination can occur,</w:t>
      </w:r>
      <w:r w:rsidR="00E53A8B">
        <w:rPr>
          <w:rFonts w:cstheme="minorHAnsi"/>
        </w:rPr>
        <w:t xml:space="preserve"> such as the establishment of a scene perimeter, to maintain security as well as monitor access to specific areas</w:t>
      </w:r>
      <w:r w:rsidR="00681D9F">
        <w:rPr>
          <w:rFonts w:cstheme="minorHAnsi"/>
        </w:rPr>
        <w:t xml:space="preserve">, which limits </w:t>
      </w:r>
      <w:r w:rsidR="00E53A8B">
        <w:rPr>
          <w:rFonts w:cstheme="minorHAnsi"/>
        </w:rPr>
        <w:t>the risk of potential evidence being tampered with or contaminated</w:t>
      </w:r>
      <w:r w:rsidR="00681D9F">
        <w:rPr>
          <w:rFonts w:cstheme="minorHAnsi"/>
        </w:rPr>
        <w:t xml:space="preserve"> </w:t>
      </w:r>
      <w:r w:rsidR="00E53A8B">
        <w:rPr>
          <w:rFonts w:cstheme="minorHAnsi"/>
        </w:rPr>
        <w:t>(</w:t>
      </w:r>
      <w:proofErr w:type="spellStart"/>
      <w:r w:rsidR="00E53A8B">
        <w:rPr>
          <w:rFonts w:cstheme="minorHAnsi"/>
        </w:rPr>
        <w:t>Birzer</w:t>
      </w:r>
      <w:proofErr w:type="spellEnd"/>
      <w:r w:rsidR="00E53A8B">
        <w:rPr>
          <w:rFonts w:cstheme="minorHAnsi"/>
        </w:rPr>
        <w:t xml:space="preserve">, 2012, pp. 37 – 38). Likewise, </w:t>
      </w:r>
      <w:r w:rsidR="00F40293">
        <w:rPr>
          <w:rFonts w:cstheme="minorHAnsi"/>
        </w:rPr>
        <w:t xml:space="preserve">there is also the risk of evidence contamination during the investigation itself, whether it </w:t>
      </w:r>
      <w:r w:rsidR="00F40293" w:rsidRPr="00AC677A">
        <w:rPr>
          <w:rFonts w:cstheme="minorHAnsi"/>
        </w:rPr>
        <w:t xml:space="preserve">be by CSIs traveling between scenes or detectives visiting the premises of the victim and the suspect. This is due to the fact that, as </w:t>
      </w:r>
      <w:proofErr w:type="spellStart"/>
      <w:r w:rsidR="00F40293" w:rsidRPr="00AC677A">
        <w:rPr>
          <w:rFonts w:cstheme="minorHAnsi"/>
        </w:rPr>
        <w:t>Locard’s</w:t>
      </w:r>
      <w:proofErr w:type="spellEnd"/>
      <w:r w:rsidR="00F40293" w:rsidRPr="00AC677A">
        <w:rPr>
          <w:rFonts w:cstheme="minorHAnsi"/>
        </w:rPr>
        <w:t xml:space="preserve"> ‘Principle of Exchange’ states, “there will be a two-way transfer of material when there is contact” (Beaufort</w:t>
      </w:r>
      <w:r w:rsidR="00F40293">
        <w:rPr>
          <w:rFonts w:cstheme="minorHAnsi"/>
        </w:rPr>
        <w:t>-Moore, 2015, p. xvi)</w:t>
      </w:r>
      <w:r w:rsidR="007F00F3">
        <w:rPr>
          <w:rFonts w:cstheme="minorHAnsi"/>
        </w:rPr>
        <w:t>, so by officials moving from one place of interest to another, residue and other site specific materials will be transferred and as such, the integrity of evidence is</w:t>
      </w:r>
      <w:r w:rsidR="00681D9F">
        <w:rPr>
          <w:rFonts w:cstheme="minorHAnsi"/>
        </w:rPr>
        <w:t xml:space="preserve"> broken</w:t>
      </w:r>
      <w:r w:rsidR="007F00F3">
        <w:rPr>
          <w:rFonts w:cstheme="minorHAnsi"/>
        </w:rPr>
        <w:t>.</w:t>
      </w:r>
      <w:r w:rsidR="00CA345E">
        <w:rPr>
          <w:rFonts w:cstheme="minorHAnsi"/>
        </w:rPr>
        <w:t xml:space="preserve"> In order to prevent this, </w:t>
      </w:r>
      <w:r w:rsidR="00D87414">
        <w:rPr>
          <w:rFonts w:cstheme="minorHAnsi"/>
        </w:rPr>
        <w:t>rules and procedures are put in place, especially when it comes to working with bio-hazardous material such as blood or other bodily fluids</w:t>
      </w:r>
      <w:r w:rsidR="008B3FEB">
        <w:rPr>
          <w:rFonts w:cstheme="minorHAnsi"/>
        </w:rPr>
        <w:t xml:space="preserve"> (Gardner, 2005, pp. 129 – 130)</w:t>
      </w:r>
      <w:r w:rsidR="00D87414">
        <w:rPr>
          <w:rFonts w:cstheme="minorHAnsi"/>
        </w:rPr>
        <w:t>. For example, the wearing of disposable lab coats, gloves, masks, and overshoes can prevent cross-contamination between sites as all this protective equipment can be destroyed on exit from the scene. This means that any contact made at one site, say the collect</w:t>
      </w:r>
      <w:r w:rsidR="003A424A">
        <w:rPr>
          <w:rFonts w:cstheme="minorHAnsi"/>
        </w:rPr>
        <w:t>ion</w:t>
      </w:r>
      <w:r w:rsidR="00D87414">
        <w:rPr>
          <w:rFonts w:cstheme="minorHAnsi"/>
        </w:rPr>
        <w:t xml:space="preserve"> of blood, does not transfer over to the other as the gloves that the CSI was wearing when they took said sample can be disposed of.</w:t>
      </w:r>
      <w:r w:rsidR="008B3FEB">
        <w:rPr>
          <w:rFonts w:cstheme="minorHAnsi"/>
        </w:rPr>
        <w:t xml:space="preserve"> Similarly, these prevention measures can also be applied to the examination of evidence within laboratories, as many of which in the UK have made the beforementioned protective clothing standard procedure for any work undertaken within their premises.</w:t>
      </w:r>
      <w:r w:rsidR="00D366B1">
        <w:rPr>
          <w:rFonts w:cstheme="minorHAnsi"/>
        </w:rPr>
        <w:t xml:space="preserve"> Not only this, but because these establishments analyse evidence from multiple cases, they also maintain an excellent cleaning rota which they stick to religiously, so that material from one source of evidence, whatever its condition and the case it is part of, does not contaminate another source (</w:t>
      </w:r>
      <w:r w:rsidR="0000417B">
        <w:rPr>
          <w:rFonts w:cstheme="minorHAnsi"/>
        </w:rPr>
        <w:t>Coyne, 2010, pp. 111 – 112)</w:t>
      </w:r>
      <w:r w:rsidR="00D366B1">
        <w:rPr>
          <w:rFonts w:cstheme="minorHAnsi"/>
        </w:rPr>
        <w:t>.</w:t>
      </w:r>
      <w:r w:rsidR="00E3695D">
        <w:rPr>
          <w:rFonts w:cstheme="minorHAnsi"/>
        </w:rPr>
        <w:t xml:space="preserve"> By following these precautions, the risk of contamination is minimised and as such, the integrity of evidence is maintained.</w:t>
      </w:r>
      <w:r w:rsidR="003A424A">
        <w:rPr>
          <w:rFonts w:cstheme="minorHAnsi"/>
        </w:rPr>
        <w:t xml:space="preserve"> </w:t>
      </w:r>
    </w:p>
    <w:p w14:paraId="405E7C28" w14:textId="7B57BCA9" w:rsidR="00402DAE" w:rsidRDefault="00124E84" w:rsidP="001C6F28">
      <w:pPr>
        <w:spacing w:line="360" w:lineRule="auto"/>
        <w:rPr>
          <w:rFonts w:cstheme="minorHAnsi"/>
        </w:rPr>
      </w:pPr>
      <w:r>
        <w:rPr>
          <w:rFonts w:cstheme="minorHAnsi"/>
        </w:rPr>
        <w:t xml:space="preserve">Continuing from this, there is also another method that can be used to ensure </w:t>
      </w:r>
      <w:r w:rsidR="003D18E5">
        <w:rPr>
          <w:rFonts w:cstheme="minorHAnsi"/>
        </w:rPr>
        <w:t xml:space="preserve">that </w:t>
      </w:r>
      <w:r>
        <w:rPr>
          <w:rFonts w:cstheme="minorHAnsi"/>
        </w:rPr>
        <w:t>the integrity of evidence</w:t>
      </w:r>
      <w:r w:rsidR="003D18E5">
        <w:rPr>
          <w:rFonts w:cstheme="minorHAnsi"/>
        </w:rPr>
        <w:t xml:space="preserve"> remains</w:t>
      </w:r>
      <w:r>
        <w:rPr>
          <w:rFonts w:cstheme="minorHAnsi"/>
        </w:rPr>
        <w:t xml:space="preserve">, in that the continuity of </w:t>
      </w:r>
      <w:r w:rsidR="003A424A">
        <w:rPr>
          <w:rFonts w:cstheme="minorHAnsi"/>
        </w:rPr>
        <w:t>exhibits</w:t>
      </w:r>
      <w:r>
        <w:rPr>
          <w:rFonts w:cstheme="minorHAnsi"/>
        </w:rPr>
        <w:t xml:space="preserve"> is constantly recorded.</w:t>
      </w:r>
      <w:r w:rsidR="003D18E5">
        <w:rPr>
          <w:rFonts w:cstheme="minorHAnsi"/>
        </w:rPr>
        <w:t xml:space="preserve"> This refers to the tracking and tr</w:t>
      </w:r>
      <w:r w:rsidR="003A424A">
        <w:rPr>
          <w:rFonts w:cstheme="minorHAnsi"/>
        </w:rPr>
        <w:t>ai</w:t>
      </w:r>
      <w:r w:rsidR="003D18E5">
        <w:rPr>
          <w:rFonts w:cstheme="minorHAnsi"/>
        </w:rPr>
        <w:t>l that an exhibit takes from its initial recovery to its presentation at t</w:t>
      </w:r>
      <w:r w:rsidR="00A47119">
        <w:rPr>
          <w:rFonts w:cstheme="minorHAnsi"/>
        </w:rPr>
        <w:t>ria</w:t>
      </w:r>
      <w:r w:rsidR="003D18E5">
        <w:rPr>
          <w:rFonts w:cstheme="minorHAnsi"/>
        </w:rPr>
        <w:t xml:space="preserve">l, so that when it is transferred from the initial CSI’s custody to say, </w:t>
      </w:r>
      <w:r w:rsidR="00A47119">
        <w:rPr>
          <w:rFonts w:cstheme="minorHAnsi"/>
        </w:rPr>
        <w:t>a</w:t>
      </w:r>
      <w:r w:rsidR="003D18E5">
        <w:rPr>
          <w:rFonts w:cstheme="minorHAnsi"/>
        </w:rPr>
        <w:t xml:space="preserve"> forensic scientist</w:t>
      </w:r>
      <w:r w:rsidR="00F7309F">
        <w:rPr>
          <w:rFonts w:cstheme="minorHAnsi"/>
        </w:rPr>
        <w:t>, there is a written and signed record acknowledging this movement</w:t>
      </w:r>
      <w:r w:rsidR="003947A4">
        <w:rPr>
          <w:rFonts w:cstheme="minorHAnsi"/>
        </w:rPr>
        <w:t xml:space="preserve"> (Beaufort-Moore, 2015, pp. xv &amp; 64)</w:t>
      </w:r>
      <w:r w:rsidR="00F7309F">
        <w:rPr>
          <w:rFonts w:cstheme="minorHAnsi"/>
        </w:rPr>
        <w:t xml:space="preserve">. </w:t>
      </w:r>
      <w:r w:rsidR="00B203EE">
        <w:rPr>
          <w:rFonts w:cstheme="minorHAnsi"/>
        </w:rPr>
        <w:t xml:space="preserve">By establishing a consistent chain of evidence, there is a decreased risk of contamination occurring, as it is known where said exhibit is at each stage of the investigation, as well as preventing the chances of a piece of evidence being misplaced. </w:t>
      </w:r>
      <w:r w:rsidR="004D28EE">
        <w:rPr>
          <w:rFonts w:cstheme="minorHAnsi"/>
        </w:rPr>
        <w:t xml:space="preserve">This does not necessarily restrict itself to the transferring of evidence, but also the way in which evidence is packaged and labelled, in that information regarding the location, time, and date of when the exhibit was first collected, as well as what the exhibit consists of and who was the CSI, are </w:t>
      </w:r>
      <w:r w:rsidR="00A47119">
        <w:rPr>
          <w:rFonts w:cstheme="minorHAnsi"/>
        </w:rPr>
        <w:t xml:space="preserve">all </w:t>
      </w:r>
      <w:r w:rsidR="004D28EE">
        <w:rPr>
          <w:rFonts w:cstheme="minorHAnsi"/>
        </w:rPr>
        <w:t xml:space="preserve">equally important to the chain of evidence. </w:t>
      </w:r>
      <w:r w:rsidR="00134BB9">
        <w:rPr>
          <w:rFonts w:cstheme="minorHAnsi"/>
        </w:rPr>
        <w:t xml:space="preserve">Furthermore, </w:t>
      </w:r>
      <w:proofErr w:type="gramStart"/>
      <w:r w:rsidR="00A47119">
        <w:rPr>
          <w:rFonts w:cstheme="minorHAnsi"/>
        </w:rPr>
        <w:t>both of the beforementioned</w:t>
      </w:r>
      <w:proofErr w:type="gramEnd"/>
      <w:r w:rsidR="00134BB9">
        <w:rPr>
          <w:rFonts w:cstheme="minorHAnsi"/>
        </w:rPr>
        <w:t xml:space="preserve"> aspects of continuity come into play regarding evidence integrity, as every time an exhibit is transferred, the recipient must create a new entry point to the evidence bag as well as compose a new seal on completion of their examination. This new seal should include the same information as the original</w:t>
      </w:r>
      <w:r w:rsidR="00AF3DF2">
        <w:rPr>
          <w:rFonts w:cstheme="minorHAnsi"/>
        </w:rPr>
        <w:t xml:space="preserve"> did, so that there is </w:t>
      </w:r>
      <w:r w:rsidR="00A47119">
        <w:rPr>
          <w:rFonts w:cstheme="minorHAnsi"/>
        </w:rPr>
        <w:t>continuity</w:t>
      </w:r>
      <w:r w:rsidR="00AF3DF2">
        <w:rPr>
          <w:rFonts w:cstheme="minorHAnsi"/>
        </w:rPr>
        <w:t xml:space="preserve"> going from one person to the next. This means that when said exhibit is presented in court,</w:t>
      </w:r>
      <w:r w:rsidR="00BA30B4">
        <w:rPr>
          <w:rFonts w:cstheme="minorHAnsi"/>
        </w:rPr>
        <w:t xml:space="preserve"> it can clearly be shown that between x date and y date, the exhibit was in the custody of X, and then between y date and z date, Y had custody of the evidence (Beaufort-Moore, 2015, pp. 84 – 85). All of this demonstrates the importance of the continuity of evidence when it comes to maintaining the integrity of an exhibit, in order to ensure that those who vandalise the law are forced to pay for it. </w:t>
      </w:r>
    </w:p>
    <w:p w14:paraId="2A63F01D" w14:textId="034E2E5A" w:rsidR="00676D57" w:rsidRDefault="00402DAE" w:rsidP="001C6F28">
      <w:pPr>
        <w:spacing w:line="360" w:lineRule="auto"/>
        <w:rPr>
          <w:rFonts w:cstheme="minorHAnsi"/>
        </w:rPr>
      </w:pPr>
      <w:r>
        <w:rPr>
          <w:rFonts w:cstheme="minorHAnsi"/>
        </w:rPr>
        <w:t xml:space="preserve">Despite there </w:t>
      </w:r>
      <w:r w:rsidR="00676D57">
        <w:rPr>
          <w:rFonts w:cstheme="minorHAnsi"/>
        </w:rPr>
        <w:t xml:space="preserve">being </w:t>
      </w:r>
      <w:r>
        <w:rPr>
          <w:rFonts w:cstheme="minorHAnsi"/>
        </w:rPr>
        <w:t>a</w:t>
      </w:r>
      <w:r w:rsidR="00676D57">
        <w:rPr>
          <w:rFonts w:cstheme="minorHAnsi"/>
        </w:rPr>
        <w:t xml:space="preserve"> dictionary definition</w:t>
      </w:r>
      <w:r>
        <w:rPr>
          <w:rFonts w:cstheme="minorHAnsi"/>
        </w:rPr>
        <w:t xml:space="preserve"> for the integrity of evidence</w:t>
      </w:r>
      <w:r w:rsidR="00676D57">
        <w:rPr>
          <w:rFonts w:cstheme="minorHAnsi"/>
        </w:rPr>
        <w:t xml:space="preserve">, I would personally go one step further in terms of defining the </w:t>
      </w:r>
      <w:r w:rsidR="00B52AC8">
        <w:rPr>
          <w:rFonts w:cstheme="minorHAnsi"/>
        </w:rPr>
        <w:t>term</w:t>
      </w:r>
      <w:r>
        <w:rPr>
          <w:rFonts w:cstheme="minorHAnsi"/>
        </w:rPr>
        <w:t xml:space="preserve"> due to what has been discussed. As such, I would claim that the integrity of evidence refers t</w:t>
      </w:r>
      <w:r w:rsidR="00B52AC8">
        <w:rPr>
          <w:rFonts w:cstheme="minorHAnsi"/>
        </w:rPr>
        <w:t xml:space="preserve">o the principle of preventing contamination and maintaining the continuity of evidence so that when said evidence is presented in a court of law, it can withstand all criticisms put against it. It </w:t>
      </w:r>
      <w:r w:rsidR="00425504">
        <w:rPr>
          <w:rFonts w:cstheme="minorHAnsi"/>
        </w:rPr>
        <w:t>is</w:t>
      </w:r>
      <w:r w:rsidR="00B52AC8">
        <w:rPr>
          <w:rFonts w:cstheme="minorHAnsi"/>
        </w:rPr>
        <w:t xml:space="preserve"> this new and improved definition of evidence integrity that will be used in the rest of this </w:t>
      </w:r>
      <w:r w:rsidR="00425504">
        <w:rPr>
          <w:rFonts w:cstheme="minorHAnsi"/>
        </w:rPr>
        <w:t>essay to identify critical cases to the development of law in the UK</w:t>
      </w:r>
      <w:r w:rsidR="00B52AC8">
        <w:rPr>
          <w:rFonts w:cstheme="minorHAnsi"/>
        </w:rPr>
        <w:t>.</w:t>
      </w:r>
    </w:p>
    <w:p w14:paraId="253FD226" w14:textId="77777777" w:rsidR="00C371DB" w:rsidRDefault="00C371DB" w:rsidP="001C6F28">
      <w:pPr>
        <w:spacing w:line="360" w:lineRule="auto"/>
        <w:rPr>
          <w:rFonts w:cstheme="minorHAnsi"/>
        </w:rPr>
      </w:pPr>
    </w:p>
    <w:p w14:paraId="01BD4AB5" w14:textId="40B4BD54" w:rsidR="00167E15" w:rsidRDefault="00CB134A" w:rsidP="001C6F28">
      <w:pPr>
        <w:spacing w:line="360" w:lineRule="auto"/>
        <w:rPr>
          <w:rFonts w:cstheme="minorHAnsi"/>
        </w:rPr>
      </w:pPr>
      <w:r>
        <w:rPr>
          <w:rFonts w:cstheme="minorHAnsi"/>
        </w:rPr>
        <w:t>One such critical case that contributed to the development of the British Criminal Justice System is the Hadfield Case from the turn of the 19</w:t>
      </w:r>
      <w:r w:rsidRPr="00CB134A">
        <w:rPr>
          <w:rFonts w:cstheme="minorHAnsi"/>
          <w:vertAlign w:val="superscript"/>
        </w:rPr>
        <w:t>th</w:t>
      </w:r>
      <w:r>
        <w:rPr>
          <w:rFonts w:cstheme="minorHAnsi"/>
        </w:rPr>
        <w:t xml:space="preserve"> Century. </w:t>
      </w:r>
      <w:r w:rsidR="00EA700E">
        <w:rPr>
          <w:rFonts w:cstheme="minorHAnsi"/>
        </w:rPr>
        <w:t>James Hadfield, a former soldier in the British arm</w:t>
      </w:r>
      <w:r w:rsidR="00C371DB">
        <w:rPr>
          <w:rFonts w:cstheme="minorHAnsi"/>
        </w:rPr>
        <w:t>ed forces</w:t>
      </w:r>
      <w:r w:rsidR="00EA700E">
        <w:rPr>
          <w:rFonts w:cstheme="minorHAnsi"/>
        </w:rPr>
        <w:t>, suffered a traumatic experience during active duty, resulting in Hadfield experiencing mental delusions</w:t>
      </w:r>
      <w:r w:rsidR="00B13C73">
        <w:rPr>
          <w:rFonts w:cstheme="minorHAnsi"/>
        </w:rPr>
        <w:t xml:space="preserve">. He believed that God had </w:t>
      </w:r>
      <w:r w:rsidR="00C371DB">
        <w:rPr>
          <w:rFonts w:cstheme="minorHAnsi"/>
        </w:rPr>
        <w:t>contacted</w:t>
      </w:r>
      <w:r w:rsidR="00B13C73">
        <w:rPr>
          <w:rFonts w:cstheme="minorHAnsi"/>
        </w:rPr>
        <w:t xml:space="preserve"> him, and that he had to die in order to lead the world to salvation, </w:t>
      </w:r>
      <w:r w:rsidR="00C371DB">
        <w:rPr>
          <w:rFonts w:cstheme="minorHAnsi"/>
        </w:rPr>
        <w:t>like</w:t>
      </w:r>
      <w:r w:rsidR="00B13C73">
        <w:rPr>
          <w:rFonts w:cstheme="minorHAnsi"/>
        </w:rPr>
        <w:t xml:space="preserve"> how Christ died for our sins. However, in Hadfield’s mind, he could not commit suicide as this would fail to lead to salvation, and as such he believed he must be killed by the hand of another</w:t>
      </w:r>
      <w:r w:rsidR="00CF642E">
        <w:rPr>
          <w:rFonts w:cstheme="minorHAnsi"/>
        </w:rPr>
        <w:t xml:space="preserve"> (Moriarty, 2013, pp. xiii – xiv)</w:t>
      </w:r>
      <w:r w:rsidR="00B13C73">
        <w:rPr>
          <w:rFonts w:cstheme="minorHAnsi"/>
        </w:rPr>
        <w:t xml:space="preserve">. As such, Hadfield decided to assassinate the British monarch, King George III, </w:t>
      </w:r>
      <w:r w:rsidR="00CF642E">
        <w:rPr>
          <w:rFonts w:cstheme="minorHAnsi"/>
        </w:rPr>
        <w:t>at the Royal Theatre of Drury Lane in London, which was</w:t>
      </w:r>
      <w:r w:rsidR="00B13C73">
        <w:rPr>
          <w:rFonts w:cstheme="minorHAnsi"/>
        </w:rPr>
        <w:t xml:space="preserve"> </w:t>
      </w:r>
      <w:r w:rsidR="00CF642E">
        <w:rPr>
          <w:rFonts w:cstheme="minorHAnsi"/>
        </w:rPr>
        <w:t xml:space="preserve">an </w:t>
      </w:r>
      <w:r w:rsidR="00B13C73">
        <w:rPr>
          <w:rFonts w:cstheme="minorHAnsi"/>
        </w:rPr>
        <w:t xml:space="preserve">act of treason that carried the death </w:t>
      </w:r>
      <w:r w:rsidR="00CF642E">
        <w:rPr>
          <w:rFonts w:cstheme="minorHAnsi"/>
        </w:rPr>
        <w:t>penalty</w:t>
      </w:r>
      <w:r w:rsidR="00B13C73">
        <w:rPr>
          <w:rFonts w:cstheme="minorHAnsi"/>
        </w:rPr>
        <w:t xml:space="preserve">. </w:t>
      </w:r>
      <w:r w:rsidR="00CF642E">
        <w:rPr>
          <w:rFonts w:cstheme="minorHAnsi"/>
        </w:rPr>
        <w:t xml:space="preserve">Ultimately failing in his endeavour, Hadfield was tried for attempted murder, however, his attorney, a man by the name of Thomas Erskine, managed to persuade the jury </w:t>
      </w:r>
      <w:r w:rsidR="00D7353D">
        <w:rPr>
          <w:rFonts w:cstheme="minorHAnsi"/>
        </w:rPr>
        <w:t xml:space="preserve">that due to the injuries suffered in battle, Hadfield was delusional and as such, not </w:t>
      </w:r>
      <w:r w:rsidR="00164FFD">
        <w:rPr>
          <w:rFonts w:cstheme="minorHAnsi"/>
        </w:rPr>
        <w:t>accountable</w:t>
      </w:r>
      <w:r w:rsidR="00854862">
        <w:rPr>
          <w:rFonts w:cstheme="minorHAnsi"/>
        </w:rPr>
        <w:t xml:space="preserve"> for his crimes</w:t>
      </w:r>
      <w:r w:rsidR="00037354">
        <w:rPr>
          <w:rFonts w:cstheme="minorHAnsi"/>
        </w:rPr>
        <w:t xml:space="preserve"> </w:t>
      </w:r>
      <w:r w:rsidR="00164FFD">
        <w:rPr>
          <w:rFonts w:cstheme="minorHAnsi"/>
        </w:rPr>
        <w:t xml:space="preserve">on the grounds of insanity </w:t>
      </w:r>
      <w:r w:rsidR="00037354">
        <w:rPr>
          <w:rFonts w:cstheme="minorHAnsi"/>
        </w:rPr>
        <w:t>(</w:t>
      </w:r>
      <w:proofErr w:type="spellStart"/>
      <w:r w:rsidR="00037354">
        <w:rPr>
          <w:rFonts w:cstheme="minorHAnsi"/>
        </w:rPr>
        <w:t>Prins</w:t>
      </w:r>
      <w:proofErr w:type="spellEnd"/>
      <w:r w:rsidR="00037354">
        <w:rPr>
          <w:rFonts w:cstheme="minorHAnsi"/>
        </w:rPr>
        <w:t>, 2013, p. 46)</w:t>
      </w:r>
      <w:r w:rsidR="00854862">
        <w:rPr>
          <w:rFonts w:cstheme="minorHAnsi"/>
        </w:rPr>
        <w:t>.</w:t>
      </w:r>
      <w:r w:rsidR="00164FFD">
        <w:rPr>
          <w:rFonts w:cstheme="minorHAnsi"/>
        </w:rPr>
        <w:t xml:space="preserve"> Despite not being convicted, Hadfield was still incarcerated due to the threat he posed to society, and due to the developments that occurred during this case, the ruling body at the time decided to pass the </w:t>
      </w:r>
      <w:r w:rsidR="00167E15">
        <w:rPr>
          <w:rFonts w:cstheme="minorHAnsi"/>
        </w:rPr>
        <w:t>Criminal Lunatic Act 1800</w:t>
      </w:r>
      <w:r w:rsidR="00164FFD">
        <w:rPr>
          <w:rFonts w:cstheme="minorHAnsi"/>
        </w:rPr>
        <w:t xml:space="preserve">, which decreed that if a criminal was found insane at the time they committed their crime, and they were successfully acquitted on these grounds, then they were still to be </w:t>
      </w:r>
      <w:r w:rsidR="00E610B9">
        <w:rPr>
          <w:rFonts w:cstheme="minorHAnsi"/>
        </w:rPr>
        <w:t>detained indefinitely (</w:t>
      </w:r>
      <w:r w:rsidR="00E610B9">
        <w:t>Loughnan, 2017, pp. 140 – 200)</w:t>
      </w:r>
      <w:r w:rsidR="00E610B9">
        <w:rPr>
          <w:rFonts w:cstheme="minorHAnsi"/>
        </w:rPr>
        <w:t xml:space="preserve">. </w:t>
      </w:r>
      <w:r w:rsidR="00223DA7">
        <w:rPr>
          <w:rFonts w:cstheme="minorHAnsi"/>
        </w:rPr>
        <w:t xml:space="preserve">As is evident </w:t>
      </w:r>
      <w:r w:rsidR="007B78BA">
        <w:rPr>
          <w:rFonts w:cstheme="minorHAnsi"/>
        </w:rPr>
        <w:t xml:space="preserve">here, </w:t>
      </w:r>
      <w:r w:rsidR="00223DA7">
        <w:rPr>
          <w:rFonts w:cstheme="minorHAnsi"/>
        </w:rPr>
        <w:t xml:space="preserve">the </w:t>
      </w:r>
      <w:r w:rsidR="007B78BA">
        <w:rPr>
          <w:rFonts w:cstheme="minorHAnsi"/>
        </w:rPr>
        <w:t xml:space="preserve">outcome of the </w:t>
      </w:r>
      <w:r w:rsidR="00223DA7">
        <w:rPr>
          <w:rFonts w:cstheme="minorHAnsi"/>
        </w:rPr>
        <w:t>Hadfield case</w:t>
      </w:r>
      <w:r w:rsidR="007B78BA">
        <w:rPr>
          <w:rFonts w:cstheme="minorHAnsi"/>
        </w:rPr>
        <w:t xml:space="preserve"> clearly influenced </w:t>
      </w:r>
      <w:r w:rsidR="00BE31EA">
        <w:rPr>
          <w:rFonts w:cstheme="minorHAnsi"/>
        </w:rPr>
        <w:t>the development of the Criminal Lunatic Act that still, despite minor amendments, is used in our modern system of Justice, and as such, this case was critical to the development of the British Criminal Justice System.</w:t>
      </w:r>
    </w:p>
    <w:p w14:paraId="18FFD3C5" w14:textId="60F800C9" w:rsidR="00CA4793" w:rsidRDefault="00CB134A" w:rsidP="001C6F28">
      <w:pPr>
        <w:spacing w:line="360" w:lineRule="auto"/>
      </w:pPr>
      <w:r>
        <w:rPr>
          <w:rFonts w:cstheme="minorHAnsi"/>
        </w:rPr>
        <w:t>Another</w:t>
      </w:r>
      <w:r w:rsidR="00CA4793">
        <w:rPr>
          <w:rFonts w:cstheme="minorHAnsi"/>
        </w:rPr>
        <w:t xml:space="preserve"> such critical case that contributed to changes in the Criminal Justice System is that of </w:t>
      </w:r>
      <w:r w:rsidR="00E3400A">
        <w:rPr>
          <w:rFonts w:cstheme="minorHAnsi"/>
        </w:rPr>
        <w:t xml:space="preserve">Daniel </w:t>
      </w:r>
      <w:proofErr w:type="spellStart"/>
      <w:r w:rsidR="00CA4793">
        <w:t>M’Naghten</w:t>
      </w:r>
      <w:proofErr w:type="spellEnd"/>
      <w:r w:rsidR="00CA4793">
        <w:t>, who</w:t>
      </w:r>
      <w:r w:rsidR="00E3400A">
        <w:t xml:space="preserve">, in 1843, shot the Private Secretary of the then current Prime Minister, Sir Robert Peel. The victim, Edward Drummond, was killed in the incident, and although </w:t>
      </w:r>
      <w:proofErr w:type="spellStart"/>
      <w:r w:rsidR="00E3400A">
        <w:t>M’Naghten</w:t>
      </w:r>
      <w:proofErr w:type="spellEnd"/>
      <w:r w:rsidR="00E3400A">
        <w:t xml:space="preserve"> </w:t>
      </w:r>
      <w:r w:rsidR="0054638A">
        <w:t xml:space="preserve">confessed to </w:t>
      </w:r>
      <w:r w:rsidR="00E3400A">
        <w:t xml:space="preserve">murder, he was acquitted </w:t>
      </w:r>
      <w:r w:rsidR="00742E1F">
        <w:t>of</w:t>
      </w:r>
      <w:r w:rsidR="00E3400A">
        <w:t xml:space="preserve"> his crime </w:t>
      </w:r>
      <w:r w:rsidR="00742E1F">
        <w:t>due to being deemed</w:t>
      </w:r>
      <w:r w:rsidR="00E3400A">
        <w:t xml:space="preserve"> insan</w:t>
      </w:r>
      <w:r w:rsidR="00742E1F">
        <w:t>e during his tr</w:t>
      </w:r>
      <w:r w:rsidR="00C371DB">
        <w:t>ial</w:t>
      </w:r>
      <w:r w:rsidR="00742E1F">
        <w:t xml:space="preserve">. </w:t>
      </w:r>
      <w:r w:rsidR="00D80861">
        <w:t xml:space="preserve">This was potentially down to the work of the British media, who began questioning the stability of </w:t>
      </w:r>
      <w:proofErr w:type="spellStart"/>
      <w:r w:rsidR="00D80861">
        <w:t>M’Naghten’s</w:t>
      </w:r>
      <w:proofErr w:type="spellEnd"/>
      <w:r w:rsidR="00D80861">
        <w:t xml:space="preserve"> mind, focusing on his belief that the conservative political party were out to get him. </w:t>
      </w:r>
      <w:r w:rsidR="00742E1F">
        <w:t xml:space="preserve">Despite being cleared in the courts, the verdict caused outrage from the public, </w:t>
      </w:r>
      <w:r w:rsidR="0054638A">
        <w:t>who were understandably concerned with the ease at which a confessed criminal escaped justice on the grounds of his mental state, and as such, called for the government to examine and reform its laws regarding criminals. After much</w:t>
      </w:r>
      <w:r w:rsidR="00742E1F">
        <w:t xml:space="preserve"> debate</w:t>
      </w:r>
      <w:r w:rsidR="0054638A">
        <w:t xml:space="preserve">, a test, which became known as the </w:t>
      </w:r>
      <w:proofErr w:type="spellStart"/>
      <w:r w:rsidR="0054638A">
        <w:t>M’Naghten</w:t>
      </w:r>
      <w:proofErr w:type="spellEnd"/>
      <w:r w:rsidR="0054638A">
        <w:t xml:space="preserve"> Rule, was established in order to determine insanity in the minds of criminals</w:t>
      </w:r>
      <w:r w:rsidR="00605003">
        <w:t>, however parliament believed that their law regarding insanity was as good as it could be</w:t>
      </w:r>
      <w:r w:rsidR="0054638A">
        <w:t xml:space="preserve">. This </w:t>
      </w:r>
      <w:r w:rsidR="00A125BA">
        <w:t>rule</w:t>
      </w:r>
      <w:r w:rsidR="0054638A">
        <w:t xml:space="preserve"> is still used to this day </w:t>
      </w:r>
      <w:r w:rsidR="00A125BA">
        <w:t>to test the mental state of criminals</w:t>
      </w:r>
      <w:r w:rsidR="00D80861">
        <w:t xml:space="preserve"> in Wales and England</w:t>
      </w:r>
      <w:r w:rsidR="00630257">
        <w:t xml:space="preserve"> and decrees that the jury should assume a man’s’ sanity unless </w:t>
      </w:r>
      <w:r w:rsidR="00351D1B">
        <w:t>proven</w:t>
      </w:r>
      <w:r w:rsidR="00630257">
        <w:t xml:space="preserve"> otherwise by the defence </w:t>
      </w:r>
      <w:r w:rsidR="00A125BA">
        <w:t>(Loughnan, 2017, pp. 140 – 200).</w:t>
      </w:r>
      <w:r w:rsidR="00630257">
        <w:t xml:space="preserve"> Before the integration of this mental assessment, the rules surrounding insanity were very loose, and could be given to someone for simply pleading and acting insane. As such, the introduction of the </w:t>
      </w:r>
      <w:proofErr w:type="spellStart"/>
      <w:r w:rsidR="00630257">
        <w:t>M’Naghten</w:t>
      </w:r>
      <w:proofErr w:type="spellEnd"/>
      <w:r w:rsidR="00630257">
        <w:t xml:space="preserve"> Rule standardised and formalised the way in which the defence could go about proving their clients’ mental well-being, as well as being the first instance that this was applied to common law, which demonstrates why the </w:t>
      </w:r>
      <w:proofErr w:type="spellStart"/>
      <w:r w:rsidR="00630257">
        <w:t>M’Naghten</w:t>
      </w:r>
      <w:proofErr w:type="spellEnd"/>
      <w:r w:rsidR="00630257">
        <w:t xml:space="preserve"> case can be considered vital to the development of the UK’s Criminal Justice System (Loughnan, 2017, pp. 140 – 200).</w:t>
      </w:r>
    </w:p>
    <w:p w14:paraId="11DAE5D1" w14:textId="2B581CED" w:rsidR="00D02B70" w:rsidRDefault="00D02B70" w:rsidP="001C6F28">
      <w:pPr>
        <w:spacing w:line="360" w:lineRule="auto"/>
      </w:pPr>
      <w:r>
        <w:t>Furthermore, the case of Morgan is another critical case in the UK</w:t>
      </w:r>
      <w:r w:rsidR="00351D1B">
        <w:t xml:space="preserve">’s </w:t>
      </w:r>
      <w:r>
        <w:t>legal system, as it led to important amendments to the Sexual Offenders Act 1976. Following a night drinking</w:t>
      </w:r>
      <w:r w:rsidR="001F4600">
        <w:t xml:space="preserve"> in 1975</w:t>
      </w:r>
      <w:r>
        <w:t xml:space="preserve">, the RAF sergeant, Morgan, invited three of his younger colleagues’ round to his to have sexual activities with his wife, a lady by the name of Daphne. Morgan is said to have informed the others that although his wife may </w:t>
      </w:r>
      <w:r w:rsidR="00D52B41">
        <w:t xml:space="preserve">seem to </w:t>
      </w:r>
      <w:r>
        <w:t>resist their sexual intentions, she, in fact, wanted</w:t>
      </w:r>
      <w:r w:rsidR="00D52B41">
        <w:t xml:space="preserve"> it and</w:t>
      </w:r>
      <w:r>
        <w:t xml:space="preserve"> gained sexual pleasure </w:t>
      </w:r>
      <w:r w:rsidR="00D52B41">
        <w:t>from the experience. As such, the four men entered</w:t>
      </w:r>
      <w:r>
        <w:t xml:space="preserve"> </w:t>
      </w:r>
      <w:r w:rsidR="00D52B41">
        <w:t>Daphne’s home and, after dragging her to her bedroom and restraining her there, took it in turns to rape the wom</w:t>
      </w:r>
      <w:r w:rsidR="00351D1B">
        <w:t>a</w:t>
      </w:r>
      <w:r w:rsidR="00D52B41">
        <w:t>n. Following th</w:t>
      </w:r>
      <w:r w:rsidR="00351D1B">
        <w:t>is</w:t>
      </w:r>
      <w:r w:rsidR="00D52B41">
        <w:t xml:space="preserve">, Daphne fled to a local hospital where she reported the incident. The three younger gentlemen were convicted of rape, while Morgan, who could not be convicted in the same way as the others due to his marital status with her, was charged with the aiding of rape. </w:t>
      </w:r>
      <w:r w:rsidR="00E66478">
        <w:t xml:space="preserve">Despite initially confessing to it, the three men later retracted their statements and claimed that although she initially refused sexual intercourse, Daphne eventually began to enjoy it, just like her husband said she would (Farmer, 2017, pp. 220 </w:t>
      </w:r>
      <w:r w:rsidR="001F4600">
        <w:t>–</w:t>
      </w:r>
      <w:r w:rsidR="00E66478">
        <w:t xml:space="preserve"> </w:t>
      </w:r>
      <w:r w:rsidR="001F4600">
        <w:t>280)</w:t>
      </w:r>
      <w:r w:rsidR="00E66478">
        <w:t xml:space="preserve">. This </w:t>
      </w:r>
      <w:r w:rsidR="001F4600">
        <w:t>proved problematic for the court as by definition, rape is “forcing another person to have sexual intercourse with the offender against their will” (</w:t>
      </w:r>
      <w:r w:rsidR="001F4600" w:rsidRPr="002B50E3">
        <w:rPr>
          <w:rFonts w:cstheme="minorHAnsi"/>
        </w:rPr>
        <w:t>Stevenson, 2010,</w:t>
      </w:r>
      <w:r w:rsidR="001F4600">
        <w:rPr>
          <w:rFonts w:cstheme="minorHAnsi"/>
        </w:rPr>
        <w:t xml:space="preserve"> pp. 1465 – 1473). It is this last bit that causes issue, as if Daphne was secretly enjoying it, then it is not against her will and as such, the men could not be tried for rape.</w:t>
      </w:r>
      <w:r w:rsidR="00522752">
        <w:rPr>
          <w:rFonts w:cstheme="minorHAnsi"/>
        </w:rPr>
        <w:t xml:space="preserve"> This case also led to something which became known as the ‘Rapists’ Charter’, which stated that any man who </w:t>
      </w:r>
      <w:r w:rsidR="00A52B68">
        <w:rPr>
          <w:rFonts w:cstheme="minorHAnsi"/>
        </w:rPr>
        <w:t>truly</w:t>
      </w:r>
      <w:r w:rsidR="00522752">
        <w:rPr>
          <w:rFonts w:cstheme="minorHAnsi"/>
        </w:rPr>
        <w:t xml:space="preserve"> believed that </w:t>
      </w:r>
      <w:r w:rsidR="00A52B68">
        <w:rPr>
          <w:rFonts w:cstheme="minorHAnsi"/>
        </w:rPr>
        <w:t>the wom</w:t>
      </w:r>
      <w:r w:rsidR="00351D1B">
        <w:rPr>
          <w:rFonts w:cstheme="minorHAnsi"/>
        </w:rPr>
        <w:t>a</w:t>
      </w:r>
      <w:r w:rsidR="00A52B68">
        <w:rPr>
          <w:rFonts w:cstheme="minorHAnsi"/>
        </w:rPr>
        <w:t>n they were having sexual intercourse with was consenting, then they could not be charged with rape, no matter how unreasonably his claims may be. Furthermore, this concept was later added to Section 1 of the Sexual Offenders Act after it had been amended in 1976</w:t>
      </w:r>
      <w:r w:rsidR="00345871">
        <w:rPr>
          <w:rFonts w:cstheme="minorHAnsi"/>
        </w:rPr>
        <w:t>, and although it was later replaced in 2003, the fact still remains that Morgan’s case was critical to the development of laws surrounding sexual offences (</w:t>
      </w:r>
      <w:r w:rsidR="00345871">
        <w:t>Farmer, 2017, pp. 220 – 280).</w:t>
      </w:r>
    </w:p>
    <w:p w14:paraId="3BDC4720" w14:textId="45E0D30C" w:rsidR="003405D7" w:rsidRPr="008D1926" w:rsidRDefault="00245435" w:rsidP="001C6F28">
      <w:pPr>
        <w:spacing w:line="360" w:lineRule="auto"/>
      </w:pPr>
      <w:r>
        <w:t xml:space="preserve">Continuing from this, the beforementioned case </w:t>
      </w:r>
      <w:r w:rsidR="00351D1B">
        <w:t>o</w:t>
      </w:r>
      <w:r>
        <w:t xml:space="preserve">f Sarah Payne </w:t>
      </w:r>
      <w:r w:rsidR="001242BC">
        <w:t xml:space="preserve">also aided in the development of </w:t>
      </w:r>
      <w:r w:rsidR="003B5FCA">
        <w:t>laws revolving around crimes of a sexual nature</w:t>
      </w:r>
      <w:r w:rsidR="001242BC">
        <w:t xml:space="preserve">, as </w:t>
      </w:r>
      <w:r w:rsidR="00BC258E">
        <w:t xml:space="preserve">it led to </w:t>
      </w:r>
      <w:r w:rsidR="00215A27">
        <w:t>consideration</w:t>
      </w:r>
      <w:r w:rsidR="00B54C94">
        <w:t xml:space="preserve">s regarding the </w:t>
      </w:r>
      <w:r w:rsidR="00BC258E">
        <w:t>introduction of ‘Sarah’s Law’</w:t>
      </w:r>
      <w:r w:rsidR="00172734">
        <w:t>. This concept, which was the UK’s version of America’s ‘Megan’s Law’, decreed that anyone could ask their local authority</w:t>
      </w:r>
      <w:r w:rsidR="00351D1B">
        <w:t xml:space="preserve"> </w:t>
      </w:r>
      <w:r w:rsidR="00172734">
        <w:t xml:space="preserve">for the names and addresses of any registered sex offenders, so that people were aware of </w:t>
      </w:r>
      <w:r w:rsidR="00351D1B">
        <w:t>the</w:t>
      </w:r>
      <w:r w:rsidR="00172734">
        <w:t xml:space="preserve"> potential threats in their local area. Although this idea was popularised by the media, leading to protests and vigilante action against paedophiles and other offenders, the </w:t>
      </w:r>
      <w:r w:rsidR="00F66CAD">
        <w:t>government were forced to reign in this violence as there was the risk that by civilians targeting suspected offenders, said criminals would go into hiding, putting more people at risk (</w:t>
      </w:r>
      <w:proofErr w:type="spellStart"/>
      <w:r w:rsidR="00F66CAD">
        <w:t>Kemshall</w:t>
      </w:r>
      <w:proofErr w:type="spellEnd"/>
      <w:r w:rsidR="00F66CAD">
        <w:t>, 2003, pp. 90 – 91).</w:t>
      </w:r>
      <w:r w:rsidR="00215A27">
        <w:t xml:space="preserve"> </w:t>
      </w:r>
      <w:r w:rsidR="009A1911">
        <w:t>Despite this</w:t>
      </w:r>
      <w:r w:rsidR="003B5FCA">
        <w:t xml:space="preserve"> initial controversy</w:t>
      </w:r>
      <w:r w:rsidR="009A1911">
        <w:t xml:space="preserve">, ‘Sarah’s Law’ </w:t>
      </w:r>
      <w:r w:rsidR="00B54C94">
        <w:t>was official</w:t>
      </w:r>
      <w:r w:rsidR="003B5FCA">
        <w:t>ly</w:t>
      </w:r>
      <w:r w:rsidR="00B54C94">
        <w:t xml:space="preserve"> introduced </w:t>
      </w:r>
      <w:r w:rsidR="003B5FCA">
        <w:t>to some areas of the UK in April 2007. Not only was the Sarah Payne case responsibl</w:t>
      </w:r>
      <w:r w:rsidR="008D1926">
        <w:t>e</w:t>
      </w:r>
      <w:r w:rsidR="003B5FCA">
        <w:t xml:space="preserve"> for fuelling public opinion on the above ‘law’, but it also led to amendments being made to the Sexual Offenders Act</w:t>
      </w:r>
      <w:r w:rsidR="00797372">
        <w:t xml:space="preserve"> in 2002. Based on these new alterations, offenders of both a sexual and non-sexual nature</w:t>
      </w:r>
      <w:r w:rsidR="00293496">
        <w:t>, who’s crimes were deemed serious enough to warrant imprisonment, were to be detained until the Parole Board deemed them no longer a threat to society</w:t>
      </w:r>
      <w:r w:rsidR="00AC677A">
        <w:t xml:space="preserve"> </w:t>
      </w:r>
      <w:r w:rsidR="00626111">
        <w:t>(</w:t>
      </w:r>
      <w:r w:rsidR="00626111">
        <w:rPr>
          <w:rFonts w:cstheme="minorHAnsi"/>
        </w:rPr>
        <w:t>Cornwall, 2007, pp. 80 – 81)</w:t>
      </w:r>
      <w:r w:rsidR="00293496">
        <w:t>.</w:t>
      </w:r>
      <w:r w:rsidR="00626111">
        <w:t xml:space="preserve"> As is evident with this, Sarah’s case led to further legislations being introduced regarding the Sexual Offenders Act and as such, this case was critical to the development of laws in the UK’s justice system.</w:t>
      </w:r>
    </w:p>
    <w:p w14:paraId="6D37394E" w14:textId="7753CD17" w:rsidR="00663A7C" w:rsidRDefault="00E92EAE" w:rsidP="001C6F28">
      <w:pPr>
        <w:spacing w:line="360" w:lineRule="auto"/>
        <w:rPr>
          <w:rFonts w:cstheme="minorHAnsi"/>
        </w:rPr>
      </w:pPr>
      <w:r>
        <w:rPr>
          <w:rFonts w:cstheme="minorHAnsi"/>
        </w:rPr>
        <w:t xml:space="preserve">Another case </w:t>
      </w:r>
      <w:r w:rsidR="00D6214E">
        <w:rPr>
          <w:rFonts w:cstheme="minorHAnsi"/>
        </w:rPr>
        <w:t xml:space="preserve">which was important to the development of </w:t>
      </w:r>
      <w:r>
        <w:rPr>
          <w:rFonts w:cstheme="minorHAnsi"/>
        </w:rPr>
        <w:t xml:space="preserve">the UK’s Justice System was </w:t>
      </w:r>
      <w:r w:rsidR="00D6214E">
        <w:rPr>
          <w:rFonts w:cstheme="minorHAnsi"/>
        </w:rPr>
        <w:t>that of the murdere</w:t>
      </w:r>
      <w:r w:rsidR="008D1926">
        <w:rPr>
          <w:rFonts w:cstheme="minorHAnsi"/>
        </w:rPr>
        <w:t xml:space="preserve">r </w:t>
      </w:r>
      <w:r w:rsidR="00D6214E">
        <w:rPr>
          <w:rFonts w:cstheme="minorHAnsi"/>
        </w:rPr>
        <w:t xml:space="preserve">Colin Pitchfork. In 1983, the body of a 15-year-old girl, Lynda Mann, was discovered in the vicinity of a local Leicestershire footpath, after being sexually violated and strangled to death. Despite an investigation, the police had no luck identifying the killer, who </w:t>
      </w:r>
      <w:r w:rsidR="005F5FBC">
        <w:rPr>
          <w:rFonts w:cstheme="minorHAnsi"/>
        </w:rPr>
        <w:t xml:space="preserve">went on to rape and murder another young girl, Dawn Ashworth, in 1986. Both of these instances, which were cited as being the work of ‘The Black-Pad Killer’, were left unsolved until </w:t>
      </w:r>
      <w:r w:rsidR="00562DA5">
        <w:rPr>
          <w:rFonts w:cstheme="minorHAnsi"/>
        </w:rPr>
        <w:t>1988</w:t>
      </w:r>
      <w:r w:rsidR="005F5FBC">
        <w:rPr>
          <w:rFonts w:cstheme="minorHAnsi"/>
        </w:rPr>
        <w:t xml:space="preserve">, when, thanks to the development of DNA analysis and identification, Colin Pitchfork was </w:t>
      </w:r>
      <w:r w:rsidR="00F839B3">
        <w:rPr>
          <w:rFonts w:cstheme="minorHAnsi"/>
        </w:rPr>
        <w:t xml:space="preserve">eventually </w:t>
      </w:r>
      <w:r w:rsidR="005F5FBC">
        <w:rPr>
          <w:rFonts w:cstheme="minorHAnsi"/>
        </w:rPr>
        <w:t>apprehended and convicted</w:t>
      </w:r>
      <w:r w:rsidR="00783F6F">
        <w:rPr>
          <w:rFonts w:cstheme="minorHAnsi"/>
        </w:rPr>
        <w:t xml:space="preserve"> (</w:t>
      </w:r>
      <w:proofErr w:type="spellStart"/>
      <w:r w:rsidR="00783F6F">
        <w:rPr>
          <w:rFonts w:cstheme="minorHAnsi"/>
        </w:rPr>
        <w:t>Renneberg</w:t>
      </w:r>
      <w:proofErr w:type="spellEnd"/>
      <w:r w:rsidR="00783F6F">
        <w:rPr>
          <w:rFonts w:cstheme="minorHAnsi"/>
        </w:rPr>
        <w:t>, 2008, p. 302)</w:t>
      </w:r>
      <w:r w:rsidR="005F5FBC">
        <w:rPr>
          <w:rFonts w:cstheme="minorHAnsi"/>
        </w:rPr>
        <w:t>.</w:t>
      </w:r>
      <w:r w:rsidR="00F839B3">
        <w:rPr>
          <w:rFonts w:cstheme="minorHAnsi"/>
        </w:rPr>
        <w:t xml:space="preserve"> DNA, in the form of genetic fingerprinting, which was used for this case, did not come into play until 1984 and as such, the techniques used were not as fluent as they are today. Despite this, the DNA samples from the sperm within the two victims allowed police to narrow down who they were looking for to about 5,000 men between the ages of 16 and 34, who were subsequently asked to provide a blood sample so their DNA could be compared with that of the </w:t>
      </w:r>
      <w:r w:rsidR="00783F6F">
        <w:rPr>
          <w:rFonts w:cstheme="minorHAnsi"/>
        </w:rPr>
        <w:t>perpetrators.</w:t>
      </w:r>
      <w:r w:rsidR="00562DA5">
        <w:rPr>
          <w:rFonts w:cstheme="minorHAnsi"/>
        </w:rPr>
        <w:t xml:space="preserve"> Although Pitchfork persuaded a friend to give a sample in his place, the police eventually court onto him and he confessed to his crimes in January 1988. </w:t>
      </w:r>
      <w:r w:rsidR="00014BAB">
        <w:rPr>
          <w:rFonts w:cstheme="minorHAnsi"/>
        </w:rPr>
        <w:t xml:space="preserve">This marked a significant point in the development of justice as Pitchfork was the first criminal to be convicted on the grounds of DNA evidence, while another man, Rodney Buckley, who had been arrested in connection to the Pitchfork crimes, was the first person to be cleared of criminal </w:t>
      </w:r>
      <w:r w:rsidR="00AD5719">
        <w:rPr>
          <w:rFonts w:cstheme="minorHAnsi"/>
        </w:rPr>
        <w:t>accusations</w:t>
      </w:r>
      <w:r w:rsidR="00014BAB">
        <w:rPr>
          <w:rFonts w:cstheme="minorHAnsi"/>
        </w:rPr>
        <w:t xml:space="preserve"> </w:t>
      </w:r>
      <w:r w:rsidR="00AD5719">
        <w:rPr>
          <w:rFonts w:cstheme="minorHAnsi"/>
        </w:rPr>
        <w:t>due to</w:t>
      </w:r>
      <w:r w:rsidR="00014BAB">
        <w:rPr>
          <w:rFonts w:cstheme="minorHAnsi"/>
        </w:rPr>
        <w:t xml:space="preserve"> DNA evidence</w:t>
      </w:r>
      <w:r w:rsidR="00AD5719">
        <w:rPr>
          <w:rFonts w:cstheme="minorHAnsi"/>
        </w:rPr>
        <w:t xml:space="preserve"> (</w:t>
      </w:r>
      <w:proofErr w:type="spellStart"/>
      <w:r w:rsidR="00AD5719">
        <w:rPr>
          <w:rFonts w:cstheme="minorHAnsi"/>
        </w:rPr>
        <w:t>Renneberg</w:t>
      </w:r>
      <w:proofErr w:type="spellEnd"/>
      <w:r w:rsidR="00AD5719">
        <w:rPr>
          <w:rFonts w:cstheme="minorHAnsi"/>
        </w:rPr>
        <w:t>, 2008, p. 302)</w:t>
      </w:r>
      <w:r w:rsidR="00014BAB">
        <w:rPr>
          <w:rFonts w:cstheme="minorHAnsi"/>
        </w:rPr>
        <w:t>.</w:t>
      </w:r>
      <w:r w:rsidR="00AD5719">
        <w:rPr>
          <w:rFonts w:cstheme="minorHAnsi"/>
        </w:rPr>
        <w:t xml:space="preserve"> Although this case is slightly different compared to the ones already discussed, as the Pitchfork case did not directly lead to the integration of DNA into the UK’s legal system, it is still an</w:t>
      </w:r>
      <w:r w:rsidR="00663A7C">
        <w:rPr>
          <w:rFonts w:cstheme="minorHAnsi"/>
        </w:rPr>
        <w:t xml:space="preserve"> </w:t>
      </w:r>
      <w:r w:rsidR="00AD5719">
        <w:rPr>
          <w:rFonts w:cstheme="minorHAnsi"/>
        </w:rPr>
        <w:t>extremely critical case as it demonstrated how effective DNA</w:t>
      </w:r>
      <w:r w:rsidR="00663A7C">
        <w:rPr>
          <w:rFonts w:cstheme="minorHAnsi"/>
        </w:rPr>
        <w:t xml:space="preserve"> </w:t>
      </w:r>
      <w:r w:rsidR="00AD5719">
        <w:rPr>
          <w:rFonts w:cstheme="minorHAnsi"/>
        </w:rPr>
        <w:t>evidence could be in either the prosecution or acquittal of a suspect</w:t>
      </w:r>
      <w:r w:rsidR="00663A7C">
        <w:rPr>
          <w:rFonts w:cstheme="minorHAnsi"/>
        </w:rPr>
        <w:t xml:space="preserve">. It </w:t>
      </w:r>
      <w:r w:rsidR="008D1926">
        <w:rPr>
          <w:rFonts w:cstheme="minorHAnsi"/>
        </w:rPr>
        <w:t xml:space="preserve">is </w:t>
      </w:r>
      <w:r w:rsidR="00663A7C">
        <w:rPr>
          <w:rFonts w:cstheme="minorHAnsi"/>
        </w:rPr>
        <w:t>for this reason that the murders of Lynda and Dawn are critical to the development of the Criminal Justice System in Britain.</w:t>
      </w:r>
    </w:p>
    <w:p w14:paraId="5810CB96" w14:textId="2332B9C6" w:rsidR="00954204" w:rsidRDefault="00663A7C" w:rsidP="001C6F28">
      <w:pPr>
        <w:spacing w:line="360" w:lineRule="auto"/>
        <w:rPr>
          <w:rFonts w:cstheme="minorHAnsi"/>
        </w:rPr>
      </w:pPr>
      <w:r>
        <w:rPr>
          <w:rFonts w:cstheme="minorHAnsi"/>
        </w:rPr>
        <w:t xml:space="preserve">Similarly, </w:t>
      </w:r>
      <w:r w:rsidR="00427E80">
        <w:rPr>
          <w:rFonts w:cstheme="minorHAnsi"/>
        </w:rPr>
        <w:t>the case of the ‘Shoe Trophy Rapist’ is another instance whereby DNA was used to solve the crime. James Lloyd was a serial rapist active between 1983 and 1986, who would violently attack, tie up, and rape women in Yorkshire, before making off with their valuables and their shoes. It is this latter fact that led to his nickname as the ‘Shoe Trophy Rapist’. However, it was not until 2006 that he was arrested and convicted of his crimes (</w:t>
      </w:r>
      <w:proofErr w:type="spellStart"/>
      <w:r w:rsidR="00427E80">
        <w:rPr>
          <w:rFonts w:cstheme="minorHAnsi"/>
        </w:rPr>
        <w:t>Bendelow</w:t>
      </w:r>
      <w:proofErr w:type="spellEnd"/>
      <w:r w:rsidR="00427E80">
        <w:rPr>
          <w:rFonts w:cstheme="minorHAnsi"/>
        </w:rPr>
        <w:t xml:space="preserve">, 2017, pp. 50 – 120). As before, although this case did not directly lead to changes and developments in legal legislations, it was solved thanks to previous changes </w:t>
      </w:r>
      <w:r w:rsidR="00175BD0">
        <w:rPr>
          <w:rFonts w:cstheme="minorHAnsi"/>
        </w:rPr>
        <w:t>to the law, such as the Criminal Justice and Police Act 2003, which enable</w:t>
      </w:r>
      <w:r w:rsidR="008D1926">
        <w:rPr>
          <w:rFonts w:cstheme="minorHAnsi"/>
        </w:rPr>
        <w:t>d</w:t>
      </w:r>
      <w:r w:rsidR="00175BD0">
        <w:rPr>
          <w:rFonts w:cstheme="minorHAnsi"/>
        </w:rPr>
        <w:t xml:space="preserve"> police to take a DNA sample from anyone who was arrested, and not </w:t>
      </w:r>
      <w:r w:rsidR="008D1926">
        <w:rPr>
          <w:rFonts w:cstheme="minorHAnsi"/>
        </w:rPr>
        <w:t xml:space="preserve">just </w:t>
      </w:r>
      <w:r w:rsidR="00175BD0">
        <w:rPr>
          <w:rFonts w:cstheme="minorHAnsi"/>
        </w:rPr>
        <w:t>charged</w:t>
      </w:r>
      <w:r w:rsidR="008D1926">
        <w:rPr>
          <w:rFonts w:cstheme="minorHAnsi"/>
        </w:rPr>
        <w:t>,</w:t>
      </w:r>
      <w:r w:rsidR="00175BD0">
        <w:rPr>
          <w:rFonts w:cstheme="minorHAnsi"/>
        </w:rPr>
        <w:t xml:space="preserve"> as the law had been previously (Wall, 2009, pp. 20 – 21). </w:t>
      </w:r>
      <w:r w:rsidR="00FD12A2">
        <w:rPr>
          <w:rFonts w:cstheme="minorHAnsi"/>
        </w:rPr>
        <w:t>Due to this, when Lloyd’s sister was arrested for driving under the influence of alcohol, her DNA was taken</w:t>
      </w:r>
      <w:r w:rsidR="00BD4659">
        <w:rPr>
          <w:rFonts w:cstheme="minorHAnsi"/>
        </w:rPr>
        <w:t xml:space="preserve"> and was subsequently </w:t>
      </w:r>
      <w:r w:rsidR="00954204">
        <w:rPr>
          <w:rFonts w:cstheme="minorHAnsi"/>
        </w:rPr>
        <w:t xml:space="preserve">found </w:t>
      </w:r>
      <w:r w:rsidR="00954204" w:rsidRPr="00B92EE6">
        <w:rPr>
          <w:rFonts w:cstheme="minorHAnsi"/>
        </w:rPr>
        <w:t xml:space="preserve">to be </w:t>
      </w:r>
      <w:r w:rsidR="008D1926" w:rsidRPr="00B92EE6">
        <w:rPr>
          <w:rFonts w:cstheme="minorHAnsi"/>
        </w:rPr>
        <w:t>like</w:t>
      </w:r>
      <w:r w:rsidR="00954204" w:rsidRPr="00B92EE6">
        <w:rPr>
          <w:rFonts w:cstheme="minorHAnsi"/>
        </w:rPr>
        <w:t xml:space="preserve"> </w:t>
      </w:r>
      <w:r w:rsidR="00BD4659" w:rsidRPr="00B92EE6">
        <w:rPr>
          <w:rFonts w:cstheme="minorHAnsi"/>
        </w:rPr>
        <w:t xml:space="preserve">the unidentified DNA samples </w:t>
      </w:r>
      <w:r w:rsidR="00954204" w:rsidRPr="00B92EE6">
        <w:rPr>
          <w:rFonts w:cstheme="minorHAnsi"/>
        </w:rPr>
        <w:t xml:space="preserve">taken </w:t>
      </w:r>
      <w:r w:rsidR="00BD4659" w:rsidRPr="00B92EE6">
        <w:rPr>
          <w:rFonts w:cstheme="minorHAnsi"/>
        </w:rPr>
        <w:t>from the rapes</w:t>
      </w:r>
      <w:r w:rsidR="00954204" w:rsidRPr="00B92EE6">
        <w:rPr>
          <w:rFonts w:cstheme="minorHAnsi"/>
        </w:rPr>
        <w:t xml:space="preserve">. As such, James Lloyd was arrested and </w:t>
      </w:r>
      <w:r w:rsidR="00F878F5" w:rsidRPr="00B92EE6">
        <w:rPr>
          <w:rFonts w:cstheme="minorHAnsi"/>
        </w:rPr>
        <w:t>confessed</w:t>
      </w:r>
      <w:r w:rsidR="00954204" w:rsidRPr="00B92EE6">
        <w:rPr>
          <w:rFonts w:cstheme="minorHAnsi"/>
        </w:rPr>
        <w:t xml:space="preserve"> to the rape</w:t>
      </w:r>
      <w:r w:rsidR="00F878F5" w:rsidRPr="00B92EE6">
        <w:rPr>
          <w:rFonts w:cstheme="minorHAnsi"/>
        </w:rPr>
        <w:t>s</w:t>
      </w:r>
      <w:r w:rsidR="00954204" w:rsidRPr="00B92EE6">
        <w:rPr>
          <w:rFonts w:cstheme="minorHAnsi"/>
        </w:rPr>
        <w:t xml:space="preserve"> of six individuals, </w:t>
      </w:r>
      <w:r w:rsidR="00F878F5" w:rsidRPr="00B92EE6">
        <w:rPr>
          <w:rFonts w:cstheme="minorHAnsi"/>
        </w:rPr>
        <w:t xml:space="preserve">demonstrating how effective DNA analysis was </w:t>
      </w:r>
      <w:r w:rsidR="00761094" w:rsidRPr="00B92EE6">
        <w:rPr>
          <w:rFonts w:cstheme="minorHAnsi"/>
        </w:rPr>
        <w:t>in the Criminal Justice System.</w:t>
      </w:r>
      <w:r w:rsidR="00761094">
        <w:rPr>
          <w:rFonts w:cstheme="minorHAnsi"/>
        </w:rPr>
        <w:t xml:space="preserve"> </w:t>
      </w:r>
      <w:r w:rsidR="00B92EE6">
        <w:rPr>
          <w:rFonts w:cstheme="minorHAnsi"/>
        </w:rPr>
        <w:t xml:space="preserve">As already mentioned, even though Lloyd’s case did not lead to the development of a new law, it was able to be solved thanks to the critical cases mentioned above that influenced our legal system, which is why it has been included as an example </w:t>
      </w:r>
      <w:r w:rsidR="00B92EE6" w:rsidRPr="00B92EE6">
        <w:rPr>
          <w:rFonts w:cstheme="minorHAnsi"/>
        </w:rPr>
        <w:t>(</w:t>
      </w:r>
      <w:proofErr w:type="spellStart"/>
      <w:r w:rsidR="00B92EE6" w:rsidRPr="00B92EE6">
        <w:rPr>
          <w:rFonts w:cstheme="minorHAnsi"/>
        </w:rPr>
        <w:t>Bendelow</w:t>
      </w:r>
      <w:proofErr w:type="spellEnd"/>
      <w:r w:rsidR="00B92EE6" w:rsidRPr="00B92EE6">
        <w:rPr>
          <w:rFonts w:cstheme="minorHAnsi"/>
        </w:rPr>
        <w:t>, 2017, pp. 50 – 120)</w:t>
      </w:r>
      <w:r w:rsidR="00B92EE6">
        <w:rPr>
          <w:rFonts w:cstheme="minorHAnsi"/>
        </w:rPr>
        <w:t xml:space="preserve">. </w:t>
      </w:r>
    </w:p>
    <w:p w14:paraId="0E0F6379" w14:textId="7F67D2E0" w:rsidR="00DC3ACB" w:rsidRDefault="00DC3ACB" w:rsidP="001C6F28">
      <w:pPr>
        <w:spacing w:line="360" w:lineRule="auto"/>
        <w:rPr>
          <w:rFonts w:cstheme="minorHAnsi"/>
        </w:rPr>
      </w:pPr>
    </w:p>
    <w:p w14:paraId="00F58E2D" w14:textId="279E6A4A" w:rsidR="0013618A" w:rsidRDefault="00DC3ACB" w:rsidP="00E63C55">
      <w:pPr>
        <w:spacing w:line="360" w:lineRule="auto"/>
      </w:pPr>
      <w:r w:rsidRPr="00F515F9">
        <w:rPr>
          <w:rFonts w:cstheme="minorHAnsi"/>
        </w:rPr>
        <w:t>In conclusion,</w:t>
      </w:r>
      <w:r w:rsidR="00DA0159" w:rsidRPr="00F515F9">
        <w:rPr>
          <w:rFonts w:cstheme="minorHAnsi"/>
        </w:rPr>
        <w:t xml:space="preserve"> there are many important cases that have led to changes within our judicial system, </w:t>
      </w:r>
      <w:r w:rsidR="00F515F9" w:rsidRPr="00F515F9">
        <w:rPr>
          <w:rFonts w:cstheme="minorHAnsi"/>
        </w:rPr>
        <w:t>but</w:t>
      </w:r>
      <w:r w:rsidR="00DA0159" w:rsidRPr="00F515F9">
        <w:rPr>
          <w:rFonts w:cstheme="minorHAnsi"/>
        </w:rPr>
        <w:t xml:space="preserve"> one constant factor </w:t>
      </w:r>
      <w:r w:rsidR="00F515F9" w:rsidRPr="00F515F9">
        <w:rPr>
          <w:rFonts w:cstheme="minorHAnsi"/>
        </w:rPr>
        <w:t xml:space="preserve">with them all has been </w:t>
      </w:r>
      <w:r w:rsidR="00DA0159" w:rsidRPr="00F515F9">
        <w:rPr>
          <w:rFonts w:cstheme="minorHAnsi"/>
        </w:rPr>
        <w:t>the integrity of evidence</w:t>
      </w:r>
      <w:r w:rsidR="00F515F9" w:rsidRPr="00F515F9">
        <w:rPr>
          <w:rFonts w:cstheme="minorHAnsi"/>
        </w:rPr>
        <w:t>, which</w:t>
      </w:r>
      <w:r w:rsidR="00DA0159" w:rsidRPr="00F515F9">
        <w:rPr>
          <w:rFonts w:cstheme="minorHAnsi"/>
        </w:rPr>
        <w:t xml:space="preserve"> can make or break a criminal case</w:t>
      </w:r>
      <w:r w:rsidR="00F515F9" w:rsidRPr="00F515F9">
        <w:rPr>
          <w:rFonts w:cstheme="minorHAnsi"/>
        </w:rPr>
        <w:t>, hence why</w:t>
      </w:r>
      <w:r w:rsidR="00852159" w:rsidRPr="00F515F9">
        <w:rPr>
          <w:rFonts w:cstheme="minorHAnsi"/>
        </w:rPr>
        <w:t xml:space="preserve"> there are various ways to ensure that th</w:t>
      </w:r>
      <w:r w:rsidR="00F515F9" w:rsidRPr="00F515F9">
        <w:rPr>
          <w:rFonts w:cstheme="minorHAnsi"/>
        </w:rPr>
        <w:t>is</w:t>
      </w:r>
      <w:r w:rsidR="00852159" w:rsidRPr="00F515F9">
        <w:rPr>
          <w:rFonts w:cstheme="minorHAnsi"/>
        </w:rPr>
        <w:t xml:space="preserve"> integrity is maintained. Once this was </w:t>
      </w:r>
      <w:r w:rsidR="0013618A" w:rsidRPr="00F515F9">
        <w:rPr>
          <w:rFonts w:cstheme="minorHAnsi"/>
        </w:rPr>
        <w:t>demonstrated</w:t>
      </w:r>
      <w:r w:rsidR="00852159" w:rsidRPr="00F515F9">
        <w:rPr>
          <w:rFonts w:cstheme="minorHAnsi"/>
        </w:rPr>
        <w:t xml:space="preserve">, </w:t>
      </w:r>
      <w:r w:rsidR="00E65AA7" w:rsidRPr="00F515F9">
        <w:rPr>
          <w:rFonts w:cstheme="minorHAnsi"/>
        </w:rPr>
        <w:t xml:space="preserve">an analysis of critical cases that influenced UK laws </w:t>
      </w:r>
      <w:r w:rsidR="007155A4" w:rsidRPr="00F515F9">
        <w:rPr>
          <w:rFonts w:cstheme="minorHAnsi"/>
        </w:rPr>
        <w:t>was</w:t>
      </w:r>
      <w:r w:rsidR="00E65AA7" w:rsidRPr="00F515F9">
        <w:rPr>
          <w:rFonts w:cstheme="minorHAnsi"/>
        </w:rPr>
        <w:t xml:space="preserve"> completed.</w:t>
      </w:r>
      <w:r w:rsidR="0013618A" w:rsidRPr="00F515F9">
        <w:rPr>
          <w:rFonts w:cstheme="minorHAnsi"/>
        </w:rPr>
        <w:t xml:space="preserve"> </w:t>
      </w:r>
      <w:r w:rsidR="007155A4" w:rsidRPr="00F515F9">
        <w:rPr>
          <w:rFonts w:cstheme="minorHAnsi"/>
        </w:rPr>
        <w:t xml:space="preserve">Whether these important cases influenced laws surrounding the mental state of criminals, such as with the cases of Hadfield and </w:t>
      </w:r>
      <w:proofErr w:type="spellStart"/>
      <w:r w:rsidR="007155A4" w:rsidRPr="00F515F9">
        <w:t>M’Naghten</w:t>
      </w:r>
      <w:proofErr w:type="spellEnd"/>
      <w:r w:rsidR="007155A4" w:rsidRPr="00F515F9">
        <w:t xml:space="preserve">, or sexual offences, such as the Morgan and Payne cases, they were all critical </w:t>
      </w:r>
      <w:r w:rsidR="00061565" w:rsidRPr="00F515F9">
        <w:t>to</w:t>
      </w:r>
      <w:r w:rsidR="007155A4" w:rsidRPr="00F515F9">
        <w:t xml:space="preserve"> the development of the</w:t>
      </w:r>
      <w:r w:rsidR="00061565" w:rsidRPr="00F515F9">
        <w:t xml:space="preserve">ir </w:t>
      </w:r>
      <w:r w:rsidR="007155A4" w:rsidRPr="00F515F9">
        <w:t xml:space="preserve">respective </w:t>
      </w:r>
      <w:r w:rsidR="008908B2" w:rsidRPr="00F515F9">
        <w:t xml:space="preserve">themes. Even those cases that did not necessarily directly influence </w:t>
      </w:r>
      <w:r w:rsidR="006E5FEB" w:rsidRPr="00F515F9">
        <w:t xml:space="preserve">the development of </w:t>
      </w:r>
      <w:r w:rsidR="008908B2" w:rsidRPr="00F515F9">
        <w:t>laws</w:t>
      </w:r>
      <w:r w:rsidR="006E5FEB" w:rsidRPr="00F515F9">
        <w:t xml:space="preserve"> </w:t>
      </w:r>
      <w:r w:rsidR="00C762ED" w:rsidRPr="00F515F9">
        <w:t>can</w:t>
      </w:r>
      <w:r w:rsidR="006E5FEB" w:rsidRPr="00F515F9">
        <w:t xml:space="preserve"> still </w:t>
      </w:r>
      <w:r w:rsidR="00C762ED" w:rsidRPr="00F515F9">
        <w:t xml:space="preserve">be counted as </w:t>
      </w:r>
      <w:r w:rsidR="006E5FEB" w:rsidRPr="00F515F9">
        <w:t>critical as they either demonstrated the potential success of technique</w:t>
      </w:r>
      <w:r w:rsidR="00C762ED" w:rsidRPr="00F515F9">
        <w:t xml:space="preserve">s, as with the Pitchfork case, </w:t>
      </w:r>
      <w:r w:rsidR="00E63C55" w:rsidRPr="00F515F9">
        <w:t>which subsequently allowed for the ‘Shoe Trophy Rapist’ and other such cases to be solved.</w:t>
      </w:r>
      <w:r w:rsidR="00E63C55">
        <w:t xml:space="preserve"> </w:t>
      </w:r>
    </w:p>
    <w:p w14:paraId="55C30F40" w14:textId="372CF03A" w:rsidR="00E63C55" w:rsidRPr="00E11081" w:rsidRDefault="00E63C55" w:rsidP="00E63C55">
      <w:pPr>
        <w:spacing w:line="360" w:lineRule="auto"/>
        <w:rPr>
          <w:b/>
          <w:bCs/>
        </w:rPr>
      </w:pPr>
    </w:p>
    <w:p w14:paraId="5208C313" w14:textId="14F06FDA" w:rsidR="00E63C55" w:rsidRPr="00E11081" w:rsidRDefault="00E63C55" w:rsidP="00E63C55">
      <w:pPr>
        <w:spacing w:line="360" w:lineRule="auto"/>
        <w:rPr>
          <w:rFonts w:cstheme="minorHAnsi"/>
          <w:b/>
          <w:bCs/>
        </w:rPr>
      </w:pPr>
      <w:r w:rsidRPr="00E11081">
        <w:rPr>
          <w:b/>
          <w:bCs/>
        </w:rPr>
        <w:t>Word Count:</w:t>
      </w:r>
      <w:r w:rsidR="00E11081" w:rsidRPr="00E11081">
        <w:rPr>
          <w:b/>
          <w:bCs/>
        </w:rPr>
        <w:t xml:space="preserve"> 3,</w:t>
      </w:r>
      <w:r w:rsidR="00AC677A">
        <w:rPr>
          <w:b/>
          <w:bCs/>
        </w:rPr>
        <w:t>290.</w:t>
      </w:r>
    </w:p>
    <w:p w14:paraId="29134442" w14:textId="78D0E531" w:rsidR="001A5B7C" w:rsidRDefault="00D6214E" w:rsidP="00D6214E">
      <w:pPr>
        <w:tabs>
          <w:tab w:val="left" w:pos="6300"/>
        </w:tabs>
        <w:spacing w:line="360" w:lineRule="auto"/>
      </w:pPr>
      <w:r>
        <w:tab/>
      </w:r>
    </w:p>
    <w:p w14:paraId="31E52051" w14:textId="77777777" w:rsidR="00CF093C" w:rsidRDefault="00CF093C" w:rsidP="001C6F28">
      <w:pPr>
        <w:spacing w:line="360" w:lineRule="auto"/>
        <w:rPr>
          <w:b/>
          <w:bCs/>
          <w:sz w:val="28"/>
          <w:szCs w:val="28"/>
          <w:u w:val="single"/>
        </w:rPr>
      </w:pPr>
      <w:bookmarkStart w:id="0" w:name="_GoBack"/>
      <w:bookmarkEnd w:id="0"/>
    </w:p>
    <w:p w14:paraId="5B7ECB0F" w14:textId="77777777" w:rsidR="00CF093C" w:rsidRDefault="00CF093C" w:rsidP="001C6F28">
      <w:pPr>
        <w:spacing w:line="360" w:lineRule="auto"/>
        <w:rPr>
          <w:b/>
          <w:bCs/>
          <w:sz w:val="28"/>
          <w:szCs w:val="28"/>
          <w:u w:val="single"/>
        </w:rPr>
      </w:pPr>
    </w:p>
    <w:p w14:paraId="1679AC41" w14:textId="77777777" w:rsidR="00CF093C" w:rsidRDefault="00CF093C" w:rsidP="001C6F28">
      <w:pPr>
        <w:spacing w:line="360" w:lineRule="auto"/>
        <w:rPr>
          <w:b/>
          <w:bCs/>
          <w:sz w:val="28"/>
          <w:szCs w:val="28"/>
          <w:u w:val="single"/>
        </w:rPr>
      </w:pPr>
    </w:p>
    <w:p w14:paraId="153674E2" w14:textId="77777777" w:rsidR="00CF093C" w:rsidRDefault="00CF093C" w:rsidP="001C6F28">
      <w:pPr>
        <w:spacing w:line="360" w:lineRule="auto"/>
        <w:rPr>
          <w:b/>
          <w:bCs/>
          <w:sz w:val="28"/>
          <w:szCs w:val="28"/>
          <w:u w:val="single"/>
        </w:rPr>
      </w:pPr>
    </w:p>
    <w:p w14:paraId="4D3D91D3" w14:textId="77777777" w:rsidR="00CF093C" w:rsidRDefault="00CF093C" w:rsidP="001C6F28">
      <w:pPr>
        <w:spacing w:line="360" w:lineRule="auto"/>
        <w:rPr>
          <w:b/>
          <w:bCs/>
          <w:sz w:val="28"/>
          <w:szCs w:val="28"/>
          <w:u w:val="single"/>
        </w:rPr>
      </w:pPr>
    </w:p>
    <w:p w14:paraId="5B9DCE67" w14:textId="77777777" w:rsidR="00CF093C" w:rsidRDefault="00CF093C" w:rsidP="001C6F28">
      <w:pPr>
        <w:spacing w:line="360" w:lineRule="auto"/>
        <w:rPr>
          <w:b/>
          <w:bCs/>
          <w:sz w:val="28"/>
          <w:szCs w:val="28"/>
          <w:u w:val="single"/>
        </w:rPr>
      </w:pPr>
    </w:p>
    <w:p w14:paraId="4AAE4773" w14:textId="77777777" w:rsidR="00CF093C" w:rsidRDefault="00CF093C" w:rsidP="001C6F28">
      <w:pPr>
        <w:spacing w:line="360" w:lineRule="auto"/>
        <w:rPr>
          <w:b/>
          <w:bCs/>
          <w:sz w:val="28"/>
          <w:szCs w:val="28"/>
          <w:u w:val="single"/>
        </w:rPr>
      </w:pPr>
    </w:p>
    <w:p w14:paraId="30B912DC" w14:textId="77777777" w:rsidR="00CF093C" w:rsidRDefault="00CF093C" w:rsidP="001C6F28">
      <w:pPr>
        <w:spacing w:line="360" w:lineRule="auto"/>
        <w:rPr>
          <w:b/>
          <w:bCs/>
          <w:sz w:val="28"/>
          <w:szCs w:val="28"/>
          <w:u w:val="single"/>
        </w:rPr>
      </w:pPr>
    </w:p>
    <w:p w14:paraId="161E1FAA" w14:textId="77777777" w:rsidR="00CF093C" w:rsidRDefault="00CF093C" w:rsidP="001C6F28">
      <w:pPr>
        <w:spacing w:line="360" w:lineRule="auto"/>
        <w:rPr>
          <w:b/>
          <w:bCs/>
          <w:sz w:val="28"/>
          <w:szCs w:val="28"/>
          <w:u w:val="single"/>
        </w:rPr>
      </w:pPr>
    </w:p>
    <w:p w14:paraId="6210F297" w14:textId="77777777" w:rsidR="00CF093C" w:rsidRDefault="00CF093C" w:rsidP="001C6F28">
      <w:pPr>
        <w:spacing w:line="360" w:lineRule="auto"/>
        <w:rPr>
          <w:b/>
          <w:bCs/>
          <w:sz w:val="28"/>
          <w:szCs w:val="28"/>
          <w:u w:val="single"/>
        </w:rPr>
      </w:pPr>
    </w:p>
    <w:p w14:paraId="4F380322" w14:textId="77777777" w:rsidR="00CF093C" w:rsidRDefault="00CF093C" w:rsidP="001C6F28">
      <w:pPr>
        <w:spacing w:line="360" w:lineRule="auto"/>
        <w:rPr>
          <w:b/>
          <w:bCs/>
          <w:sz w:val="28"/>
          <w:szCs w:val="28"/>
          <w:u w:val="single"/>
        </w:rPr>
      </w:pPr>
    </w:p>
    <w:p w14:paraId="55596F69" w14:textId="3F37800B" w:rsidR="001C6F28" w:rsidRPr="001A5B7C" w:rsidRDefault="001A5B7C" w:rsidP="001C6F28">
      <w:pPr>
        <w:spacing w:line="360" w:lineRule="auto"/>
        <w:rPr>
          <w:b/>
          <w:bCs/>
          <w:sz w:val="28"/>
          <w:szCs w:val="28"/>
          <w:u w:val="single"/>
        </w:rPr>
      </w:pPr>
      <w:r w:rsidRPr="001A5B7C">
        <w:rPr>
          <w:b/>
          <w:bCs/>
          <w:sz w:val="28"/>
          <w:szCs w:val="28"/>
          <w:u w:val="single"/>
        </w:rPr>
        <w:t>Bibliography</w:t>
      </w:r>
    </w:p>
    <w:p w14:paraId="11F90644" w14:textId="77777777" w:rsidR="00E11081" w:rsidRDefault="00E11081" w:rsidP="00E11081">
      <w:pPr>
        <w:spacing w:line="360" w:lineRule="auto"/>
      </w:pPr>
      <w:r>
        <w:t xml:space="preserve">Beaufort-Moore, D. (2015) </w:t>
      </w:r>
      <w:r w:rsidRPr="007F00F3">
        <w:rPr>
          <w:i/>
          <w:iCs/>
        </w:rPr>
        <w:t>Crime Scene Management and Evidence Recovery</w:t>
      </w:r>
      <w:r>
        <w:t>. 2</w:t>
      </w:r>
      <w:r w:rsidRPr="007F00F3">
        <w:rPr>
          <w:vertAlign w:val="superscript"/>
        </w:rPr>
        <w:t>nd</w:t>
      </w:r>
      <w:r>
        <w:t xml:space="preserve"> </w:t>
      </w:r>
      <w:proofErr w:type="spellStart"/>
      <w:r>
        <w:t>edn</w:t>
      </w:r>
      <w:proofErr w:type="spellEnd"/>
      <w:r>
        <w:t>. Oxford: Oxford University Press.</w:t>
      </w:r>
      <w:r w:rsidRPr="00E11081">
        <w:t xml:space="preserve"> </w:t>
      </w:r>
    </w:p>
    <w:p w14:paraId="09DE4B7D" w14:textId="19722391" w:rsidR="00E11081" w:rsidRDefault="00E11081" w:rsidP="00E11081">
      <w:pPr>
        <w:spacing w:line="360" w:lineRule="auto"/>
      </w:pPr>
      <w:proofErr w:type="spellStart"/>
      <w:r>
        <w:t>Bendelow</w:t>
      </w:r>
      <w:proofErr w:type="spellEnd"/>
      <w:r>
        <w:t xml:space="preserve">, K. (2017) </w:t>
      </w:r>
      <w:r w:rsidRPr="00427E80">
        <w:rPr>
          <w:i/>
          <w:iCs/>
        </w:rPr>
        <w:t>The Real CSI: A Forensic Handbook for Crime Writers</w:t>
      </w:r>
      <w:r>
        <w:t xml:space="preserve">. Marlborough: The </w:t>
      </w:r>
      <w:proofErr w:type="spellStart"/>
      <w:r>
        <w:t>Crowood</w:t>
      </w:r>
      <w:proofErr w:type="spellEnd"/>
      <w:r>
        <w:t xml:space="preserve"> Press Ltd.</w:t>
      </w:r>
    </w:p>
    <w:p w14:paraId="59E5C8DE" w14:textId="77777777" w:rsidR="00E11081" w:rsidRDefault="00E11081" w:rsidP="00E11081">
      <w:pPr>
        <w:spacing w:line="360" w:lineRule="auto"/>
      </w:pPr>
      <w:proofErr w:type="spellStart"/>
      <w:r>
        <w:t>Birzer</w:t>
      </w:r>
      <w:proofErr w:type="spellEnd"/>
      <w:r>
        <w:t xml:space="preserve">, M.L. (2012) ‘Crime Scene Search’, in </w:t>
      </w:r>
      <w:proofErr w:type="spellStart"/>
      <w:r>
        <w:t>Birzer</w:t>
      </w:r>
      <w:proofErr w:type="spellEnd"/>
      <w:r>
        <w:t xml:space="preserve">, M.L. and Roberson, C. (ed.) </w:t>
      </w:r>
      <w:r w:rsidRPr="00E53A8B">
        <w:rPr>
          <w:i/>
          <w:iCs/>
        </w:rPr>
        <w:t>Introduction to Criminal Investigation</w:t>
      </w:r>
      <w:r>
        <w:t>. Boca Raton: CRC Press.</w:t>
      </w:r>
    </w:p>
    <w:p w14:paraId="3D9A1862" w14:textId="77777777" w:rsidR="006155CB" w:rsidRDefault="006155CB" w:rsidP="006155CB">
      <w:pPr>
        <w:spacing w:line="360" w:lineRule="auto"/>
      </w:pPr>
      <w:r>
        <w:t>Cornwall, D.J. (2007) Doing Justice Better: The Politics of Restorative Justice. Winchester: Waterside Press.</w:t>
      </w:r>
    </w:p>
    <w:p w14:paraId="1C92FFA1" w14:textId="77777777" w:rsidR="006155CB" w:rsidRDefault="006155CB" w:rsidP="006155CB">
      <w:pPr>
        <w:spacing w:line="360" w:lineRule="auto"/>
      </w:pPr>
      <w:r>
        <w:t xml:space="preserve">Coyne, T. (2010) ‘Trace and Contact Evidence’, in White, P. (ed.) </w:t>
      </w:r>
      <w:r w:rsidRPr="0000417B">
        <w:rPr>
          <w:i/>
          <w:iCs/>
        </w:rPr>
        <w:t>Crime Scene to Court: The Essentials of Forensic Science</w:t>
      </w:r>
      <w:r>
        <w:t>. 3</w:t>
      </w:r>
      <w:r w:rsidRPr="0000417B">
        <w:rPr>
          <w:vertAlign w:val="superscript"/>
        </w:rPr>
        <w:t>rd</w:t>
      </w:r>
      <w:r>
        <w:t xml:space="preserve"> </w:t>
      </w:r>
      <w:proofErr w:type="spellStart"/>
      <w:r>
        <w:t>edn</w:t>
      </w:r>
      <w:proofErr w:type="spellEnd"/>
      <w:r>
        <w:t>. Cambridge: Royal Society of Chemistry Publishing.</w:t>
      </w:r>
    </w:p>
    <w:p w14:paraId="680C9B32" w14:textId="77777777" w:rsidR="006155CB" w:rsidRDefault="006155CB" w:rsidP="006155CB">
      <w:pPr>
        <w:spacing w:line="360" w:lineRule="auto"/>
      </w:pPr>
      <w:r>
        <w:t xml:space="preserve">Framer, L. (2017) ‘DPP v Morgan: 1975’, in Handler, P., Mares, H. and Williams, I. (ed.) </w:t>
      </w:r>
      <w:r w:rsidRPr="00A125BA">
        <w:rPr>
          <w:i/>
          <w:iCs/>
        </w:rPr>
        <w:t>Landmark Cases in Criminal Law</w:t>
      </w:r>
      <w:r>
        <w:t>. London: Bloomsbury Publishing.</w:t>
      </w:r>
    </w:p>
    <w:p w14:paraId="3FBCE5E7" w14:textId="77777777" w:rsidR="006155CB" w:rsidRDefault="006155CB" w:rsidP="006155CB">
      <w:pPr>
        <w:spacing w:line="360" w:lineRule="auto"/>
      </w:pPr>
      <w:r>
        <w:t xml:space="preserve">Gardner, R.M. (2005) </w:t>
      </w:r>
      <w:r w:rsidRPr="008B3FEB">
        <w:rPr>
          <w:i/>
          <w:iCs/>
        </w:rPr>
        <w:t>Practical Crime Scene Processing and Investigation</w:t>
      </w:r>
      <w:r>
        <w:t>. Boca Raton: CRC Press.</w:t>
      </w:r>
      <w:r w:rsidRPr="006155CB">
        <w:t xml:space="preserve"> </w:t>
      </w:r>
    </w:p>
    <w:p w14:paraId="7F3A9450" w14:textId="4CCCB0EC" w:rsidR="006155CB" w:rsidRDefault="006155CB" w:rsidP="006155CB">
      <w:pPr>
        <w:spacing w:line="360" w:lineRule="auto"/>
      </w:pPr>
      <w:proofErr w:type="spellStart"/>
      <w:r>
        <w:t>Kemshall</w:t>
      </w:r>
      <w:proofErr w:type="spellEnd"/>
      <w:r>
        <w:t xml:space="preserve">, H. (2003) </w:t>
      </w:r>
      <w:r w:rsidRPr="00F66CAD">
        <w:rPr>
          <w:i/>
          <w:iCs/>
        </w:rPr>
        <w:t>Understanding Risk in Criminal Justice</w:t>
      </w:r>
      <w:r>
        <w:t>. Maidenhead: Open University Press.</w:t>
      </w:r>
    </w:p>
    <w:p w14:paraId="4C40B5D1" w14:textId="77777777" w:rsidR="006155CB" w:rsidRDefault="006155CB" w:rsidP="006155CB">
      <w:pPr>
        <w:spacing w:line="360" w:lineRule="auto"/>
      </w:pPr>
      <w:r>
        <w:t>Loughnan, A. (2017) ‘</w:t>
      </w:r>
      <w:proofErr w:type="spellStart"/>
      <w:r>
        <w:t>M’Naghten’s</w:t>
      </w:r>
      <w:proofErr w:type="spellEnd"/>
      <w:r>
        <w:t xml:space="preserve"> Case: 1843’, in Handler, P., Mares, H. and Williams, I. (ed.) </w:t>
      </w:r>
      <w:r w:rsidRPr="00A125BA">
        <w:rPr>
          <w:i/>
          <w:iCs/>
        </w:rPr>
        <w:t>Landmark Cases in Criminal Law</w:t>
      </w:r>
      <w:r>
        <w:t>. London: Bloomsbury Publishing.</w:t>
      </w:r>
    </w:p>
    <w:p w14:paraId="59EACEEA" w14:textId="49024793" w:rsidR="006155CB" w:rsidRDefault="006155CB" w:rsidP="006155CB">
      <w:pPr>
        <w:spacing w:line="360" w:lineRule="auto"/>
      </w:pPr>
      <w:r>
        <w:t xml:space="preserve">Moriarty, J. C. (2013) </w:t>
      </w:r>
      <w:r w:rsidRPr="00CF642E">
        <w:rPr>
          <w:i/>
          <w:iCs/>
        </w:rPr>
        <w:t>The Role of Mental Illness in Criminal Tri</w:t>
      </w:r>
      <w:r w:rsidR="003A424A">
        <w:rPr>
          <w:i/>
          <w:iCs/>
        </w:rPr>
        <w:t>a</w:t>
      </w:r>
      <w:r w:rsidRPr="00CF642E">
        <w:rPr>
          <w:i/>
          <w:iCs/>
        </w:rPr>
        <w:t>ls: The History of Mental Illness in Criminal Cases: The English Tradition</w:t>
      </w:r>
      <w:r>
        <w:t>. London: Routledge.</w:t>
      </w:r>
    </w:p>
    <w:p w14:paraId="28390E22" w14:textId="77777777" w:rsidR="006155CB" w:rsidRDefault="006155CB" w:rsidP="006155CB">
      <w:pPr>
        <w:spacing w:line="360" w:lineRule="auto"/>
      </w:pPr>
      <w:r>
        <w:t xml:space="preserve">Pepper, I.K. (2010) </w:t>
      </w:r>
      <w:r w:rsidRPr="00CD488F">
        <w:rPr>
          <w:i/>
          <w:iCs/>
        </w:rPr>
        <w:t>Crime Scene Investigations: Methods and Procedures</w:t>
      </w:r>
      <w:r>
        <w:t>. 2</w:t>
      </w:r>
      <w:r w:rsidRPr="00CD488F">
        <w:rPr>
          <w:vertAlign w:val="superscript"/>
        </w:rPr>
        <w:t>nd</w:t>
      </w:r>
      <w:r>
        <w:t xml:space="preserve"> </w:t>
      </w:r>
      <w:proofErr w:type="spellStart"/>
      <w:r>
        <w:t>edn</w:t>
      </w:r>
      <w:proofErr w:type="spellEnd"/>
      <w:r>
        <w:t>. Maidenhead: Open University Press.</w:t>
      </w:r>
    </w:p>
    <w:p w14:paraId="1CE0EEB2" w14:textId="77777777" w:rsidR="006155CB" w:rsidRDefault="006155CB" w:rsidP="006155CB">
      <w:pPr>
        <w:spacing w:line="360" w:lineRule="auto"/>
      </w:pPr>
      <w:proofErr w:type="spellStart"/>
      <w:r>
        <w:t>Prins</w:t>
      </w:r>
      <w:proofErr w:type="spellEnd"/>
      <w:r>
        <w:t xml:space="preserve">, H. (2013) </w:t>
      </w:r>
      <w:r w:rsidRPr="00037354">
        <w:rPr>
          <w:i/>
          <w:iCs/>
        </w:rPr>
        <w:t>Psychopaths: An Introduction</w:t>
      </w:r>
      <w:r>
        <w:t xml:space="preserve">. </w:t>
      </w:r>
      <w:proofErr w:type="spellStart"/>
      <w:r>
        <w:t>Sherfield</w:t>
      </w:r>
      <w:proofErr w:type="spellEnd"/>
      <w:r>
        <w:t xml:space="preserve"> on </w:t>
      </w:r>
      <w:proofErr w:type="spellStart"/>
      <w:r>
        <w:t>Lodden</w:t>
      </w:r>
      <w:proofErr w:type="spellEnd"/>
      <w:r>
        <w:t>: Waterside Press Ltd.</w:t>
      </w:r>
    </w:p>
    <w:p w14:paraId="26BAEA9C" w14:textId="4B521284" w:rsidR="00E11081" w:rsidRPr="006155CB" w:rsidRDefault="006155CB" w:rsidP="00543042">
      <w:pPr>
        <w:spacing w:line="360" w:lineRule="auto"/>
      </w:pPr>
      <w:proofErr w:type="spellStart"/>
      <w:r>
        <w:t>Renneberg</w:t>
      </w:r>
      <w:proofErr w:type="spellEnd"/>
      <w:r>
        <w:t xml:space="preserve">, R. (2008) ‘Biotechnology for Beginners’ in </w:t>
      </w:r>
      <w:proofErr w:type="spellStart"/>
      <w:r w:rsidR="002D1795">
        <w:t>Renneberg</w:t>
      </w:r>
      <w:proofErr w:type="spellEnd"/>
      <w:r w:rsidR="002D1795">
        <w:t xml:space="preserve">, R. and </w:t>
      </w:r>
      <w:proofErr w:type="spellStart"/>
      <w:r>
        <w:t>Demain</w:t>
      </w:r>
      <w:proofErr w:type="spellEnd"/>
      <w:r>
        <w:t xml:space="preserve">, A. L. (ed.), </w:t>
      </w:r>
      <w:proofErr w:type="spellStart"/>
      <w:r>
        <w:t>FitzRoy</w:t>
      </w:r>
      <w:proofErr w:type="spellEnd"/>
      <w:r>
        <w:t xml:space="preserve">, R. and Jones, J. (trans.) </w:t>
      </w:r>
      <w:r w:rsidRPr="00783F6F">
        <w:rPr>
          <w:i/>
          <w:iCs/>
        </w:rPr>
        <w:t>Biotechnology for Beginners</w:t>
      </w:r>
      <w:r>
        <w:t>. London: Elsevier.</w:t>
      </w:r>
    </w:p>
    <w:p w14:paraId="1FD2C730" w14:textId="1B3A4D79" w:rsidR="00543042" w:rsidRDefault="00543042" w:rsidP="00543042">
      <w:pPr>
        <w:spacing w:line="360" w:lineRule="auto"/>
        <w:rPr>
          <w:rFonts w:cstheme="minorHAnsi"/>
        </w:rPr>
      </w:pPr>
      <w:r w:rsidRPr="0086112E">
        <w:rPr>
          <w:rFonts w:cstheme="minorHAnsi"/>
        </w:rPr>
        <w:t xml:space="preserve">Stevenson, A. </w:t>
      </w:r>
      <w:r>
        <w:rPr>
          <w:rFonts w:cstheme="minorHAnsi"/>
        </w:rPr>
        <w:t>(</w:t>
      </w:r>
      <w:r w:rsidRPr="0086112E">
        <w:rPr>
          <w:rFonts w:cstheme="minorHAnsi"/>
        </w:rPr>
        <w:t>2010</w:t>
      </w:r>
      <w:r>
        <w:rPr>
          <w:rFonts w:cstheme="minorHAnsi"/>
        </w:rPr>
        <w:t>)</w:t>
      </w:r>
      <w:r w:rsidRPr="0086112E">
        <w:rPr>
          <w:rFonts w:cstheme="minorHAnsi"/>
        </w:rPr>
        <w:t xml:space="preserve"> </w:t>
      </w:r>
      <w:r w:rsidRPr="0086112E">
        <w:rPr>
          <w:rFonts w:cstheme="minorHAnsi"/>
          <w:i/>
        </w:rPr>
        <w:t>Oxford English Dictionary</w:t>
      </w:r>
      <w:r>
        <w:rPr>
          <w:rFonts w:cstheme="minorHAnsi"/>
          <w:i/>
        </w:rPr>
        <w:t xml:space="preserve">. </w:t>
      </w:r>
      <w:r w:rsidRPr="00543042">
        <w:rPr>
          <w:rFonts w:cstheme="minorHAnsi"/>
          <w:iCs/>
        </w:rPr>
        <w:t>3</w:t>
      </w:r>
      <w:r w:rsidRPr="00543042">
        <w:rPr>
          <w:rFonts w:cstheme="minorHAnsi"/>
          <w:iCs/>
          <w:vertAlign w:val="superscript"/>
        </w:rPr>
        <w:t>rd</w:t>
      </w:r>
      <w:r w:rsidRPr="00543042">
        <w:rPr>
          <w:rFonts w:cstheme="minorHAnsi"/>
          <w:iCs/>
        </w:rPr>
        <w:t xml:space="preserve"> </w:t>
      </w:r>
      <w:proofErr w:type="spellStart"/>
      <w:r>
        <w:rPr>
          <w:rFonts w:cstheme="minorHAnsi"/>
          <w:iCs/>
        </w:rPr>
        <w:t>edn</w:t>
      </w:r>
      <w:proofErr w:type="spellEnd"/>
      <w:r w:rsidRPr="0086112E">
        <w:rPr>
          <w:rFonts w:cstheme="minorHAnsi"/>
        </w:rPr>
        <w:t>. Oxford: Oxford University Press</w:t>
      </w:r>
      <w:r w:rsidR="00676D57">
        <w:rPr>
          <w:rFonts w:cstheme="minorHAnsi"/>
        </w:rPr>
        <w:t>.</w:t>
      </w:r>
    </w:p>
    <w:p w14:paraId="6C861B39" w14:textId="3CE1B04E" w:rsidR="00FA7B82" w:rsidRDefault="00FA7B82" w:rsidP="001C6F28">
      <w:pPr>
        <w:spacing w:line="360" w:lineRule="auto"/>
      </w:pPr>
      <w:r>
        <w:t xml:space="preserve">Wall, W. (2009) </w:t>
      </w:r>
      <w:r w:rsidRPr="00FA7B82">
        <w:rPr>
          <w:i/>
          <w:iCs/>
        </w:rPr>
        <w:t>Forensic Science in Court: The Role of the Expert Witness</w:t>
      </w:r>
      <w:r>
        <w:t>. Chichester: Wiley-Blackwell Publications.</w:t>
      </w:r>
    </w:p>
    <w:p w14:paraId="34EACE9D" w14:textId="77777777" w:rsidR="001F4600" w:rsidRPr="001A5B7C" w:rsidRDefault="001F4600" w:rsidP="001C6F28">
      <w:pPr>
        <w:spacing w:line="360" w:lineRule="auto"/>
      </w:pPr>
    </w:p>
    <w:sectPr w:rsidR="001F4600" w:rsidRPr="001A5B7C" w:rsidSect="004E7C14">
      <w:headerReference w:type="default" r:id="rId8"/>
      <w:footerReference w:type="default" r:id="rId9"/>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F2DDD" w14:textId="77777777" w:rsidR="002C5BCF" w:rsidRDefault="002C5BCF" w:rsidP="00653721">
      <w:pPr>
        <w:spacing w:after="0" w:line="240" w:lineRule="auto"/>
      </w:pPr>
      <w:r>
        <w:separator/>
      </w:r>
    </w:p>
  </w:endnote>
  <w:endnote w:type="continuationSeparator" w:id="0">
    <w:p w14:paraId="733F55E0" w14:textId="77777777" w:rsidR="002C5BCF" w:rsidRDefault="002C5BCF" w:rsidP="00653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9068821"/>
      <w:docPartObj>
        <w:docPartGallery w:val="Page Numbers (Bottom of Page)"/>
        <w:docPartUnique/>
      </w:docPartObj>
    </w:sdtPr>
    <w:sdtEndPr>
      <w:rPr>
        <w:noProof/>
      </w:rPr>
    </w:sdtEndPr>
    <w:sdtContent>
      <w:p w14:paraId="5333FDA8" w14:textId="1665E536" w:rsidR="004E7C14" w:rsidRDefault="004E7C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F3346C" w14:textId="77777777" w:rsidR="004E7C14" w:rsidRDefault="004E7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204EF" w14:textId="77777777" w:rsidR="002C5BCF" w:rsidRDefault="002C5BCF" w:rsidP="00653721">
      <w:pPr>
        <w:spacing w:after="0" w:line="240" w:lineRule="auto"/>
      </w:pPr>
      <w:r>
        <w:separator/>
      </w:r>
    </w:p>
  </w:footnote>
  <w:footnote w:type="continuationSeparator" w:id="0">
    <w:p w14:paraId="055AC187" w14:textId="77777777" w:rsidR="002C5BCF" w:rsidRDefault="002C5BCF" w:rsidP="00653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F5B4E" w14:textId="7839E823" w:rsidR="00653721" w:rsidRPr="00653721" w:rsidRDefault="00653721" w:rsidP="00653721">
    <w:pPr>
      <w:pStyle w:val="Header"/>
    </w:pPr>
    <w:r>
      <w:t>Matthew Cowley (1700561)</w:t>
    </w:r>
    <w:r>
      <w:ptab w:relativeTo="margin" w:alignment="center" w:leader="none"/>
    </w:r>
    <w:r>
      <w:t>Assessment 1</w:t>
    </w:r>
    <w:r>
      <w:ptab w:relativeTo="margin" w:alignment="right" w:leader="none"/>
    </w:r>
    <w:r>
      <w:t>Forensic Approaches to Crime Scenes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581EE0"/>
    <w:multiLevelType w:val="hybridMultilevel"/>
    <w:tmpl w:val="684CA396"/>
    <w:lvl w:ilvl="0" w:tplc="502E7ACA">
      <w:start w:val="1"/>
      <w:numFmt w:val="bullet"/>
      <w:lvlText w:val=""/>
      <w:lvlJc w:val="left"/>
      <w:pPr>
        <w:tabs>
          <w:tab w:val="num" w:pos="720"/>
        </w:tabs>
        <w:ind w:left="720" w:hanging="360"/>
      </w:pPr>
      <w:rPr>
        <w:rFonts w:ascii="Wingdings" w:hAnsi="Wingdings" w:hint="default"/>
      </w:rPr>
    </w:lvl>
    <w:lvl w:ilvl="1" w:tplc="39FE1112" w:tentative="1">
      <w:start w:val="1"/>
      <w:numFmt w:val="bullet"/>
      <w:lvlText w:val=""/>
      <w:lvlJc w:val="left"/>
      <w:pPr>
        <w:tabs>
          <w:tab w:val="num" w:pos="1440"/>
        </w:tabs>
        <w:ind w:left="1440" w:hanging="360"/>
      </w:pPr>
      <w:rPr>
        <w:rFonts w:ascii="Wingdings" w:hAnsi="Wingdings" w:hint="default"/>
      </w:rPr>
    </w:lvl>
    <w:lvl w:ilvl="2" w:tplc="64569D8E" w:tentative="1">
      <w:start w:val="1"/>
      <w:numFmt w:val="bullet"/>
      <w:lvlText w:val=""/>
      <w:lvlJc w:val="left"/>
      <w:pPr>
        <w:tabs>
          <w:tab w:val="num" w:pos="2160"/>
        </w:tabs>
        <w:ind w:left="2160" w:hanging="360"/>
      </w:pPr>
      <w:rPr>
        <w:rFonts w:ascii="Wingdings" w:hAnsi="Wingdings" w:hint="default"/>
      </w:rPr>
    </w:lvl>
    <w:lvl w:ilvl="3" w:tplc="FFB2F10E" w:tentative="1">
      <w:start w:val="1"/>
      <w:numFmt w:val="bullet"/>
      <w:lvlText w:val=""/>
      <w:lvlJc w:val="left"/>
      <w:pPr>
        <w:tabs>
          <w:tab w:val="num" w:pos="2880"/>
        </w:tabs>
        <w:ind w:left="2880" w:hanging="360"/>
      </w:pPr>
      <w:rPr>
        <w:rFonts w:ascii="Wingdings" w:hAnsi="Wingdings" w:hint="default"/>
      </w:rPr>
    </w:lvl>
    <w:lvl w:ilvl="4" w:tplc="2980A234" w:tentative="1">
      <w:start w:val="1"/>
      <w:numFmt w:val="bullet"/>
      <w:lvlText w:val=""/>
      <w:lvlJc w:val="left"/>
      <w:pPr>
        <w:tabs>
          <w:tab w:val="num" w:pos="3600"/>
        </w:tabs>
        <w:ind w:left="3600" w:hanging="360"/>
      </w:pPr>
      <w:rPr>
        <w:rFonts w:ascii="Wingdings" w:hAnsi="Wingdings" w:hint="default"/>
      </w:rPr>
    </w:lvl>
    <w:lvl w:ilvl="5" w:tplc="0E6A76F6" w:tentative="1">
      <w:start w:val="1"/>
      <w:numFmt w:val="bullet"/>
      <w:lvlText w:val=""/>
      <w:lvlJc w:val="left"/>
      <w:pPr>
        <w:tabs>
          <w:tab w:val="num" w:pos="4320"/>
        </w:tabs>
        <w:ind w:left="4320" w:hanging="360"/>
      </w:pPr>
      <w:rPr>
        <w:rFonts w:ascii="Wingdings" w:hAnsi="Wingdings" w:hint="default"/>
      </w:rPr>
    </w:lvl>
    <w:lvl w:ilvl="6" w:tplc="468CEC28" w:tentative="1">
      <w:start w:val="1"/>
      <w:numFmt w:val="bullet"/>
      <w:lvlText w:val=""/>
      <w:lvlJc w:val="left"/>
      <w:pPr>
        <w:tabs>
          <w:tab w:val="num" w:pos="5040"/>
        </w:tabs>
        <w:ind w:left="5040" w:hanging="360"/>
      </w:pPr>
      <w:rPr>
        <w:rFonts w:ascii="Wingdings" w:hAnsi="Wingdings" w:hint="default"/>
      </w:rPr>
    </w:lvl>
    <w:lvl w:ilvl="7" w:tplc="49CC7732" w:tentative="1">
      <w:start w:val="1"/>
      <w:numFmt w:val="bullet"/>
      <w:lvlText w:val=""/>
      <w:lvlJc w:val="left"/>
      <w:pPr>
        <w:tabs>
          <w:tab w:val="num" w:pos="5760"/>
        </w:tabs>
        <w:ind w:left="5760" w:hanging="360"/>
      </w:pPr>
      <w:rPr>
        <w:rFonts w:ascii="Wingdings" w:hAnsi="Wingdings" w:hint="default"/>
      </w:rPr>
    </w:lvl>
    <w:lvl w:ilvl="8" w:tplc="3CB4180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721"/>
    <w:rsid w:val="0000417B"/>
    <w:rsid w:val="00014BAB"/>
    <w:rsid w:val="00037354"/>
    <w:rsid w:val="000414BC"/>
    <w:rsid w:val="00061565"/>
    <w:rsid w:val="0008403E"/>
    <w:rsid w:val="001242BC"/>
    <w:rsid w:val="00124E84"/>
    <w:rsid w:val="001256D2"/>
    <w:rsid w:val="00134BB9"/>
    <w:rsid w:val="00135BEB"/>
    <w:rsid w:val="0013618A"/>
    <w:rsid w:val="00164FFD"/>
    <w:rsid w:val="00165C78"/>
    <w:rsid w:val="001663DD"/>
    <w:rsid w:val="00167E15"/>
    <w:rsid w:val="00172734"/>
    <w:rsid w:val="00175BD0"/>
    <w:rsid w:val="001A5B7C"/>
    <w:rsid w:val="001C6F28"/>
    <w:rsid w:val="001F4600"/>
    <w:rsid w:val="00215A27"/>
    <w:rsid w:val="00223DA7"/>
    <w:rsid w:val="00245435"/>
    <w:rsid w:val="002626DF"/>
    <w:rsid w:val="00271DFA"/>
    <w:rsid w:val="00271F43"/>
    <w:rsid w:val="00283781"/>
    <w:rsid w:val="0029218C"/>
    <w:rsid w:val="00293496"/>
    <w:rsid w:val="002C5BCF"/>
    <w:rsid w:val="002D1795"/>
    <w:rsid w:val="00304402"/>
    <w:rsid w:val="003179B0"/>
    <w:rsid w:val="003405D7"/>
    <w:rsid w:val="003428D9"/>
    <w:rsid w:val="00345871"/>
    <w:rsid w:val="00351D1B"/>
    <w:rsid w:val="0035688A"/>
    <w:rsid w:val="003947A4"/>
    <w:rsid w:val="003A424A"/>
    <w:rsid w:val="003B5FCA"/>
    <w:rsid w:val="003D18B7"/>
    <w:rsid w:val="003D18E5"/>
    <w:rsid w:val="00402DAE"/>
    <w:rsid w:val="004048B4"/>
    <w:rsid w:val="00425504"/>
    <w:rsid w:val="00427E80"/>
    <w:rsid w:val="004D28EE"/>
    <w:rsid w:val="004E7C14"/>
    <w:rsid w:val="00522752"/>
    <w:rsid w:val="00543042"/>
    <w:rsid w:val="0054638A"/>
    <w:rsid w:val="00553F15"/>
    <w:rsid w:val="00562DA5"/>
    <w:rsid w:val="005B6192"/>
    <w:rsid w:val="005C36D3"/>
    <w:rsid w:val="005F5FBC"/>
    <w:rsid w:val="00605003"/>
    <w:rsid w:val="006155CB"/>
    <w:rsid w:val="00626111"/>
    <w:rsid w:val="00630257"/>
    <w:rsid w:val="00653721"/>
    <w:rsid w:val="00663A7C"/>
    <w:rsid w:val="00676D57"/>
    <w:rsid w:val="00681D9F"/>
    <w:rsid w:val="006D744B"/>
    <w:rsid w:val="006E5FEB"/>
    <w:rsid w:val="007064A9"/>
    <w:rsid w:val="007155A4"/>
    <w:rsid w:val="00715B33"/>
    <w:rsid w:val="00742E1F"/>
    <w:rsid w:val="00761094"/>
    <w:rsid w:val="00783BA3"/>
    <w:rsid w:val="00783F6F"/>
    <w:rsid w:val="00787ECE"/>
    <w:rsid w:val="00797372"/>
    <w:rsid w:val="007B78BA"/>
    <w:rsid w:val="007F00F3"/>
    <w:rsid w:val="0082086A"/>
    <w:rsid w:val="00852159"/>
    <w:rsid w:val="00852CAD"/>
    <w:rsid w:val="00854862"/>
    <w:rsid w:val="008908B2"/>
    <w:rsid w:val="008B3FEB"/>
    <w:rsid w:val="008C41D4"/>
    <w:rsid w:val="008D1926"/>
    <w:rsid w:val="008D383A"/>
    <w:rsid w:val="008D4D0C"/>
    <w:rsid w:val="0094044B"/>
    <w:rsid w:val="00954204"/>
    <w:rsid w:val="009A1911"/>
    <w:rsid w:val="009D5180"/>
    <w:rsid w:val="00A125BA"/>
    <w:rsid w:val="00A47119"/>
    <w:rsid w:val="00A52B68"/>
    <w:rsid w:val="00A66559"/>
    <w:rsid w:val="00AC677A"/>
    <w:rsid w:val="00AD5719"/>
    <w:rsid w:val="00AD6C37"/>
    <w:rsid w:val="00AF3DF2"/>
    <w:rsid w:val="00B13C73"/>
    <w:rsid w:val="00B203EE"/>
    <w:rsid w:val="00B52AC8"/>
    <w:rsid w:val="00B54C94"/>
    <w:rsid w:val="00B92EE6"/>
    <w:rsid w:val="00BA30B4"/>
    <w:rsid w:val="00BC258E"/>
    <w:rsid w:val="00BD4659"/>
    <w:rsid w:val="00BE31EA"/>
    <w:rsid w:val="00BE4D7B"/>
    <w:rsid w:val="00C03A76"/>
    <w:rsid w:val="00C27723"/>
    <w:rsid w:val="00C371DB"/>
    <w:rsid w:val="00C662DB"/>
    <w:rsid w:val="00C762ED"/>
    <w:rsid w:val="00C9515E"/>
    <w:rsid w:val="00CA345E"/>
    <w:rsid w:val="00CA4793"/>
    <w:rsid w:val="00CB134A"/>
    <w:rsid w:val="00CB2CBB"/>
    <w:rsid w:val="00CD488F"/>
    <w:rsid w:val="00CE4F2D"/>
    <w:rsid w:val="00CF093C"/>
    <w:rsid w:val="00CF642E"/>
    <w:rsid w:val="00D00F98"/>
    <w:rsid w:val="00D02B70"/>
    <w:rsid w:val="00D24698"/>
    <w:rsid w:val="00D366B1"/>
    <w:rsid w:val="00D52B41"/>
    <w:rsid w:val="00D6214E"/>
    <w:rsid w:val="00D7353D"/>
    <w:rsid w:val="00D80861"/>
    <w:rsid w:val="00D87414"/>
    <w:rsid w:val="00DA0159"/>
    <w:rsid w:val="00DC3ACB"/>
    <w:rsid w:val="00E019D4"/>
    <w:rsid w:val="00E11081"/>
    <w:rsid w:val="00E3400A"/>
    <w:rsid w:val="00E3695D"/>
    <w:rsid w:val="00E42342"/>
    <w:rsid w:val="00E53A8B"/>
    <w:rsid w:val="00E610B9"/>
    <w:rsid w:val="00E63C55"/>
    <w:rsid w:val="00E65AA7"/>
    <w:rsid w:val="00E66478"/>
    <w:rsid w:val="00E92EAE"/>
    <w:rsid w:val="00EA700E"/>
    <w:rsid w:val="00ED1084"/>
    <w:rsid w:val="00F40293"/>
    <w:rsid w:val="00F515F9"/>
    <w:rsid w:val="00F559C7"/>
    <w:rsid w:val="00F66CAD"/>
    <w:rsid w:val="00F7309F"/>
    <w:rsid w:val="00F839B3"/>
    <w:rsid w:val="00F878F5"/>
    <w:rsid w:val="00FA7B82"/>
    <w:rsid w:val="00FD1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0B4AB"/>
  <w15:chartTrackingRefBased/>
  <w15:docId w15:val="{42E21979-269B-44F0-A792-6A50BBD4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6F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3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721"/>
  </w:style>
  <w:style w:type="paragraph" w:styleId="Footer">
    <w:name w:val="footer"/>
    <w:basedOn w:val="Normal"/>
    <w:link w:val="FooterChar"/>
    <w:uiPriority w:val="99"/>
    <w:unhideWhenUsed/>
    <w:rsid w:val="00653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721"/>
  </w:style>
  <w:style w:type="paragraph" w:styleId="Title">
    <w:name w:val="Title"/>
    <w:basedOn w:val="Normal"/>
    <w:next w:val="Normal"/>
    <w:link w:val="TitleChar"/>
    <w:uiPriority w:val="10"/>
    <w:qFormat/>
    <w:rsid w:val="004E7C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7C1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E7C1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C6F28"/>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1C6F28"/>
  </w:style>
  <w:style w:type="paragraph" w:styleId="BalloonText">
    <w:name w:val="Balloon Text"/>
    <w:basedOn w:val="Normal"/>
    <w:link w:val="BalloonTextChar"/>
    <w:uiPriority w:val="99"/>
    <w:semiHidden/>
    <w:unhideWhenUsed/>
    <w:rsid w:val="001C6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6F28"/>
    <w:rPr>
      <w:rFonts w:ascii="Segoe UI" w:hAnsi="Segoe UI" w:cs="Segoe UI"/>
      <w:sz w:val="18"/>
      <w:szCs w:val="18"/>
    </w:rPr>
  </w:style>
  <w:style w:type="character" w:styleId="CommentReference">
    <w:name w:val="annotation reference"/>
    <w:basedOn w:val="DefaultParagraphFont"/>
    <w:uiPriority w:val="99"/>
    <w:semiHidden/>
    <w:unhideWhenUsed/>
    <w:rsid w:val="00014BAB"/>
    <w:rPr>
      <w:sz w:val="16"/>
      <w:szCs w:val="16"/>
    </w:rPr>
  </w:style>
  <w:style w:type="paragraph" w:styleId="CommentText">
    <w:name w:val="annotation text"/>
    <w:basedOn w:val="Normal"/>
    <w:link w:val="CommentTextChar"/>
    <w:uiPriority w:val="99"/>
    <w:semiHidden/>
    <w:unhideWhenUsed/>
    <w:rsid w:val="00014BAB"/>
    <w:pPr>
      <w:spacing w:line="240" w:lineRule="auto"/>
    </w:pPr>
    <w:rPr>
      <w:sz w:val="20"/>
      <w:szCs w:val="20"/>
    </w:rPr>
  </w:style>
  <w:style w:type="character" w:customStyle="1" w:styleId="CommentTextChar">
    <w:name w:val="Comment Text Char"/>
    <w:basedOn w:val="DefaultParagraphFont"/>
    <w:link w:val="CommentText"/>
    <w:uiPriority w:val="99"/>
    <w:semiHidden/>
    <w:rsid w:val="00014BAB"/>
    <w:rPr>
      <w:sz w:val="20"/>
      <w:szCs w:val="20"/>
    </w:rPr>
  </w:style>
  <w:style w:type="paragraph" w:styleId="CommentSubject">
    <w:name w:val="annotation subject"/>
    <w:basedOn w:val="CommentText"/>
    <w:next w:val="CommentText"/>
    <w:link w:val="CommentSubjectChar"/>
    <w:uiPriority w:val="99"/>
    <w:semiHidden/>
    <w:unhideWhenUsed/>
    <w:rsid w:val="00014BAB"/>
    <w:rPr>
      <w:b/>
      <w:bCs/>
    </w:rPr>
  </w:style>
  <w:style w:type="character" w:customStyle="1" w:styleId="CommentSubjectChar">
    <w:name w:val="Comment Subject Char"/>
    <w:basedOn w:val="CommentTextChar"/>
    <w:link w:val="CommentSubject"/>
    <w:uiPriority w:val="99"/>
    <w:semiHidden/>
    <w:rsid w:val="00014B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953176">
      <w:bodyDiv w:val="1"/>
      <w:marLeft w:val="0"/>
      <w:marRight w:val="0"/>
      <w:marTop w:val="0"/>
      <w:marBottom w:val="0"/>
      <w:divBdr>
        <w:top w:val="none" w:sz="0" w:space="0" w:color="auto"/>
        <w:left w:val="none" w:sz="0" w:space="0" w:color="auto"/>
        <w:bottom w:val="none" w:sz="0" w:space="0" w:color="auto"/>
        <w:right w:val="none" w:sz="0" w:space="0" w:color="auto"/>
      </w:divBdr>
    </w:div>
    <w:div w:id="1264459169">
      <w:bodyDiv w:val="1"/>
      <w:marLeft w:val="0"/>
      <w:marRight w:val="0"/>
      <w:marTop w:val="0"/>
      <w:marBottom w:val="0"/>
      <w:divBdr>
        <w:top w:val="none" w:sz="0" w:space="0" w:color="auto"/>
        <w:left w:val="none" w:sz="0" w:space="0" w:color="auto"/>
        <w:bottom w:val="none" w:sz="0" w:space="0" w:color="auto"/>
        <w:right w:val="none" w:sz="0" w:space="0" w:color="auto"/>
      </w:divBdr>
      <w:divsChild>
        <w:div w:id="879980087">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4CF32-1B4C-4AE5-97BA-3147F644B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1689</TotalTime>
  <Pages>8</Pages>
  <Words>3624</Words>
  <Characters>18230</Characters>
  <Application>Microsoft Office Word</Application>
  <DocSecurity>0</DocSecurity>
  <Lines>243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181</cp:revision>
  <dcterms:created xsi:type="dcterms:W3CDTF">2019-12-02T17:55:00Z</dcterms:created>
  <dcterms:modified xsi:type="dcterms:W3CDTF">2019-12-19T14:39:00Z</dcterms:modified>
</cp:coreProperties>
</file>