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F446E" w14:textId="5C9CF459" w:rsidR="005F6F34" w:rsidRPr="00034219" w:rsidRDefault="00034219" w:rsidP="00034219">
      <w:pPr>
        <w:pStyle w:val="Heading1"/>
        <w:rPr>
          <w:color w:val="auto"/>
        </w:rPr>
      </w:pPr>
      <w:r>
        <w:rPr>
          <w:color w:val="auto"/>
        </w:rPr>
        <w:t xml:space="preserve">                          </w:t>
      </w:r>
      <w:r w:rsidR="005F6F34" w:rsidRPr="00034219">
        <w:rPr>
          <w:color w:val="auto"/>
        </w:rPr>
        <w:t>COURSEWORK PORTFOLIO</w:t>
      </w:r>
    </w:p>
    <w:p w14:paraId="02B1AE0B" w14:textId="41E5CC8A" w:rsidR="005F6F34" w:rsidRPr="00034219" w:rsidRDefault="00034219" w:rsidP="00034219">
      <w:pPr>
        <w:pStyle w:val="Heading1"/>
        <w:rPr>
          <w:color w:val="auto"/>
        </w:rPr>
      </w:pPr>
      <w:r>
        <w:rPr>
          <w:color w:val="auto"/>
        </w:rPr>
        <w:t xml:space="preserve">                                </w:t>
      </w:r>
      <w:r w:rsidR="005F6F34" w:rsidRPr="00034219">
        <w:rPr>
          <w:color w:val="auto"/>
        </w:rPr>
        <w:t>Health and Social Care</w:t>
      </w:r>
    </w:p>
    <w:p w14:paraId="393872E4" w14:textId="79FC8AB4" w:rsidR="005F6F34" w:rsidRDefault="005F6F34" w:rsidP="00034219">
      <w:pPr>
        <w:spacing w:line="360" w:lineRule="auto"/>
        <w:rPr>
          <w:rFonts w:ascii="Arial" w:hAnsi="Arial" w:cs="Arial"/>
          <w:b/>
          <w:bCs/>
          <w:sz w:val="22"/>
          <w:szCs w:val="22"/>
        </w:rPr>
      </w:pPr>
      <w:r w:rsidRPr="00C73A94">
        <w:rPr>
          <w:rFonts w:ascii="Arial" w:hAnsi="Arial" w:cs="Arial"/>
          <w:b/>
          <w:bCs/>
          <w:sz w:val="22"/>
          <w:szCs w:val="22"/>
        </w:rPr>
        <w:br/>
        <w:t>Task 1: Restricted Availability of Specialist Residential Care Home Places in Birmingham</w:t>
      </w:r>
    </w:p>
    <w:p w14:paraId="459C678D" w14:textId="77777777" w:rsidR="005F6F34" w:rsidRDefault="005F6F34" w:rsidP="005F6F34">
      <w:pPr>
        <w:spacing w:line="360" w:lineRule="auto"/>
        <w:jc w:val="center"/>
        <w:rPr>
          <w:rFonts w:ascii="Arial" w:hAnsi="Arial" w:cs="Arial"/>
          <w:b/>
          <w:bCs/>
          <w:sz w:val="22"/>
          <w:szCs w:val="22"/>
        </w:rPr>
      </w:pPr>
      <w:r w:rsidRPr="00C73A94">
        <w:rPr>
          <w:rFonts w:ascii="Arial" w:hAnsi="Arial" w:cs="Arial"/>
          <w:b/>
          <w:bCs/>
          <w:sz w:val="22"/>
          <w:szCs w:val="22"/>
        </w:rPr>
        <w:br/>
        <w:t>Task 2: Community Pharmacy Services in England: Origins, Current Functioning, and Impact on Quality of Life</w:t>
      </w:r>
    </w:p>
    <w:p w14:paraId="1C3D5415" w14:textId="77777777" w:rsidR="005F6F34" w:rsidRDefault="005F6F34" w:rsidP="005F6F34">
      <w:pPr>
        <w:spacing w:line="360" w:lineRule="auto"/>
        <w:jc w:val="center"/>
        <w:rPr>
          <w:rFonts w:ascii="Arial" w:hAnsi="Arial" w:cs="Arial"/>
          <w:b/>
          <w:bCs/>
          <w:sz w:val="22"/>
          <w:szCs w:val="22"/>
        </w:rPr>
      </w:pPr>
    </w:p>
    <w:p w14:paraId="77CF6485" w14:textId="77777777" w:rsidR="005F6F34" w:rsidRPr="00C73A94" w:rsidRDefault="005F6F34" w:rsidP="005F6F34">
      <w:pPr>
        <w:spacing w:line="360" w:lineRule="auto"/>
        <w:jc w:val="center"/>
        <w:rPr>
          <w:rFonts w:ascii="Arial" w:hAnsi="Arial" w:cs="Arial"/>
          <w:b/>
          <w:bCs/>
          <w:sz w:val="22"/>
          <w:szCs w:val="22"/>
        </w:rPr>
      </w:pPr>
    </w:p>
    <w:p w14:paraId="6A5039AD" w14:textId="37A34DFB" w:rsidR="005F6F34" w:rsidRDefault="005F6F34" w:rsidP="005F6F34">
      <w:pPr>
        <w:spacing w:line="360" w:lineRule="auto"/>
        <w:jc w:val="center"/>
        <w:rPr>
          <w:rFonts w:ascii="Arial" w:hAnsi="Arial" w:cs="Arial"/>
          <w:b/>
          <w:bCs/>
          <w:sz w:val="22"/>
          <w:szCs w:val="22"/>
        </w:rPr>
      </w:pPr>
      <w:r w:rsidRPr="00C73A94">
        <w:rPr>
          <w:rFonts w:ascii="Arial" w:hAnsi="Arial" w:cs="Arial"/>
          <w:b/>
          <w:bCs/>
          <w:sz w:val="22"/>
          <w:szCs w:val="22"/>
        </w:rPr>
        <w:t xml:space="preserve">Student Name: </w:t>
      </w:r>
      <w:r w:rsidR="00034219">
        <w:rPr>
          <w:rFonts w:ascii="Arial" w:hAnsi="Arial" w:cs="Arial"/>
          <w:b/>
          <w:bCs/>
          <w:sz w:val="22"/>
          <w:szCs w:val="22"/>
        </w:rPr>
        <w:t>Sidra Shahzadi</w:t>
      </w:r>
      <w:r w:rsidRPr="00C73A94">
        <w:rPr>
          <w:rFonts w:ascii="Arial" w:hAnsi="Arial" w:cs="Arial"/>
          <w:b/>
          <w:bCs/>
          <w:sz w:val="22"/>
          <w:szCs w:val="22"/>
        </w:rPr>
        <w:br/>
        <w:t xml:space="preserve">Student Number: </w:t>
      </w:r>
      <w:r w:rsidR="00034219">
        <w:rPr>
          <w:rFonts w:ascii="Arial" w:hAnsi="Arial" w:cs="Arial"/>
          <w:b/>
          <w:bCs/>
          <w:sz w:val="22"/>
          <w:szCs w:val="22"/>
        </w:rPr>
        <w:t xml:space="preserve"> 2539710</w:t>
      </w:r>
    </w:p>
    <w:p w14:paraId="22C18953" w14:textId="77777777" w:rsidR="005F6F34" w:rsidRDefault="005F6F34" w:rsidP="005F6F34">
      <w:pPr>
        <w:spacing w:line="360" w:lineRule="auto"/>
        <w:jc w:val="center"/>
        <w:rPr>
          <w:rFonts w:ascii="Arial" w:hAnsi="Arial" w:cs="Arial"/>
          <w:b/>
          <w:bCs/>
          <w:sz w:val="22"/>
          <w:szCs w:val="22"/>
        </w:rPr>
      </w:pPr>
    </w:p>
    <w:p w14:paraId="75BE0912" w14:textId="0CECAFED" w:rsidR="005F6F34" w:rsidRDefault="005F6F34" w:rsidP="005F6F34">
      <w:pPr>
        <w:spacing w:line="360" w:lineRule="auto"/>
        <w:jc w:val="center"/>
        <w:rPr>
          <w:rFonts w:ascii="Arial" w:hAnsi="Arial" w:cs="Arial"/>
          <w:b/>
          <w:bCs/>
          <w:sz w:val="22"/>
          <w:szCs w:val="22"/>
        </w:rPr>
      </w:pPr>
      <w:r w:rsidRPr="00C73A94">
        <w:rPr>
          <w:rFonts w:ascii="Arial" w:hAnsi="Arial" w:cs="Arial"/>
          <w:b/>
          <w:bCs/>
          <w:sz w:val="22"/>
          <w:szCs w:val="22"/>
        </w:rPr>
        <w:br/>
        <w:t xml:space="preserve">Module Code: </w:t>
      </w:r>
      <w:r w:rsidR="00034219">
        <w:rPr>
          <w:rFonts w:ascii="Arial" w:hAnsi="Arial" w:cs="Arial"/>
          <w:b/>
          <w:bCs/>
          <w:sz w:val="22"/>
          <w:szCs w:val="22"/>
        </w:rPr>
        <w:t>LCHS 4003_BIRM</w:t>
      </w:r>
      <w:r w:rsidRPr="00C73A94">
        <w:rPr>
          <w:rFonts w:ascii="Arial" w:hAnsi="Arial" w:cs="Arial"/>
          <w:b/>
          <w:bCs/>
          <w:sz w:val="22"/>
          <w:szCs w:val="22"/>
        </w:rPr>
        <w:br/>
        <w:t xml:space="preserve">Module Title: </w:t>
      </w:r>
      <w:r w:rsidR="00034219">
        <w:rPr>
          <w:rFonts w:ascii="Arial" w:hAnsi="Arial" w:cs="Arial"/>
          <w:b/>
          <w:bCs/>
          <w:sz w:val="22"/>
          <w:szCs w:val="22"/>
        </w:rPr>
        <w:t>Health and social care</w:t>
      </w:r>
    </w:p>
    <w:p w14:paraId="166EE22A" w14:textId="77777777" w:rsidR="005F6F34" w:rsidRDefault="005F6F34" w:rsidP="005F6F34">
      <w:pPr>
        <w:spacing w:line="360" w:lineRule="auto"/>
        <w:jc w:val="center"/>
        <w:rPr>
          <w:rFonts w:ascii="Arial" w:hAnsi="Arial" w:cs="Arial"/>
          <w:b/>
          <w:bCs/>
          <w:sz w:val="22"/>
          <w:szCs w:val="22"/>
        </w:rPr>
      </w:pPr>
    </w:p>
    <w:p w14:paraId="074BAF36" w14:textId="77777777" w:rsidR="00034219" w:rsidRDefault="00034219" w:rsidP="005F6F34">
      <w:pPr>
        <w:spacing w:line="360" w:lineRule="auto"/>
        <w:jc w:val="center"/>
        <w:rPr>
          <w:rFonts w:ascii="Arial" w:hAnsi="Arial" w:cs="Arial"/>
          <w:b/>
          <w:bCs/>
          <w:sz w:val="22"/>
          <w:szCs w:val="22"/>
        </w:rPr>
      </w:pPr>
    </w:p>
    <w:p w14:paraId="36E72B04" w14:textId="229C819E" w:rsidR="005F6F34" w:rsidRDefault="005F6F34" w:rsidP="005F6F34">
      <w:pPr>
        <w:spacing w:line="360" w:lineRule="auto"/>
        <w:jc w:val="center"/>
        <w:rPr>
          <w:rFonts w:ascii="Arial" w:hAnsi="Arial" w:cs="Arial"/>
          <w:b/>
          <w:bCs/>
          <w:sz w:val="22"/>
          <w:szCs w:val="22"/>
        </w:rPr>
      </w:pPr>
      <w:r w:rsidRPr="00C73A94">
        <w:rPr>
          <w:rFonts w:ascii="Arial" w:hAnsi="Arial" w:cs="Arial"/>
          <w:b/>
          <w:bCs/>
          <w:sz w:val="22"/>
          <w:szCs w:val="22"/>
        </w:rPr>
        <w:t xml:space="preserve">Lecturer: </w:t>
      </w:r>
      <w:r w:rsidR="00034219">
        <w:rPr>
          <w:rFonts w:ascii="Arial" w:hAnsi="Arial" w:cs="Arial"/>
          <w:b/>
          <w:bCs/>
          <w:sz w:val="22"/>
          <w:szCs w:val="22"/>
        </w:rPr>
        <w:t>Dr Helen Persons</w:t>
      </w:r>
      <w:r w:rsidRPr="00C73A94">
        <w:rPr>
          <w:rFonts w:ascii="Arial" w:hAnsi="Arial" w:cs="Arial"/>
          <w:b/>
          <w:bCs/>
          <w:sz w:val="22"/>
          <w:szCs w:val="22"/>
        </w:rPr>
        <w:br/>
        <w:t xml:space="preserve">Submission Date: </w:t>
      </w:r>
      <w:r w:rsidR="00034219">
        <w:rPr>
          <w:rFonts w:ascii="Arial" w:hAnsi="Arial" w:cs="Arial"/>
          <w:b/>
          <w:bCs/>
          <w:sz w:val="22"/>
          <w:szCs w:val="22"/>
        </w:rPr>
        <w:t>1</w:t>
      </w:r>
      <w:r w:rsidR="00B61ED2">
        <w:rPr>
          <w:rFonts w:ascii="Arial" w:hAnsi="Arial" w:cs="Arial"/>
          <w:b/>
          <w:bCs/>
          <w:sz w:val="22"/>
          <w:szCs w:val="22"/>
        </w:rPr>
        <w:t>5</w:t>
      </w:r>
      <w:r w:rsidR="00034219">
        <w:rPr>
          <w:rFonts w:ascii="Arial" w:hAnsi="Arial" w:cs="Arial"/>
          <w:b/>
          <w:bCs/>
          <w:sz w:val="22"/>
          <w:szCs w:val="22"/>
        </w:rPr>
        <w:t>/10/2026</w:t>
      </w:r>
    </w:p>
    <w:p w14:paraId="5D6A1669" w14:textId="77777777" w:rsidR="005F6F34" w:rsidRDefault="005F6F34" w:rsidP="005F6F34">
      <w:pPr>
        <w:spacing w:line="360" w:lineRule="auto"/>
        <w:jc w:val="center"/>
        <w:rPr>
          <w:rFonts w:ascii="Arial" w:hAnsi="Arial" w:cs="Arial"/>
          <w:b/>
          <w:bCs/>
          <w:sz w:val="22"/>
          <w:szCs w:val="22"/>
        </w:rPr>
      </w:pPr>
    </w:p>
    <w:p w14:paraId="49EAB1CE" w14:textId="480C4655" w:rsidR="005F6F34" w:rsidRPr="00C73A94" w:rsidRDefault="005F6F34" w:rsidP="00034219">
      <w:pPr>
        <w:spacing w:line="360" w:lineRule="auto"/>
        <w:rPr>
          <w:rFonts w:ascii="Arial" w:hAnsi="Arial" w:cs="Arial"/>
          <w:b/>
          <w:bCs/>
          <w:sz w:val="22"/>
          <w:szCs w:val="22"/>
        </w:rPr>
      </w:pPr>
    </w:p>
    <w:p w14:paraId="4A9CD942" w14:textId="30780A24" w:rsidR="005F6F34" w:rsidRDefault="005F6F34">
      <w:pPr>
        <w:rPr>
          <w:rFonts w:ascii="Arial" w:hAnsi="Arial" w:cs="Arial"/>
          <w:b/>
          <w:bCs/>
          <w:sz w:val="22"/>
          <w:szCs w:val="22"/>
        </w:rPr>
      </w:pPr>
      <w:r>
        <w:rPr>
          <w:rFonts w:ascii="Arial" w:hAnsi="Arial" w:cs="Arial"/>
          <w:b/>
          <w:bCs/>
          <w:sz w:val="22"/>
          <w:szCs w:val="22"/>
        </w:rPr>
        <w:br w:type="page"/>
      </w:r>
    </w:p>
    <w:p w14:paraId="13FF958F" w14:textId="1888EDD0" w:rsidR="00D3457E" w:rsidRDefault="00D3457E" w:rsidP="00D3457E">
      <w:pPr>
        <w:spacing w:line="360" w:lineRule="auto"/>
        <w:jc w:val="both"/>
        <w:rPr>
          <w:rFonts w:ascii="Arial" w:hAnsi="Arial" w:cs="Arial"/>
          <w:b/>
          <w:bCs/>
          <w:sz w:val="22"/>
          <w:szCs w:val="22"/>
        </w:rPr>
      </w:pPr>
      <w:r>
        <w:rPr>
          <w:rFonts w:ascii="Arial" w:hAnsi="Arial" w:cs="Arial"/>
          <w:b/>
          <w:bCs/>
          <w:sz w:val="22"/>
          <w:szCs w:val="22"/>
        </w:rPr>
        <w:lastRenderedPageBreak/>
        <w:t xml:space="preserve">Task </w:t>
      </w:r>
      <w:r w:rsidR="000B3E95">
        <w:rPr>
          <w:rFonts w:ascii="Arial" w:hAnsi="Arial" w:cs="Arial"/>
          <w:b/>
          <w:bCs/>
          <w:sz w:val="22"/>
          <w:szCs w:val="22"/>
        </w:rPr>
        <w:t>1; Restricted</w:t>
      </w:r>
      <w:r w:rsidR="00034219">
        <w:rPr>
          <w:rFonts w:ascii="Arial" w:hAnsi="Arial" w:cs="Arial"/>
          <w:b/>
          <w:bCs/>
          <w:sz w:val="22"/>
          <w:szCs w:val="22"/>
        </w:rPr>
        <w:t xml:space="preserve"> Availability of Specialist Residential care home places in</w:t>
      </w:r>
      <w:r w:rsidR="000B3E95">
        <w:rPr>
          <w:rFonts w:ascii="Arial" w:hAnsi="Arial" w:cs="Arial"/>
          <w:b/>
          <w:bCs/>
          <w:sz w:val="22"/>
          <w:szCs w:val="22"/>
        </w:rPr>
        <w:t xml:space="preserve"> </w:t>
      </w:r>
      <w:r w:rsidR="00034219">
        <w:rPr>
          <w:rFonts w:ascii="Arial" w:hAnsi="Arial" w:cs="Arial"/>
          <w:b/>
          <w:bCs/>
          <w:sz w:val="22"/>
          <w:szCs w:val="22"/>
        </w:rPr>
        <w:t>Birmingham</w:t>
      </w:r>
    </w:p>
    <w:p w14:paraId="3517DCD0" w14:textId="77777777" w:rsidR="000B3E95" w:rsidRDefault="000B3E95" w:rsidP="00D3457E">
      <w:pPr>
        <w:spacing w:line="360" w:lineRule="auto"/>
        <w:jc w:val="both"/>
        <w:rPr>
          <w:rFonts w:ascii="Arial" w:hAnsi="Arial" w:cs="Arial"/>
          <w:b/>
          <w:bCs/>
          <w:sz w:val="22"/>
          <w:szCs w:val="22"/>
        </w:rPr>
      </w:pPr>
    </w:p>
    <w:p w14:paraId="4F195D06" w14:textId="77777777" w:rsidR="00D3457E" w:rsidRPr="009D5009" w:rsidRDefault="00D3457E" w:rsidP="00D3457E">
      <w:pPr>
        <w:spacing w:line="360" w:lineRule="auto"/>
        <w:jc w:val="both"/>
        <w:rPr>
          <w:rFonts w:ascii="Arial" w:hAnsi="Arial" w:cs="Arial"/>
          <w:b/>
          <w:bCs/>
          <w:sz w:val="22"/>
          <w:szCs w:val="22"/>
        </w:rPr>
      </w:pPr>
      <w:r w:rsidRPr="009D5009">
        <w:rPr>
          <w:rFonts w:ascii="Arial" w:hAnsi="Arial" w:cs="Arial"/>
          <w:b/>
          <w:bCs/>
          <w:sz w:val="22"/>
          <w:szCs w:val="22"/>
        </w:rPr>
        <w:t>To: Councillor Mariam Khan, Cabinet Member for Health and Social Care, Birmingham City Council</w:t>
      </w:r>
    </w:p>
    <w:p w14:paraId="1B12935D" w14:textId="64B48F3B" w:rsidR="00D3457E" w:rsidRPr="009D5009" w:rsidRDefault="00D3457E" w:rsidP="00D3457E">
      <w:pPr>
        <w:spacing w:line="360" w:lineRule="auto"/>
        <w:jc w:val="both"/>
        <w:rPr>
          <w:rFonts w:ascii="Arial" w:hAnsi="Arial" w:cs="Arial"/>
          <w:sz w:val="22"/>
          <w:szCs w:val="22"/>
        </w:rPr>
      </w:pPr>
      <w:r w:rsidRPr="009D5009">
        <w:rPr>
          <w:rFonts w:ascii="Arial" w:hAnsi="Arial" w:cs="Arial"/>
          <w:sz w:val="22"/>
          <w:szCs w:val="22"/>
        </w:rPr>
        <w:t xml:space="preserve">From: </w:t>
      </w:r>
      <w:r w:rsidR="000B3E95">
        <w:rPr>
          <w:rFonts w:ascii="Arial" w:hAnsi="Arial" w:cs="Arial"/>
          <w:sz w:val="22"/>
          <w:szCs w:val="22"/>
        </w:rPr>
        <w:t>Sidra Shahzadi</w:t>
      </w:r>
    </w:p>
    <w:p w14:paraId="32AC04A4" w14:textId="1E7D9E1E" w:rsidR="00D3457E" w:rsidRPr="009D5009" w:rsidRDefault="00D3457E" w:rsidP="00D3457E">
      <w:pPr>
        <w:spacing w:line="360" w:lineRule="auto"/>
        <w:jc w:val="both"/>
        <w:rPr>
          <w:rFonts w:ascii="Arial" w:hAnsi="Arial" w:cs="Arial"/>
          <w:sz w:val="22"/>
          <w:szCs w:val="22"/>
        </w:rPr>
      </w:pPr>
      <w:r w:rsidRPr="009D5009">
        <w:rPr>
          <w:rFonts w:ascii="Arial" w:hAnsi="Arial" w:cs="Arial"/>
          <w:sz w:val="22"/>
          <w:szCs w:val="22"/>
        </w:rPr>
        <w:t xml:space="preserve">Date: </w:t>
      </w:r>
      <w:r w:rsidR="000B3E95">
        <w:rPr>
          <w:rFonts w:ascii="Arial" w:hAnsi="Arial" w:cs="Arial"/>
          <w:sz w:val="22"/>
          <w:szCs w:val="22"/>
        </w:rPr>
        <w:t>1</w:t>
      </w:r>
      <w:r w:rsidR="001E6DBB">
        <w:rPr>
          <w:rFonts w:ascii="Arial" w:hAnsi="Arial" w:cs="Arial"/>
          <w:sz w:val="22"/>
          <w:szCs w:val="22"/>
        </w:rPr>
        <w:t>5</w:t>
      </w:r>
      <w:r w:rsidR="000B3E95">
        <w:rPr>
          <w:rFonts w:ascii="Arial" w:hAnsi="Arial" w:cs="Arial"/>
          <w:sz w:val="22"/>
          <w:szCs w:val="22"/>
        </w:rPr>
        <w:t>/10/2026</w:t>
      </w:r>
    </w:p>
    <w:p w14:paraId="0F973AD5" w14:textId="77777777" w:rsidR="004E7ECE" w:rsidRDefault="00D3457E" w:rsidP="00D3457E">
      <w:pPr>
        <w:spacing w:line="360" w:lineRule="auto"/>
        <w:jc w:val="both"/>
        <w:rPr>
          <w:rFonts w:ascii="Arial" w:hAnsi="Arial" w:cs="Arial"/>
          <w:b/>
          <w:bCs/>
          <w:sz w:val="22"/>
          <w:szCs w:val="22"/>
        </w:rPr>
      </w:pPr>
      <w:r w:rsidRPr="009D5009">
        <w:rPr>
          <w:rFonts w:ascii="Arial" w:hAnsi="Arial" w:cs="Arial"/>
          <w:b/>
          <w:bCs/>
          <w:sz w:val="22"/>
          <w:szCs w:val="22"/>
        </w:rPr>
        <w:t xml:space="preserve">Subject: Addressing Restricted Availability of Specialist Residential Care Home Places </w:t>
      </w:r>
    </w:p>
    <w:p w14:paraId="0C3AE7B7" w14:textId="37B8BB45" w:rsidR="00D3457E" w:rsidRPr="009D5009" w:rsidRDefault="00D3457E" w:rsidP="00D3457E">
      <w:pPr>
        <w:spacing w:line="360" w:lineRule="auto"/>
        <w:jc w:val="both"/>
        <w:rPr>
          <w:rFonts w:ascii="Arial" w:hAnsi="Arial" w:cs="Arial"/>
          <w:b/>
          <w:bCs/>
          <w:sz w:val="22"/>
          <w:szCs w:val="22"/>
        </w:rPr>
      </w:pPr>
      <w:r w:rsidRPr="009D5009">
        <w:rPr>
          <w:rFonts w:ascii="Arial" w:hAnsi="Arial" w:cs="Arial"/>
          <w:b/>
          <w:bCs/>
          <w:sz w:val="22"/>
          <w:szCs w:val="22"/>
        </w:rPr>
        <w:t>in Birmingham</w:t>
      </w:r>
    </w:p>
    <w:p w14:paraId="02552A2B" w14:textId="455943A0" w:rsidR="0078667E" w:rsidRPr="0078667E" w:rsidRDefault="0078667E" w:rsidP="0078667E">
      <w:pPr>
        <w:spacing w:line="360" w:lineRule="auto"/>
        <w:jc w:val="both"/>
        <w:rPr>
          <w:rFonts w:ascii="Arial" w:hAnsi="Arial" w:cs="Arial"/>
          <w:sz w:val="22"/>
          <w:szCs w:val="22"/>
        </w:rPr>
      </w:pPr>
      <w:r w:rsidRPr="0078667E">
        <w:rPr>
          <w:rFonts w:ascii="Arial" w:hAnsi="Arial" w:cs="Arial"/>
          <w:sz w:val="22"/>
          <w:szCs w:val="22"/>
        </w:rPr>
        <w:t>This</w:t>
      </w:r>
      <w:r w:rsidR="000B3E95">
        <w:rPr>
          <w:rFonts w:ascii="Arial" w:hAnsi="Arial" w:cs="Arial"/>
          <w:sz w:val="22"/>
          <w:szCs w:val="22"/>
        </w:rPr>
        <w:t xml:space="preserve"> </w:t>
      </w:r>
      <w:r w:rsidRPr="0078667E">
        <w:rPr>
          <w:rFonts w:ascii="Arial" w:hAnsi="Arial" w:cs="Arial"/>
          <w:sz w:val="22"/>
          <w:szCs w:val="22"/>
        </w:rPr>
        <w:t>report</w:t>
      </w:r>
      <w:r w:rsidR="000B3E95">
        <w:rPr>
          <w:rFonts w:ascii="Arial" w:hAnsi="Arial" w:cs="Arial"/>
          <w:sz w:val="22"/>
          <w:szCs w:val="22"/>
        </w:rPr>
        <w:t xml:space="preserve"> </w:t>
      </w:r>
      <w:r w:rsidRPr="0078667E">
        <w:rPr>
          <w:rFonts w:ascii="Arial" w:hAnsi="Arial" w:cs="Arial"/>
          <w:sz w:val="22"/>
          <w:szCs w:val="22"/>
        </w:rPr>
        <w:t xml:space="preserve">discusses the issue of limited capacity of specialist residential care home placements for vulnerable adults who have various types of complex needs, particularly learning disabilities, autism, and mental health problems. Under Part One of the Care Act 2014, the local authorities are responsible for promoting good care market and ensuring the provision of sufficient services for current and future demand (Care Act 2014, s.5). In its Market Position Statement 2025, the Birmingham City Council indicates that while supply of residential </w:t>
      </w:r>
      <w:r w:rsidRPr="000B3E95">
        <w:rPr>
          <w:rFonts w:cs="Arial"/>
          <w:sz w:val="22"/>
          <w:szCs w:val="22"/>
        </w:rPr>
        <w:t>places</w:t>
      </w:r>
      <w:r w:rsidRPr="0078667E">
        <w:rPr>
          <w:rFonts w:ascii="Arial" w:hAnsi="Arial" w:cs="Arial"/>
          <w:sz w:val="22"/>
          <w:szCs w:val="22"/>
        </w:rPr>
        <w:t xml:space="preserve"> is sufficient, specialist placements are limited for adults with complex needs related to learning disabilities, autism, and mental health (Birmingham City Council, 2025). Between April 2024 and March 2025, there have been six learning disability care home exits from the Birmingham market resulting in loss of 26 beds (Birmingham City Council, 2025).</w:t>
      </w:r>
    </w:p>
    <w:p w14:paraId="55B8E0DB" w14:textId="77777777" w:rsidR="0078667E" w:rsidRPr="00D3457E" w:rsidRDefault="0078667E" w:rsidP="0078667E">
      <w:pPr>
        <w:spacing w:line="360" w:lineRule="auto"/>
        <w:jc w:val="both"/>
        <w:rPr>
          <w:rFonts w:ascii="Arial" w:hAnsi="Arial" w:cs="Arial"/>
          <w:b/>
          <w:bCs/>
          <w:sz w:val="22"/>
          <w:szCs w:val="22"/>
        </w:rPr>
      </w:pPr>
      <w:r w:rsidRPr="00D3457E">
        <w:rPr>
          <w:rFonts w:ascii="Arial" w:hAnsi="Arial" w:cs="Arial"/>
          <w:b/>
          <w:bCs/>
          <w:sz w:val="22"/>
          <w:szCs w:val="22"/>
        </w:rPr>
        <w:t>Impact on the Community</w:t>
      </w:r>
    </w:p>
    <w:p w14:paraId="309714C4" w14:textId="778B2CF0" w:rsidR="0078667E" w:rsidRPr="0078667E" w:rsidRDefault="0078667E" w:rsidP="0078667E">
      <w:pPr>
        <w:spacing w:line="360" w:lineRule="auto"/>
        <w:jc w:val="both"/>
        <w:rPr>
          <w:rFonts w:ascii="Arial" w:hAnsi="Arial" w:cs="Arial"/>
          <w:sz w:val="22"/>
          <w:szCs w:val="22"/>
        </w:rPr>
      </w:pPr>
      <w:r w:rsidRPr="0078667E">
        <w:rPr>
          <w:rFonts w:ascii="Arial" w:hAnsi="Arial" w:cs="Arial"/>
          <w:sz w:val="22"/>
          <w:szCs w:val="22"/>
        </w:rPr>
        <w:t xml:space="preserve">Limited availability of specialist care has a great impact on the whole community of Birmingham. There are individuals who need a specialist residential </w:t>
      </w:r>
      <w:r w:rsidR="007C67F9" w:rsidRPr="0078667E">
        <w:rPr>
          <w:rFonts w:ascii="Arial" w:hAnsi="Arial" w:cs="Arial"/>
          <w:sz w:val="22"/>
          <w:szCs w:val="22"/>
        </w:rPr>
        <w:t>placement,</w:t>
      </w:r>
      <w:r w:rsidRPr="0078667E">
        <w:rPr>
          <w:rFonts w:ascii="Arial" w:hAnsi="Arial" w:cs="Arial"/>
          <w:sz w:val="22"/>
          <w:szCs w:val="22"/>
        </w:rPr>
        <w:t xml:space="preserve"> but who experience delays when the Council tries to identify the right provider. According to the Market Position Statement, the process of matching a place to fit with existing residents is another difficulty and adds to the waiting time (Birmingham City Council, 2025). The State of Care report by the Care Quality Commission identifies that the system is fragmented and under great pressure and requires considerable investments in community services (Care Quality Commission, 2025).</w:t>
      </w:r>
      <w:r w:rsidR="00E74648">
        <w:rPr>
          <w:rFonts w:ascii="Arial" w:hAnsi="Arial" w:cs="Arial"/>
          <w:sz w:val="22"/>
          <w:szCs w:val="22"/>
        </w:rPr>
        <w:t xml:space="preserve"> </w:t>
      </w:r>
      <w:r w:rsidRPr="0078667E">
        <w:rPr>
          <w:rFonts w:ascii="Arial" w:hAnsi="Arial" w:cs="Arial"/>
          <w:sz w:val="22"/>
          <w:szCs w:val="22"/>
        </w:rPr>
        <w:t>The CQC also mentions that patients with complex mental health needs and learning disabilities may find it difficult to use the services, thus imposing additional burden on the families and unpaid carers (Care Quality Commission, 2025).</w:t>
      </w:r>
    </w:p>
    <w:p w14:paraId="5752824B" w14:textId="378B9A57" w:rsidR="0078667E" w:rsidRPr="0078667E" w:rsidRDefault="0078667E" w:rsidP="0078667E">
      <w:pPr>
        <w:spacing w:line="360" w:lineRule="auto"/>
        <w:jc w:val="both"/>
        <w:rPr>
          <w:rFonts w:ascii="Arial" w:hAnsi="Arial" w:cs="Arial"/>
          <w:sz w:val="22"/>
          <w:szCs w:val="22"/>
        </w:rPr>
      </w:pPr>
      <w:r w:rsidRPr="0078667E">
        <w:rPr>
          <w:rFonts w:ascii="Arial" w:hAnsi="Arial" w:cs="Arial"/>
          <w:sz w:val="22"/>
          <w:szCs w:val="22"/>
        </w:rPr>
        <w:t xml:space="preserve">Such delays have a great impact on the families and unpaid carers of such individuals. In case it is impossible for a family member to transfer to a specialist residential placement, the family </w:t>
      </w:r>
      <w:r w:rsidR="000B3E95" w:rsidRPr="0078667E">
        <w:rPr>
          <w:rFonts w:ascii="Arial" w:hAnsi="Arial" w:cs="Arial"/>
          <w:sz w:val="22"/>
          <w:szCs w:val="22"/>
        </w:rPr>
        <w:lastRenderedPageBreak/>
        <w:t>must</w:t>
      </w:r>
      <w:r w:rsidRPr="0078667E">
        <w:rPr>
          <w:rFonts w:ascii="Arial" w:hAnsi="Arial" w:cs="Arial"/>
          <w:sz w:val="22"/>
          <w:szCs w:val="22"/>
        </w:rPr>
        <w:t xml:space="preserve"> deal with this themselves. It is a difficult and stressful task, especially when it comes to complex care needs requiring professional skills.</w:t>
      </w:r>
    </w:p>
    <w:p w14:paraId="7D83D018" w14:textId="77777777" w:rsidR="0078667E" w:rsidRPr="00D3457E" w:rsidRDefault="0078667E" w:rsidP="0078667E">
      <w:pPr>
        <w:spacing w:line="360" w:lineRule="auto"/>
        <w:jc w:val="both"/>
        <w:rPr>
          <w:rFonts w:ascii="Arial" w:hAnsi="Arial" w:cs="Arial"/>
          <w:b/>
          <w:bCs/>
          <w:sz w:val="22"/>
          <w:szCs w:val="22"/>
        </w:rPr>
      </w:pPr>
      <w:r w:rsidRPr="00D3457E">
        <w:rPr>
          <w:rFonts w:ascii="Arial" w:hAnsi="Arial" w:cs="Arial"/>
          <w:b/>
          <w:bCs/>
          <w:sz w:val="22"/>
          <w:szCs w:val="22"/>
        </w:rPr>
        <w:t>Recommended Response</w:t>
      </w:r>
    </w:p>
    <w:p w14:paraId="44D315BD" w14:textId="77777777" w:rsidR="0078667E" w:rsidRPr="0078667E" w:rsidRDefault="0078667E" w:rsidP="0078667E">
      <w:pPr>
        <w:spacing w:line="360" w:lineRule="auto"/>
        <w:jc w:val="both"/>
        <w:rPr>
          <w:rFonts w:ascii="Arial" w:hAnsi="Arial" w:cs="Arial"/>
          <w:sz w:val="22"/>
          <w:szCs w:val="22"/>
        </w:rPr>
      </w:pPr>
      <w:r w:rsidRPr="0078667E">
        <w:rPr>
          <w:rFonts w:ascii="Arial" w:hAnsi="Arial" w:cs="Arial"/>
          <w:sz w:val="22"/>
          <w:szCs w:val="22"/>
        </w:rPr>
        <w:t>There are several actions that the Council can take according to the Care Act 2014 to solve this problem:</w:t>
      </w:r>
    </w:p>
    <w:p w14:paraId="70F5D896" w14:textId="77777777" w:rsidR="0078667E" w:rsidRPr="0078667E" w:rsidRDefault="0078667E" w:rsidP="0078667E">
      <w:pPr>
        <w:spacing w:line="360" w:lineRule="auto"/>
        <w:jc w:val="both"/>
        <w:rPr>
          <w:rFonts w:ascii="Arial" w:hAnsi="Arial" w:cs="Arial"/>
          <w:sz w:val="22"/>
          <w:szCs w:val="22"/>
        </w:rPr>
      </w:pPr>
      <w:r w:rsidRPr="0078667E">
        <w:rPr>
          <w:rFonts w:ascii="Arial" w:hAnsi="Arial" w:cs="Arial"/>
          <w:sz w:val="22"/>
          <w:szCs w:val="22"/>
        </w:rPr>
        <w:t>1. Prioritise and set direction. It is necessary to quickly assess the specialisms of each care home that is stated in the Market Position Statement (Birmingham City Council, 2025). Thus, the planning will be made according to the needs of the community.</w:t>
      </w:r>
    </w:p>
    <w:p w14:paraId="12BF9E58" w14:textId="77777777" w:rsidR="0078667E" w:rsidRPr="0078667E" w:rsidRDefault="0078667E" w:rsidP="0078667E">
      <w:pPr>
        <w:spacing w:line="360" w:lineRule="auto"/>
        <w:jc w:val="both"/>
        <w:rPr>
          <w:rFonts w:ascii="Arial" w:hAnsi="Arial" w:cs="Arial"/>
          <w:sz w:val="22"/>
          <w:szCs w:val="22"/>
        </w:rPr>
      </w:pPr>
      <w:r w:rsidRPr="0078667E">
        <w:rPr>
          <w:rFonts w:ascii="Arial" w:hAnsi="Arial" w:cs="Arial"/>
          <w:sz w:val="22"/>
          <w:szCs w:val="22"/>
        </w:rPr>
        <w:t>2. Maintain continuity of care. Introduce the standard discharge checklist making the transition from the hospital care to the residential care easier. The CQC states that lack of capacity in rehabilitation and reablement services is the main reason for delayed discharge (Care Quality Commission, 2025).</w:t>
      </w:r>
    </w:p>
    <w:p w14:paraId="6038EA97" w14:textId="77777777" w:rsidR="0078667E" w:rsidRPr="0078667E" w:rsidRDefault="0078667E" w:rsidP="0078667E">
      <w:pPr>
        <w:spacing w:line="360" w:lineRule="auto"/>
        <w:jc w:val="both"/>
        <w:rPr>
          <w:rFonts w:ascii="Arial" w:hAnsi="Arial" w:cs="Arial"/>
          <w:sz w:val="22"/>
          <w:szCs w:val="22"/>
        </w:rPr>
      </w:pPr>
      <w:r w:rsidRPr="0078667E">
        <w:rPr>
          <w:rFonts w:ascii="Arial" w:hAnsi="Arial" w:cs="Arial"/>
          <w:sz w:val="22"/>
          <w:szCs w:val="22"/>
        </w:rPr>
        <w:t>3. Set quality aspirations. The Council should define the criteria of quality in specialist care and create the list of highly qualified providers to help people with complex needs, as it is indicated in the Council's commissioning intentions (Birmingham City Council, 2025). Thus, the access to the specialist placements will be improved. Collaboration with the broader range of providers with the defined criteria will lead to the larger variety of homes for adults with complex needs. Therefore, the waiting time will decrease as it will become possible to find a suitable home quickly. Additionally, the quality of care will be increased since the providers will know the criteria and will help to meet them. Consequently, with time there will be formed a reliable and efficient market of specialist residential care in Birmingham.</w:t>
      </w:r>
    </w:p>
    <w:p w14:paraId="638CDF57" w14:textId="77777777" w:rsidR="0078667E" w:rsidRPr="0078667E" w:rsidRDefault="0078667E" w:rsidP="0078667E">
      <w:pPr>
        <w:spacing w:line="360" w:lineRule="auto"/>
        <w:jc w:val="both"/>
        <w:rPr>
          <w:rFonts w:ascii="Arial" w:hAnsi="Arial" w:cs="Arial"/>
          <w:sz w:val="22"/>
          <w:szCs w:val="22"/>
        </w:rPr>
      </w:pPr>
      <w:r w:rsidRPr="0078667E">
        <w:rPr>
          <w:rFonts w:ascii="Arial" w:hAnsi="Arial" w:cs="Arial"/>
          <w:sz w:val="22"/>
          <w:szCs w:val="22"/>
        </w:rPr>
        <w:t>4. Build capability. Develop workforce development in the specialist care settings. The CQC indicates that vacancy rate in adult social care is about three times higher than in the wider labour market (Care Quality Commission, 2025). The training of the workforce is the primary priority of the Council (Birmingham City Council, 2025).</w:t>
      </w:r>
    </w:p>
    <w:p w14:paraId="5B637350" w14:textId="77777777" w:rsidR="0078667E" w:rsidRPr="00D3457E" w:rsidRDefault="0078667E" w:rsidP="0078667E">
      <w:pPr>
        <w:spacing w:line="360" w:lineRule="auto"/>
        <w:jc w:val="both"/>
        <w:rPr>
          <w:rFonts w:ascii="Arial" w:hAnsi="Arial" w:cs="Arial"/>
          <w:b/>
          <w:bCs/>
          <w:sz w:val="22"/>
          <w:szCs w:val="22"/>
        </w:rPr>
      </w:pPr>
      <w:r w:rsidRPr="00D3457E">
        <w:rPr>
          <w:rFonts w:ascii="Arial" w:hAnsi="Arial" w:cs="Arial"/>
          <w:b/>
          <w:bCs/>
          <w:sz w:val="22"/>
          <w:szCs w:val="22"/>
        </w:rPr>
        <w:t>Conclusion</w:t>
      </w:r>
    </w:p>
    <w:p w14:paraId="50A53CBD" w14:textId="25B52901" w:rsidR="0078667E" w:rsidRDefault="0078667E" w:rsidP="0078667E">
      <w:pPr>
        <w:spacing w:line="360" w:lineRule="auto"/>
        <w:jc w:val="both"/>
        <w:rPr>
          <w:rFonts w:ascii="Arial" w:hAnsi="Arial" w:cs="Arial"/>
          <w:sz w:val="22"/>
          <w:szCs w:val="22"/>
        </w:rPr>
      </w:pPr>
      <w:r w:rsidRPr="0078667E">
        <w:rPr>
          <w:rFonts w:ascii="Arial" w:hAnsi="Arial" w:cs="Arial"/>
          <w:sz w:val="22"/>
          <w:szCs w:val="22"/>
        </w:rPr>
        <w:t>Limited availability of specialist residential care homes influences vulnerable individuals, their families, and the whole health and social care system. Although the number of places is sufficient, there are limited options for people with complex learning disabilities, autism, and mental health. Recent provider exits prove the need for protection of specialist capacity. I would like to suggest the Council to support the above-mentioned recommendations to ensure the sufficient, equitable and high-quality specialist residential care.</w:t>
      </w:r>
    </w:p>
    <w:p w14:paraId="4BEA1B5A" w14:textId="1152565B" w:rsidR="006A62B0" w:rsidRPr="009D5009" w:rsidRDefault="006A62B0" w:rsidP="006A62B0">
      <w:pPr>
        <w:spacing w:line="360" w:lineRule="auto"/>
        <w:jc w:val="both"/>
        <w:rPr>
          <w:rFonts w:ascii="Arial" w:hAnsi="Arial" w:cs="Arial"/>
          <w:sz w:val="22"/>
          <w:szCs w:val="22"/>
        </w:rPr>
      </w:pPr>
      <w:r w:rsidRPr="009D5009">
        <w:rPr>
          <w:rFonts w:ascii="Arial" w:hAnsi="Arial" w:cs="Arial"/>
          <w:sz w:val="22"/>
          <w:szCs w:val="22"/>
        </w:rPr>
        <w:t>Yours sincerely,</w:t>
      </w:r>
    </w:p>
    <w:p w14:paraId="73629CDC" w14:textId="628DFA44" w:rsidR="006A62B0" w:rsidRDefault="000B3E95" w:rsidP="006A62B0">
      <w:pPr>
        <w:spacing w:line="360" w:lineRule="auto"/>
        <w:jc w:val="both"/>
        <w:rPr>
          <w:rFonts w:ascii="Arial" w:hAnsi="Arial" w:cs="Arial"/>
          <w:sz w:val="22"/>
          <w:szCs w:val="22"/>
        </w:rPr>
      </w:pPr>
      <w:r>
        <w:rPr>
          <w:rFonts w:ascii="Arial" w:hAnsi="Arial" w:cs="Arial"/>
          <w:sz w:val="22"/>
          <w:szCs w:val="22"/>
        </w:rPr>
        <w:lastRenderedPageBreak/>
        <w:t>Sidra Shahzadi, ID Number 2539710</w:t>
      </w:r>
    </w:p>
    <w:p w14:paraId="673EC940" w14:textId="719AD48A" w:rsidR="00C06D7D" w:rsidRPr="00B454BB" w:rsidRDefault="006A62B0" w:rsidP="00DE62A5">
      <w:pPr>
        <w:rPr>
          <w:rFonts w:ascii="Arial" w:hAnsi="Arial" w:cs="Arial"/>
          <w:b/>
          <w:bCs/>
          <w:sz w:val="22"/>
          <w:szCs w:val="22"/>
        </w:rPr>
      </w:pPr>
      <w:r>
        <w:rPr>
          <w:rFonts w:ascii="Arial" w:hAnsi="Arial" w:cs="Arial"/>
          <w:b/>
          <w:bCs/>
          <w:sz w:val="22"/>
          <w:szCs w:val="22"/>
        </w:rPr>
        <w:br w:type="page"/>
      </w:r>
      <w:r w:rsidR="00C06D7D">
        <w:rPr>
          <w:rFonts w:ascii="Arial" w:hAnsi="Arial" w:cs="Arial"/>
          <w:b/>
          <w:bCs/>
          <w:sz w:val="22"/>
          <w:szCs w:val="22"/>
        </w:rPr>
        <w:lastRenderedPageBreak/>
        <w:t xml:space="preserve">Task 2: </w:t>
      </w:r>
      <w:r w:rsidR="00C06D7D" w:rsidRPr="00B454BB">
        <w:rPr>
          <w:rFonts w:ascii="Arial" w:hAnsi="Arial" w:cs="Arial"/>
          <w:b/>
          <w:bCs/>
          <w:sz w:val="22"/>
          <w:szCs w:val="22"/>
        </w:rPr>
        <w:t>Community Pharmacy Services in England: Origins, Current Functioning, and Impact on Quality of Life</w:t>
      </w:r>
    </w:p>
    <w:p w14:paraId="6EBB9CAD" w14:textId="48C2CB0A" w:rsidR="00C06D7D" w:rsidRPr="00B454BB" w:rsidRDefault="00C06D7D" w:rsidP="00C06D7D">
      <w:pPr>
        <w:spacing w:line="360" w:lineRule="auto"/>
        <w:jc w:val="both"/>
        <w:rPr>
          <w:rFonts w:ascii="Arial" w:hAnsi="Arial" w:cs="Arial"/>
          <w:b/>
          <w:bCs/>
          <w:sz w:val="22"/>
          <w:szCs w:val="22"/>
        </w:rPr>
      </w:pPr>
      <w:r w:rsidRPr="00B454BB">
        <w:rPr>
          <w:rFonts w:ascii="Arial" w:hAnsi="Arial" w:cs="Arial"/>
          <w:b/>
          <w:bCs/>
          <w:sz w:val="22"/>
          <w:szCs w:val="22"/>
        </w:rPr>
        <w:t>O</w:t>
      </w:r>
    </w:p>
    <w:p w14:paraId="4F291445" w14:textId="77777777" w:rsidR="0067545A" w:rsidRDefault="003562FC" w:rsidP="003562FC">
      <w:pPr>
        <w:spacing w:line="360" w:lineRule="auto"/>
        <w:jc w:val="both"/>
        <w:rPr>
          <w:rFonts w:ascii="Arial" w:hAnsi="Arial" w:cs="Arial"/>
          <w:sz w:val="22"/>
          <w:szCs w:val="22"/>
        </w:rPr>
      </w:pPr>
      <w:r w:rsidRPr="003562FC">
        <w:rPr>
          <w:rFonts w:ascii="Arial" w:hAnsi="Arial" w:cs="Arial"/>
          <w:sz w:val="22"/>
          <w:szCs w:val="22"/>
        </w:rPr>
        <w:t xml:space="preserve">The history of community pharmacy in England </w:t>
      </w:r>
      <w:r w:rsidR="00BE466D" w:rsidRPr="003562FC">
        <w:rPr>
          <w:rFonts w:ascii="Arial" w:hAnsi="Arial" w:cs="Arial"/>
          <w:sz w:val="22"/>
          <w:szCs w:val="22"/>
        </w:rPr>
        <w:t>dates to</w:t>
      </w:r>
      <w:r w:rsidRPr="003562FC">
        <w:rPr>
          <w:rFonts w:ascii="Arial" w:hAnsi="Arial" w:cs="Arial"/>
          <w:sz w:val="22"/>
          <w:szCs w:val="22"/>
        </w:rPr>
        <w:t xml:space="preserve"> the nineteenth century. Initially, it was apothecaries and chemists. Apothecaries and chemists refused the strict regulation in connection with the Apothecaries Act of 1815. They kept the independence of their practice for quite a long period (Robinson, 2016). The foundation of Pharmaceutical Society appeared in 1841. Its royal charter was issued two years later. Finally, the Registration of Pharmaceutical Chemists appeared with the implementation of the Pharmacy Act in 1852. The above-described events became the foundation for current legislation (Robinson, 2016).</w:t>
      </w:r>
    </w:p>
    <w:p w14:paraId="4331F441" w14:textId="59D157FB" w:rsidR="00D80C92" w:rsidRDefault="00D80C92" w:rsidP="003562FC">
      <w:pPr>
        <w:spacing w:line="360" w:lineRule="auto"/>
        <w:jc w:val="both"/>
        <w:rPr>
          <w:rFonts w:ascii="Arial" w:hAnsi="Arial" w:cs="Arial"/>
          <w:sz w:val="22"/>
          <w:szCs w:val="22"/>
        </w:rPr>
      </w:pPr>
      <w:r w:rsidRPr="00D80C92">
        <w:rPr>
          <w:rFonts w:ascii="Arial" w:hAnsi="Arial" w:cs="Arial"/>
          <w:sz w:val="22"/>
          <w:szCs w:val="22"/>
        </w:rPr>
        <w:t>The NHS was introduced in 1948, and this transformed the role of community pharmacy as well. After 1948, general practitioners became responsible for prescribing medicines, whereas pharmacists provided the prescriptions only. After that period, the pharmacist role expanded again. Community pharmacies started providing health care services to communities (Robinson, 2016). The importance of this is that pharmacists moved away from dispensing medicines, and they started providing more health services as well.</w:t>
      </w:r>
    </w:p>
    <w:p w14:paraId="578F4E3A" w14:textId="149CF4D4" w:rsidR="003562FC" w:rsidRPr="0067545A" w:rsidRDefault="002A157A" w:rsidP="003562FC">
      <w:pPr>
        <w:spacing w:line="360" w:lineRule="auto"/>
        <w:jc w:val="both"/>
        <w:rPr>
          <w:rFonts w:ascii="Arial" w:hAnsi="Arial" w:cs="Arial"/>
          <w:sz w:val="22"/>
          <w:szCs w:val="22"/>
        </w:rPr>
      </w:pPr>
      <w:r w:rsidRPr="002A157A">
        <w:rPr>
          <w:rFonts w:ascii="Arial" w:hAnsi="Arial" w:cs="Arial"/>
          <w:sz w:val="22"/>
          <w:szCs w:val="22"/>
        </w:rPr>
        <w:t>This change was important because it moved community pharmacies away from simply supplying medicines and towards a broader public health role.</w:t>
      </w:r>
      <w:r w:rsidR="00F40655" w:rsidRPr="00F40655">
        <w:rPr>
          <w:rFonts w:ascii="Arial" w:hAnsi="Arial" w:cs="Arial"/>
          <w:sz w:val="22"/>
          <w:szCs w:val="22"/>
        </w:rPr>
        <w:t xml:space="preserve"> Gradually, this increased role of community pharmacies evolved into an integral component of the activities of community pharmacies within NHS, contributing significantly towards the development of services offered by pharmacies nowadays.</w:t>
      </w:r>
    </w:p>
    <w:p w14:paraId="2FB8E2B5" w14:textId="77777777" w:rsidR="003562FC" w:rsidRPr="003562FC" w:rsidRDefault="003562FC" w:rsidP="003562FC">
      <w:pPr>
        <w:spacing w:line="360" w:lineRule="auto"/>
        <w:jc w:val="both"/>
        <w:rPr>
          <w:rFonts w:ascii="Arial" w:hAnsi="Arial" w:cs="Arial"/>
          <w:sz w:val="22"/>
          <w:szCs w:val="22"/>
        </w:rPr>
      </w:pPr>
      <w:r w:rsidRPr="003562FC">
        <w:rPr>
          <w:rFonts w:ascii="Arial" w:hAnsi="Arial" w:cs="Arial"/>
          <w:sz w:val="22"/>
          <w:szCs w:val="22"/>
        </w:rPr>
        <w:t>Currently, community pharmacy operates within the framework of the Community Pharmacy Contractual Framework. It adds £340 million investment for 2026/27. In addition, it supports the planned NHS rollout of independent prescribing from autumn 2026 (Department of Health and Social Care, 2026). Thus, the Pharmacy First programme started in January 2024. According to it, pharmacists can consult and treat people with seven common conditions without the visit to GPs. Therefore, people can obtain fast treatment for common illnesses. At the same time, people do not burden GP practice because of that fact. Finally, patients experience the convenience due to visiting local pharmacies.</w:t>
      </w:r>
    </w:p>
    <w:p w14:paraId="7D7A1630" w14:textId="396A4E26" w:rsidR="003562FC" w:rsidRDefault="003562FC" w:rsidP="003562FC">
      <w:pPr>
        <w:spacing w:line="360" w:lineRule="auto"/>
        <w:jc w:val="both"/>
        <w:rPr>
          <w:rFonts w:ascii="Arial" w:hAnsi="Arial" w:cs="Arial"/>
          <w:sz w:val="22"/>
          <w:szCs w:val="22"/>
        </w:rPr>
      </w:pPr>
      <w:r w:rsidRPr="003562FC">
        <w:rPr>
          <w:rFonts w:ascii="Arial" w:hAnsi="Arial" w:cs="Arial"/>
          <w:sz w:val="22"/>
          <w:szCs w:val="22"/>
        </w:rPr>
        <w:t xml:space="preserve">However, there are some </w:t>
      </w:r>
      <w:r w:rsidR="00404D5B" w:rsidRPr="003562FC">
        <w:rPr>
          <w:rFonts w:ascii="Arial" w:hAnsi="Arial" w:cs="Arial"/>
          <w:sz w:val="22"/>
          <w:szCs w:val="22"/>
        </w:rPr>
        <w:t>important</w:t>
      </w:r>
      <w:r w:rsidRPr="003562FC">
        <w:rPr>
          <w:rFonts w:ascii="Arial" w:hAnsi="Arial" w:cs="Arial"/>
          <w:sz w:val="22"/>
          <w:szCs w:val="22"/>
        </w:rPr>
        <w:t xml:space="preserve"> issues. Pharmacies operate under significant financial pressure now. Besides, it should be mentioned that sustainability of operations </w:t>
      </w:r>
      <w:r w:rsidR="000B3E95" w:rsidRPr="003562FC">
        <w:rPr>
          <w:rFonts w:ascii="Arial" w:hAnsi="Arial" w:cs="Arial"/>
          <w:sz w:val="22"/>
          <w:szCs w:val="22"/>
        </w:rPr>
        <w:t>remains</w:t>
      </w:r>
      <w:r w:rsidRPr="003562FC">
        <w:rPr>
          <w:rFonts w:ascii="Arial" w:hAnsi="Arial" w:cs="Arial"/>
          <w:sz w:val="22"/>
          <w:szCs w:val="22"/>
        </w:rPr>
        <w:t xml:space="preserve"> an issue for them. The Department of Health and Social Care (2026) highlights current challenges including resilience, cashflow, and the capability of pharmacies to function properly in the absence of additional assistance</w:t>
      </w:r>
      <w:r w:rsidR="008B634A" w:rsidRPr="008B634A">
        <w:rPr>
          <w:rFonts w:ascii="Segoe UI" w:hAnsi="Segoe UI" w:cs="Segoe UI"/>
          <w:color w:val="0F1115"/>
          <w:shd w:val="clear" w:color="auto" w:fill="FFFFFF"/>
        </w:rPr>
        <w:t xml:space="preserve"> </w:t>
      </w:r>
      <w:r w:rsidR="008B634A" w:rsidRPr="008B634A">
        <w:rPr>
          <w:rFonts w:ascii="Arial" w:hAnsi="Arial" w:cs="Arial"/>
          <w:sz w:val="22"/>
          <w:szCs w:val="22"/>
        </w:rPr>
        <w:t>This is difficult because pharmacists are expected to provide more clinical services to reduce pressure on GP practices.</w:t>
      </w:r>
      <w:r w:rsidRPr="003562FC">
        <w:rPr>
          <w:rFonts w:ascii="Arial" w:hAnsi="Arial" w:cs="Arial"/>
          <w:sz w:val="22"/>
          <w:szCs w:val="22"/>
        </w:rPr>
        <w:t xml:space="preserve"> At this time, financial pressure and </w:t>
      </w:r>
      <w:r w:rsidRPr="003562FC">
        <w:rPr>
          <w:rFonts w:ascii="Arial" w:hAnsi="Arial" w:cs="Arial"/>
          <w:sz w:val="22"/>
          <w:szCs w:val="22"/>
        </w:rPr>
        <w:lastRenderedPageBreak/>
        <w:t xml:space="preserve">closure of pharmacies can prevent from providing people with needed clinical services. It concerns poor areas of people who </w:t>
      </w:r>
      <w:r w:rsidR="000B3E95" w:rsidRPr="003562FC">
        <w:rPr>
          <w:rFonts w:ascii="Arial" w:hAnsi="Arial" w:cs="Arial"/>
          <w:sz w:val="22"/>
          <w:szCs w:val="22"/>
        </w:rPr>
        <w:t>must</w:t>
      </w:r>
      <w:r w:rsidRPr="003562FC">
        <w:rPr>
          <w:rFonts w:ascii="Arial" w:hAnsi="Arial" w:cs="Arial"/>
          <w:sz w:val="22"/>
          <w:szCs w:val="22"/>
        </w:rPr>
        <w:t xml:space="preserve"> use community pharmacies, because they do not have other options.</w:t>
      </w:r>
    </w:p>
    <w:p w14:paraId="0175DCC8" w14:textId="320E13A4" w:rsidR="003562FC" w:rsidRPr="00EA0F3A" w:rsidRDefault="00516ED6" w:rsidP="003562FC">
      <w:pPr>
        <w:spacing w:line="360" w:lineRule="auto"/>
        <w:jc w:val="both"/>
        <w:rPr>
          <w:rFonts w:ascii="Arial" w:hAnsi="Arial" w:cs="Arial"/>
          <w:sz w:val="22"/>
          <w:szCs w:val="22"/>
        </w:rPr>
      </w:pPr>
      <w:r w:rsidRPr="00F40655">
        <w:rPr>
          <w:rFonts w:ascii="Arial" w:hAnsi="Arial" w:cs="Arial"/>
          <w:sz w:val="22"/>
          <w:szCs w:val="22"/>
        </w:rPr>
        <w:t>Indeed, there is a serious concern here because patients usually visit community pharmacies in case of illness initially rather than visiting GP practices. Moreover, this is even more relevant in cases where booking appointments at GPs becomes a challenge for patients. Therefore, the closure or reduction in services provided by pharmacies will inevitably lead to negative consequences for these individuals' health.</w:t>
      </w:r>
    </w:p>
    <w:p w14:paraId="21A38E78" w14:textId="77777777" w:rsidR="003562FC" w:rsidRPr="003562FC" w:rsidRDefault="003562FC" w:rsidP="003562FC">
      <w:pPr>
        <w:spacing w:line="360" w:lineRule="auto"/>
        <w:jc w:val="both"/>
        <w:rPr>
          <w:rFonts w:ascii="Arial" w:hAnsi="Arial" w:cs="Arial"/>
          <w:sz w:val="22"/>
          <w:szCs w:val="22"/>
        </w:rPr>
      </w:pPr>
      <w:r w:rsidRPr="003562FC">
        <w:rPr>
          <w:rFonts w:ascii="Arial" w:hAnsi="Arial" w:cs="Arial"/>
          <w:sz w:val="22"/>
          <w:szCs w:val="22"/>
        </w:rPr>
        <w:t>Community pharmacies offer a convenient way to enter healthcare system. Pharmacy First provides treatment for common illnesses. Thus, people can get fast recovery and decrease load of GP practices at the same time. Community pharmacies also provide such services as contraception. According to NHS Pharmacy Contraception Service, pharmacies provided about 305,000 doses of emergency contraception between October 2025 and March 2026. Additionally, more than 1,200,000 consultations of ongoing oral contraception started from February 2024 (NHS England, 2026).</w:t>
      </w:r>
    </w:p>
    <w:p w14:paraId="2BA7409C" w14:textId="04903F27" w:rsidR="003562FC" w:rsidRDefault="003562FC" w:rsidP="003562FC">
      <w:pPr>
        <w:spacing w:line="360" w:lineRule="auto"/>
        <w:jc w:val="both"/>
        <w:rPr>
          <w:rFonts w:ascii="Arial" w:hAnsi="Arial" w:cs="Arial"/>
          <w:sz w:val="22"/>
          <w:szCs w:val="22"/>
        </w:rPr>
      </w:pPr>
      <w:r w:rsidRPr="003562FC">
        <w:rPr>
          <w:rFonts w:ascii="Arial" w:hAnsi="Arial" w:cs="Arial"/>
          <w:sz w:val="22"/>
          <w:szCs w:val="22"/>
        </w:rPr>
        <w:t xml:space="preserve">Moreover, pharmacists provide important consulting for people with chronic illnesses, seniors, and people who cannot visit GPs in time. </w:t>
      </w:r>
      <w:r w:rsidR="00DE62A5" w:rsidRPr="00DE62A5">
        <w:rPr>
          <w:rFonts w:ascii="Arial" w:hAnsi="Arial" w:cs="Arial"/>
          <w:sz w:val="22"/>
          <w:szCs w:val="22"/>
        </w:rPr>
        <w:t>Local pharmacists' stores are easily accessible to most patients when compared with other healthcare facilities. This saves patients' time and allows them to visit a doctor for any queries about medications without waiting in line.</w:t>
      </w:r>
      <w:r w:rsidR="00DE62A5">
        <w:rPr>
          <w:rFonts w:ascii="Arial" w:hAnsi="Arial" w:cs="Arial"/>
          <w:sz w:val="22"/>
          <w:szCs w:val="22"/>
        </w:rPr>
        <w:t xml:space="preserve"> </w:t>
      </w:r>
      <w:r w:rsidRPr="003562FC">
        <w:rPr>
          <w:rFonts w:ascii="Arial" w:hAnsi="Arial" w:cs="Arial"/>
          <w:sz w:val="22"/>
          <w:szCs w:val="22"/>
        </w:rPr>
        <w:t>Pharmacists provide appropriate and effective management strategies. They provide valuable consultation about healthy lifestyle and early detection of illnesses. At the same time, pharmacists can help to prevent serious health problems.</w:t>
      </w:r>
    </w:p>
    <w:p w14:paraId="1BCD9A3B" w14:textId="3B2E9D92" w:rsidR="00F40655" w:rsidRDefault="00CD04FF" w:rsidP="00F40655">
      <w:pPr>
        <w:spacing w:line="360" w:lineRule="auto"/>
        <w:jc w:val="both"/>
        <w:rPr>
          <w:rFonts w:ascii="Arial" w:hAnsi="Arial" w:cs="Arial"/>
          <w:sz w:val="22"/>
          <w:szCs w:val="22"/>
        </w:rPr>
      </w:pPr>
      <w:r w:rsidRPr="00CD04FF">
        <w:rPr>
          <w:rFonts w:ascii="Arial" w:hAnsi="Arial" w:cs="Arial"/>
          <w:sz w:val="22"/>
          <w:szCs w:val="22"/>
        </w:rPr>
        <w:t>This preventive role is important because it has a real impact on patients' health.</w:t>
      </w:r>
      <w:r w:rsidR="00F40655" w:rsidRPr="00F40655">
        <w:rPr>
          <w:rFonts w:ascii="Arial" w:hAnsi="Arial" w:cs="Arial"/>
          <w:sz w:val="22"/>
          <w:szCs w:val="22"/>
        </w:rPr>
        <w:t xml:space="preserve"> Providing advice regarding medications, lifestyles or common ailments to patients is highly likely to prevent potential issues from arising. Hence, for patients suffering from chronic diseases, the continuous interaction with community pharmacies provides them an enormous benefit in terms of managing their health and feeling secure with their treatment options.</w:t>
      </w:r>
    </w:p>
    <w:p w14:paraId="5C7BFE0A" w14:textId="77777777" w:rsidR="00F40655" w:rsidRDefault="00F40655" w:rsidP="003562FC">
      <w:pPr>
        <w:spacing w:line="360" w:lineRule="auto"/>
        <w:jc w:val="both"/>
        <w:rPr>
          <w:rFonts w:ascii="Arial" w:hAnsi="Arial" w:cs="Arial"/>
          <w:sz w:val="22"/>
          <w:szCs w:val="22"/>
        </w:rPr>
      </w:pPr>
    </w:p>
    <w:p w14:paraId="2706ECC0" w14:textId="77777777" w:rsidR="001021AA" w:rsidRDefault="001021AA" w:rsidP="003562FC">
      <w:pPr>
        <w:spacing w:line="360" w:lineRule="auto"/>
        <w:jc w:val="both"/>
        <w:rPr>
          <w:rFonts w:ascii="Arial" w:hAnsi="Arial" w:cs="Arial"/>
          <w:sz w:val="22"/>
          <w:szCs w:val="22"/>
        </w:rPr>
      </w:pPr>
    </w:p>
    <w:p w14:paraId="79AA56FE" w14:textId="77777777" w:rsidR="001021AA" w:rsidRDefault="001021AA" w:rsidP="003562FC">
      <w:pPr>
        <w:spacing w:line="360" w:lineRule="auto"/>
        <w:jc w:val="both"/>
        <w:rPr>
          <w:rFonts w:ascii="Arial" w:hAnsi="Arial" w:cs="Arial"/>
          <w:sz w:val="22"/>
          <w:szCs w:val="22"/>
        </w:rPr>
      </w:pPr>
    </w:p>
    <w:p w14:paraId="023EFBF8" w14:textId="77777777" w:rsidR="001021AA" w:rsidRDefault="001021AA" w:rsidP="003562FC">
      <w:pPr>
        <w:spacing w:line="360" w:lineRule="auto"/>
        <w:jc w:val="both"/>
        <w:rPr>
          <w:rFonts w:ascii="Arial" w:hAnsi="Arial" w:cs="Arial"/>
          <w:sz w:val="22"/>
          <w:szCs w:val="22"/>
        </w:rPr>
      </w:pPr>
    </w:p>
    <w:p w14:paraId="6111BFE8" w14:textId="77777777" w:rsidR="00EA0F3A" w:rsidRDefault="00EA0F3A" w:rsidP="003562FC">
      <w:pPr>
        <w:spacing w:line="360" w:lineRule="auto"/>
        <w:jc w:val="both"/>
        <w:rPr>
          <w:rFonts w:ascii="Arial" w:hAnsi="Arial" w:cs="Arial"/>
          <w:b/>
          <w:bCs/>
          <w:sz w:val="22"/>
          <w:szCs w:val="22"/>
        </w:rPr>
      </w:pPr>
    </w:p>
    <w:p w14:paraId="2D9CFC81" w14:textId="61144115" w:rsidR="001021AA" w:rsidRPr="009B7644" w:rsidRDefault="009B7644" w:rsidP="003562FC">
      <w:pPr>
        <w:spacing w:line="360" w:lineRule="auto"/>
        <w:jc w:val="both"/>
        <w:rPr>
          <w:rFonts w:ascii="Arial" w:hAnsi="Arial" w:cs="Arial"/>
          <w:b/>
          <w:bCs/>
          <w:sz w:val="22"/>
          <w:szCs w:val="22"/>
        </w:rPr>
      </w:pPr>
      <w:r w:rsidRPr="009D5009">
        <w:rPr>
          <w:rFonts w:ascii="Arial" w:hAnsi="Arial" w:cs="Arial"/>
          <w:b/>
          <w:bCs/>
          <w:sz w:val="22"/>
          <w:szCs w:val="22"/>
        </w:rPr>
        <w:lastRenderedPageBreak/>
        <w:t>References</w:t>
      </w:r>
    </w:p>
    <w:p w14:paraId="130BCC63" w14:textId="77777777" w:rsidR="001021AA" w:rsidRPr="001021AA" w:rsidRDefault="001021AA" w:rsidP="001021AA">
      <w:pPr>
        <w:spacing w:line="360" w:lineRule="auto"/>
        <w:jc w:val="both"/>
        <w:rPr>
          <w:rFonts w:ascii="Arial" w:hAnsi="Arial" w:cs="Arial"/>
          <w:sz w:val="22"/>
          <w:szCs w:val="22"/>
        </w:rPr>
      </w:pPr>
      <w:r w:rsidRPr="001021AA">
        <w:rPr>
          <w:rFonts w:ascii="Arial" w:hAnsi="Arial" w:cs="Arial"/>
          <w:sz w:val="22"/>
          <w:szCs w:val="22"/>
        </w:rPr>
        <w:t xml:space="preserve">Birmingham City Council (2025) </w:t>
      </w:r>
      <w:r w:rsidRPr="001021AA">
        <w:rPr>
          <w:rFonts w:ascii="Arial" w:hAnsi="Arial" w:cs="Arial"/>
          <w:i/>
          <w:iCs/>
          <w:sz w:val="22"/>
          <w:szCs w:val="22"/>
        </w:rPr>
        <w:t>Market Position Statement 2025: Younger Adult Care Homes</w:t>
      </w:r>
      <w:r w:rsidRPr="001021AA">
        <w:rPr>
          <w:rFonts w:ascii="Arial" w:hAnsi="Arial" w:cs="Arial"/>
          <w:sz w:val="22"/>
          <w:szCs w:val="22"/>
        </w:rPr>
        <w:t xml:space="preserve">. Available at: </w:t>
      </w:r>
      <w:hyperlink r:id="rId7" w:tgtFrame="_blank" w:history="1">
        <w:r w:rsidRPr="001021AA">
          <w:rPr>
            <w:rStyle w:val="Hyperlink"/>
            <w:rFonts w:ascii="Arial" w:hAnsi="Arial" w:cs="Arial"/>
            <w:sz w:val="22"/>
            <w:szCs w:val="22"/>
          </w:rPr>
          <w:t>https://www.birmingham.gov.uk/download/downloads/id/30889/younger_adults_care_homes_-_mps_-_full_document.pdf</w:t>
        </w:r>
      </w:hyperlink>
      <w:r w:rsidRPr="001021AA">
        <w:rPr>
          <w:rFonts w:ascii="Arial" w:hAnsi="Arial" w:cs="Arial"/>
          <w:sz w:val="22"/>
          <w:szCs w:val="22"/>
        </w:rPr>
        <w:t xml:space="preserve"> (Accessed: 1 October 2026).</w:t>
      </w:r>
    </w:p>
    <w:p w14:paraId="46ACAF55" w14:textId="77777777" w:rsidR="001021AA" w:rsidRPr="001021AA" w:rsidRDefault="001021AA" w:rsidP="001021AA">
      <w:pPr>
        <w:spacing w:line="360" w:lineRule="auto"/>
        <w:jc w:val="both"/>
        <w:rPr>
          <w:rFonts w:ascii="Arial" w:hAnsi="Arial" w:cs="Arial"/>
          <w:sz w:val="22"/>
          <w:szCs w:val="22"/>
        </w:rPr>
      </w:pPr>
      <w:r w:rsidRPr="001021AA">
        <w:rPr>
          <w:rFonts w:ascii="Arial" w:hAnsi="Arial" w:cs="Arial"/>
          <w:sz w:val="22"/>
          <w:szCs w:val="22"/>
        </w:rPr>
        <w:t xml:space="preserve">Care Act 2014, c.23. Available at: </w:t>
      </w:r>
      <w:hyperlink r:id="rId8" w:tgtFrame="_blank" w:history="1">
        <w:r w:rsidRPr="001021AA">
          <w:rPr>
            <w:rStyle w:val="Hyperlink"/>
            <w:rFonts w:ascii="Arial" w:hAnsi="Arial" w:cs="Arial"/>
            <w:sz w:val="22"/>
            <w:szCs w:val="22"/>
          </w:rPr>
          <w:t>https://www.legislation.gov.uk/ukpga/2014/23/contents</w:t>
        </w:r>
      </w:hyperlink>
      <w:r w:rsidRPr="001021AA">
        <w:rPr>
          <w:rFonts w:ascii="Arial" w:hAnsi="Arial" w:cs="Arial"/>
          <w:sz w:val="22"/>
          <w:szCs w:val="22"/>
        </w:rPr>
        <w:t xml:space="preserve"> (Accessed: 1 October 2026).</w:t>
      </w:r>
    </w:p>
    <w:p w14:paraId="69CF20A6" w14:textId="77777777" w:rsidR="001021AA" w:rsidRPr="001021AA" w:rsidRDefault="001021AA" w:rsidP="001021AA">
      <w:pPr>
        <w:spacing w:line="360" w:lineRule="auto"/>
        <w:jc w:val="both"/>
        <w:rPr>
          <w:rFonts w:ascii="Arial" w:hAnsi="Arial" w:cs="Arial"/>
          <w:sz w:val="22"/>
          <w:szCs w:val="22"/>
        </w:rPr>
      </w:pPr>
      <w:r w:rsidRPr="001021AA">
        <w:rPr>
          <w:rFonts w:ascii="Arial" w:hAnsi="Arial" w:cs="Arial"/>
          <w:sz w:val="22"/>
          <w:szCs w:val="22"/>
        </w:rPr>
        <w:t xml:space="preserve">Care Quality Commission (2025) </w:t>
      </w:r>
      <w:r w:rsidRPr="001021AA">
        <w:rPr>
          <w:rFonts w:ascii="Arial" w:hAnsi="Arial" w:cs="Arial"/>
          <w:i/>
          <w:iCs/>
          <w:sz w:val="22"/>
          <w:szCs w:val="22"/>
        </w:rPr>
        <w:t>The state of health care and adult social care in England 2024/25</w:t>
      </w:r>
      <w:r w:rsidRPr="001021AA">
        <w:rPr>
          <w:rFonts w:ascii="Arial" w:hAnsi="Arial" w:cs="Arial"/>
          <w:sz w:val="22"/>
          <w:szCs w:val="22"/>
        </w:rPr>
        <w:t xml:space="preserve">. Available at: </w:t>
      </w:r>
      <w:hyperlink r:id="rId9" w:tgtFrame="_blank" w:history="1">
        <w:r w:rsidRPr="001021AA">
          <w:rPr>
            <w:rStyle w:val="Hyperlink"/>
            <w:rFonts w:ascii="Arial" w:hAnsi="Arial" w:cs="Arial"/>
            <w:sz w:val="22"/>
            <w:szCs w:val="22"/>
          </w:rPr>
          <w:t>https://www.cqc.org.uk/node/12621/pdf_print</w:t>
        </w:r>
      </w:hyperlink>
      <w:r w:rsidRPr="001021AA">
        <w:rPr>
          <w:rFonts w:ascii="Arial" w:hAnsi="Arial" w:cs="Arial"/>
          <w:sz w:val="22"/>
          <w:szCs w:val="22"/>
        </w:rPr>
        <w:t xml:space="preserve"> (Accessed: 1 October 2026).</w:t>
      </w:r>
    </w:p>
    <w:p w14:paraId="4A24792A" w14:textId="77777777" w:rsidR="001021AA" w:rsidRPr="001021AA" w:rsidRDefault="001021AA" w:rsidP="001021AA">
      <w:pPr>
        <w:spacing w:line="360" w:lineRule="auto"/>
        <w:jc w:val="both"/>
        <w:rPr>
          <w:rFonts w:ascii="Arial" w:hAnsi="Arial" w:cs="Arial"/>
          <w:sz w:val="22"/>
          <w:szCs w:val="22"/>
        </w:rPr>
      </w:pPr>
      <w:r w:rsidRPr="001021AA">
        <w:rPr>
          <w:rFonts w:ascii="Arial" w:hAnsi="Arial" w:cs="Arial"/>
          <w:sz w:val="22"/>
          <w:szCs w:val="22"/>
        </w:rPr>
        <w:t xml:space="preserve">Department of Health and Social Care (2026) </w:t>
      </w:r>
      <w:r w:rsidRPr="001021AA">
        <w:rPr>
          <w:rFonts w:ascii="Arial" w:hAnsi="Arial" w:cs="Arial"/>
          <w:i/>
          <w:iCs/>
          <w:sz w:val="22"/>
          <w:szCs w:val="22"/>
        </w:rPr>
        <w:t>Community Pharmacy Contractual Framework: financial year 2026 to 2027</w:t>
      </w:r>
      <w:r w:rsidRPr="001021AA">
        <w:rPr>
          <w:rFonts w:ascii="Arial" w:hAnsi="Arial" w:cs="Arial"/>
          <w:sz w:val="22"/>
          <w:szCs w:val="22"/>
        </w:rPr>
        <w:t xml:space="preserve">. Available at: </w:t>
      </w:r>
      <w:hyperlink r:id="rId10" w:tgtFrame="_blank" w:history="1">
        <w:r w:rsidRPr="001021AA">
          <w:rPr>
            <w:rStyle w:val="Hyperlink"/>
            <w:rFonts w:ascii="Arial" w:hAnsi="Arial" w:cs="Arial"/>
            <w:sz w:val="22"/>
            <w:szCs w:val="22"/>
          </w:rPr>
          <w:t>https://www.gov.uk/government/publications/community-pharmacy-contractual-framework-financial-year-2026-to-2027</w:t>
        </w:r>
      </w:hyperlink>
      <w:r w:rsidRPr="001021AA">
        <w:rPr>
          <w:rFonts w:ascii="Arial" w:hAnsi="Arial" w:cs="Arial"/>
          <w:sz w:val="22"/>
          <w:szCs w:val="22"/>
        </w:rPr>
        <w:t xml:space="preserve"> (Accessed: 2 October 2026).</w:t>
      </w:r>
    </w:p>
    <w:p w14:paraId="74491992" w14:textId="388B6A04" w:rsidR="001021AA" w:rsidRPr="001021AA" w:rsidRDefault="00E55B79" w:rsidP="001021AA">
      <w:pPr>
        <w:spacing w:line="360" w:lineRule="auto"/>
        <w:jc w:val="both"/>
        <w:rPr>
          <w:rFonts w:ascii="Arial" w:hAnsi="Arial" w:cs="Arial"/>
          <w:sz w:val="22"/>
          <w:szCs w:val="22"/>
        </w:rPr>
      </w:pPr>
      <w:r w:rsidRPr="00E55B79">
        <w:rPr>
          <w:rFonts w:ascii="Arial" w:hAnsi="Arial" w:cs="Arial"/>
          <w:sz w:val="22"/>
          <w:szCs w:val="22"/>
        </w:rPr>
        <w:t xml:space="preserve">NHS England (2026) ‘Hundreds of thousands of women access free morning-after pill at NHS pharmacies in first 5 months’, 28 July. Available at: </w:t>
      </w:r>
      <w:hyperlink r:id="rId11" w:history="1">
        <w:r w:rsidRPr="00E55B79">
          <w:rPr>
            <w:rStyle w:val="Hyperlink"/>
            <w:rFonts w:ascii="Arial" w:hAnsi="Arial" w:cs="Arial"/>
            <w:sz w:val="22"/>
            <w:szCs w:val="22"/>
          </w:rPr>
          <w:t>https://www.england.nhs.uk/2026/07/hundreds-thousands-women-access-free-morning-after-pill-nhs-pharmacies-first-5-months/</w:t>
        </w:r>
      </w:hyperlink>
      <w:r w:rsidRPr="00E55B79">
        <w:rPr>
          <w:rFonts w:ascii="Arial" w:hAnsi="Arial" w:cs="Arial"/>
          <w:sz w:val="22"/>
          <w:szCs w:val="22"/>
        </w:rPr>
        <w:t xml:space="preserve"> </w:t>
      </w:r>
      <w:r w:rsidR="001021AA" w:rsidRPr="001021AA">
        <w:rPr>
          <w:rFonts w:ascii="Arial" w:hAnsi="Arial" w:cs="Arial"/>
          <w:sz w:val="22"/>
          <w:szCs w:val="22"/>
        </w:rPr>
        <w:t>(Accessed: 2 October 2026).</w:t>
      </w:r>
    </w:p>
    <w:p w14:paraId="761A2726" w14:textId="755A8ABE" w:rsidR="001021AA" w:rsidRPr="0078667E" w:rsidRDefault="001021AA" w:rsidP="003562FC">
      <w:pPr>
        <w:spacing w:line="360" w:lineRule="auto"/>
        <w:jc w:val="both"/>
        <w:rPr>
          <w:rFonts w:ascii="Arial" w:hAnsi="Arial" w:cs="Arial"/>
          <w:sz w:val="22"/>
          <w:szCs w:val="22"/>
        </w:rPr>
      </w:pPr>
      <w:r w:rsidRPr="001021AA">
        <w:rPr>
          <w:rFonts w:ascii="Arial" w:hAnsi="Arial" w:cs="Arial"/>
          <w:sz w:val="22"/>
          <w:szCs w:val="22"/>
        </w:rPr>
        <w:t xml:space="preserve">Robinson, J. (2016) 'Looking back at 175 years of the Royal Pharmaceutical Society', </w:t>
      </w:r>
      <w:r w:rsidRPr="001021AA">
        <w:rPr>
          <w:rFonts w:ascii="Arial" w:hAnsi="Arial" w:cs="Arial"/>
          <w:i/>
          <w:iCs/>
          <w:sz w:val="22"/>
          <w:szCs w:val="22"/>
        </w:rPr>
        <w:t>The Pharmaceutical Journal</w:t>
      </w:r>
      <w:r w:rsidRPr="001021AA">
        <w:rPr>
          <w:rFonts w:ascii="Arial" w:hAnsi="Arial" w:cs="Arial"/>
          <w:sz w:val="22"/>
          <w:szCs w:val="22"/>
        </w:rPr>
        <w:t xml:space="preserve">, 296(7888). Available at: </w:t>
      </w:r>
      <w:hyperlink r:id="rId12" w:tgtFrame="_blank" w:history="1">
        <w:r w:rsidRPr="001021AA">
          <w:rPr>
            <w:rStyle w:val="Hyperlink"/>
            <w:rFonts w:ascii="Arial" w:hAnsi="Arial" w:cs="Arial"/>
            <w:sz w:val="22"/>
            <w:szCs w:val="22"/>
          </w:rPr>
          <w:t>https://doi.org/10.1211/PJ.2016.20200958</w:t>
        </w:r>
      </w:hyperlink>
      <w:r w:rsidRPr="001021AA">
        <w:rPr>
          <w:rFonts w:ascii="Arial" w:hAnsi="Arial" w:cs="Arial"/>
          <w:sz w:val="22"/>
          <w:szCs w:val="22"/>
        </w:rPr>
        <w:t xml:space="preserve"> (Accessed: 2 October 2026).</w:t>
      </w:r>
    </w:p>
    <w:sectPr w:rsidR="001021AA" w:rsidRPr="0078667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9386C" w14:textId="77777777" w:rsidR="002B2A5B" w:rsidRDefault="002B2A5B" w:rsidP="00730DCA">
      <w:pPr>
        <w:spacing w:after="0" w:line="240" w:lineRule="auto"/>
      </w:pPr>
      <w:r>
        <w:separator/>
      </w:r>
    </w:p>
  </w:endnote>
  <w:endnote w:type="continuationSeparator" w:id="0">
    <w:p w14:paraId="0E3EB3CA" w14:textId="77777777" w:rsidR="002B2A5B" w:rsidRDefault="002B2A5B" w:rsidP="00730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966786"/>
      <w:docPartObj>
        <w:docPartGallery w:val="Page Numbers (Bottom of Page)"/>
        <w:docPartUnique/>
      </w:docPartObj>
    </w:sdtPr>
    <w:sdtEndPr/>
    <w:sdtContent>
      <w:p w14:paraId="5EC5FC15" w14:textId="6D68F129" w:rsidR="00730DCA" w:rsidRDefault="00730DCA">
        <w:pPr>
          <w:pStyle w:val="Footer"/>
          <w:jc w:val="right"/>
        </w:pPr>
        <w:r>
          <w:fldChar w:fldCharType="begin"/>
        </w:r>
        <w:r>
          <w:instrText>PAGE   \* MERGEFORMAT</w:instrText>
        </w:r>
        <w:r>
          <w:fldChar w:fldCharType="separate"/>
        </w:r>
        <w:r>
          <w:t>2</w:t>
        </w:r>
        <w:r>
          <w:fldChar w:fldCharType="end"/>
        </w:r>
      </w:p>
    </w:sdtContent>
  </w:sdt>
  <w:p w14:paraId="0EF7F67C" w14:textId="77777777" w:rsidR="00730DCA" w:rsidRDefault="00730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A7603" w14:textId="77777777" w:rsidR="002B2A5B" w:rsidRDefault="002B2A5B" w:rsidP="00730DCA">
      <w:pPr>
        <w:spacing w:after="0" w:line="240" w:lineRule="auto"/>
      </w:pPr>
      <w:r>
        <w:separator/>
      </w:r>
    </w:p>
  </w:footnote>
  <w:footnote w:type="continuationSeparator" w:id="0">
    <w:p w14:paraId="5408576C" w14:textId="77777777" w:rsidR="002B2A5B" w:rsidRDefault="002B2A5B" w:rsidP="00730D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7E"/>
    <w:rsid w:val="00034219"/>
    <w:rsid w:val="000B3E95"/>
    <w:rsid w:val="001021AA"/>
    <w:rsid w:val="0018625F"/>
    <w:rsid w:val="001E6DBB"/>
    <w:rsid w:val="0025665A"/>
    <w:rsid w:val="002A157A"/>
    <w:rsid w:val="002B2A5B"/>
    <w:rsid w:val="00325B68"/>
    <w:rsid w:val="003562FC"/>
    <w:rsid w:val="00404D5B"/>
    <w:rsid w:val="004E7ECE"/>
    <w:rsid w:val="00516ED6"/>
    <w:rsid w:val="005D34F0"/>
    <w:rsid w:val="005F6F34"/>
    <w:rsid w:val="0067545A"/>
    <w:rsid w:val="00683591"/>
    <w:rsid w:val="006A62B0"/>
    <w:rsid w:val="006F5475"/>
    <w:rsid w:val="00705E04"/>
    <w:rsid w:val="00730DCA"/>
    <w:rsid w:val="0076797F"/>
    <w:rsid w:val="0078667E"/>
    <w:rsid w:val="007C67F9"/>
    <w:rsid w:val="00855428"/>
    <w:rsid w:val="008B634A"/>
    <w:rsid w:val="008F3B36"/>
    <w:rsid w:val="009B7644"/>
    <w:rsid w:val="00A25334"/>
    <w:rsid w:val="00A87A30"/>
    <w:rsid w:val="00AA274B"/>
    <w:rsid w:val="00B06CF4"/>
    <w:rsid w:val="00B2276A"/>
    <w:rsid w:val="00B22A4A"/>
    <w:rsid w:val="00B61ED2"/>
    <w:rsid w:val="00BE466D"/>
    <w:rsid w:val="00C00716"/>
    <w:rsid w:val="00C06D7D"/>
    <w:rsid w:val="00C706CB"/>
    <w:rsid w:val="00CD04FF"/>
    <w:rsid w:val="00D3457E"/>
    <w:rsid w:val="00D46387"/>
    <w:rsid w:val="00D80C92"/>
    <w:rsid w:val="00DD6B37"/>
    <w:rsid w:val="00DE62A5"/>
    <w:rsid w:val="00E55B79"/>
    <w:rsid w:val="00E74648"/>
    <w:rsid w:val="00EA0F3A"/>
    <w:rsid w:val="00EA1872"/>
    <w:rsid w:val="00EF1E3B"/>
    <w:rsid w:val="00F352B8"/>
    <w:rsid w:val="00F40655"/>
    <w:rsid w:val="00F40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5FFD6"/>
  <w15:chartTrackingRefBased/>
  <w15:docId w15:val="{B2F7F646-7FA4-47AA-9D31-434236014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6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6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6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6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6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6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6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6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6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6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6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6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6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6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6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6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6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67E"/>
    <w:rPr>
      <w:rFonts w:eastAsiaTheme="majorEastAsia" w:cstheme="majorBidi"/>
      <w:color w:val="272727" w:themeColor="text1" w:themeTint="D8"/>
    </w:rPr>
  </w:style>
  <w:style w:type="paragraph" w:styleId="Title">
    <w:name w:val="Title"/>
    <w:basedOn w:val="Normal"/>
    <w:next w:val="Normal"/>
    <w:link w:val="TitleChar"/>
    <w:uiPriority w:val="10"/>
    <w:qFormat/>
    <w:rsid w:val="007866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6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6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6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67E"/>
    <w:pPr>
      <w:spacing w:before="160"/>
      <w:jc w:val="center"/>
    </w:pPr>
    <w:rPr>
      <w:i/>
      <w:iCs/>
      <w:color w:val="404040" w:themeColor="text1" w:themeTint="BF"/>
    </w:rPr>
  </w:style>
  <w:style w:type="character" w:customStyle="1" w:styleId="QuoteChar">
    <w:name w:val="Quote Char"/>
    <w:basedOn w:val="DefaultParagraphFont"/>
    <w:link w:val="Quote"/>
    <w:uiPriority w:val="29"/>
    <w:rsid w:val="0078667E"/>
    <w:rPr>
      <w:i/>
      <w:iCs/>
      <w:color w:val="404040" w:themeColor="text1" w:themeTint="BF"/>
    </w:rPr>
  </w:style>
  <w:style w:type="paragraph" w:styleId="ListParagraph">
    <w:name w:val="List Paragraph"/>
    <w:basedOn w:val="Normal"/>
    <w:uiPriority w:val="34"/>
    <w:qFormat/>
    <w:rsid w:val="0078667E"/>
    <w:pPr>
      <w:ind w:left="720"/>
      <w:contextualSpacing/>
    </w:pPr>
  </w:style>
  <w:style w:type="character" w:styleId="IntenseEmphasis">
    <w:name w:val="Intense Emphasis"/>
    <w:basedOn w:val="DefaultParagraphFont"/>
    <w:uiPriority w:val="21"/>
    <w:qFormat/>
    <w:rsid w:val="0078667E"/>
    <w:rPr>
      <w:i/>
      <w:iCs/>
      <w:color w:val="0F4761" w:themeColor="accent1" w:themeShade="BF"/>
    </w:rPr>
  </w:style>
  <w:style w:type="paragraph" w:styleId="IntenseQuote">
    <w:name w:val="Intense Quote"/>
    <w:basedOn w:val="Normal"/>
    <w:next w:val="Normal"/>
    <w:link w:val="IntenseQuoteChar"/>
    <w:uiPriority w:val="30"/>
    <w:qFormat/>
    <w:rsid w:val="007866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67E"/>
    <w:rPr>
      <w:i/>
      <w:iCs/>
      <w:color w:val="0F4761" w:themeColor="accent1" w:themeShade="BF"/>
    </w:rPr>
  </w:style>
  <w:style w:type="character" w:styleId="IntenseReference">
    <w:name w:val="Intense Reference"/>
    <w:basedOn w:val="DefaultParagraphFont"/>
    <w:uiPriority w:val="32"/>
    <w:qFormat/>
    <w:rsid w:val="0078667E"/>
    <w:rPr>
      <w:b/>
      <w:bCs/>
      <w:smallCaps/>
      <w:color w:val="0F4761" w:themeColor="accent1" w:themeShade="BF"/>
      <w:spacing w:val="5"/>
    </w:rPr>
  </w:style>
  <w:style w:type="character" w:styleId="Hyperlink">
    <w:name w:val="Hyperlink"/>
    <w:basedOn w:val="DefaultParagraphFont"/>
    <w:uiPriority w:val="99"/>
    <w:unhideWhenUsed/>
    <w:rsid w:val="001021AA"/>
    <w:rPr>
      <w:color w:val="467886" w:themeColor="hyperlink"/>
      <w:u w:val="single"/>
    </w:rPr>
  </w:style>
  <w:style w:type="character" w:styleId="UnresolvedMention">
    <w:name w:val="Unresolved Mention"/>
    <w:basedOn w:val="DefaultParagraphFont"/>
    <w:uiPriority w:val="99"/>
    <w:semiHidden/>
    <w:unhideWhenUsed/>
    <w:rsid w:val="001021AA"/>
    <w:rPr>
      <w:color w:val="605E5C"/>
      <w:shd w:val="clear" w:color="auto" w:fill="E1DFDD"/>
    </w:rPr>
  </w:style>
  <w:style w:type="paragraph" w:styleId="Header">
    <w:name w:val="header"/>
    <w:basedOn w:val="Normal"/>
    <w:link w:val="HeaderChar"/>
    <w:uiPriority w:val="99"/>
    <w:unhideWhenUsed/>
    <w:rsid w:val="00730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DCA"/>
  </w:style>
  <w:style w:type="paragraph" w:styleId="Footer">
    <w:name w:val="footer"/>
    <w:basedOn w:val="Normal"/>
    <w:link w:val="FooterChar"/>
    <w:uiPriority w:val="99"/>
    <w:unhideWhenUsed/>
    <w:rsid w:val="00730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irmingham.gov.uk/download/downloads/id/30889/younger_adults_care_homes_-_mps_-_full_document.pdf" TargetMode="External"/><Relationship Id="rId12" Type="http://schemas.openxmlformats.org/officeDocument/2006/relationships/hyperlink" Target="https://doi.org/10.1211/PJ.2016.2020095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gland.nhs.uk/2026/07/hundreds-thousands-women-access-free-morning-after-pill-nhs-pharmacies-first-5-months/?utm_source=chatgpt.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community-pharmacy-contractual-framework-financial-year-2026-to-2027" TargetMode="External"/><Relationship Id="rId4" Type="http://schemas.openxmlformats.org/officeDocument/2006/relationships/webSettings" Target="webSettings.xml"/><Relationship Id="rId9" Type="http://schemas.openxmlformats.org/officeDocument/2006/relationships/hyperlink" Target="https://www.cqc.org.uk/node/12621/pdf_pri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51411-FFBC-4F10-AEAE-FF2A5D921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1868</Words>
  <Characters>10650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Mahmood Malik</dc:creator>
  <cp:keywords/>
  <dc:description/>
  <cp:lastModifiedBy>Sidra Shahzadi (2539710)</cp:lastModifiedBy>
  <cp:revision>10</cp:revision>
  <dcterms:created xsi:type="dcterms:W3CDTF">2026-10-11T19:38:00Z</dcterms:created>
  <dcterms:modified xsi:type="dcterms:W3CDTF">2026-10-15T08:19:00Z</dcterms:modified>
</cp:coreProperties>
</file>