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DC6F7" w14:textId="72D0BF17" w:rsidR="00F319F5" w:rsidRDefault="009237CE" w:rsidP="009237CE">
      <w:pPr>
        <w:jc w:val="center"/>
        <w:rPr>
          <w:rFonts w:asciiTheme="majorHAnsi" w:eastAsiaTheme="majorEastAsia" w:hAnsiTheme="majorHAnsi" w:cstheme="majorBidi"/>
          <w:color w:val="auto"/>
          <w:spacing w:val="-10"/>
          <w:kern w:val="28"/>
          <w:sz w:val="56"/>
          <w:szCs w:val="56"/>
        </w:rPr>
      </w:pPr>
      <w:r w:rsidRPr="009237CE">
        <w:rPr>
          <w:rFonts w:asciiTheme="majorHAnsi" w:eastAsiaTheme="majorEastAsia" w:hAnsiTheme="majorHAnsi" w:cstheme="majorBidi"/>
          <w:color w:val="auto"/>
          <w:spacing w:val="-10"/>
          <w:kern w:val="28"/>
          <w:sz w:val="56"/>
          <w:szCs w:val="56"/>
        </w:rPr>
        <w:t xml:space="preserve">Food &amp; </w:t>
      </w:r>
      <w:r w:rsidR="00997DC5">
        <w:rPr>
          <w:rFonts w:asciiTheme="majorHAnsi" w:eastAsiaTheme="majorEastAsia" w:hAnsiTheme="majorHAnsi" w:cstheme="majorBidi"/>
          <w:color w:val="auto"/>
          <w:spacing w:val="-10"/>
          <w:kern w:val="28"/>
          <w:sz w:val="56"/>
          <w:szCs w:val="56"/>
        </w:rPr>
        <w:t>Beverage</w:t>
      </w:r>
      <w:r w:rsidR="00F21307" w:rsidRPr="00F21307">
        <w:rPr>
          <w:rFonts w:asciiTheme="majorHAnsi" w:eastAsiaTheme="majorEastAsia" w:hAnsiTheme="majorHAnsi" w:cstheme="majorBidi"/>
          <w:color w:val="auto"/>
          <w:spacing w:val="-10"/>
          <w:kern w:val="28"/>
          <w:sz w:val="56"/>
          <w:szCs w:val="56"/>
        </w:rPr>
        <w:t xml:space="preserve"> </w:t>
      </w:r>
      <w:r w:rsidR="00F21307" w:rsidRPr="00A851FD">
        <w:rPr>
          <w:rFonts w:asciiTheme="majorHAnsi" w:eastAsiaTheme="majorEastAsia" w:hAnsiTheme="majorHAnsi" w:cstheme="majorBidi"/>
          <w:color w:val="auto"/>
          <w:spacing w:val="-10"/>
          <w:kern w:val="28"/>
          <w:sz w:val="56"/>
          <w:szCs w:val="56"/>
        </w:rPr>
        <w:t>Operation</w:t>
      </w:r>
      <w:r w:rsidR="00DA202A">
        <w:rPr>
          <w:rFonts w:asciiTheme="majorHAnsi" w:eastAsiaTheme="majorEastAsia" w:hAnsiTheme="majorHAnsi" w:cstheme="majorBidi"/>
          <w:color w:val="auto"/>
          <w:spacing w:val="-10"/>
          <w:kern w:val="28"/>
          <w:sz w:val="56"/>
          <w:szCs w:val="56"/>
        </w:rPr>
        <w:t xml:space="preserve"> </w:t>
      </w:r>
      <w:r w:rsidR="00FE051C">
        <w:rPr>
          <w:rFonts w:asciiTheme="majorHAnsi" w:eastAsiaTheme="majorEastAsia" w:hAnsiTheme="majorHAnsi" w:cstheme="majorBidi"/>
          <w:color w:val="auto"/>
          <w:spacing w:val="-10"/>
          <w:kern w:val="28"/>
          <w:sz w:val="56"/>
          <w:szCs w:val="56"/>
        </w:rPr>
        <w:t xml:space="preserve">  </w:t>
      </w:r>
    </w:p>
    <w:p w14:paraId="1F88F48D" w14:textId="192B1334" w:rsidR="00F319F5" w:rsidRPr="00C51483" w:rsidRDefault="00F319F5" w:rsidP="00F319F5">
      <w:pPr>
        <w:tabs>
          <w:tab w:val="left" w:pos="3050"/>
        </w:tabs>
        <w:rPr>
          <w:rFonts w:ascii="Arial Rounded MT Bold" w:eastAsiaTheme="majorEastAsia" w:hAnsi="Arial Rounded MT Bold" w:cstheme="minorHAnsi"/>
          <w:b/>
          <w:bCs/>
          <w:color w:val="auto"/>
          <w:spacing w:val="-10"/>
          <w:kern w:val="28"/>
          <w:sz w:val="36"/>
          <w:szCs w:val="36"/>
        </w:rPr>
      </w:pPr>
      <w:r w:rsidRPr="00C51483">
        <w:rPr>
          <w:rFonts w:asciiTheme="majorHAnsi" w:eastAsiaTheme="majorEastAsia" w:hAnsiTheme="majorHAnsi" w:cstheme="majorBidi"/>
          <w:b/>
          <w:bCs/>
          <w:color w:val="auto"/>
          <w:spacing w:val="-10"/>
          <w:kern w:val="28"/>
          <w:sz w:val="48"/>
          <w:szCs w:val="52"/>
        </w:rPr>
        <w:t xml:space="preserve">                    </w:t>
      </w:r>
      <w:r w:rsidR="003B3D92" w:rsidRPr="00C51483">
        <w:rPr>
          <w:rFonts w:asciiTheme="majorHAnsi" w:eastAsiaTheme="majorEastAsia" w:hAnsiTheme="majorHAnsi" w:cstheme="majorBidi"/>
          <w:b/>
          <w:bCs/>
          <w:color w:val="auto"/>
          <w:spacing w:val="-10"/>
          <w:kern w:val="28"/>
          <w:sz w:val="48"/>
          <w:szCs w:val="52"/>
        </w:rPr>
        <w:t xml:space="preserve">         </w:t>
      </w:r>
      <w:r w:rsidRPr="00C51483">
        <w:rPr>
          <w:rFonts w:asciiTheme="majorHAnsi" w:eastAsiaTheme="majorEastAsia" w:hAnsiTheme="majorHAnsi" w:cstheme="majorBidi"/>
          <w:b/>
          <w:bCs/>
          <w:color w:val="auto"/>
          <w:spacing w:val="-10"/>
          <w:kern w:val="28"/>
          <w:sz w:val="48"/>
          <w:szCs w:val="52"/>
        </w:rPr>
        <w:t xml:space="preserve">   </w:t>
      </w:r>
      <w:r w:rsidRPr="00C51483">
        <w:rPr>
          <w:rFonts w:asciiTheme="majorHAnsi" w:eastAsiaTheme="majorEastAsia" w:hAnsiTheme="majorHAnsi" w:cstheme="majorBidi"/>
          <w:b/>
          <w:bCs/>
          <w:color w:val="auto"/>
          <w:spacing w:val="-10"/>
          <w:kern w:val="28"/>
          <w:sz w:val="36"/>
          <w:szCs w:val="36"/>
        </w:rPr>
        <w:t>Level 4-</w:t>
      </w:r>
      <w:r w:rsidR="003B3D92" w:rsidRPr="00C51483">
        <w:rPr>
          <w:rFonts w:asciiTheme="majorHAnsi" w:eastAsiaTheme="majorEastAsia" w:hAnsiTheme="majorHAnsi" w:cstheme="majorBidi"/>
          <w:b/>
          <w:bCs/>
          <w:color w:val="auto"/>
          <w:spacing w:val="-10"/>
          <w:kern w:val="28"/>
          <w:sz w:val="36"/>
          <w:szCs w:val="36"/>
        </w:rPr>
        <w:t>Student Journal</w:t>
      </w:r>
    </w:p>
    <w:p w14:paraId="57E2CD9E" w14:textId="4AADA2DD" w:rsidR="001834FC" w:rsidRDefault="00FE051C" w:rsidP="009237CE">
      <w:pPr>
        <w:jc w:val="center"/>
      </w:pPr>
      <w:r>
        <w:rPr>
          <w:rFonts w:asciiTheme="majorHAnsi" w:eastAsiaTheme="majorEastAsia" w:hAnsiTheme="majorHAnsi" w:cstheme="majorBidi"/>
          <w:color w:val="auto"/>
          <w:spacing w:val="-10"/>
          <w:kern w:val="28"/>
          <w:sz w:val="56"/>
          <w:szCs w:val="56"/>
        </w:rPr>
        <w:t xml:space="preserve">                                    </w:t>
      </w:r>
      <w:r w:rsidR="00DA202A">
        <w:rPr>
          <w:rFonts w:asciiTheme="majorHAnsi" w:eastAsiaTheme="majorEastAsia" w:hAnsiTheme="majorHAnsi" w:cstheme="majorBidi"/>
          <w:color w:val="auto"/>
          <w:spacing w:val="-10"/>
          <w:kern w:val="28"/>
          <w:sz w:val="56"/>
          <w:szCs w:val="56"/>
        </w:rPr>
        <w:t xml:space="preserve"> </w:t>
      </w:r>
      <w:r w:rsidR="00D35AD0">
        <w:rPr>
          <w:rFonts w:asciiTheme="majorHAnsi" w:eastAsiaTheme="majorEastAsia" w:hAnsiTheme="majorHAnsi" w:cstheme="majorBidi"/>
          <w:color w:val="auto"/>
          <w:spacing w:val="-10"/>
          <w:kern w:val="28"/>
          <w:sz w:val="56"/>
          <w:szCs w:val="56"/>
        </w:rPr>
        <w:t xml:space="preserve">                             </w:t>
      </w:r>
      <w:r w:rsidR="00DA202A">
        <w:rPr>
          <w:rFonts w:asciiTheme="majorHAnsi" w:eastAsiaTheme="majorEastAsia" w:hAnsiTheme="majorHAnsi" w:cstheme="majorBidi"/>
          <w:color w:val="auto"/>
          <w:spacing w:val="-10"/>
          <w:kern w:val="28"/>
          <w:sz w:val="56"/>
          <w:szCs w:val="56"/>
        </w:rPr>
        <w:t xml:space="preserve">                 </w:t>
      </w:r>
    </w:p>
    <w:p w14:paraId="0F8EB0B7" w14:textId="41A1FEEB" w:rsidR="00FE051C" w:rsidRPr="003B3D92" w:rsidRDefault="00FE051C" w:rsidP="00BE72D8">
      <w:pPr>
        <w:spacing w:line="259" w:lineRule="auto"/>
        <w:jc w:val="left"/>
        <w:rPr>
          <w:b/>
          <w:bCs/>
          <w:sz w:val="22"/>
          <w:szCs w:val="20"/>
          <w:u w:val="single"/>
        </w:rPr>
      </w:pPr>
    </w:p>
    <w:p w14:paraId="2A90A94F" w14:textId="36E6AEDD" w:rsidR="00FE051C" w:rsidRDefault="003B3D92" w:rsidP="00F319F5">
      <w:pPr>
        <w:tabs>
          <w:tab w:val="left" w:pos="4880"/>
          <w:tab w:val="left" w:pos="6160"/>
        </w:tabs>
        <w:spacing w:line="259" w:lineRule="auto"/>
        <w:jc w:val="left"/>
        <w:rPr>
          <w:b/>
          <w:bCs/>
          <w:u w:val="single"/>
        </w:rPr>
      </w:pPr>
      <w:r>
        <w:rPr>
          <w:b/>
          <w:bCs/>
          <w:u w:val="single"/>
        </w:rPr>
        <w:t>Student name-Florentina Ivan</w:t>
      </w:r>
    </w:p>
    <w:p w14:paraId="6B7EF3B6" w14:textId="39D116BC" w:rsidR="00FE051C" w:rsidRDefault="003B3D92" w:rsidP="00BE72D8">
      <w:pPr>
        <w:spacing w:line="259" w:lineRule="auto"/>
        <w:jc w:val="left"/>
        <w:rPr>
          <w:b/>
          <w:bCs/>
          <w:u w:val="single"/>
        </w:rPr>
      </w:pPr>
      <w:r>
        <w:rPr>
          <w:b/>
          <w:bCs/>
          <w:u w:val="single"/>
        </w:rPr>
        <w:t>Student number-2025462</w:t>
      </w:r>
    </w:p>
    <w:p w14:paraId="5CB2ECC8" w14:textId="1C412CFE" w:rsidR="00FE051C" w:rsidRPr="00BE72D8" w:rsidRDefault="00FE051C" w:rsidP="00BE72D8">
      <w:pPr>
        <w:spacing w:line="259" w:lineRule="auto"/>
        <w:jc w:val="left"/>
      </w:pPr>
    </w:p>
    <w:tbl>
      <w:tblPr>
        <w:tblStyle w:val="TableGrid"/>
        <w:tblW w:w="0" w:type="auto"/>
        <w:tblLook w:val="04A0" w:firstRow="1" w:lastRow="0" w:firstColumn="1" w:lastColumn="0" w:noHBand="0" w:noVBand="1"/>
      </w:tblPr>
      <w:tblGrid>
        <w:gridCol w:w="4675"/>
        <w:gridCol w:w="4675"/>
      </w:tblGrid>
      <w:tr w:rsidR="009D24AB" w14:paraId="3637780C" w14:textId="77777777" w:rsidTr="006A55FC">
        <w:tc>
          <w:tcPr>
            <w:tcW w:w="4675" w:type="dxa"/>
            <w:shd w:val="clear" w:color="auto" w:fill="F4B083" w:themeFill="accent2" w:themeFillTint="99"/>
          </w:tcPr>
          <w:p w14:paraId="49696E51" w14:textId="069D20A2" w:rsidR="009D24AB" w:rsidRPr="006A55FC" w:rsidRDefault="009D24AB" w:rsidP="006A55FC">
            <w:pPr>
              <w:spacing w:line="259" w:lineRule="auto"/>
              <w:jc w:val="center"/>
              <w:rPr>
                <w:b/>
                <w:bCs/>
                <w:sz w:val="28"/>
                <w:szCs w:val="24"/>
              </w:rPr>
            </w:pPr>
            <w:r w:rsidRPr="006A55FC">
              <w:rPr>
                <w:b/>
                <w:bCs/>
                <w:sz w:val="28"/>
                <w:szCs w:val="24"/>
              </w:rPr>
              <w:t xml:space="preserve">Topic of </w:t>
            </w:r>
            <w:r w:rsidR="00F319F5" w:rsidRPr="006A55FC">
              <w:rPr>
                <w:b/>
                <w:bCs/>
                <w:sz w:val="28"/>
                <w:szCs w:val="24"/>
              </w:rPr>
              <w:t>Choice:</w:t>
            </w:r>
            <w:r w:rsidR="00F319F5">
              <w:rPr>
                <w:b/>
                <w:bCs/>
                <w:sz w:val="28"/>
                <w:szCs w:val="24"/>
              </w:rPr>
              <w:t xml:space="preserve"> Allergies</w:t>
            </w:r>
            <w:r w:rsidR="0021246B">
              <w:rPr>
                <w:b/>
                <w:bCs/>
                <w:sz w:val="28"/>
                <w:szCs w:val="24"/>
              </w:rPr>
              <w:t xml:space="preserve"> and </w:t>
            </w:r>
            <w:r w:rsidR="004F2AC4">
              <w:rPr>
                <w:b/>
                <w:bCs/>
                <w:sz w:val="28"/>
                <w:szCs w:val="24"/>
              </w:rPr>
              <w:t xml:space="preserve">intolerance and </w:t>
            </w:r>
            <w:r w:rsidR="00C51483">
              <w:rPr>
                <w:b/>
                <w:bCs/>
                <w:sz w:val="28"/>
                <w:szCs w:val="24"/>
              </w:rPr>
              <w:t>the importance</w:t>
            </w:r>
            <w:r w:rsidR="009C21AF">
              <w:rPr>
                <w:b/>
                <w:bCs/>
                <w:sz w:val="28"/>
                <w:szCs w:val="24"/>
              </w:rPr>
              <w:t xml:space="preserve"> </w:t>
            </w:r>
            <w:r w:rsidR="00373AFD">
              <w:rPr>
                <w:b/>
                <w:bCs/>
                <w:sz w:val="28"/>
                <w:szCs w:val="24"/>
              </w:rPr>
              <w:t xml:space="preserve">within </w:t>
            </w:r>
            <w:r w:rsidR="00FC7FD8">
              <w:rPr>
                <w:b/>
                <w:bCs/>
                <w:sz w:val="28"/>
                <w:szCs w:val="24"/>
              </w:rPr>
              <w:t xml:space="preserve">the industry </w:t>
            </w:r>
          </w:p>
        </w:tc>
        <w:tc>
          <w:tcPr>
            <w:tcW w:w="4675" w:type="dxa"/>
            <w:shd w:val="clear" w:color="auto" w:fill="F4B083" w:themeFill="accent2" w:themeFillTint="99"/>
          </w:tcPr>
          <w:p w14:paraId="2DC22A02" w14:textId="77777777" w:rsidR="009D24AB" w:rsidRDefault="003B3D92" w:rsidP="003B3D92">
            <w:pPr>
              <w:spacing w:line="259" w:lineRule="auto"/>
              <w:rPr>
                <w:b/>
                <w:bCs/>
                <w:sz w:val="28"/>
                <w:szCs w:val="24"/>
              </w:rPr>
            </w:pPr>
            <w:r w:rsidRPr="006A55FC">
              <w:rPr>
                <w:b/>
                <w:bCs/>
                <w:sz w:val="28"/>
                <w:szCs w:val="24"/>
              </w:rPr>
              <w:t>Date</w:t>
            </w:r>
            <w:r w:rsidR="00C51483">
              <w:rPr>
                <w:b/>
                <w:bCs/>
                <w:sz w:val="28"/>
                <w:szCs w:val="24"/>
              </w:rPr>
              <w:t xml:space="preserve">: 9 February 2022       </w:t>
            </w:r>
          </w:p>
          <w:p w14:paraId="6CB9FD4E" w14:textId="7F840022" w:rsidR="00C51483" w:rsidRPr="00C51483" w:rsidRDefault="00C51483" w:rsidP="00C51483">
            <w:pPr>
              <w:rPr>
                <w:b/>
                <w:bCs/>
                <w:sz w:val="28"/>
                <w:szCs w:val="24"/>
              </w:rPr>
            </w:pPr>
            <w:r>
              <w:rPr>
                <w:b/>
                <w:bCs/>
                <w:sz w:val="28"/>
                <w:szCs w:val="24"/>
              </w:rPr>
              <w:t>Lecturer: Ryan Peters</w:t>
            </w:r>
          </w:p>
        </w:tc>
      </w:tr>
      <w:tr w:rsidR="009D24AB" w14:paraId="43826B19" w14:textId="77777777" w:rsidTr="009D24AB">
        <w:tblPrEx>
          <w:tblLook w:val="0000" w:firstRow="0" w:lastRow="0" w:firstColumn="0" w:lastColumn="0" w:noHBand="0" w:noVBand="0"/>
        </w:tblPrEx>
        <w:trPr>
          <w:trHeight w:val="100"/>
        </w:trPr>
        <w:tc>
          <w:tcPr>
            <w:tcW w:w="9350" w:type="dxa"/>
            <w:gridSpan w:val="2"/>
          </w:tcPr>
          <w:p w14:paraId="0CCBAE38" w14:textId="10F471DF" w:rsidR="009D24AB" w:rsidRDefault="007620C0" w:rsidP="007620C0">
            <w:r w:rsidRPr="007620C0">
              <w:t>A food allergy is an immune simulation results that occurs when a person comes into contact with certain foods or ingredients. Allergens are the compounds that cause allergic reactions to occur in some individuals. Foods containing allergens are generally not dangerous to the majority of people, but they may cause a precipitate response in a small number of people. Milk and peanuts are the most commonly encountered food allergies</w:t>
            </w:r>
            <w:r w:rsidR="00F43A72">
              <w:t xml:space="preserve"> </w:t>
            </w:r>
            <w:r w:rsidR="00F43A72" w:rsidRPr="00F43A72">
              <w:t>(Why food allergies are on the rise - BBC Future, 2013)</w:t>
            </w:r>
            <w:r w:rsidRPr="007620C0">
              <w:t>. Very little amounts of allergen consuming can occasionally result in allergic reactions, which manifest themselves almost immediately after ingestion. Food allergies can manifest itself in a variety of ways ranging from moderate to severe, along with the life-threatening medical condition called as Anaphylaxis (An abrupt allergy to an ingredient against which the body is being sensitized.) which can develop in response to virtually any allergen.</w:t>
            </w:r>
          </w:p>
          <w:p w14:paraId="1595D8AC" w14:textId="66E56CA3" w:rsidR="007A23C3" w:rsidRDefault="007A23C3" w:rsidP="007620C0">
            <w:r w:rsidRPr="007A23C3">
              <w:t>Food allergies have become widely recognized as a major threat to food safety. The management of food allergies is a shared responsibility that falls on the shoulders of consumers, government agencies, and food producers. Many regional and global authorities are acknowledging the significance of allergy management and setting forth rules that food makers must adhere to in order to be compliant with the law. To be compliant with federal laws in the United States, food makers must mention the eight most frequent ingredients that cause food allergies.</w:t>
            </w:r>
            <w:r>
              <w:t xml:space="preserve"> </w:t>
            </w:r>
            <w:r w:rsidRPr="007A23C3">
              <w:t xml:space="preserve">The Codex Alimentarius Commission </w:t>
            </w:r>
            <w:r>
              <w:t>has already</w:t>
            </w:r>
            <w:r w:rsidRPr="007A23C3">
              <w:t xml:space="preserve"> identified a set of common allergenic foods that can be found around the world</w:t>
            </w:r>
            <w:r w:rsidR="00DE5595">
              <w:t xml:space="preserve"> </w:t>
            </w:r>
            <w:r w:rsidR="00DE5595" w:rsidRPr="00DE5595">
              <w:t>(</w:t>
            </w:r>
            <w:proofErr w:type="spellStart"/>
            <w:r w:rsidR="00DE5595" w:rsidRPr="00DE5595">
              <w:t>Bartos</w:t>
            </w:r>
            <w:proofErr w:type="spellEnd"/>
            <w:r w:rsidR="00DE5595" w:rsidRPr="00DE5595">
              <w:t>, 2011)</w:t>
            </w:r>
            <w:r w:rsidRPr="007A23C3">
              <w:t xml:space="preserve">. Every country has its own set of regulations governing </w:t>
            </w:r>
            <w:r w:rsidRPr="007A23C3">
              <w:lastRenderedPageBreak/>
              <w:t>the warning labels of allergies. When it comes to packaged goods, for example, the EU rules outlines fourteen food allergens that must be labelled when they are used in processed meals. Among the foods on the list are wheat and gluten-containing cereals as well as crustaceans and molluscs. Other foods include eggs, fish and peanut butter</w:t>
            </w:r>
            <w:r w:rsidR="00783C9A">
              <w:t xml:space="preserve">, </w:t>
            </w:r>
            <w:r w:rsidRPr="007A23C3">
              <w:t>nuts, </w:t>
            </w:r>
            <w:r w:rsidR="00783C9A" w:rsidRPr="007A23C3">
              <w:t>milk and eggs, fish and crustacean shellfish (including crab as well as lobster)</w:t>
            </w:r>
            <w:r w:rsidR="00783C9A">
              <w:t xml:space="preserve">, </w:t>
            </w:r>
            <w:r w:rsidR="00783C9A" w:rsidRPr="007A23C3">
              <w:t>wheat &amp; soybeans</w:t>
            </w:r>
            <w:r w:rsidR="00783C9A">
              <w:t xml:space="preserve"> etc</w:t>
            </w:r>
            <w:r w:rsidR="00F43A72">
              <w:t xml:space="preserve"> </w:t>
            </w:r>
            <w:r w:rsidR="00F43A72" w:rsidRPr="00F43A72">
              <w:t xml:space="preserve">(Managing Food Allergies in the Workplace | Safety Guidance, </w:t>
            </w:r>
            <w:r w:rsidR="00F43A72">
              <w:t>2011</w:t>
            </w:r>
            <w:r w:rsidR="00F43A72" w:rsidRPr="00F43A72">
              <w:t>)</w:t>
            </w:r>
            <w:r w:rsidRPr="007A23C3">
              <w:t>.</w:t>
            </w:r>
            <w:r w:rsidR="00783C9A">
              <w:t xml:space="preserve"> </w:t>
            </w:r>
            <w:r w:rsidRPr="007A23C3">
              <w:t>The presence of these substances is responsible for more than 90 percent of all food-related allergies.</w:t>
            </w:r>
          </w:p>
          <w:p w14:paraId="1C61B2DB" w14:textId="2F8F176C" w:rsidR="00783C9A" w:rsidRDefault="00783C9A" w:rsidP="007620C0">
            <w:r>
              <w:t>For avoiding the allergic situations and minimizing the risks of getting exposed of any customers to allergens, there are four fundamental factors checked to ensure food safety</w:t>
            </w:r>
            <w:r w:rsidR="0023651D">
              <w:t xml:space="preserve"> for food and beverage industry.</w:t>
            </w:r>
            <w:r w:rsidR="007C2F7B">
              <w:t xml:space="preserve"> </w:t>
            </w:r>
            <w:r w:rsidR="007C2F7B" w:rsidRPr="007C2F7B">
              <w:t xml:space="preserve">When it </w:t>
            </w:r>
            <w:r w:rsidR="007C2F7B">
              <w:t xml:space="preserve">is </w:t>
            </w:r>
            <w:r w:rsidR="007C2F7B" w:rsidRPr="007C2F7B">
              <w:t>related to</w:t>
            </w:r>
            <w:r w:rsidR="007C2F7B">
              <w:t xml:space="preserve"> the</w:t>
            </w:r>
            <w:r w:rsidR="007C2F7B" w:rsidRPr="007C2F7B">
              <w:t xml:space="preserve"> food processing and safety, the first step is to clean the kitchen thoroughly and properly. It is critical to clean and sanitize both hands as well as all surfaces which will be utilized in the preparation of the meal, such as chopping boards, table tops, cutlery, and so on. This is especially critical when working with raw ingredients that would never be cooked, such as salad items.</w:t>
            </w:r>
            <w:r w:rsidR="007C2F7B">
              <w:t xml:space="preserve"> Containment is another part of the food safety. It helps the whole process by</w:t>
            </w:r>
            <w:r w:rsidR="00F40A30">
              <w:t xml:space="preserve"> preventing cross contaminations</w:t>
            </w:r>
            <w:r w:rsidR="00DE5595">
              <w:t xml:space="preserve"> </w:t>
            </w:r>
            <w:r w:rsidR="00DE5595" w:rsidRPr="00DE5595">
              <w:t>(Griffith, 2005)</w:t>
            </w:r>
            <w:r w:rsidR="00F40A30">
              <w:t>. In cooking, different utensils and cutlery are used to cutting, chopping and processing food ingredients for easy cooking and consumption. Bacterial contamination can easily transfer from one food to another while using common cutlery or bot being enough aware about the sanitization and cleaning hands. Cooking is considered as the best process for ensuring food safety. This is the process of maintaining and regulating different temperatures for preparing different foods to kill bacteria which can cause food poisoning</w:t>
            </w:r>
            <w:r w:rsidR="00DE5595">
              <w:t xml:space="preserve"> </w:t>
            </w:r>
            <w:r w:rsidR="00DE5595" w:rsidRPr="00DE5595">
              <w:t>(Cooking for people with food allergies | Food Standards</w:t>
            </w:r>
            <w:r w:rsidR="00DE5595">
              <w:t>, 2017</w:t>
            </w:r>
            <w:r w:rsidR="00DE5595" w:rsidRPr="00DE5595">
              <w:t>.)</w:t>
            </w:r>
            <w:r w:rsidR="00F40A30">
              <w:t>.</w:t>
            </w:r>
            <w:r w:rsidR="0019756B">
              <w:t xml:space="preserve"> It is quite vital while preparing a dish which has livestock proteins. In this case, use of meat thermometer to check the inner meat temperature will provide safety to ensure the targeted temperature for proper cooking</w:t>
            </w:r>
            <w:r w:rsidR="00DE5595">
              <w:t xml:space="preserve"> </w:t>
            </w:r>
            <w:r w:rsidR="00DE5595" w:rsidRPr="00DE5595">
              <w:t>(Taylor-Butler, 2008)</w:t>
            </w:r>
            <w:r w:rsidR="0019756B">
              <w:t xml:space="preserve">. After every use, the meat thermometer has to be washed in hot, soapy water for avoiding contaminations. Final aspect is chilling. After preparing dishes, leftovers have to be preserved as soon as possible. It is best to use widespread dishes and dividing the food into smaller portions for quick cooling. It is recommended that within one or two </w:t>
            </w:r>
            <w:r w:rsidR="00167F3A">
              <w:t>hours</w:t>
            </w:r>
            <w:r w:rsidR="0019756B">
              <w:t xml:space="preserve">, the food should be </w:t>
            </w:r>
            <w:r w:rsidR="00167F3A">
              <w:t>kept in containers and preserve them in refrigerator for later but not more than three days.</w:t>
            </w:r>
          </w:p>
          <w:p w14:paraId="21895884" w14:textId="3ACE608A" w:rsidR="00167F3A" w:rsidRDefault="00167F3A" w:rsidP="007620C0">
            <w:r>
              <w:t xml:space="preserve">In food industry, public health related issues are properly maintained through rating systems, inspections and reporting </w:t>
            </w:r>
            <w:r w:rsidRPr="00DE5595">
              <w:t>procedures</w:t>
            </w:r>
            <w:r w:rsidR="00DE5595" w:rsidRPr="00DE5595">
              <w:t xml:space="preserve"> (Food Allergies | FDA, 2012)</w:t>
            </w:r>
            <w:r>
              <w:t>.</w:t>
            </w:r>
            <w:r w:rsidR="00026535">
              <w:t xml:space="preserve"> </w:t>
            </w:r>
            <w:r w:rsidR="00026535" w:rsidRPr="00026535">
              <w:t xml:space="preserve">Professional Evaluation and </w:t>
            </w:r>
            <w:r w:rsidR="00026535" w:rsidRPr="00026535">
              <w:lastRenderedPageBreak/>
              <w:t>Certification Board</w:t>
            </w:r>
            <w:r w:rsidR="00026535">
              <w:t xml:space="preserve"> maintains different regulations and auditory aspects through providing trainings and certifications standards for proper monitoring and inspections according to the ISO Food Safety standards. According to the ISO 22002-1:2009, it is essential to maintain technical specifications, establishment, implementation and managing Allergen Management Program</w:t>
            </w:r>
            <w:r w:rsidR="00DE5595">
              <w:t xml:space="preserve"> </w:t>
            </w:r>
            <w:r w:rsidR="00DE5595" w:rsidRPr="00DE5595">
              <w:t xml:space="preserve">(Food allergy and intolerance | Food Standards Agency, </w:t>
            </w:r>
            <w:r w:rsidR="00DE5595">
              <w:t>2012</w:t>
            </w:r>
            <w:r w:rsidR="00DE5595" w:rsidRPr="00DE5595">
              <w:t>)</w:t>
            </w:r>
            <w:r w:rsidR="00026535">
              <w:t xml:space="preserve">. Physical segregation of allergens, education and training, </w:t>
            </w:r>
            <w:r w:rsidR="0021571A">
              <w:t>declaration of allergen products all are related in the process of proper rating, monitoring and reporting process.</w:t>
            </w:r>
          </w:p>
          <w:p w14:paraId="7777A1AD" w14:textId="25071948" w:rsidR="00167F3A" w:rsidRDefault="00167F3A" w:rsidP="007620C0"/>
        </w:tc>
      </w:tr>
    </w:tbl>
    <w:p w14:paraId="4F770356" w14:textId="77777777" w:rsidR="001834FC" w:rsidRDefault="001834FC" w:rsidP="009237CE">
      <w:pPr>
        <w:sectPr w:rsidR="001834FC" w:rsidSect="001834FC">
          <w:footerReference w:type="default" r:id="rId7"/>
          <w:pgSz w:w="12240" w:h="15840"/>
          <w:pgMar w:top="1440" w:right="1440" w:bottom="1440" w:left="1440" w:header="720" w:footer="720" w:gutter="0"/>
          <w:pgNumType w:fmt="lowerRoman"/>
          <w:cols w:space="720"/>
          <w:docGrid w:linePitch="360"/>
        </w:sectPr>
      </w:pPr>
    </w:p>
    <w:p w14:paraId="17598CB2" w14:textId="77DAD2C6" w:rsidR="001834FC" w:rsidRDefault="001834FC" w:rsidP="001834FC">
      <w:pPr>
        <w:pStyle w:val="Heading1"/>
      </w:pPr>
      <w:bookmarkStart w:id="0" w:name="_Toc531564976"/>
      <w:r>
        <w:lastRenderedPageBreak/>
        <w:t>Reference</w:t>
      </w:r>
      <w:bookmarkEnd w:id="0"/>
      <w:r w:rsidR="00D22FD2">
        <w:t>s</w:t>
      </w:r>
    </w:p>
    <w:p w14:paraId="20D4ED5E" w14:textId="63782172" w:rsidR="00D22FD2" w:rsidRDefault="00D22FD2" w:rsidP="00D22FD2">
      <w:proofErr w:type="spellStart"/>
      <w:r w:rsidRPr="00D22FD2">
        <w:t>Bartos</w:t>
      </w:r>
      <w:proofErr w:type="spellEnd"/>
      <w:r w:rsidRPr="00D22FD2">
        <w:t>, J., 2011. </w:t>
      </w:r>
      <w:r w:rsidRPr="00D22FD2">
        <w:rPr>
          <w:i/>
          <w:iCs/>
        </w:rPr>
        <w:t>Food safety</w:t>
      </w:r>
      <w:r w:rsidRPr="00D22FD2">
        <w:t>. Detroit: Greenhaven Press.</w:t>
      </w:r>
    </w:p>
    <w:p w14:paraId="12A8068E" w14:textId="763FDEB2" w:rsidR="00D22FD2" w:rsidRDefault="00D22FD2" w:rsidP="00D22FD2">
      <w:r>
        <w:t>Food Standards, 2017</w:t>
      </w:r>
      <w:r w:rsidRPr="00D22FD2">
        <w:t>. </w:t>
      </w:r>
      <w:r w:rsidRPr="00D22FD2">
        <w:rPr>
          <w:i/>
          <w:iCs/>
        </w:rPr>
        <w:t>Cooking for people with food allergies | Food Standards ...</w:t>
      </w:r>
      <w:r w:rsidRPr="00D22FD2">
        <w:t>. [online] Available at: &lt;https://www.foodstandards.gov.scot/consumers/food-safety/food-allergies/cooking-for-people-with-allergies&gt; [Accessed 2022].</w:t>
      </w:r>
    </w:p>
    <w:p w14:paraId="0B4F58F0" w14:textId="62337A9F" w:rsidR="00D22FD2" w:rsidRDefault="00D22FD2" w:rsidP="00D22FD2">
      <w:r>
        <w:t>FDA, 2012</w:t>
      </w:r>
      <w:r w:rsidRPr="00D22FD2">
        <w:t>. </w:t>
      </w:r>
      <w:r w:rsidRPr="00D22FD2">
        <w:rPr>
          <w:i/>
          <w:iCs/>
        </w:rPr>
        <w:t>Food Allergies | FDA</w:t>
      </w:r>
      <w:r w:rsidRPr="00D22FD2">
        <w:t>. [online] Available at: &lt;https://www.fda.gov/food/food-labeling-nutrition/food-allergies&gt; [Accessed 2022].</w:t>
      </w:r>
    </w:p>
    <w:p w14:paraId="6BF40A17" w14:textId="204B4798" w:rsidR="00D22FD2" w:rsidRPr="00D22FD2" w:rsidRDefault="00D22FD2" w:rsidP="00D22FD2">
      <w:r>
        <w:t>FSA, 2012</w:t>
      </w:r>
      <w:r w:rsidRPr="00D22FD2">
        <w:t>. </w:t>
      </w:r>
      <w:r w:rsidRPr="00D22FD2">
        <w:rPr>
          <w:i/>
          <w:iCs/>
        </w:rPr>
        <w:t>Food allergy and intolerance | Food Standards Agency</w:t>
      </w:r>
      <w:r w:rsidRPr="00D22FD2">
        <w:t>. [online] Available at: &lt;https://www.food.gov.uk/safety-hygiene/food-allergy-and-intolerance&gt; [Accessed 2022].</w:t>
      </w:r>
    </w:p>
    <w:p w14:paraId="0FD0F3B8" w14:textId="1EF9D2F6" w:rsidR="000F02BF" w:rsidRPr="00D22FD2" w:rsidRDefault="00D22FD2" w:rsidP="00D22FD2">
      <w:r w:rsidRPr="00D22FD2">
        <w:t>Griffith, C., 2005. </w:t>
      </w:r>
      <w:r w:rsidRPr="00D22FD2">
        <w:rPr>
          <w:i/>
          <w:iCs/>
        </w:rPr>
        <w:t>British food journal: an international multi-disciplinary journal for the dissemination of food-related research</w:t>
      </w:r>
      <w:r w:rsidRPr="00D22FD2">
        <w:t>. Bradford, England: Emerald Group Pub.</w:t>
      </w:r>
    </w:p>
    <w:p w14:paraId="711EE4E1" w14:textId="138B0139" w:rsidR="00D22FD2" w:rsidRDefault="00D22FD2" w:rsidP="00D22FD2">
      <w:r w:rsidRPr="00D22FD2">
        <w:t>Safety Guidance,</w:t>
      </w:r>
      <w:r w:rsidR="00DE5595">
        <w:t xml:space="preserve"> 2011. </w:t>
      </w:r>
      <w:r w:rsidRPr="00D22FD2">
        <w:rPr>
          <w:i/>
          <w:iCs/>
        </w:rPr>
        <w:t>Managing Food Allergies in the Workplace | Safety Guidance</w:t>
      </w:r>
      <w:r w:rsidRPr="00D22FD2">
        <w:t>. [online] Available at: &lt;https://www.highspeedtraining.co.uk/hub/food-allergies-in-the-workplace/&gt; [Accessed 2022].</w:t>
      </w:r>
    </w:p>
    <w:p w14:paraId="28FDA914" w14:textId="1ADCA44A" w:rsidR="00DE5595" w:rsidRDefault="00DE5595" w:rsidP="00D22FD2">
      <w:r w:rsidRPr="00DE5595">
        <w:t>Taylor-Butler, C., 2008. </w:t>
      </w:r>
      <w:r w:rsidRPr="00DE5595">
        <w:rPr>
          <w:i/>
          <w:iCs/>
        </w:rPr>
        <w:t>Food safety</w:t>
      </w:r>
      <w:r w:rsidRPr="00DE5595">
        <w:t>. New York, NY: Children's Press.</w:t>
      </w:r>
    </w:p>
    <w:p w14:paraId="1D9758E4" w14:textId="437CB7CF" w:rsidR="00DE5595" w:rsidRPr="000F02BF" w:rsidRDefault="00DE5595" w:rsidP="00D22FD2">
      <w:r>
        <w:t>BBC Future, 2013</w:t>
      </w:r>
      <w:r w:rsidRPr="00DE5595">
        <w:t>. </w:t>
      </w:r>
      <w:r w:rsidRPr="00DE5595">
        <w:rPr>
          <w:i/>
          <w:iCs/>
        </w:rPr>
        <w:t>Why food allergies are on the rise - BBC Future</w:t>
      </w:r>
      <w:r w:rsidRPr="00DE5595">
        <w:t>. [online] Available at: &lt;https://www.bbc.com/future/article/20201023-food-allergies-why-nut-dairy-and-food-allergy-are-rising&gt; [Accessed 2022].</w:t>
      </w:r>
    </w:p>
    <w:sectPr w:rsidR="00DE5595"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29B9F" w14:textId="77777777" w:rsidR="008F5F4D" w:rsidRDefault="008F5F4D" w:rsidP="001834FC">
      <w:pPr>
        <w:spacing w:after="0" w:line="240" w:lineRule="auto"/>
      </w:pPr>
      <w:r>
        <w:separator/>
      </w:r>
    </w:p>
  </w:endnote>
  <w:endnote w:type="continuationSeparator" w:id="0">
    <w:p w14:paraId="78C0C78B" w14:textId="77777777" w:rsidR="008F5F4D" w:rsidRDefault="008F5F4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1E461" w14:textId="77777777" w:rsidR="008F5F4D" w:rsidRDefault="008F5F4D" w:rsidP="001834FC">
      <w:pPr>
        <w:spacing w:after="0" w:line="240" w:lineRule="auto"/>
      </w:pPr>
      <w:r>
        <w:separator/>
      </w:r>
    </w:p>
  </w:footnote>
  <w:footnote w:type="continuationSeparator" w:id="0">
    <w:p w14:paraId="5FB04544" w14:textId="77777777" w:rsidR="008F5F4D" w:rsidRDefault="008F5F4D"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wUAzy9IRywAAAA="/>
  </w:docVars>
  <w:rsids>
    <w:rsidRoot w:val="00A60069"/>
    <w:rsid w:val="00026535"/>
    <w:rsid w:val="00092C5F"/>
    <w:rsid w:val="000E047C"/>
    <w:rsid w:val="000F02BF"/>
    <w:rsid w:val="00167F3A"/>
    <w:rsid w:val="001834FC"/>
    <w:rsid w:val="001958B9"/>
    <w:rsid w:val="0019756B"/>
    <w:rsid w:val="001D16F6"/>
    <w:rsid w:val="0021246B"/>
    <w:rsid w:val="0021571A"/>
    <w:rsid w:val="0022399E"/>
    <w:rsid w:val="0023651D"/>
    <w:rsid w:val="00252195"/>
    <w:rsid w:val="00283874"/>
    <w:rsid w:val="003234EE"/>
    <w:rsid w:val="003675B4"/>
    <w:rsid w:val="00373AFD"/>
    <w:rsid w:val="00387612"/>
    <w:rsid w:val="003B3D92"/>
    <w:rsid w:val="00467636"/>
    <w:rsid w:val="004F2AC4"/>
    <w:rsid w:val="006A55FC"/>
    <w:rsid w:val="006F3E7B"/>
    <w:rsid w:val="007620C0"/>
    <w:rsid w:val="00783C9A"/>
    <w:rsid w:val="007A23C3"/>
    <w:rsid w:val="007B4A1D"/>
    <w:rsid w:val="007C2F7B"/>
    <w:rsid w:val="00825641"/>
    <w:rsid w:val="008F5F4D"/>
    <w:rsid w:val="00913C8F"/>
    <w:rsid w:val="009237CE"/>
    <w:rsid w:val="00975554"/>
    <w:rsid w:val="00985484"/>
    <w:rsid w:val="00997DC5"/>
    <w:rsid w:val="009C21AF"/>
    <w:rsid w:val="009C71BC"/>
    <w:rsid w:val="009D24AB"/>
    <w:rsid w:val="00A30F28"/>
    <w:rsid w:val="00A60069"/>
    <w:rsid w:val="00A851FD"/>
    <w:rsid w:val="00AD2C3D"/>
    <w:rsid w:val="00BB6D54"/>
    <w:rsid w:val="00BE72D8"/>
    <w:rsid w:val="00C51483"/>
    <w:rsid w:val="00CF415F"/>
    <w:rsid w:val="00D22FD2"/>
    <w:rsid w:val="00D35AD0"/>
    <w:rsid w:val="00DA202A"/>
    <w:rsid w:val="00DE5595"/>
    <w:rsid w:val="00E6735F"/>
    <w:rsid w:val="00EB7A2D"/>
    <w:rsid w:val="00EC16C3"/>
    <w:rsid w:val="00F21307"/>
    <w:rsid w:val="00F319F5"/>
    <w:rsid w:val="00F40A30"/>
    <w:rsid w:val="00F43A72"/>
    <w:rsid w:val="00FC7FD8"/>
    <w:rsid w:val="00FE051C"/>
    <w:rsid w:val="00FF70D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styleId="TableGrid">
    <w:name w:val="Table Grid"/>
    <w:basedOn w:val="TableNormal"/>
    <w:uiPriority w:val="39"/>
    <w:rsid w:val="009D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1012</Words>
  <Characters>5772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2022-02-10T15:57:00Z</dcterms:created>
  <dcterms:modified xsi:type="dcterms:W3CDTF">2022-02-10T16:36:00Z</dcterms:modified>
</cp:coreProperties>
</file>