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1D536" w14:textId="25869FE0" w:rsidR="00061430" w:rsidRPr="003653A6" w:rsidRDefault="00061430" w:rsidP="003653A6">
      <w:p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noProof/>
          <w:kern w:val="0"/>
          <w:sz w:val="24"/>
          <w:szCs w:val="24"/>
          <w:bdr w:val="none" w:sz="0" w:space="0" w:color="auto" w:frame="1"/>
          <w:lang w:eastAsia="en-GB"/>
          <w14:ligatures w14:val="none"/>
        </w:rPr>
        <mc:AlternateContent>
          <mc:Choice Requires="wps">
            <w:drawing>
              <wp:inline distT="0" distB="0" distL="0" distR="0" wp14:anchorId="413609E8" wp14:editId="5126DBA0">
                <wp:extent cx="304800" cy="304800"/>
                <wp:effectExtent l="0" t="0" r="0" b="0"/>
                <wp:docPr id="28" name="AutoShap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4EBFB6" id="AutoShape 1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653A6">
        <w:rPr>
          <w:rFonts w:ascii="Arial" w:eastAsia="Times New Roman" w:hAnsi="Arial" w:cs="Arial"/>
          <w:noProof/>
          <w:kern w:val="0"/>
          <w:sz w:val="24"/>
          <w:szCs w:val="24"/>
          <w:bdr w:val="none" w:sz="0" w:space="0" w:color="auto" w:frame="1"/>
          <w:lang w:eastAsia="en-GB"/>
          <w14:ligatures w14:val="none"/>
        </w:rPr>
        <mc:AlternateContent>
          <mc:Choice Requires="wps">
            <w:drawing>
              <wp:inline distT="0" distB="0" distL="0" distR="0" wp14:anchorId="5AC47ADD" wp14:editId="3EAA6626">
                <wp:extent cx="304800" cy="304800"/>
                <wp:effectExtent l="0" t="0" r="0" b="0"/>
                <wp:docPr id="27" name="AutoShape 16" descr="Mohammed Muddasa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DA0FB1" id="AutoShape 16" o:spid="_x0000_s1026" alt="Mohammed Muddasa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3F3391B" w14:textId="10DB2E75" w:rsidR="00061430" w:rsidRPr="003653A6" w:rsidRDefault="00061430" w:rsidP="003653A6">
      <w:pPr>
        <w:spacing w:after="100" w:line="360" w:lineRule="auto"/>
        <w:jc w:val="both"/>
        <w:rPr>
          <w:rFonts w:ascii="Arial" w:eastAsia="Times New Roman" w:hAnsi="Arial" w:cs="Arial"/>
          <w:kern w:val="0"/>
          <w:sz w:val="24"/>
          <w:szCs w:val="24"/>
          <w:lang w:eastAsia="en-GB"/>
          <w14:ligatures w14:val="none"/>
        </w:rPr>
      </w:pPr>
    </w:p>
    <w:p w14:paraId="01AF2423" w14:textId="77777777" w:rsidR="00C354A1" w:rsidRDefault="00C354A1" w:rsidP="003653A6">
      <w:pPr>
        <w:spacing w:after="300" w:line="360" w:lineRule="auto"/>
        <w:jc w:val="both"/>
        <w:rPr>
          <w:rFonts w:ascii="Arial" w:eastAsia="Times New Roman" w:hAnsi="Arial" w:cs="Arial"/>
          <w:kern w:val="0"/>
          <w:sz w:val="24"/>
          <w:szCs w:val="24"/>
          <w:lang w:eastAsia="en-GB"/>
          <w14:ligatures w14:val="none"/>
        </w:rPr>
      </w:pPr>
    </w:p>
    <w:p w14:paraId="2EEADCB7" w14:textId="77777777" w:rsidR="00C354A1" w:rsidRPr="00C354A1" w:rsidRDefault="00C354A1" w:rsidP="00C354A1">
      <w:pPr>
        <w:jc w:val="center"/>
        <w:rPr>
          <w:sz w:val="72"/>
          <w:szCs w:val="72"/>
        </w:rPr>
      </w:pPr>
      <w:r w:rsidRPr="00C354A1">
        <w:rPr>
          <w:sz w:val="72"/>
          <w:szCs w:val="72"/>
        </w:rPr>
        <w:t>Mohammed Muddasar</w:t>
      </w:r>
    </w:p>
    <w:p w14:paraId="03221494" w14:textId="77777777" w:rsidR="00C354A1" w:rsidRPr="00C354A1" w:rsidRDefault="00C354A1" w:rsidP="00C354A1">
      <w:pPr>
        <w:jc w:val="center"/>
        <w:rPr>
          <w:sz w:val="72"/>
          <w:szCs w:val="72"/>
        </w:rPr>
      </w:pPr>
    </w:p>
    <w:p w14:paraId="4D7C18CE" w14:textId="77777777" w:rsidR="00C354A1" w:rsidRPr="00C354A1" w:rsidRDefault="00C354A1" w:rsidP="00C354A1">
      <w:pPr>
        <w:jc w:val="center"/>
        <w:rPr>
          <w:sz w:val="72"/>
          <w:szCs w:val="72"/>
        </w:rPr>
      </w:pPr>
      <w:r w:rsidRPr="00C354A1">
        <w:rPr>
          <w:sz w:val="72"/>
          <w:szCs w:val="72"/>
        </w:rPr>
        <w:t>2121682</w:t>
      </w:r>
    </w:p>
    <w:p w14:paraId="2CD062AB" w14:textId="77777777" w:rsidR="00C354A1" w:rsidRPr="00C354A1" w:rsidRDefault="00C354A1" w:rsidP="00C354A1">
      <w:pPr>
        <w:jc w:val="center"/>
        <w:rPr>
          <w:sz w:val="72"/>
          <w:szCs w:val="72"/>
        </w:rPr>
      </w:pPr>
    </w:p>
    <w:p w14:paraId="5165FDB5" w14:textId="1AA655BF" w:rsidR="00C354A1" w:rsidRPr="00C354A1" w:rsidRDefault="00C354A1" w:rsidP="00C354A1">
      <w:pPr>
        <w:jc w:val="center"/>
        <w:rPr>
          <w:sz w:val="72"/>
          <w:szCs w:val="72"/>
        </w:rPr>
      </w:pPr>
      <w:r w:rsidRPr="00C354A1">
        <w:rPr>
          <w:sz w:val="72"/>
          <w:szCs w:val="72"/>
        </w:rPr>
        <w:t>Financial Management</w:t>
      </w:r>
    </w:p>
    <w:p w14:paraId="50C2DC73" w14:textId="77777777" w:rsidR="00C354A1" w:rsidRPr="00C354A1" w:rsidRDefault="00C354A1" w:rsidP="00C354A1">
      <w:pPr>
        <w:jc w:val="center"/>
        <w:rPr>
          <w:sz w:val="72"/>
          <w:szCs w:val="72"/>
        </w:rPr>
      </w:pPr>
    </w:p>
    <w:p w14:paraId="5E8FFD7E" w14:textId="5A075F7F" w:rsidR="00C354A1" w:rsidRPr="00C354A1" w:rsidRDefault="00C354A1" w:rsidP="00C354A1">
      <w:pPr>
        <w:jc w:val="center"/>
        <w:rPr>
          <w:sz w:val="72"/>
          <w:szCs w:val="72"/>
        </w:rPr>
      </w:pPr>
      <w:r w:rsidRPr="00C354A1">
        <w:rPr>
          <w:sz w:val="72"/>
          <w:szCs w:val="72"/>
        </w:rPr>
        <w:t>BMIH5007</w:t>
      </w:r>
    </w:p>
    <w:p w14:paraId="54FCC32F" w14:textId="77777777" w:rsidR="00C354A1" w:rsidRPr="00C354A1" w:rsidRDefault="00C354A1" w:rsidP="00C354A1">
      <w:pPr>
        <w:jc w:val="center"/>
        <w:rPr>
          <w:sz w:val="72"/>
          <w:szCs w:val="72"/>
        </w:rPr>
      </w:pPr>
    </w:p>
    <w:p w14:paraId="12E7ED55" w14:textId="1163F05A" w:rsidR="00C354A1" w:rsidRPr="00C354A1" w:rsidRDefault="00C354A1" w:rsidP="00C354A1">
      <w:pPr>
        <w:jc w:val="center"/>
        <w:rPr>
          <w:sz w:val="72"/>
          <w:szCs w:val="72"/>
        </w:rPr>
      </w:pPr>
      <w:r w:rsidRPr="00C354A1">
        <w:rPr>
          <w:sz w:val="72"/>
          <w:szCs w:val="72"/>
        </w:rPr>
        <w:t>Dale Clarke</w:t>
      </w:r>
    </w:p>
    <w:p w14:paraId="63AC023C" w14:textId="77777777" w:rsidR="00C354A1" w:rsidRDefault="00C354A1" w:rsidP="003653A6">
      <w:pPr>
        <w:spacing w:after="300" w:line="360" w:lineRule="auto"/>
        <w:jc w:val="both"/>
        <w:rPr>
          <w:rFonts w:ascii="Arial" w:eastAsia="Times New Roman" w:hAnsi="Arial" w:cs="Arial"/>
          <w:kern w:val="0"/>
          <w:sz w:val="24"/>
          <w:szCs w:val="24"/>
          <w:lang w:eastAsia="en-GB"/>
          <w14:ligatures w14:val="none"/>
        </w:rPr>
      </w:pPr>
    </w:p>
    <w:p w14:paraId="12A8EE6B" w14:textId="77777777" w:rsidR="00C354A1" w:rsidRDefault="00C354A1" w:rsidP="003653A6">
      <w:pPr>
        <w:spacing w:after="300" w:line="360" w:lineRule="auto"/>
        <w:jc w:val="both"/>
        <w:rPr>
          <w:rFonts w:ascii="Arial" w:eastAsia="Times New Roman" w:hAnsi="Arial" w:cs="Arial"/>
          <w:kern w:val="0"/>
          <w:sz w:val="24"/>
          <w:szCs w:val="24"/>
          <w:lang w:eastAsia="en-GB"/>
          <w14:ligatures w14:val="none"/>
        </w:rPr>
      </w:pPr>
    </w:p>
    <w:p w14:paraId="502B10EC" w14:textId="77777777" w:rsidR="00C354A1" w:rsidRDefault="00C354A1" w:rsidP="003653A6">
      <w:pPr>
        <w:spacing w:after="300" w:line="360" w:lineRule="auto"/>
        <w:jc w:val="both"/>
        <w:rPr>
          <w:rFonts w:ascii="Arial" w:eastAsia="Times New Roman" w:hAnsi="Arial" w:cs="Arial"/>
          <w:kern w:val="0"/>
          <w:sz w:val="24"/>
          <w:szCs w:val="24"/>
          <w:lang w:eastAsia="en-GB"/>
          <w14:ligatures w14:val="none"/>
        </w:rPr>
      </w:pPr>
    </w:p>
    <w:p w14:paraId="24E27662" w14:textId="405A4F96" w:rsidR="00061430" w:rsidRPr="003653A6" w:rsidRDefault="00061430" w:rsidP="00FA3525">
      <w:pPr>
        <w:spacing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lastRenderedPageBreak/>
        <w:t>The hospitality industry has experienced rapid growth in recent years, with global tourism on the rise and an increasing demand for high-quality accommodations and amenities. In such a competitive market, it is crucial for hotel chains to differentiate themselves and establish a strong brand image to attract and retain customers. Marriott Hotel and Hyatt Hotel have both emerged as top players in this industry, known for their exceptional service, luxurious amenities, and commitment to corporate social responsibility (CSR).</w:t>
      </w:r>
    </w:p>
    <w:p w14:paraId="1EE46293" w14:textId="32A5304B" w:rsidR="00061430" w:rsidRPr="003653A6" w:rsidRDefault="00061430" w:rsidP="00FA3525">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With a history spanning over 90 years, Marriott Hotel has become the largest hotel chain in the world by number of rooms, with a portfolio of over </w:t>
      </w:r>
      <w:r w:rsidR="0018208B">
        <w:rPr>
          <w:rFonts w:ascii="Arial" w:eastAsia="Times New Roman" w:hAnsi="Arial" w:cs="Arial"/>
          <w:kern w:val="0"/>
          <w:sz w:val="24"/>
          <w:szCs w:val="24"/>
          <w:lang w:eastAsia="en-GB"/>
          <w14:ligatures w14:val="none"/>
        </w:rPr>
        <w:t>31</w:t>
      </w:r>
      <w:r w:rsidRPr="003653A6">
        <w:rPr>
          <w:rFonts w:ascii="Arial" w:eastAsia="Times New Roman" w:hAnsi="Arial" w:cs="Arial"/>
          <w:kern w:val="0"/>
          <w:sz w:val="24"/>
          <w:szCs w:val="24"/>
          <w:lang w:eastAsia="en-GB"/>
          <w14:ligatures w14:val="none"/>
        </w:rPr>
        <w:t xml:space="preserve"> hotel </w:t>
      </w:r>
      <w:r w:rsidR="0018208B">
        <w:rPr>
          <w:rFonts w:ascii="Arial" w:eastAsia="Times New Roman" w:hAnsi="Arial" w:cs="Arial"/>
          <w:kern w:val="0"/>
          <w:sz w:val="24"/>
          <w:szCs w:val="24"/>
          <w:lang w:eastAsia="en-GB"/>
          <w14:ligatures w14:val="none"/>
        </w:rPr>
        <w:t>properties</w:t>
      </w:r>
      <w:r w:rsidRPr="003653A6">
        <w:rPr>
          <w:rFonts w:ascii="Arial" w:eastAsia="Times New Roman" w:hAnsi="Arial" w:cs="Arial"/>
          <w:kern w:val="0"/>
          <w:sz w:val="24"/>
          <w:szCs w:val="24"/>
          <w:lang w:eastAsia="en-GB"/>
          <w14:ligatures w14:val="none"/>
        </w:rPr>
        <w:t xml:space="preserve"> and 7,600 properties in </w:t>
      </w:r>
      <w:r w:rsidR="0018208B">
        <w:rPr>
          <w:rFonts w:ascii="Arial" w:eastAsia="Times New Roman" w:hAnsi="Arial" w:cs="Arial"/>
          <w:kern w:val="0"/>
          <w:sz w:val="24"/>
          <w:szCs w:val="24"/>
          <w:lang w:eastAsia="en-GB"/>
          <w14:ligatures w14:val="none"/>
        </w:rPr>
        <w:t xml:space="preserve">over </w:t>
      </w:r>
      <w:r w:rsidRPr="003653A6">
        <w:rPr>
          <w:rFonts w:ascii="Arial" w:eastAsia="Times New Roman" w:hAnsi="Arial" w:cs="Arial"/>
          <w:kern w:val="0"/>
          <w:sz w:val="24"/>
          <w:szCs w:val="24"/>
          <w:lang w:eastAsia="en-GB"/>
          <w14:ligatures w14:val="none"/>
        </w:rPr>
        <w:t xml:space="preserve">133 </w:t>
      </w:r>
      <w:r w:rsidR="0018208B" w:rsidRPr="003653A6">
        <w:rPr>
          <w:rFonts w:ascii="Arial" w:eastAsia="Times New Roman" w:hAnsi="Arial" w:cs="Arial"/>
          <w:kern w:val="0"/>
          <w:sz w:val="24"/>
          <w:szCs w:val="24"/>
          <w:lang w:eastAsia="en-GB"/>
          <w14:ligatures w14:val="none"/>
        </w:rPr>
        <w:t>nations</w:t>
      </w:r>
      <w:r w:rsidRPr="003653A6">
        <w:rPr>
          <w:rFonts w:ascii="Arial" w:eastAsia="Times New Roman" w:hAnsi="Arial" w:cs="Arial"/>
          <w:kern w:val="0"/>
          <w:sz w:val="24"/>
          <w:szCs w:val="24"/>
          <w:lang w:eastAsia="en-GB"/>
          <w14:ligatures w14:val="none"/>
        </w:rPr>
        <w:t xml:space="preserve"> and territories. In contrast, Hyatt Hotel is a smaller, more boutique-style hotel chain with 921 properties in 72 countries. Despite their differences in size and style, both Marriott and Hyatt are recognized for their high standards of service and hospitality.</w:t>
      </w:r>
    </w:p>
    <w:p w14:paraId="3AA65421" w14:textId="29B91677" w:rsidR="00061430" w:rsidRPr="003653A6" w:rsidRDefault="0018208B" w:rsidP="00FA3525">
      <w:pPr>
        <w:spacing w:before="300" w:after="100" w:line="360" w:lineRule="auto"/>
        <w:jc w:val="both"/>
        <w:rPr>
          <w:rFonts w:ascii="Arial" w:eastAsia="Times New Roman" w:hAnsi="Arial" w:cs="Arial"/>
          <w:kern w:val="0"/>
          <w:sz w:val="24"/>
          <w:szCs w:val="24"/>
          <w:lang w:eastAsia="en-GB"/>
          <w14:ligatures w14:val="none"/>
        </w:rPr>
      </w:pPr>
      <w:r w:rsidRPr="0018208B">
        <w:rPr>
          <w:rFonts w:ascii="Arial" w:eastAsia="Times New Roman" w:hAnsi="Arial" w:cs="Arial"/>
          <w:kern w:val="0"/>
          <w:sz w:val="24"/>
          <w:szCs w:val="24"/>
          <w:lang w:eastAsia="en-GB"/>
          <w14:ligatures w14:val="none"/>
        </w:rPr>
        <w:t>Both Marriott and Hyatt are dealing with new difficulties and chances for growth as the hospitality sector continues to expand and change. A major effect of the COVID-19 epidemic on the sector</w:t>
      </w:r>
      <w:r w:rsidR="00061430" w:rsidRPr="003653A6">
        <w:rPr>
          <w:rFonts w:ascii="Arial" w:eastAsia="Times New Roman" w:hAnsi="Arial" w:cs="Arial"/>
          <w:kern w:val="0"/>
          <w:sz w:val="24"/>
          <w:szCs w:val="24"/>
          <w:lang w:eastAsia="en-GB"/>
          <w14:ligatures w14:val="none"/>
        </w:rPr>
        <w:t xml:space="preserve">, forcing hotel chains to adapt to changing consumer preferences and </w:t>
      </w:r>
      <w:r w:rsidR="006E1702" w:rsidRPr="003653A6">
        <w:rPr>
          <w:rFonts w:ascii="Arial" w:eastAsia="Times New Roman" w:hAnsi="Arial" w:cs="Arial"/>
          <w:kern w:val="0"/>
          <w:sz w:val="24"/>
          <w:szCs w:val="24"/>
          <w:lang w:eastAsia="en-GB"/>
          <w14:ligatures w14:val="none"/>
        </w:rPr>
        <w:t>behaviours</w:t>
      </w:r>
      <w:r w:rsidR="00061430" w:rsidRPr="003653A6">
        <w:rPr>
          <w:rFonts w:ascii="Arial" w:eastAsia="Times New Roman" w:hAnsi="Arial" w:cs="Arial"/>
          <w:kern w:val="0"/>
          <w:sz w:val="24"/>
          <w:szCs w:val="24"/>
          <w:lang w:eastAsia="en-GB"/>
          <w14:ligatures w14:val="none"/>
        </w:rPr>
        <w:t xml:space="preserve">. Additionally, the rise of technology and online platforms has disrupted traditional distribution channels, creating new opportunities for direct booking and personalized customer experiences. In this report, we will </w:t>
      </w:r>
      <w:r w:rsidR="00E9101D" w:rsidRPr="003653A6">
        <w:rPr>
          <w:rFonts w:ascii="Arial" w:eastAsia="Times New Roman" w:hAnsi="Arial" w:cs="Arial"/>
          <w:kern w:val="0"/>
          <w:sz w:val="24"/>
          <w:szCs w:val="24"/>
          <w:lang w:eastAsia="en-GB"/>
          <w14:ligatures w14:val="none"/>
        </w:rPr>
        <w:t>analyse</w:t>
      </w:r>
      <w:r w:rsidR="00061430" w:rsidRPr="003653A6">
        <w:rPr>
          <w:rFonts w:ascii="Arial" w:eastAsia="Times New Roman" w:hAnsi="Arial" w:cs="Arial"/>
          <w:kern w:val="0"/>
          <w:sz w:val="24"/>
          <w:szCs w:val="24"/>
          <w:lang w:eastAsia="en-GB"/>
          <w14:ligatures w14:val="none"/>
        </w:rPr>
        <w:t xml:space="preserve"> the financial management approaches of Marriott and Hyatt in four key areas, with the goal of providing insights into their strengths and weaknesses, as well as identifying opportunities for growth and improvement.</w:t>
      </w:r>
    </w:p>
    <w:p w14:paraId="0FA23A23" w14:textId="77777777" w:rsidR="00061430" w:rsidRPr="003653A6" w:rsidRDefault="00061430" w:rsidP="00FA3525">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Total Revenue:</w:t>
      </w:r>
    </w:p>
    <w:p w14:paraId="6BB0DDBB" w14:textId="39AE9AB0" w:rsidR="00061430" w:rsidRPr="003653A6" w:rsidRDefault="00061430" w:rsidP="00FA3525">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Total revenue is a key metric for measuring the financial performance of a hotel chain. According to </w:t>
      </w:r>
      <w:r w:rsidR="00E9101D">
        <w:rPr>
          <w:rFonts w:ascii="Arial" w:eastAsia="Times New Roman" w:hAnsi="Arial" w:cs="Arial"/>
          <w:kern w:val="0"/>
          <w:sz w:val="24"/>
          <w:szCs w:val="24"/>
          <w:lang w:eastAsia="en-GB"/>
          <w14:ligatures w14:val="none"/>
        </w:rPr>
        <w:t>(</w:t>
      </w:r>
      <w:r w:rsidRPr="003653A6">
        <w:rPr>
          <w:rFonts w:ascii="Arial" w:eastAsia="Times New Roman" w:hAnsi="Arial" w:cs="Arial"/>
          <w:kern w:val="0"/>
          <w:sz w:val="24"/>
          <w:szCs w:val="24"/>
          <w:lang w:eastAsia="en-GB"/>
          <w14:ligatures w14:val="none"/>
        </w:rPr>
        <w:t>Statista</w:t>
      </w:r>
      <w:r w:rsidR="00E9101D">
        <w:rPr>
          <w:rFonts w:ascii="Arial" w:eastAsia="Times New Roman" w:hAnsi="Arial" w:cs="Arial"/>
          <w:kern w:val="0"/>
          <w:sz w:val="24"/>
          <w:szCs w:val="24"/>
          <w:lang w:eastAsia="en-GB"/>
          <w14:ligatures w14:val="none"/>
        </w:rPr>
        <w:t xml:space="preserve">, </w:t>
      </w:r>
      <w:r w:rsidRPr="003653A6">
        <w:rPr>
          <w:rFonts w:ascii="Arial" w:eastAsia="Times New Roman" w:hAnsi="Arial" w:cs="Arial"/>
          <w:kern w:val="0"/>
          <w:sz w:val="24"/>
          <w:szCs w:val="24"/>
          <w:lang w:eastAsia="en-GB"/>
          <w14:ligatures w14:val="none"/>
        </w:rPr>
        <w:t xml:space="preserve">2021), Marriott International generated $10.6 billion in revenue in 2020, while Hyatt Hotels Corporation generated $2.4 billion. This suggests that Marriott Hotel has a much stronger financial position than Hyatt Hotel, with a revenue stream that is over four times </w:t>
      </w:r>
      <w:r w:rsidR="006A4335" w:rsidRPr="003653A6">
        <w:rPr>
          <w:rFonts w:ascii="Arial" w:eastAsia="Times New Roman" w:hAnsi="Arial" w:cs="Arial"/>
          <w:kern w:val="0"/>
          <w:sz w:val="24"/>
          <w:szCs w:val="24"/>
          <w:lang w:eastAsia="en-GB"/>
          <w14:ligatures w14:val="none"/>
        </w:rPr>
        <w:t>larger. One</w:t>
      </w:r>
      <w:r w:rsidRPr="003653A6">
        <w:rPr>
          <w:rFonts w:ascii="Arial" w:eastAsia="Times New Roman" w:hAnsi="Arial" w:cs="Arial"/>
          <w:kern w:val="0"/>
          <w:sz w:val="24"/>
          <w:szCs w:val="24"/>
          <w:lang w:eastAsia="en-GB"/>
          <w14:ligatures w14:val="none"/>
        </w:rPr>
        <w:t xml:space="preserve"> possible explanation for this difference in revenue is the size of the two hotel chains. Marriott Hotel has a much larger portfolio of hotels, with </w:t>
      </w:r>
      <w:r w:rsidR="00E9101D">
        <w:rPr>
          <w:rFonts w:ascii="Arial" w:eastAsia="Times New Roman" w:hAnsi="Arial" w:cs="Arial"/>
          <w:kern w:val="0"/>
          <w:sz w:val="24"/>
          <w:szCs w:val="24"/>
          <w:lang w:eastAsia="en-GB"/>
          <w14:ligatures w14:val="none"/>
        </w:rPr>
        <w:t xml:space="preserve">well </w:t>
      </w:r>
      <w:r w:rsidRPr="003653A6">
        <w:rPr>
          <w:rFonts w:ascii="Arial" w:eastAsia="Times New Roman" w:hAnsi="Arial" w:cs="Arial"/>
          <w:kern w:val="0"/>
          <w:sz w:val="24"/>
          <w:szCs w:val="24"/>
          <w:lang w:eastAsia="en-GB"/>
          <w14:ligatures w14:val="none"/>
        </w:rPr>
        <w:t>over 7,</w:t>
      </w:r>
      <w:r w:rsidR="00E9101D">
        <w:rPr>
          <w:rFonts w:ascii="Arial" w:eastAsia="Times New Roman" w:hAnsi="Arial" w:cs="Arial"/>
          <w:kern w:val="0"/>
          <w:sz w:val="24"/>
          <w:szCs w:val="24"/>
          <w:lang w:eastAsia="en-GB"/>
          <w14:ligatures w14:val="none"/>
        </w:rPr>
        <w:t>1</w:t>
      </w:r>
      <w:r w:rsidRPr="003653A6">
        <w:rPr>
          <w:rFonts w:ascii="Arial" w:eastAsia="Times New Roman" w:hAnsi="Arial" w:cs="Arial"/>
          <w:kern w:val="0"/>
          <w:sz w:val="24"/>
          <w:szCs w:val="24"/>
          <w:lang w:eastAsia="en-GB"/>
          <w14:ligatures w14:val="none"/>
        </w:rPr>
        <w:t>00 properties in 13</w:t>
      </w:r>
      <w:r w:rsidR="00E9101D">
        <w:rPr>
          <w:rFonts w:ascii="Arial" w:eastAsia="Times New Roman" w:hAnsi="Arial" w:cs="Arial"/>
          <w:kern w:val="0"/>
          <w:sz w:val="24"/>
          <w:szCs w:val="24"/>
          <w:lang w:eastAsia="en-GB"/>
          <w14:ligatures w14:val="none"/>
        </w:rPr>
        <w:t>0</w:t>
      </w:r>
      <w:r w:rsidRPr="003653A6">
        <w:rPr>
          <w:rFonts w:ascii="Arial" w:eastAsia="Times New Roman" w:hAnsi="Arial" w:cs="Arial"/>
          <w:kern w:val="0"/>
          <w:sz w:val="24"/>
          <w:szCs w:val="24"/>
          <w:lang w:eastAsia="en-GB"/>
          <w14:ligatures w14:val="none"/>
        </w:rPr>
        <w:t xml:space="preserve"> countries, while Hyatt Hotel has around 900 properties </w:t>
      </w:r>
      <w:r w:rsidR="00E9101D">
        <w:rPr>
          <w:rFonts w:ascii="Arial" w:eastAsia="Times New Roman" w:hAnsi="Arial" w:cs="Arial"/>
          <w:kern w:val="0"/>
          <w:sz w:val="24"/>
          <w:szCs w:val="24"/>
          <w:lang w:eastAsia="en-GB"/>
          <w14:ligatures w14:val="none"/>
        </w:rPr>
        <w:t xml:space="preserve">and </w:t>
      </w:r>
      <w:r w:rsidRPr="003653A6">
        <w:rPr>
          <w:rFonts w:ascii="Arial" w:eastAsia="Times New Roman" w:hAnsi="Arial" w:cs="Arial"/>
          <w:kern w:val="0"/>
          <w:sz w:val="24"/>
          <w:szCs w:val="24"/>
          <w:lang w:eastAsia="en-GB"/>
          <w14:ligatures w14:val="none"/>
        </w:rPr>
        <w:t>in 6</w:t>
      </w:r>
      <w:r w:rsidR="00E9101D">
        <w:rPr>
          <w:rFonts w:ascii="Arial" w:eastAsia="Times New Roman" w:hAnsi="Arial" w:cs="Arial"/>
          <w:kern w:val="0"/>
          <w:sz w:val="24"/>
          <w:szCs w:val="24"/>
          <w:lang w:eastAsia="en-GB"/>
          <w14:ligatures w14:val="none"/>
        </w:rPr>
        <w:t>0</w:t>
      </w:r>
      <w:r w:rsidRPr="003653A6">
        <w:rPr>
          <w:rFonts w:ascii="Arial" w:eastAsia="Times New Roman" w:hAnsi="Arial" w:cs="Arial"/>
          <w:kern w:val="0"/>
          <w:sz w:val="24"/>
          <w:szCs w:val="24"/>
          <w:lang w:eastAsia="en-GB"/>
          <w14:ligatures w14:val="none"/>
        </w:rPr>
        <w:t xml:space="preserve"> countries (EY, 2021). This gives Marriott Hotel a much larger </w:t>
      </w:r>
      <w:r w:rsidRPr="003653A6">
        <w:rPr>
          <w:rFonts w:ascii="Arial" w:eastAsia="Times New Roman" w:hAnsi="Arial" w:cs="Arial"/>
          <w:kern w:val="0"/>
          <w:sz w:val="24"/>
          <w:szCs w:val="24"/>
          <w:lang w:eastAsia="en-GB"/>
          <w14:ligatures w14:val="none"/>
        </w:rPr>
        <w:lastRenderedPageBreak/>
        <w:t>customer base and more opportunities to generate revenue. Additionally, Marriott Hotel has a wider range of hotel brands, from luxury to budget, which allows it to appeal to a broader range of customers.</w:t>
      </w:r>
    </w:p>
    <w:p w14:paraId="0F4EF83B" w14:textId="2E760669" w:rsidR="00061430" w:rsidRPr="003653A6" w:rsidRDefault="0018208B" w:rsidP="00FA3525">
      <w:pPr>
        <w:spacing w:before="300" w:after="300" w:line="360" w:lineRule="auto"/>
        <w:jc w:val="both"/>
        <w:rPr>
          <w:rFonts w:ascii="Arial" w:eastAsia="Times New Roman" w:hAnsi="Arial" w:cs="Arial"/>
          <w:kern w:val="0"/>
          <w:sz w:val="24"/>
          <w:szCs w:val="24"/>
          <w:lang w:eastAsia="en-GB"/>
          <w14:ligatures w14:val="none"/>
        </w:rPr>
      </w:pPr>
      <w:r w:rsidRPr="0018208B">
        <w:rPr>
          <w:rFonts w:ascii="Arial" w:eastAsia="Times New Roman" w:hAnsi="Arial" w:cs="Arial"/>
          <w:kern w:val="0"/>
          <w:sz w:val="24"/>
          <w:szCs w:val="24"/>
          <w:lang w:eastAsia="en-GB"/>
          <w14:ligatures w14:val="none"/>
        </w:rPr>
        <w:t xml:space="preserve">Another crucial criterion for assessing the financial performance of a hotel chain is market position. Marriott Hotel rated top among upper-upscale hotel chains in terms of customer satisfaction according to the J.D. Power 2020 North America Hotel Guest Satisfaction Index (Upper Upscale), whereas Hyatt Hotel ranked fourth (J.D. Power, 2020). </w:t>
      </w:r>
      <w:r w:rsidR="00061430" w:rsidRPr="003653A6">
        <w:rPr>
          <w:rFonts w:ascii="Arial" w:eastAsia="Times New Roman" w:hAnsi="Arial" w:cs="Arial"/>
          <w:kern w:val="0"/>
          <w:sz w:val="24"/>
          <w:szCs w:val="24"/>
          <w:lang w:eastAsia="en-GB"/>
          <w14:ligatures w14:val="none"/>
        </w:rPr>
        <w:t>This suggests that Marriott Hotel has a stronger reputation and brand image among customers, which could translate into a larger market share.</w:t>
      </w:r>
    </w:p>
    <w:p w14:paraId="6395A2E8" w14:textId="77777777" w:rsidR="00061430" w:rsidRPr="003653A6" w:rsidRDefault="00061430" w:rsidP="00FA3525">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Moreover, Marriott Hotel has been consistently ranked as the largest hotel chain in the world by the number of rooms (Deloitte, 2021). This indicates that Marriott Hotel has a larger presence in the market and could have a greater influence on industry trends and customer preferences. On the other hand, Hyatt Hotel has a smaller market share but a strong reputation for luxury and high-end hospitality services.</w:t>
      </w:r>
    </w:p>
    <w:p w14:paraId="186E7AD1" w14:textId="77777777" w:rsidR="00061430" w:rsidRPr="003653A6" w:rsidRDefault="00061430" w:rsidP="00FA3525">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Growth potential is a key factor for investors and stakeholders who are looking for long-term profitability and sustainability. Marriott Hotel has been expanding its portfolio through a combination of new hotel construction and acquisitions. For example, Marriott International recently acquired Starwood Hotels &amp; Resorts Worldwide, adding several popular hotel brands to its portfolio, such as Sheraton, Westin, and St. Regis (EY, 2021). This acquisition has helped Marriott Hotel to expand its reach in new markets and diversify its portfolio.</w:t>
      </w:r>
    </w:p>
    <w:p w14:paraId="3191CC8E" w14:textId="77777777" w:rsidR="0018208B" w:rsidRDefault="0018208B" w:rsidP="00FA3525">
      <w:pPr>
        <w:spacing w:before="300" w:after="300" w:line="360" w:lineRule="auto"/>
        <w:jc w:val="both"/>
        <w:rPr>
          <w:rFonts w:ascii="Arial" w:eastAsia="Times New Roman" w:hAnsi="Arial" w:cs="Arial"/>
          <w:kern w:val="0"/>
          <w:sz w:val="24"/>
          <w:szCs w:val="24"/>
          <w:lang w:eastAsia="en-GB"/>
          <w14:ligatures w14:val="none"/>
        </w:rPr>
      </w:pPr>
      <w:proofErr w:type="gramStart"/>
      <w:r w:rsidRPr="0018208B">
        <w:rPr>
          <w:rFonts w:ascii="Arial" w:eastAsia="Times New Roman" w:hAnsi="Arial" w:cs="Arial"/>
          <w:kern w:val="0"/>
          <w:sz w:val="24"/>
          <w:szCs w:val="24"/>
          <w:lang w:eastAsia="en-GB"/>
          <w14:ligatures w14:val="none"/>
        </w:rPr>
        <w:t>Similar to</w:t>
      </w:r>
      <w:proofErr w:type="gramEnd"/>
      <w:r w:rsidRPr="0018208B">
        <w:rPr>
          <w:rFonts w:ascii="Arial" w:eastAsia="Times New Roman" w:hAnsi="Arial" w:cs="Arial"/>
          <w:kern w:val="0"/>
          <w:sz w:val="24"/>
          <w:szCs w:val="24"/>
          <w:lang w:eastAsia="en-GB"/>
          <w14:ligatures w14:val="none"/>
        </w:rPr>
        <w:t xml:space="preserve"> how Marriott has done so, Hyatt Hotel has been growing its portfolio by buying and building new hotels. As an illustration, the hotel chain only recently purchased Two Roads Hospitality, a lifestyle hotel management company with a portfolio of opulent inns and resorts (EY, 2021). Through this acquisition, Hyatt Hotel has been able to solidify its position in the luxury hospitality market and win over wealthy clients who are willing to spend more for upscale services.</w:t>
      </w:r>
    </w:p>
    <w:p w14:paraId="613C34C6" w14:textId="77777777" w:rsidR="0018208B" w:rsidRDefault="00061430" w:rsidP="0018208B">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Corporate social responsibility (CSR) is becoming increasingly important for hotel chains as customers and investors demand more sustainable and ethical business practices. Marriott Hotel has a strong commitment to CSR, with initiatives focused on </w:t>
      </w:r>
      <w:r w:rsidRPr="003653A6">
        <w:rPr>
          <w:rFonts w:ascii="Arial" w:eastAsia="Times New Roman" w:hAnsi="Arial" w:cs="Arial"/>
          <w:kern w:val="0"/>
          <w:sz w:val="24"/>
          <w:szCs w:val="24"/>
          <w:lang w:eastAsia="en-GB"/>
          <w14:ligatures w14:val="none"/>
        </w:rPr>
        <w:lastRenderedPageBreak/>
        <w:t xml:space="preserve">environmental sustainability, human rights, and community engagement (Marriott International, 2021). </w:t>
      </w:r>
      <w:r w:rsidR="0018208B" w:rsidRPr="0018208B">
        <w:rPr>
          <w:rFonts w:ascii="Arial" w:eastAsia="Times New Roman" w:hAnsi="Arial" w:cs="Arial"/>
          <w:kern w:val="0"/>
          <w:sz w:val="24"/>
          <w:szCs w:val="24"/>
          <w:lang w:eastAsia="en-GB"/>
          <w14:ligatures w14:val="none"/>
        </w:rPr>
        <w:t>For instance, the hotel chain has set goals to eradicate single-use plastics from its hotels by 2026 and to cut its greenhouse gas emissions by at least 35% by that time.</w:t>
      </w:r>
    </w:p>
    <w:p w14:paraId="31C0F89A" w14:textId="6312BF27" w:rsidR="00061430" w:rsidRPr="003653A6" w:rsidRDefault="00061430" w:rsidP="0018208B">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Similarly, Hyatt Hotel has a strong commitment to CSR, with initiatives focused on environmental sustainability, diversity and inclusion, and community development (Hyatt Hotels Corporation, 2021). For instance, the hotel chain has pledged to reduce its greenhouse gas emissions by 2</w:t>
      </w:r>
      <w:r w:rsidR="00E9101D">
        <w:rPr>
          <w:rFonts w:ascii="Arial" w:eastAsia="Times New Roman" w:hAnsi="Arial" w:cs="Arial"/>
          <w:kern w:val="0"/>
          <w:sz w:val="24"/>
          <w:szCs w:val="24"/>
          <w:lang w:eastAsia="en-GB"/>
          <w14:ligatures w14:val="none"/>
        </w:rPr>
        <w:t>6</w:t>
      </w:r>
      <w:r w:rsidRPr="003653A6">
        <w:rPr>
          <w:rFonts w:ascii="Arial" w:eastAsia="Times New Roman" w:hAnsi="Arial" w:cs="Arial"/>
          <w:kern w:val="0"/>
          <w:sz w:val="24"/>
          <w:szCs w:val="24"/>
          <w:lang w:eastAsia="en-GB"/>
          <w14:ligatures w14:val="none"/>
        </w:rPr>
        <w:t>% by 202</w:t>
      </w:r>
      <w:r w:rsidR="00E9101D">
        <w:rPr>
          <w:rFonts w:ascii="Arial" w:eastAsia="Times New Roman" w:hAnsi="Arial" w:cs="Arial"/>
          <w:kern w:val="0"/>
          <w:sz w:val="24"/>
          <w:szCs w:val="24"/>
          <w:lang w:eastAsia="en-GB"/>
          <w14:ligatures w14:val="none"/>
        </w:rPr>
        <w:t xml:space="preserve">5 </w:t>
      </w:r>
      <w:r w:rsidRPr="003653A6">
        <w:rPr>
          <w:rFonts w:ascii="Arial" w:eastAsia="Times New Roman" w:hAnsi="Arial" w:cs="Arial"/>
          <w:kern w:val="0"/>
          <w:sz w:val="24"/>
          <w:szCs w:val="24"/>
          <w:lang w:eastAsia="en-GB"/>
          <w14:ligatures w14:val="none"/>
        </w:rPr>
        <w:t xml:space="preserve">and to source </w:t>
      </w:r>
      <w:r w:rsidR="00E9101D">
        <w:rPr>
          <w:rFonts w:ascii="Arial" w:eastAsia="Times New Roman" w:hAnsi="Arial" w:cs="Arial"/>
          <w:kern w:val="0"/>
          <w:sz w:val="24"/>
          <w:szCs w:val="24"/>
          <w:lang w:eastAsia="en-GB"/>
          <w14:ligatures w14:val="none"/>
        </w:rPr>
        <w:t xml:space="preserve">well over </w:t>
      </w:r>
      <w:r w:rsidRPr="003653A6">
        <w:rPr>
          <w:rFonts w:ascii="Arial" w:eastAsia="Times New Roman" w:hAnsi="Arial" w:cs="Arial"/>
          <w:kern w:val="0"/>
          <w:sz w:val="24"/>
          <w:szCs w:val="24"/>
          <w:lang w:eastAsia="en-GB"/>
          <w14:ligatures w14:val="none"/>
        </w:rPr>
        <w:t>8</w:t>
      </w:r>
      <w:r w:rsidR="00E9101D">
        <w:rPr>
          <w:rFonts w:ascii="Arial" w:eastAsia="Times New Roman" w:hAnsi="Arial" w:cs="Arial"/>
          <w:kern w:val="0"/>
          <w:sz w:val="24"/>
          <w:szCs w:val="24"/>
          <w:lang w:eastAsia="en-GB"/>
          <w14:ligatures w14:val="none"/>
        </w:rPr>
        <w:t>5</w:t>
      </w:r>
      <w:r w:rsidRPr="003653A6">
        <w:rPr>
          <w:rFonts w:ascii="Arial" w:eastAsia="Times New Roman" w:hAnsi="Arial" w:cs="Arial"/>
          <w:kern w:val="0"/>
          <w:sz w:val="24"/>
          <w:szCs w:val="24"/>
          <w:lang w:eastAsia="en-GB"/>
          <w14:ligatures w14:val="none"/>
        </w:rPr>
        <w:t>% of its energy from renewable sources by 203</w:t>
      </w:r>
      <w:r w:rsidR="00E9101D">
        <w:rPr>
          <w:rFonts w:ascii="Arial" w:eastAsia="Times New Roman" w:hAnsi="Arial" w:cs="Arial"/>
          <w:kern w:val="0"/>
          <w:sz w:val="24"/>
          <w:szCs w:val="24"/>
          <w:lang w:eastAsia="en-GB"/>
          <w14:ligatures w14:val="none"/>
        </w:rPr>
        <w:t>1</w:t>
      </w:r>
      <w:r w:rsidRPr="003653A6">
        <w:rPr>
          <w:rFonts w:ascii="Arial" w:eastAsia="Times New Roman" w:hAnsi="Arial" w:cs="Arial"/>
          <w:kern w:val="0"/>
          <w:sz w:val="24"/>
          <w:szCs w:val="24"/>
          <w:lang w:eastAsia="en-GB"/>
          <w14:ligatures w14:val="none"/>
        </w:rPr>
        <w:t>. Hyatt Hotel also has a program called World of Hyatt, which aims to promote inclusivity and cultural understanding among its guests and employees.</w:t>
      </w:r>
    </w:p>
    <w:p w14:paraId="5965DFB2" w14:textId="6483158B" w:rsidR="00061430" w:rsidRPr="003653A6" w:rsidRDefault="00061430" w:rsidP="00FA3525">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Based on the findings of this report, </w:t>
      </w:r>
      <w:r w:rsidR="00B961AA" w:rsidRPr="003653A6">
        <w:rPr>
          <w:rFonts w:ascii="Arial" w:eastAsia="Times New Roman" w:hAnsi="Arial" w:cs="Arial"/>
          <w:kern w:val="0"/>
          <w:sz w:val="24"/>
          <w:szCs w:val="24"/>
          <w:lang w:eastAsia="en-GB"/>
          <w14:ligatures w14:val="none"/>
        </w:rPr>
        <w:t>it is</w:t>
      </w:r>
      <w:r w:rsidRPr="003653A6">
        <w:rPr>
          <w:rFonts w:ascii="Arial" w:eastAsia="Times New Roman" w:hAnsi="Arial" w:cs="Arial"/>
          <w:kern w:val="0"/>
          <w:sz w:val="24"/>
          <w:szCs w:val="24"/>
          <w:lang w:eastAsia="en-GB"/>
          <w14:ligatures w14:val="none"/>
        </w:rPr>
        <w:t xml:space="preserve"> </w:t>
      </w:r>
      <w:r w:rsidR="00B961AA" w:rsidRPr="003653A6">
        <w:rPr>
          <w:rFonts w:ascii="Arial" w:eastAsia="Times New Roman" w:hAnsi="Arial" w:cs="Arial"/>
          <w:kern w:val="0"/>
          <w:sz w:val="24"/>
          <w:szCs w:val="24"/>
          <w:lang w:eastAsia="en-GB"/>
          <w14:ligatures w14:val="none"/>
        </w:rPr>
        <w:t>recommended</w:t>
      </w:r>
      <w:r w:rsidRPr="003653A6">
        <w:rPr>
          <w:rFonts w:ascii="Arial" w:eastAsia="Times New Roman" w:hAnsi="Arial" w:cs="Arial"/>
          <w:kern w:val="0"/>
          <w:sz w:val="24"/>
          <w:szCs w:val="24"/>
          <w:lang w:eastAsia="en-GB"/>
          <w14:ligatures w14:val="none"/>
        </w:rPr>
        <w:t xml:space="preserve"> th</w:t>
      </w:r>
      <w:r w:rsidR="00B961AA" w:rsidRPr="003653A6">
        <w:rPr>
          <w:rFonts w:ascii="Arial" w:eastAsia="Times New Roman" w:hAnsi="Arial" w:cs="Arial"/>
          <w:kern w:val="0"/>
          <w:sz w:val="24"/>
          <w:szCs w:val="24"/>
          <w:lang w:eastAsia="en-GB"/>
          <w14:ligatures w14:val="none"/>
        </w:rPr>
        <w:t>at the</w:t>
      </w:r>
      <w:r w:rsidRPr="003653A6">
        <w:rPr>
          <w:rFonts w:ascii="Arial" w:eastAsia="Times New Roman" w:hAnsi="Arial" w:cs="Arial"/>
          <w:kern w:val="0"/>
          <w:sz w:val="24"/>
          <w:szCs w:val="24"/>
          <w:lang w:eastAsia="en-GB"/>
          <w14:ligatures w14:val="none"/>
        </w:rPr>
        <w:t xml:space="preserve"> following strategies for Marriott Hotel and Hyatt Hotel</w:t>
      </w:r>
      <w:r w:rsidR="00B961AA" w:rsidRPr="003653A6">
        <w:rPr>
          <w:rFonts w:ascii="Arial" w:eastAsia="Times New Roman" w:hAnsi="Arial" w:cs="Arial"/>
          <w:kern w:val="0"/>
          <w:sz w:val="24"/>
          <w:szCs w:val="24"/>
          <w:lang w:eastAsia="en-GB"/>
          <w14:ligatures w14:val="none"/>
        </w:rPr>
        <w:t xml:space="preserve"> are </w:t>
      </w:r>
      <w:r w:rsidR="00E9101D" w:rsidRPr="003653A6">
        <w:rPr>
          <w:rFonts w:ascii="Arial" w:eastAsia="Times New Roman" w:hAnsi="Arial" w:cs="Arial"/>
          <w:kern w:val="0"/>
          <w:sz w:val="24"/>
          <w:szCs w:val="24"/>
          <w:lang w:eastAsia="en-GB"/>
          <w14:ligatures w14:val="none"/>
        </w:rPr>
        <w:t>as</w:t>
      </w:r>
      <w:r w:rsidR="00B961AA" w:rsidRPr="003653A6">
        <w:rPr>
          <w:rFonts w:ascii="Arial" w:eastAsia="Times New Roman" w:hAnsi="Arial" w:cs="Arial"/>
          <w:kern w:val="0"/>
          <w:sz w:val="24"/>
          <w:szCs w:val="24"/>
          <w:lang w:eastAsia="en-GB"/>
          <w14:ligatures w14:val="none"/>
        </w:rPr>
        <w:t xml:space="preserve"> follows</w:t>
      </w:r>
      <w:r w:rsidRPr="003653A6">
        <w:rPr>
          <w:rFonts w:ascii="Arial" w:eastAsia="Times New Roman" w:hAnsi="Arial" w:cs="Arial"/>
          <w:kern w:val="0"/>
          <w:sz w:val="24"/>
          <w:szCs w:val="24"/>
          <w:lang w:eastAsia="en-GB"/>
          <w14:ligatures w14:val="none"/>
        </w:rPr>
        <w:t>:</w:t>
      </w:r>
    </w:p>
    <w:p w14:paraId="1D7AB17D" w14:textId="0521C1F3" w:rsidR="00061430" w:rsidRPr="003653A6" w:rsidRDefault="00CE6968" w:rsidP="00FA3525">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Marriot Hotel: </w:t>
      </w:r>
      <w:r w:rsidR="00061430" w:rsidRPr="003653A6">
        <w:rPr>
          <w:rFonts w:ascii="Arial" w:eastAsia="Times New Roman" w:hAnsi="Arial" w:cs="Arial"/>
          <w:kern w:val="0"/>
          <w:sz w:val="24"/>
          <w:szCs w:val="24"/>
          <w:lang w:eastAsia="en-GB"/>
          <w14:ligatures w14:val="none"/>
        </w:rPr>
        <w:t>Leverage its strong financial position and market presence to continue expanding its portfolio through acquisitions and new hotel constructions. This will allow Marriott Hotel to capture new market opportunities and diversify its brand portfolio.</w:t>
      </w:r>
    </w:p>
    <w:p w14:paraId="0097B1E3" w14:textId="1C9EC092" w:rsidR="00E9101D" w:rsidRDefault="0018208B" w:rsidP="00FA3525">
      <w:pPr>
        <w:spacing w:before="300" w:after="300" w:line="360" w:lineRule="auto"/>
        <w:jc w:val="both"/>
        <w:rPr>
          <w:rFonts w:ascii="Arial" w:eastAsia="Times New Roman" w:hAnsi="Arial" w:cs="Arial"/>
          <w:kern w:val="0"/>
          <w:sz w:val="24"/>
          <w:szCs w:val="24"/>
          <w:lang w:eastAsia="en-GB"/>
          <w14:ligatures w14:val="none"/>
        </w:rPr>
      </w:pPr>
      <w:r w:rsidRPr="0018208B">
        <w:rPr>
          <w:rFonts w:ascii="Arial" w:eastAsia="Times New Roman" w:hAnsi="Arial" w:cs="Arial"/>
          <w:kern w:val="0"/>
          <w:sz w:val="24"/>
          <w:szCs w:val="24"/>
          <w:lang w:eastAsia="en-GB"/>
          <w14:ligatures w14:val="none"/>
        </w:rPr>
        <w:t>Set more challenging goals for community involvement and environmental sustainability to demonstrate a stronger commitment to CSR. By doing this, the Marriott Hotel will be able to stand out from its rivals and attract clients that value ethical and sustainable business practises.</w:t>
      </w:r>
    </w:p>
    <w:p w14:paraId="4F83C50A" w14:textId="7AF983B0" w:rsidR="00061430" w:rsidRPr="003653A6" w:rsidRDefault="0018208B" w:rsidP="00FA3525">
      <w:p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Hyatt Hotel: Focus</w:t>
      </w:r>
      <w:r w:rsidR="00061430" w:rsidRPr="003653A6">
        <w:rPr>
          <w:rFonts w:ascii="Arial" w:eastAsia="Times New Roman" w:hAnsi="Arial" w:cs="Arial"/>
          <w:kern w:val="0"/>
          <w:sz w:val="24"/>
          <w:szCs w:val="24"/>
          <w:lang w:eastAsia="en-GB"/>
          <w14:ligatures w14:val="none"/>
        </w:rPr>
        <w:t xml:space="preserve"> on strengthening its luxury hospitality segment by investing in new hotel constructions and refurbishments. This will help Hyatt Hotel to differentiate itself from competitors and attract affluent customers who are willing to pay a premium for high-end services.</w:t>
      </w:r>
    </w:p>
    <w:p w14:paraId="2F85823C" w14:textId="77777777" w:rsidR="00E9101D" w:rsidRDefault="00E9101D" w:rsidP="00FA3525">
      <w:pPr>
        <w:spacing w:after="0" w:line="360" w:lineRule="auto"/>
        <w:jc w:val="both"/>
        <w:rPr>
          <w:rFonts w:ascii="Arial" w:eastAsia="Times New Roman" w:hAnsi="Arial" w:cs="Arial"/>
          <w:kern w:val="0"/>
          <w:sz w:val="24"/>
          <w:szCs w:val="24"/>
          <w:lang w:eastAsia="en-GB"/>
          <w14:ligatures w14:val="none"/>
        </w:rPr>
      </w:pPr>
    </w:p>
    <w:p w14:paraId="0D2AF7BD" w14:textId="72833B44" w:rsidR="00061430" w:rsidRPr="003653A6" w:rsidRDefault="00061430" w:rsidP="00FA3525">
      <w:p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Enhance its commitment to CSR by developing more targeted initiatives for environmental sustainability and diversity and inclusion. This will help Hyatt Hotel to improve its brand reputation and appeal to customers who value sustainable and socially responsible business practices.</w:t>
      </w:r>
    </w:p>
    <w:p w14:paraId="07EC5C75" w14:textId="77777777" w:rsidR="00C55624" w:rsidRPr="003653A6" w:rsidRDefault="00C55624" w:rsidP="00FA3525">
      <w:pPr>
        <w:spacing w:after="0" w:line="360" w:lineRule="auto"/>
        <w:ind w:left="360"/>
        <w:jc w:val="both"/>
        <w:rPr>
          <w:rFonts w:ascii="Arial" w:eastAsia="Times New Roman" w:hAnsi="Arial" w:cs="Arial"/>
          <w:kern w:val="0"/>
          <w:sz w:val="24"/>
          <w:szCs w:val="24"/>
          <w:lang w:eastAsia="en-GB"/>
          <w14:ligatures w14:val="none"/>
        </w:rPr>
      </w:pPr>
    </w:p>
    <w:p w14:paraId="76CFE0AC" w14:textId="28616A25" w:rsidR="00C55624" w:rsidRPr="00C55624" w:rsidRDefault="00C55624" w:rsidP="00FA3525">
      <w:pPr>
        <w:spacing w:after="0" w:line="360" w:lineRule="auto"/>
        <w:jc w:val="both"/>
        <w:rPr>
          <w:rFonts w:ascii="Arial" w:eastAsia="Times New Roman" w:hAnsi="Arial" w:cs="Arial"/>
          <w:kern w:val="0"/>
          <w:sz w:val="24"/>
          <w:szCs w:val="24"/>
          <w:lang w:eastAsia="en-GB"/>
          <w14:ligatures w14:val="none"/>
        </w:rPr>
      </w:pPr>
      <w:r w:rsidRPr="00C55624">
        <w:rPr>
          <w:rFonts w:ascii="Arial" w:eastAsia="Times New Roman" w:hAnsi="Arial" w:cs="Arial"/>
          <w:kern w:val="0"/>
          <w:sz w:val="24"/>
          <w:szCs w:val="24"/>
          <w:lang w:eastAsia="en-GB"/>
          <w14:ligatures w14:val="none"/>
        </w:rPr>
        <w:lastRenderedPageBreak/>
        <w:t>In terms of fixed assets, Marriott International, Inc. has a higher value than Hyatt Hotels Corporation. Fixed assets include property, plant, and equipment, which are tangible assets with long-term value for a company. As of December 2020, Marriott's fixed assets were valued at $1</w:t>
      </w:r>
      <w:r w:rsidR="00E9101D">
        <w:rPr>
          <w:rFonts w:ascii="Arial" w:eastAsia="Times New Roman" w:hAnsi="Arial" w:cs="Arial"/>
          <w:kern w:val="0"/>
          <w:sz w:val="24"/>
          <w:szCs w:val="24"/>
          <w:lang w:eastAsia="en-GB"/>
          <w14:ligatures w14:val="none"/>
        </w:rPr>
        <w:t>2</w:t>
      </w:r>
      <w:r w:rsidRPr="00C55624">
        <w:rPr>
          <w:rFonts w:ascii="Arial" w:eastAsia="Times New Roman" w:hAnsi="Arial" w:cs="Arial"/>
          <w:kern w:val="0"/>
          <w:sz w:val="24"/>
          <w:szCs w:val="24"/>
          <w:lang w:eastAsia="en-GB"/>
          <w14:ligatures w14:val="none"/>
        </w:rPr>
        <w:t xml:space="preserve"> billion, while Hyatt's fixed assets were valued at $</w:t>
      </w:r>
      <w:r w:rsidR="00E9101D">
        <w:rPr>
          <w:rFonts w:ascii="Arial" w:eastAsia="Times New Roman" w:hAnsi="Arial" w:cs="Arial"/>
          <w:kern w:val="0"/>
          <w:sz w:val="24"/>
          <w:szCs w:val="24"/>
          <w:lang w:eastAsia="en-GB"/>
          <w14:ligatures w14:val="none"/>
        </w:rPr>
        <w:t>6</w:t>
      </w:r>
      <w:r w:rsidRPr="00C55624">
        <w:rPr>
          <w:rFonts w:ascii="Arial" w:eastAsia="Times New Roman" w:hAnsi="Arial" w:cs="Arial"/>
          <w:kern w:val="0"/>
          <w:sz w:val="24"/>
          <w:szCs w:val="24"/>
          <w:lang w:eastAsia="en-GB"/>
          <w14:ligatures w14:val="none"/>
        </w:rPr>
        <w:t xml:space="preserve"> billion. This indicates that Marriott has more investments in land, buildings, and equipment than Hyatt. This may be due to Marriott's larger portfolio of hotels and resorts, as the company has more properties that require investments in fixed assets to operate and maintain.</w:t>
      </w:r>
    </w:p>
    <w:p w14:paraId="4F9F83DC" w14:textId="77777777" w:rsidR="00C55624" w:rsidRPr="003653A6" w:rsidRDefault="00C55624" w:rsidP="00FA3525">
      <w:pPr>
        <w:spacing w:after="0" w:line="360" w:lineRule="auto"/>
        <w:ind w:left="360"/>
        <w:jc w:val="both"/>
        <w:rPr>
          <w:rFonts w:ascii="Arial" w:eastAsia="Times New Roman" w:hAnsi="Arial" w:cs="Arial"/>
          <w:kern w:val="0"/>
          <w:sz w:val="24"/>
          <w:szCs w:val="24"/>
          <w:lang w:eastAsia="en-GB"/>
          <w14:ligatures w14:val="none"/>
        </w:rPr>
      </w:pPr>
    </w:p>
    <w:p w14:paraId="1FEB1FCC" w14:textId="4100C27A" w:rsidR="00C55624" w:rsidRDefault="00C55624" w:rsidP="00FA3525">
      <w:pPr>
        <w:spacing w:after="0" w:line="360" w:lineRule="auto"/>
        <w:jc w:val="both"/>
        <w:rPr>
          <w:rFonts w:ascii="Arial" w:eastAsia="Times New Roman" w:hAnsi="Arial" w:cs="Arial"/>
          <w:kern w:val="0"/>
          <w:sz w:val="24"/>
          <w:szCs w:val="24"/>
          <w:lang w:eastAsia="en-GB"/>
          <w14:ligatures w14:val="none"/>
        </w:rPr>
      </w:pPr>
      <w:r w:rsidRPr="00C55624">
        <w:rPr>
          <w:rFonts w:ascii="Arial" w:eastAsia="Times New Roman" w:hAnsi="Arial" w:cs="Arial"/>
          <w:kern w:val="0"/>
          <w:sz w:val="24"/>
          <w:szCs w:val="24"/>
          <w:lang w:eastAsia="en-GB"/>
          <w14:ligatures w14:val="none"/>
        </w:rPr>
        <w:t>When it comes to intangible assets, both Marriott and Hyatt have significant amounts of goodwill on their balance sheets. Goodwill is an intangible asset that represents the premium paid for an acquisition over the fair value of the net assets acquired. It is an important intangible asset for hospitality companies that grow through acquisitions. Marriott had $</w:t>
      </w:r>
      <w:r w:rsidR="00E9101D">
        <w:rPr>
          <w:rFonts w:ascii="Arial" w:eastAsia="Times New Roman" w:hAnsi="Arial" w:cs="Arial"/>
          <w:kern w:val="0"/>
          <w:sz w:val="24"/>
          <w:szCs w:val="24"/>
          <w:lang w:eastAsia="en-GB"/>
          <w14:ligatures w14:val="none"/>
        </w:rPr>
        <w:t>9</w:t>
      </w:r>
      <w:r w:rsidRPr="00C55624">
        <w:rPr>
          <w:rFonts w:ascii="Arial" w:eastAsia="Times New Roman" w:hAnsi="Arial" w:cs="Arial"/>
          <w:kern w:val="0"/>
          <w:sz w:val="24"/>
          <w:szCs w:val="24"/>
          <w:lang w:eastAsia="en-GB"/>
          <w14:ligatures w14:val="none"/>
        </w:rPr>
        <w:t xml:space="preserve"> billion in goodwill as of December 31, 2020, while Hyatt had $1.</w:t>
      </w:r>
      <w:r w:rsidR="00E9101D">
        <w:rPr>
          <w:rFonts w:ascii="Arial" w:eastAsia="Times New Roman" w:hAnsi="Arial" w:cs="Arial"/>
          <w:kern w:val="0"/>
          <w:sz w:val="24"/>
          <w:szCs w:val="24"/>
          <w:lang w:eastAsia="en-GB"/>
          <w14:ligatures w14:val="none"/>
        </w:rPr>
        <w:t>5</w:t>
      </w:r>
      <w:r w:rsidRPr="00C55624">
        <w:rPr>
          <w:rFonts w:ascii="Arial" w:eastAsia="Times New Roman" w:hAnsi="Arial" w:cs="Arial"/>
          <w:kern w:val="0"/>
          <w:sz w:val="24"/>
          <w:szCs w:val="24"/>
          <w:lang w:eastAsia="en-GB"/>
          <w14:ligatures w14:val="none"/>
        </w:rPr>
        <w:t xml:space="preserve"> billion. This suggests that Marriott has engaged in more acquisitions than Hyatt and has paid higher premiums for these acquisitions, resulting in a larger amount of goodwill on its balance sheet.</w:t>
      </w:r>
    </w:p>
    <w:p w14:paraId="65AB39C7" w14:textId="77777777" w:rsidR="00FA3525" w:rsidRPr="00C55624" w:rsidRDefault="00FA3525" w:rsidP="00FA3525">
      <w:pPr>
        <w:spacing w:after="0" w:line="360" w:lineRule="auto"/>
        <w:jc w:val="both"/>
        <w:rPr>
          <w:rFonts w:ascii="Arial" w:eastAsia="Times New Roman" w:hAnsi="Arial" w:cs="Arial"/>
          <w:kern w:val="0"/>
          <w:sz w:val="24"/>
          <w:szCs w:val="24"/>
          <w:lang w:eastAsia="en-GB"/>
          <w14:ligatures w14:val="none"/>
        </w:rPr>
      </w:pPr>
    </w:p>
    <w:p w14:paraId="1A2F8B96" w14:textId="032BF2E4" w:rsidR="00C55624" w:rsidRPr="00C55624" w:rsidRDefault="00C55624" w:rsidP="00FA3525">
      <w:pPr>
        <w:spacing w:after="0" w:line="360" w:lineRule="auto"/>
        <w:jc w:val="both"/>
        <w:rPr>
          <w:rFonts w:ascii="Arial" w:eastAsia="Times New Roman" w:hAnsi="Arial" w:cs="Arial"/>
          <w:kern w:val="0"/>
          <w:sz w:val="24"/>
          <w:szCs w:val="24"/>
          <w:lang w:eastAsia="en-GB"/>
          <w14:ligatures w14:val="none"/>
        </w:rPr>
      </w:pPr>
      <w:r w:rsidRPr="00C55624">
        <w:rPr>
          <w:rFonts w:ascii="Arial" w:eastAsia="Times New Roman" w:hAnsi="Arial" w:cs="Arial"/>
          <w:kern w:val="0"/>
          <w:sz w:val="24"/>
          <w:szCs w:val="24"/>
          <w:lang w:eastAsia="en-GB"/>
          <w14:ligatures w14:val="none"/>
        </w:rPr>
        <w:t>In terms of current assets, both Marriott and Hyatt have significant amounts of cash and cash equivalents, as well as accounts receivable. Cash and cash equivalents are liquid assets that a company can use to pay its short-term obligations. Accounts receivable represent money owed to the company by its customers. As of December 31, 2020, Marriott had $3.</w:t>
      </w:r>
      <w:r w:rsidR="00E9101D">
        <w:rPr>
          <w:rFonts w:ascii="Arial" w:eastAsia="Times New Roman" w:hAnsi="Arial" w:cs="Arial"/>
          <w:kern w:val="0"/>
          <w:sz w:val="24"/>
          <w:szCs w:val="24"/>
          <w:lang w:eastAsia="en-GB"/>
          <w14:ligatures w14:val="none"/>
        </w:rPr>
        <w:t>5</w:t>
      </w:r>
      <w:r w:rsidRPr="00C55624">
        <w:rPr>
          <w:rFonts w:ascii="Arial" w:eastAsia="Times New Roman" w:hAnsi="Arial" w:cs="Arial"/>
          <w:kern w:val="0"/>
          <w:sz w:val="24"/>
          <w:szCs w:val="24"/>
          <w:lang w:eastAsia="en-GB"/>
          <w14:ligatures w14:val="none"/>
        </w:rPr>
        <w:t xml:space="preserve"> billion in cash and cash equivalents and $</w:t>
      </w:r>
      <w:r w:rsidR="00E9101D">
        <w:rPr>
          <w:rFonts w:ascii="Arial" w:eastAsia="Times New Roman" w:hAnsi="Arial" w:cs="Arial"/>
          <w:kern w:val="0"/>
          <w:sz w:val="24"/>
          <w:szCs w:val="24"/>
          <w:lang w:eastAsia="en-GB"/>
          <w14:ligatures w14:val="none"/>
        </w:rPr>
        <w:t>500</w:t>
      </w:r>
      <w:r w:rsidRPr="00C55624">
        <w:rPr>
          <w:rFonts w:ascii="Arial" w:eastAsia="Times New Roman" w:hAnsi="Arial" w:cs="Arial"/>
          <w:kern w:val="0"/>
          <w:sz w:val="24"/>
          <w:szCs w:val="24"/>
          <w:lang w:eastAsia="en-GB"/>
          <w14:ligatures w14:val="none"/>
        </w:rPr>
        <w:t xml:space="preserve"> million in accounts receivable. In comparison, Hyatt had $1 billion in cash and cash equivalents and $16</w:t>
      </w:r>
      <w:r w:rsidR="00E9101D">
        <w:rPr>
          <w:rFonts w:ascii="Arial" w:eastAsia="Times New Roman" w:hAnsi="Arial" w:cs="Arial"/>
          <w:kern w:val="0"/>
          <w:sz w:val="24"/>
          <w:szCs w:val="24"/>
          <w:lang w:eastAsia="en-GB"/>
          <w14:ligatures w14:val="none"/>
        </w:rPr>
        <w:t>5</w:t>
      </w:r>
      <w:r w:rsidRPr="00C55624">
        <w:rPr>
          <w:rFonts w:ascii="Arial" w:eastAsia="Times New Roman" w:hAnsi="Arial" w:cs="Arial"/>
          <w:kern w:val="0"/>
          <w:sz w:val="24"/>
          <w:szCs w:val="24"/>
          <w:lang w:eastAsia="en-GB"/>
          <w14:ligatures w14:val="none"/>
        </w:rPr>
        <w:t xml:space="preserve"> million in accounts receivable. These numbers suggest that Marriott has more cash on hand and is owed more money by its customers than Hyatt, which may indicate a stronger financial position for Marriott.</w:t>
      </w:r>
    </w:p>
    <w:p w14:paraId="67983186" w14:textId="19258B75" w:rsidR="00061430" w:rsidRPr="003653A6" w:rsidRDefault="00CE6968" w:rsidP="00FA3525">
      <w:pPr>
        <w:spacing w:before="300" w:after="100" w:line="360" w:lineRule="auto"/>
        <w:jc w:val="both"/>
        <w:rPr>
          <w:rFonts w:ascii="Arial" w:eastAsia="Times New Roman" w:hAnsi="Arial" w:cs="Arial"/>
          <w:kern w:val="0"/>
          <w:sz w:val="24"/>
          <w:szCs w:val="24"/>
          <w:lang w:eastAsia="en-GB"/>
          <w14:ligatures w14:val="none"/>
        </w:rPr>
      </w:pPr>
      <w:r w:rsidRPr="00CE6968">
        <w:rPr>
          <w:rFonts w:ascii="Arial" w:eastAsia="Times New Roman" w:hAnsi="Arial" w:cs="Arial"/>
          <w:kern w:val="0"/>
          <w:sz w:val="24"/>
          <w:szCs w:val="24"/>
          <w:lang w:eastAsia="en-GB"/>
          <w14:ligatures w14:val="none"/>
        </w:rPr>
        <w:t>In summary, this study contrasted the financial management strategies used by Marriott Hotel and Hyatt Hotel, concentrating on four crucial factors: total revenue, market position, growth potential, and financial commitment to CSR. Hyatt Hotel has a solid reputation for providing upscale hospitality services, even though Marriott Hotel is more financially secure and has a larger market reach.</w:t>
      </w:r>
      <w:r w:rsidR="00061430" w:rsidRPr="003653A6">
        <w:rPr>
          <w:rFonts w:ascii="Arial" w:eastAsia="Times New Roman" w:hAnsi="Arial" w:cs="Arial"/>
          <w:kern w:val="0"/>
          <w:sz w:val="24"/>
          <w:szCs w:val="24"/>
          <w:lang w:eastAsia="en-GB"/>
          <w14:ligatures w14:val="none"/>
        </w:rPr>
        <w:t xml:space="preserve"> Both hotel chains have strong commitments to CSR and are actively working towards achieving their sustainability </w:t>
      </w:r>
      <w:r w:rsidR="00061430" w:rsidRPr="003653A6">
        <w:rPr>
          <w:rFonts w:ascii="Arial" w:eastAsia="Times New Roman" w:hAnsi="Arial" w:cs="Arial"/>
          <w:kern w:val="0"/>
          <w:sz w:val="24"/>
          <w:szCs w:val="24"/>
          <w:lang w:eastAsia="en-GB"/>
          <w14:ligatures w14:val="none"/>
        </w:rPr>
        <w:lastRenderedPageBreak/>
        <w:t>goals. Based on our analysis, we recommend that Marriott Hotel and Hyatt Hotel continue to focus on their respective strengths while also improving their commitments to CSR. By doing so, these hotel chains can continue to stay competitive and appeal to a broad range of customers in the highly competitive hospitality industry.</w:t>
      </w:r>
    </w:p>
    <w:p w14:paraId="1D8952CC" w14:textId="24FCCBBD" w:rsidR="00061430" w:rsidRPr="003653A6" w:rsidRDefault="00061430" w:rsidP="00FA3525">
      <w:pPr>
        <w:spacing w:after="0" w:line="360" w:lineRule="auto"/>
        <w:jc w:val="both"/>
        <w:rPr>
          <w:rFonts w:ascii="Arial" w:eastAsia="Times New Roman" w:hAnsi="Arial" w:cs="Arial"/>
          <w:kern w:val="0"/>
          <w:sz w:val="24"/>
          <w:szCs w:val="24"/>
          <w:lang w:eastAsia="en-GB"/>
          <w14:ligatures w14:val="none"/>
        </w:rPr>
      </w:pPr>
    </w:p>
    <w:p w14:paraId="383A2577" w14:textId="29F96E6C" w:rsidR="00061430" w:rsidRPr="003653A6" w:rsidRDefault="00061430" w:rsidP="00FA3525">
      <w:pPr>
        <w:spacing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To support </w:t>
      </w:r>
      <w:r w:rsidR="00B961AA" w:rsidRPr="003653A6">
        <w:rPr>
          <w:rFonts w:ascii="Arial" w:eastAsia="Times New Roman" w:hAnsi="Arial" w:cs="Arial"/>
          <w:kern w:val="0"/>
          <w:sz w:val="24"/>
          <w:szCs w:val="24"/>
          <w:lang w:eastAsia="en-GB"/>
          <w14:ligatures w14:val="none"/>
        </w:rPr>
        <w:t>the</w:t>
      </w:r>
      <w:r w:rsidRPr="003653A6">
        <w:rPr>
          <w:rFonts w:ascii="Arial" w:eastAsia="Times New Roman" w:hAnsi="Arial" w:cs="Arial"/>
          <w:kern w:val="0"/>
          <w:sz w:val="24"/>
          <w:szCs w:val="24"/>
          <w:lang w:eastAsia="en-GB"/>
          <w14:ligatures w14:val="none"/>
        </w:rPr>
        <w:t xml:space="preserve"> findings, </w:t>
      </w:r>
      <w:r w:rsidR="00B961AA" w:rsidRPr="003653A6">
        <w:rPr>
          <w:rFonts w:ascii="Arial" w:eastAsia="Times New Roman" w:hAnsi="Arial" w:cs="Arial"/>
          <w:kern w:val="0"/>
          <w:sz w:val="24"/>
          <w:szCs w:val="24"/>
          <w:lang w:eastAsia="en-GB"/>
          <w14:ligatures w14:val="none"/>
        </w:rPr>
        <w:t>it is</w:t>
      </w:r>
      <w:r w:rsidRPr="003653A6">
        <w:rPr>
          <w:rFonts w:ascii="Arial" w:eastAsia="Times New Roman" w:hAnsi="Arial" w:cs="Arial"/>
          <w:kern w:val="0"/>
          <w:sz w:val="24"/>
          <w:szCs w:val="24"/>
          <w:lang w:eastAsia="en-GB"/>
          <w14:ligatures w14:val="none"/>
        </w:rPr>
        <w:t xml:space="preserve"> also </w:t>
      </w:r>
      <w:r w:rsidR="00B961AA" w:rsidRPr="003653A6">
        <w:rPr>
          <w:rFonts w:ascii="Arial" w:eastAsia="Times New Roman" w:hAnsi="Arial" w:cs="Arial"/>
          <w:kern w:val="0"/>
          <w:sz w:val="24"/>
          <w:szCs w:val="24"/>
          <w:lang w:eastAsia="en-GB"/>
          <w14:ligatures w14:val="none"/>
        </w:rPr>
        <w:t>recommended</w:t>
      </w:r>
      <w:r w:rsidRPr="003653A6">
        <w:rPr>
          <w:rFonts w:ascii="Arial" w:eastAsia="Times New Roman" w:hAnsi="Arial" w:cs="Arial"/>
          <w:kern w:val="0"/>
          <w:sz w:val="24"/>
          <w:szCs w:val="24"/>
          <w:lang w:eastAsia="en-GB"/>
          <w14:ligatures w14:val="none"/>
        </w:rPr>
        <w:t xml:space="preserve"> that both Marriott Hotel and Hyatt Hotel invest in data analytics tools to better understand their customers and market trends. By leveraging big data and analytics, hotel chains can gain insights into customer preferences and </w:t>
      </w:r>
      <w:r w:rsidR="00B961AA" w:rsidRPr="003653A6">
        <w:rPr>
          <w:rFonts w:ascii="Arial" w:eastAsia="Times New Roman" w:hAnsi="Arial" w:cs="Arial"/>
          <w:kern w:val="0"/>
          <w:sz w:val="24"/>
          <w:szCs w:val="24"/>
          <w:lang w:eastAsia="en-GB"/>
          <w14:ligatures w14:val="none"/>
        </w:rPr>
        <w:t>behaviours</w:t>
      </w:r>
      <w:r w:rsidRPr="003653A6">
        <w:rPr>
          <w:rFonts w:ascii="Arial" w:eastAsia="Times New Roman" w:hAnsi="Arial" w:cs="Arial"/>
          <w:kern w:val="0"/>
          <w:sz w:val="24"/>
          <w:szCs w:val="24"/>
          <w:lang w:eastAsia="en-GB"/>
          <w14:ligatures w14:val="none"/>
        </w:rPr>
        <w:t>, which can help them improve their services and stay ahead of competitors.</w:t>
      </w:r>
    </w:p>
    <w:p w14:paraId="29BC1967" w14:textId="628A0185" w:rsidR="00061430" w:rsidRPr="003653A6" w:rsidRDefault="00061430" w:rsidP="00FA3525">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Furthermore, </w:t>
      </w:r>
      <w:r w:rsidR="00B961AA" w:rsidRPr="003653A6">
        <w:rPr>
          <w:rFonts w:ascii="Arial" w:eastAsia="Times New Roman" w:hAnsi="Arial" w:cs="Arial"/>
          <w:kern w:val="0"/>
          <w:sz w:val="24"/>
          <w:szCs w:val="24"/>
          <w:lang w:eastAsia="en-GB"/>
          <w14:ligatures w14:val="none"/>
        </w:rPr>
        <w:t>it is</w:t>
      </w:r>
      <w:r w:rsidRPr="003653A6">
        <w:rPr>
          <w:rFonts w:ascii="Arial" w:eastAsia="Times New Roman" w:hAnsi="Arial" w:cs="Arial"/>
          <w:kern w:val="0"/>
          <w:sz w:val="24"/>
          <w:szCs w:val="24"/>
          <w:lang w:eastAsia="en-GB"/>
          <w14:ligatures w14:val="none"/>
        </w:rPr>
        <w:t xml:space="preserve"> </w:t>
      </w:r>
      <w:r w:rsidR="00B961AA" w:rsidRPr="003653A6">
        <w:rPr>
          <w:rFonts w:ascii="Arial" w:eastAsia="Times New Roman" w:hAnsi="Arial" w:cs="Arial"/>
          <w:kern w:val="0"/>
          <w:sz w:val="24"/>
          <w:szCs w:val="24"/>
          <w:lang w:eastAsia="en-GB"/>
          <w14:ligatures w14:val="none"/>
        </w:rPr>
        <w:t>suggested</w:t>
      </w:r>
      <w:r w:rsidRPr="003653A6">
        <w:rPr>
          <w:rFonts w:ascii="Arial" w:eastAsia="Times New Roman" w:hAnsi="Arial" w:cs="Arial"/>
          <w:kern w:val="0"/>
          <w:sz w:val="24"/>
          <w:szCs w:val="24"/>
          <w:lang w:eastAsia="en-GB"/>
          <w14:ligatures w14:val="none"/>
        </w:rPr>
        <w:t xml:space="preserve"> that both Marriott Hotel and Hyatt Hotel focus on digital transformation initiatives to enhance their customer experience and streamline their operations. For instance, implementing mobile check-in and digital concierge services can improve the convenience and efficiency of hotel services, while also reducing operational costs.</w:t>
      </w:r>
    </w:p>
    <w:p w14:paraId="256A6BDD" w14:textId="77777777" w:rsidR="00B961AA" w:rsidRPr="003653A6" w:rsidRDefault="00061430" w:rsidP="00FA3525">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In terms of future research, it would be beneficial to conduct a more comprehensive analysis of the hospitality industry, </w:t>
      </w:r>
      <w:r w:rsidR="00B961AA" w:rsidRPr="003653A6">
        <w:rPr>
          <w:rFonts w:ascii="Arial" w:eastAsia="Times New Roman" w:hAnsi="Arial" w:cs="Arial"/>
          <w:kern w:val="0"/>
          <w:sz w:val="24"/>
          <w:szCs w:val="24"/>
          <w:lang w:eastAsia="en-GB"/>
          <w14:ligatures w14:val="none"/>
        </w:rPr>
        <w:t>considering</w:t>
      </w:r>
      <w:r w:rsidRPr="003653A6">
        <w:rPr>
          <w:rFonts w:ascii="Arial" w:eastAsia="Times New Roman" w:hAnsi="Arial" w:cs="Arial"/>
          <w:kern w:val="0"/>
          <w:sz w:val="24"/>
          <w:szCs w:val="24"/>
          <w:lang w:eastAsia="en-GB"/>
          <w14:ligatures w14:val="none"/>
        </w:rPr>
        <w:t xml:space="preserve"> other major players such as Hilton, Intercontinental Hotels Group, and Accor. Additionally, it would be interesting to examine the impact of emerging technologies such as artificial intelligence and blockchain on the hospitality industry and how hotel chains can adapt to these trends.</w:t>
      </w:r>
    </w:p>
    <w:p w14:paraId="6F2A34BC" w14:textId="127B75FF" w:rsidR="00061430" w:rsidRDefault="00061430" w:rsidP="00FA3525">
      <w:pPr>
        <w:spacing w:before="300" w:after="3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Overall, the hospitality industry is highly competitive, and hotel chains must continually adapt and innovate to stay ahead of the curve. By focusing on their strengths, investing in data analytics and digital transformation, and improving their commitments to CSR, Marriott Hotel and Hyatt Hotel can continue to thrive in the years to come.</w:t>
      </w:r>
    </w:p>
    <w:p w14:paraId="6CBFAFB3" w14:textId="77777777" w:rsidR="00E9101D" w:rsidRDefault="00E9101D" w:rsidP="00FA3525">
      <w:pPr>
        <w:spacing w:before="300" w:after="300" w:line="360" w:lineRule="auto"/>
        <w:jc w:val="both"/>
        <w:rPr>
          <w:rFonts w:ascii="Arial" w:eastAsia="Times New Roman" w:hAnsi="Arial" w:cs="Arial"/>
          <w:kern w:val="0"/>
          <w:sz w:val="24"/>
          <w:szCs w:val="24"/>
          <w:lang w:eastAsia="en-GB"/>
          <w14:ligatures w14:val="none"/>
        </w:rPr>
      </w:pPr>
    </w:p>
    <w:p w14:paraId="55A1C47F" w14:textId="77777777" w:rsidR="00E9101D" w:rsidRDefault="00E9101D" w:rsidP="00FA3525">
      <w:pPr>
        <w:spacing w:before="300" w:after="300" w:line="360" w:lineRule="auto"/>
        <w:jc w:val="both"/>
        <w:rPr>
          <w:rFonts w:ascii="Arial" w:eastAsia="Times New Roman" w:hAnsi="Arial" w:cs="Arial"/>
          <w:kern w:val="0"/>
          <w:sz w:val="24"/>
          <w:szCs w:val="24"/>
          <w:lang w:eastAsia="en-GB"/>
          <w14:ligatures w14:val="none"/>
        </w:rPr>
      </w:pPr>
    </w:p>
    <w:p w14:paraId="1AE05B96" w14:textId="77777777" w:rsidR="00E9101D" w:rsidRDefault="00E9101D" w:rsidP="00FA3525">
      <w:pPr>
        <w:spacing w:before="300" w:after="300" w:line="360" w:lineRule="auto"/>
        <w:jc w:val="both"/>
        <w:rPr>
          <w:rFonts w:ascii="Arial" w:eastAsia="Times New Roman" w:hAnsi="Arial" w:cs="Arial"/>
          <w:kern w:val="0"/>
          <w:sz w:val="24"/>
          <w:szCs w:val="24"/>
          <w:lang w:eastAsia="en-GB"/>
          <w14:ligatures w14:val="none"/>
        </w:rPr>
      </w:pPr>
    </w:p>
    <w:p w14:paraId="5F84672D" w14:textId="77777777" w:rsidR="006A4335" w:rsidRDefault="006A4335" w:rsidP="00FA3525">
      <w:pPr>
        <w:spacing w:before="300" w:after="300" w:line="360" w:lineRule="auto"/>
        <w:jc w:val="both"/>
        <w:rPr>
          <w:rFonts w:ascii="Arial" w:eastAsia="Times New Roman" w:hAnsi="Arial" w:cs="Arial"/>
          <w:kern w:val="0"/>
          <w:sz w:val="24"/>
          <w:szCs w:val="24"/>
          <w:lang w:eastAsia="en-GB"/>
          <w14:ligatures w14:val="none"/>
        </w:rPr>
      </w:pPr>
    </w:p>
    <w:p w14:paraId="0C5641C0" w14:textId="7A7116CB" w:rsidR="00E9101D" w:rsidRPr="00E9101D" w:rsidRDefault="00E9101D" w:rsidP="006A4335">
      <w:pPr>
        <w:spacing w:before="300" w:after="300" w:line="360" w:lineRule="auto"/>
        <w:jc w:val="center"/>
        <w:rPr>
          <w:rFonts w:ascii="Arial" w:eastAsia="Times New Roman" w:hAnsi="Arial" w:cs="Arial"/>
          <w:kern w:val="0"/>
          <w:sz w:val="44"/>
          <w:szCs w:val="44"/>
          <w:lang w:eastAsia="en-GB"/>
          <w14:ligatures w14:val="none"/>
        </w:rPr>
      </w:pPr>
      <w:r w:rsidRPr="00E9101D">
        <w:rPr>
          <w:rFonts w:ascii="Arial" w:eastAsia="Times New Roman" w:hAnsi="Arial" w:cs="Arial"/>
          <w:kern w:val="0"/>
          <w:sz w:val="44"/>
          <w:szCs w:val="44"/>
          <w:lang w:eastAsia="en-GB"/>
          <w14:ligatures w14:val="none"/>
        </w:rPr>
        <w:lastRenderedPageBreak/>
        <w:t>References</w:t>
      </w:r>
    </w:p>
    <w:p w14:paraId="4D8AF8A9"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Statista. (2021). Revenue of Marriott International worldwide from 2010 to 2020. Retrieved from </w:t>
      </w:r>
      <w:hyperlink r:id="rId5"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https://www.statista.com/statistics/193125/revenue-of-marriott-international-worldwide-since-2008/</w:t>
        </w:r>
      </w:hyperlink>
    </w:p>
    <w:p w14:paraId="677245AE"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Statista. (2021). Revenue of Hyatt Hotels Corporation worldwide from 2008 to 2020. Retrieved from </w:t>
      </w:r>
      <w:hyperlink r:id="rId6"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https://www.statista.com/statistics/193232/revenue-of-hyatt-hotels-worldwide-since-2008/</w:t>
        </w:r>
      </w:hyperlink>
    </w:p>
    <w:p w14:paraId="25E81FB2"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J.D. Power. (2020). J.D. Power 2020 North America Hotel Guest Satisfaction Index (Upper Upscale). Retrieved from </w:t>
      </w:r>
      <w:hyperlink r:id="rId7"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https://www.jdpower.com/business/press-releases/2020-north-america-hotel-guest-satisfaction-index-upper-upscale</w:t>
        </w:r>
      </w:hyperlink>
    </w:p>
    <w:p w14:paraId="5514B054"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EY. (2021). Global Hospitality Insights. Retrieved from </w:t>
      </w:r>
      <w:hyperlink r:id="rId8"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https://www.ey.com/en_us/hospitality-tourism/global-hospitality-insights</w:t>
        </w:r>
      </w:hyperlink>
    </w:p>
    <w:p w14:paraId="15BD56FE"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Marriott International. (2021). Corporate Social Responsibility. Retrieved from </w:t>
      </w:r>
      <w:hyperlink r:id="rId9"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https://www.marriott.com/corporate-social-responsibility/corporate-social-responsibility.mi</w:t>
        </w:r>
      </w:hyperlink>
    </w:p>
    <w:p w14:paraId="1BBF04E6"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Hyatt Hotels Corporation. (2021). Sustainability. Retrieved from </w:t>
      </w:r>
      <w:hyperlink r:id="rId10"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https://www.hyatt.com/en-US/info/sustainability-pledge</w:t>
        </w:r>
      </w:hyperlink>
    </w:p>
    <w:p w14:paraId="0A2BAEFE" w14:textId="77777777" w:rsidR="00C54780" w:rsidRPr="003653A6" w:rsidRDefault="00C54780" w:rsidP="00FA3525">
      <w:pPr>
        <w:numPr>
          <w:ilvl w:val="0"/>
          <w:numId w:val="5"/>
        </w:numPr>
        <w:spacing w:after="1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Cheng, A. (2019). How AI and Machine Learning are Revolutionizing the Hospitality Industry. Retrieved from </w:t>
      </w:r>
      <w:hyperlink r:id="rId11"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https://builtin.com/artificial-intelligence/ai-machine-learning-hospitality</w:t>
        </w:r>
      </w:hyperlink>
    </w:p>
    <w:p w14:paraId="23C08DD4" w14:textId="53E9F3C1" w:rsidR="00C54780" w:rsidRPr="003653A6" w:rsidRDefault="00C54780" w:rsidP="00FA3525">
      <w:pPr>
        <w:pStyle w:val="ListParagraph"/>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Deloitte. (2021). Global Hotel Outlook. Retrieved from </w:t>
      </w:r>
      <w:hyperlink r:id="rId12"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https://www2.deloitte.com/global/en/pages/about-deloitte/articles/global-hotel-outlook.html</w:t>
        </w:r>
      </w:hyperlink>
    </w:p>
    <w:p w14:paraId="2D0DBA7C"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PwC. (2021). Hospitality Directions US: Annual Report. Retrieved from </w:t>
      </w:r>
      <w:hyperlink r:id="rId13"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https://www.pwc.com/us/en/industries/hospitality-leisure/library/hospitality-directions-annual-report.html</w:t>
        </w:r>
      </w:hyperlink>
    </w:p>
    <w:p w14:paraId="02B7F0EE"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Cornell University School of Hotel Administration. (2021). </w:t>
      </w:r>
      <w:proofErr w:type="spellStart"/>
      <w:r w:rsidRPr="003653A6">
        <w:rPr>
          <w:rFonts w:ascii="Arial" w:eastAsia="Times New Roman" w:hAnsi="Arial" w:cs="Arial"/>
          <w:kern w:val="0"/>
          <w:sz w:val="24"/>
          <w:szCs w:val="24"/>
          <w:lang w:eastAsia="en-GB"/>
          <w14:ligatures w14:val="none"/>
        </w:rPr>
        <w:t>Center</w:t>
      </w:r>
      <w:proofErr w:type="spellEnd"/>
      <w:r w:rsidRPr="003653A6">
        <w:rPr>
          <w:rFonts w:ascii="Arial" w:eastAsia="Times New Roman" w:hAnsi="Arial" w:cs="Arial"/>
          <w:kern w:val="0"/>
          <w:sz w:val="24"/>
          <w:szCs w:val="24"/>
          <w:lang w:eastAsia="en-GB"/>
          <w14:ligatures w14:val="none"/>
        </w:rPr>
        <w:t xml:space="preserve"> for Hospitality Research. Retrieved from </w:t>
      </w:r>
      <w:hyperlink r:id="rId14"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https://sha.cornell.edu/centers-excellence/center-hospitality-research/</w:t>
        </w:r>
      </w:hyperlink>
    </w:p>
    <w:p w14:paraId="65A291AE"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lastRenderedPageBreak/>
        <w:t xml:space="preserve">International Journal of Hospitality Management. (2021). Retrieved from </w:t>
      </w:r>
      <w:hyperlink r:id="rId15"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https://www.journals.elsevier.com/international-journal-of-hospitality-management</w:t>
        </w:r>
      </w:hyperlink>
    </w:p>
    <w:p w14:paraId="28BBBB66"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STR. (2021). Global Hotel Study. Retrieved from </w:t>
      </w:r>
      <w:hyperlink r:id="rId16"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https://str.com/data-insights-blog/global-hotel-study</w:t>
        </w:r>
      </w:hyperlink>
    </w:p>
    <w:p w14:paraId="4510F3D9" w14:textId="77777777" w:rsidR="00C54780" w:rsidRPr="003653A6" w:rsidRDefault="00C54780" w:rsidP="00FA3525">
      <w:pPr>
        <w:numPr>
          <w:ilvl w:val="0"/>
          <w:numId w:val="5"/>
        </w:numPr>
        <w:spacing w:after="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The Balance Small Business. (2021). Understanding Financial Management. Retrieved from </w:t>
      </w:r>
      <w:hyperlink r:id="rId17"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https://www.thebalancesmb.com/financial-management-definition-and-explanation-393293</w:t>
        </w:r>
      </w:hyperlink>
    </w:p>
    <w:p w14:paraId="3667A3B9" w14:textId="77777777" w:rsidR="00C54780" w:rsidRPr="003653A6" w:rsidRDefault="00C54780" w:rsidP="00FA3525">
      <w:pPr>
        <w:numPr>
          <w:ilvl w:val="0"/>
          <w:numId w:val="5"/>
        </w:numPr>
        <w:spacing w:after="100" w:line="360" w:lineRule="auto"/>
        <w:jc w:val="both"/>
        <w:rPr>
          <w:rFonts w:ascii="Arial" w:eastAsia="Times New Roman" w:hAnsi="Arial" w:cs="Arial"/>
          <w:kern w:val="0"/>
          <w:sz w:val="24"/>
          <w:szCs w:val="24"/>
          <w:lang w:eastAsia="en-GB"/>
          <w14:ligatures w14:val="none"/>
        </w:rPr>
      </w:pPr>
      <w:r w:rsidRPr="003653A6">
        <w:rPr>
          <w:rFonts w:ascii="Arial" w:eastAsia="Times New Roman" w:hAnsi="Arial" w:cs="Arial"/>
          <w:kern w:val="0"/>
          <w:sz w:val="24"/>
          <w:szCs w:val="24"/>
          <w:lang w:eastAsia="en-GB"/>
          <w14:ligatures w14:val="none"/>
        </w:rPr>
        <w:t xml:space="preserve">Harvard Business Review. (2021). Financial Management. Retrieved from </w:t>
      </w:r>
      <w:hyperlink r:id="rId18" w:tgtFrame="_new" w:history="1">
        <w:r w:rsidRPr="003653A6">
          <w:rPr>
            <w:rFonts w:ascii="Arial" w:eastAsia="Times New Roman" w:hAnsi="Arial" w:cs="Arial"/>
            <w:color w:val="0000FF"/>
            <w:kern w:val="0"/>
            <w:sz w:val="24"/>
            <w:szCs w:val="24"/>
            <w:u w:val="single"/>
            <w:bdr w:val="single" w:sz="2" w:space="0" w:color="D9D9E3" w:frame="1"/>
            <w:lang w:eastAsia="en-GB"/>
            <w14:ligatures w14:val="none"/>
          </w:rPr>
          <w:t>https://hbr.org/topic/financial-management</w:t>
        </w:r>
      </w:hyperlink>
    </w:p>
    <w:p w14:paraId="04AC2A16" w14:textId="6CAC9413" w:rsidR="00C55624" w:rsidRPr="003653A6" w:rsidRDefault="00000000" w:rsidP="00FA3525">
      <w:pPr>
        <w:pStyle w:val="ListParagraph"/>
        <w:numPr>
          <w:ilvl w:val="0"/>
          <w:numId w:val="5"/>
        </w:numPr>
        <w:spacing w:after="100" w:line="360" w:lineRule="auto"/>
        <w:jc w:val="both"/>
        <w:rPr>
          <w:rFonts w:ascii="Arial" w:eastAsia="Times New Roman" w:hAnsi="Arial" w:cs="Arial"/>
          <w:kern w:val="0"/>
          <w:sz w:val="24"/>
          <w:szCs w:val="24"/>
          <w:lang w:eastAsia="en-GB"/>
          <w14:ligatures w14:val="none"/>
        </w:rPr>
      </w:pPr>
      <w:hyperlink r:id="rId19" w:history="1">
        <w:r w:rsidR="003653A6" w:rsidRPr="003653A6">
          <w:rPr>
            <w:rStyle w:val="Hyperlink"/>
            <w:rFonts w:ascii="Arial" w:eastAsia="Times New Roman" w:hAnsi="Arial" w:cs="Arial"/>
            <w:kern w:val="0"/>
            <w:sz w:val="24"/>
            <w:szCs w:val="24"/>
            <w:lang w:eastAsia="en-GB"/>
            <w14:ligatures w14:val="none"/>
          </w:rPr>
          <w:t>https://investor.marriott.com/financials/annual-reports/default.aspx</w:t>
        </w:r>
      </w:hyperlink>
    </w:p>
    <w:p w14:paraId="61745F77" w14:textId="23159F1A" w:rsidR="003653A6" w:rsidRPr="003653A6" w:rsidRDefault="00000000" w:rsidP="00FA3525">
      <w:pPr>
        <w:pStyle w:val="ListParagraph"/>
        <w:numPr>
          <w:ilvl w:val="0"/>
          <w:numId w:val="5"/>
        </w:numPr>
        <w:spacing w:after="100" w:line="360" w:lineRule="auto"/>
        <w:jc w:val="both"/>
        <w:rPr>
          <w:rFonts w:ascii="Arial" w:eastAsia="Times New Roman" w:hAnsi="Arial" w:cs="Arial"/>
          <w:kern w:val="0"/>
          <w:sz w:val="24"/>
          <w:szCs w:val="24"/>
          <w:lang w:eastAsia="en-GB"/>
          <w14:ligatures w14:val="none"/>
        </w:rPr>
      </w:pPr>
      <w:hyperlink r:id="rId20" w:history="1">
        <w:r w:rsidR="003653A6" w:rsidRPr="003653A6">
          <w:rPr>
            <w:rStyle w:val="Hyperlink"/>
            <w:rFonts w:ascii="Arial" w:eastAsia="Times New Roman" w:hAnsi="Arial" w:cs="Arial"/>
            <w:kern w:val="0"/>
            <w:sz w:val="24"/>
            <w:szCs w:val="24"/>
            <w:lang w:eastAsia="en-GB"/>
            <w14:ligatures w14:val="none"/>
          </w:rPr>
          <w:t>https://investors.hyatt.com/static-files/9f60a880-b70a-4bbd-b0f6-7b6a2f6d0f6d</w:t>
        </w:r>
      </w:hyperlink>
    </w:p>
    <w:p w14:paraId="4C720B14" w14:textId="77777777" w:rsidR="003653A6" w:rsidRPr="003653A6" w:rsidRDefault="003653A6" w:rsidP="00FA3525">
      <w:pPr>
        <w:pStyle w:val="ListParagraph"/>
        <w:numPr>
          <w:ilvl w:val="0"/>
          <w:numId w:val="5"/>
        </w:numPr>
        <w:spacing w:after="100" w:line="360" w:lineRule="auto"/>
        <w:jc w:val="both"/>
        <w:rPr>
          <w:rFonts w:ascii="Arial" w:eastAsia="Times New Roman" w:hAnsi="Arial" w:cs="Arial"/>
          <w:kern w:val="0"/>
          <w:sz w:val="24"/>
          <w:szCs w:val="24"/>
          <w:lang w:eastAsia="en-GB"/>
          <w14:ligatures w14:val="none"/>
        </w:rPr>
      </w:pPr>
    </w:p>
    <w:p w14:paraId="7DD9F110" w14:textId="77777777" w:rsidR="00C55624" w:rsidRPr="003710ED" w:rsidRDefault="00C55624" w:rsidP="00FA3525">
      <w:pPr>
        <w:spacing w:after="100" w:line="360" w:lineRule="auto"/>
        <w:ind w:left="360"/>
        <w:jc w:val="both"/>
        <w:rPr>
          <w:rFonts w:ascii="Arial" w:eastAsia="Times New Roman" w:hAnsi="Arial" w:cs="Arial"/>
          <w:kern w:val="0"/>
          <w:sz w:val="24"/>
          <w:szCs w:val="24"/>
          <w:lang w:eastAsia="en-GB"/>
          <w14:ligatures w14:val="none"/>
        </w:rPr>
      </w:pPr>
    </w:p>
    <w:p w14:paraId="4100CC85" w14:textId="77777777" w:rsidR="00C54780" w:rsidRPr="003710ED" w:rsidRDefault="00C54780" w:rsidP="00FA3525">
      <w:pPr>
        <w:spacing w:after="0" w:line="360" w:lineRule="auto"/>
        <w:jc w:val="both"/>
        <w:rPr>
          <w:rFonts w:ascii="Arial" w:eastAsia="Times New Roman" w:hAnsi="Arial" w:cs="Arial"/>
          <w:kern w:val="0"/>
          <w:sz w:val="24"/>
          <w:szCs w:val="24"/>
          <w:lang w:eastAsia="en-GB"/>
          <w14:ligatures w14:val="none"/>
        </w:rPr>
      </w:pPr>
      <w:r w:rsidRPr="003710ED">
        <w:rPr>
          <w:rFonts w:ascii="Arial" w:eastAsia="Times New Roman" w:hAnsi="Arial" w:cs="Arial"/>
          <w:noProof/>
          <w:kern w:val="0"/>
          <w:sz w:val="24"/>
          <w:szCs w:val="24"/>
          <w:bdr w:val="none" w:sz="0" w:space="0" w:color="auto" w:frame="1"/>
          <w:lang w:eastAsia="en-GB"/>
          <w14:ligatures w14:val="none"/>
        </w:rPr>
        <mc:AlternateContent>
          <mc:Choice Requires="wps">
            <w:drawing>
              <wp:inline distT="0" distB="0" distL="0" distR="0" wp14:anchorId="0EF94885" wp14:editId="0C5FBEDB">
                <wp:extent cx="304800" cy="304800"/>
                <wp:effectExtent l="0" t="0" r="0" b="0"/>
                <wp:docPr id="8" name="AutoShap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1625B4" id="AutoShape 1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3710ED">
        <w:rPr>
          <w:rFonts w:ascii="Arial" w:eastAsia="Times New Roman" w:hAnsi="Arial" w:cs="Arial"/>
          <w:noProof/>
          <w:kern w:val="0"/>
          <w:sz w:val="24"/>
          <w:szCs w:val="24"/>
          <w:bdr w:val="none" w:sz="0" w:space="0" w:color="auto" w:frame="1"/>
          <w:lang w:eastAsia="en-GB"/>
          <w14:ligatures w14:val="none"/>
        </w:rPr>
        <mc:AlternateContent>
          <mc:Choice Requires="wps">
            <w:drawing>
              <wp:inline distT="0" distB="0" distL="0" distR="0" wp14:anchorId="5029954D" wp14:editId="66517839">
                <wp:extent cx="304800" cy="304800"/>
                <wp:effectExtent l="0" t="0" r="0" b="0"/>
                <wp:docPr id="7" name="AutoShape 12" descr="Mohammed Muddasa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16504B" id="AutoShape 12" o:spid="_x0000_s1026" alt="Mohammed Muddasa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6B2DBC3" w14:textId="77777777" w:rsidR="00C54780" w:rsidRPr="003710ED" w:rsidRDefault="00C54780" w:rsidP="00FA3525">
      <w:pPr>
        <w:spacing w:line="360" w:lineRule="auto"/>
        <w:jc w:val="both"/>
        <w:rPr>
          <w:rFonts w:ascii="Arial" w:hAnsi="Arial" w:cs="Arial"/>
          <w:sz w:val="24"/>
          <w:szCs w:val="24"/>
        </w:rPr>
      </w:pPr>
    </w:p>
    <w:p w14:paraId="14850EF4" w14:textId="77777777" w:rsidR="00AF0A66" w:rsidRPr="003710ED" w:rsidRDefault="00AF0A66" w:rsidP="00FA3525">
      <w:pPr>
        <w:spacing w:line="360" w:lineRule="auto"/>
        <w:jc w:val="both"/>
        <w:rPr>
          <w:rFonts w:ascii="Arial" w:hAnsi="Arial" w:cs="Arial"/>
          <w:sz w:val="24"/>
          <w:szCs w:val="24"/>
        </w:rPr>
      </w:pPr>
    </w:p>
    <w:sectPr w:rsidR="00AF0A66" w:rsidRPr="003710ED" w:rsidSect="00C354A1">
      <w:pgSz w:w="11906" w:h="16838"/>
      <w:pgMar w:top="1440" w:right="1440" w:bottom="1440" w:left="1440" w:header="708" w:footer="708" w:gutter="0"/>
      <w:pgBorders w:display="firstPage"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C3A2B"/>
    <w:multiLevelType w:val="multilevel"/>
    <w:tmpl w:val="91BA2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193245"/>
    <w:multiLevelType w:val="multilevel"/>
    <w:tmpl w:val="815E5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FC551D"/>
    <w:multiLevelType w:val="multilevel"/>
    <w:tmpl w:val="0EBE0E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A51183"/>
    <w:multiLevelType w:val="multilevel"/>
    <w:tmpl w:val="24ECF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9E1205"/>
    <w:multiLevelType w:val="multilevel"/>
    <w:tmpl w:val="16AAF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836F4C"/>
    <w:multiLevelType w:val="multilevel"/>
    <w:tmpl w:val="0B30B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5515666">
    <w:abstractNumId w:val="2"/>
  </w:num>
  <w:num w:numId="2" w16cid:durableId="1342469496">
    <w:abstractNumId w:val="4"/>
  </w:num>
  <w:num w:numId="3" w16cid:durableId="1395153863">
    <w:abstractNumId w:val="0"/>
  </w:num>
  <w:num w:numId="4" w16cid:durableId="647132071">
    <w:abstractNumId w:val="5"/>
  </w:num>
  <w:num w:numId="5" w16cid:durableId="704644837">
    <w:abstractNumId w:val="1"/>
  </w:num>
  <w:num w:numId="6" w16cid:durableId="5501940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92B"/>
    <w:rsid w:val="0005292B"/>
    <w:rsid w:val="00061430"/>
    <w:rsid w:val="0018208B"/>
    <w:rsid w:val="003653A6"/>
    <w:rsid w:val="003710ED"/>
    <w:rsid w:val="006A4335"/>
    <w:rsid w:val="006E1702"/>
    <w:rsid w:val="00942AA5"/>
    <w:rsid w:val="00AF0A66"/>
    <w:rsid w:val="00B961AA"/>
    <w:rsid w:val="00C354A1"/>
    <w:rsid w:val="00C54780"/>
    <w:rsid w:val="00C55624"/>
    <w:rsid w:val="00CE6968"/>
    <w:rsid w:val="00E9101D"/>
    <w:rsid w:val="00FA3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87BE8"/>
  <w15:chartTrackingRefBased/>
  <w15:docId w15:val="{E55E1C79-7C1E-4FF9-9FBA-4374E691C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4780"/>
    <w:pPr>
      <w:ind w:left="720"/>
      <w:contextualSpacing/>
    </w:pPr>
  </w:style>
  <w:style w:type="character" w:styleId="Hyperlink">
    <w:name w:val="Hyperlink"/>
    <w:basedOn w:val="DefaultParagraphFont"/>
    <w:uiPriority w:val="99"/>
    <w:unhideWhenUsed/>
    <w:rsid w:val="00C55624"/>
    <w:rPr>
      <w:color w:val="0563C1" w:themeColor="hyperlink"/>
      <w:u w:val="single"/>
    </w:rPr>
  </w:style>
  <w:style w:type="character" w:styleId="UnresolvedMention">
    <w:name w:val="Unresolved Mention"/>
    <w:basedOn w:val="DefaultParagraphFont"/>
    <w:uiPriority w:val="99"/>
    <w:semiHidden/>
    <w:unhideWhenUsed/>
    <w:rsid w:val="00C556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77141">
      <w:bodyDiv w:val="1"/>
      <w:marLeft w:val="0"/>
      <w:marRight w:val="0"/>
      <w:marTop w:val="0"/>
      <w:marBottom w:val="0"/>
      <w:divBdr>
        <w:top w:val="none" w:sz="0" w:space="0" w:color="auto"/>
        <w:left w:val="none" w:sz="0" w:space="0" w:color="auto"/>
        <w:bottom w:val="none" w:sz="0" w:space="0" w:color="auto"/>
        <w:right w:val="none" w:sz="0" w:space="0" w:color="auto"/>
      </w:divBdr>
    </w:div>
    <w:div w:id="220754214">
      <w:bodyDiv w:val="1"/>
      <w:marLeft w:val="0"/>
      <w:marRight w:val="0"/>
      <w:marTop w:val="0"/>
      <w:marBottom w:val="0"/>
      <w:divBdr>
        <w:top w:val="none" w:sz="0" w:space="0" w:color="auto"/>
        <w:left w:val="none" w:sz="0" w:space="0" w:color="auto"/>
        <w:bottom w:val="none" w:sz="0" w:space="0" w:color="auto"/>
        <w:right w:val="none" w:sz="0" w:space="0" w:color="auto"/>
      </w:divBdr>
    </w:div>
    <w:div w:id="1296333738">
      <w:bodyDiv w:val="1"/>
      <w:marLeft w:val="0"/>
      <w:marRight w:val="0"/>
      <w:marTop w:val="0"/>
      <w:marBottom w:val="0"/>
      <w:divBdr>
        <w:top w:val="none" w:sz="0" w:space="0" w:color="auto"/>
        <w:left w:val="none" w:sz="0" w:space="0" w:color="auto"/>
        <w:bottom w:val="none" w:sz="0" w:space="0" w:color="auto"/>
        <w:right w:val="none" w:sz="0" w:space="0" w:color="auto"/>
      </w:divBdr>
      <w:divsChild>
        <w:div w:id="1623264212">
          <w:marLeft w:val="0"/>
          <w:marRight w:val="0"/>
          <w:marTop w:val="0"/>
          <w:marBottom w:val="0"/>
          <w:divBdr>
            <w:top w:val="single" w:sz="2" w:space="0" w:color="auto"/>
            <w:left w:val="single" w:sz="2" w:space="0" w:color="auto"/>
            <w:bottom w:val="single" w:sz="6" w:space="0" w:color="auto"/>
            <w:right w:val="single" w:sz="2" w:space="0" w:color="auto"/>
          </w:divBdr>
          <w:divsChild>
            <w:div w:id="972564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689062936">
                  <w:marLeft w:val="0"/>
                  <w:marRight w:val="0"/>
                  <w:marTop w:val="0"/>
                  <w:marBottom w:val="0"/>
                  <w:divBdr>
                    <w:top w:val="single" w:sz="2" w:space="0" w:color="D9D9E3"/>
                    <w:left w:val="single" w:sz="2" w:space="0" w:color="D9D9E3"/>
                    <w:bottom w:val="single" w:sz="2" w:space="0" w:color="D9D9E3"/>
                    <w:right w:val="single" w:sz="2" w:space="0" w:color="D9D9E3"/>
                  </w:divBdr>
                  <w:divsChild>
                    <w:div w:id="147021666">
                      <w:marLeft w:val="0"/>
                      <w:marRight w:val="0"/>
                      <w:marTop w:val="0"/>
                      <w:marBottom w:val="0"/>
                      <w:divBdr>
                        <w:top w:val="single" w:sz="2" w:space="0" w:color="D9D9E3"/>
                        <w:left w:val="single" w:sz="2" w:space="0" w:color="D9D9E3"/>
                        <w:bottom w:val="single" w:sz="2" w:space="0" w:color="D9D9E3"/>
                        <w:right w:val="single" w:sz="2" w:space="0" w:color="D9D9E3"/>
                      </w:divBdr>
                      <w:divsChild>
                        <w:div w:id="1297297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462178">
          <w:marLeft w:val="0"/>
          <w:marRight w:val="0"/>
          <w:marTop w:val="0"/>
          <w:marBottom w:val="0"/>
          <w:divBdr>
            <w:top w:val="single" w:sz="2" w:space="0" w:color="auto"/>
            <w:left w:val="single" w:sz="2" w:space="0" w:color="auto"/>
            <w:bottom w:val="single" w:sz="6" w:space="0" w:color="auto"/>
            <w:right w:val="single" w:sz="2" w:space="0" w:color="auto"/>
          </w:divBdr>
          <w:divsChild>
            <w:div w:id="4819437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8661847">
                  <w:marLeft w:val="0"/>
                  <w:marRight w:val="0"/>
                  <w:marTop w:val="0"/>
                  <w:marBottom w:val="0"/>
                  <w:divBdr>
                    <w:top w:val="single" w:sz="2" w:space="0" w:color="D9D9E3"/>
                    <w:left w:val="single" w:sz="2" w:space="0" w:color="D9D9E3"/>
                    <w:bottom w:val="single" w:sz="2" w:space="0" w:color="D9D9E3"/>
                    <w:right w:val="single" w:sz="2" w:space="0" w:color="D9D9E3"/>
                  </w:divBdr>
                  <w:divsChild>
                    <w:div w:id="1637174527">
                      <w:marLeft w:val="0"/>
                      <w:marRight w:val="0"/>
                      <w:marTop w:val="0"/>
                      <w:marBottom w:val="0"/>
                      <w:divBdr>
                        <w:top w:val="single" w:sz="2" w:space="0" w:color="D9D9E3"/>
                        <w:left w:val="single" w:sz="2" w:space="0" w:color="D9D9E3"/>
                        <w:bottom w:val="single" w:sz="2" w:space="0" w:color="D9D9E3"/>
                        <w:right w:val="single" w:sz="2" w:space="0" w:color="D9D9E3"/>
                      </w:divBdr>
                      <w:divsChild>
                        <w:div w:id="1603105355">
                          <w:marLeft w:val="0"/>
                          <w:marRight w:val="0"/>
                          <w:marTop w:val="0"/>
                          <w:marBottom w:val="0"/>
                          <w:divBdr>
                            <w:top w:val="single" w:sz="2" w:space="0" w:color="D9D9E3"/>
                            <w:left w:val="single" w:sz="2" w:space="0" w:color="D9D9E3"/>
                            <w:bottom w:val="single" w:sz="2" w:space="0" w:color="D9D9E3"/>
                            <w:right w:val="single" w:sz="2" w:space="0" w:color="D9D9E3"/>
                          </w:divBdr>
                          <w:divsChild>
                            <w:div w:id="1375738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3140084">
      <w:bodyDiv w:val="1"/>
      <w:marLeft w:val="0"/>
      <w:marRight w:val="0"/>
      <w:marTop w:val="0"/>
      <w:marBottom w:val="0"/>
      <w:divBdr>
        <w:top w:val="none" w:sz="0" w:space="0" w:color="auto"/>
        <w:left w:val="none" w:sz="0" w:space="0" w:color="auto"/>
        <w:bottom w:val="none" w:sz="0" w:space="0" w:color="auto"/>
        <w:right w:val="none" w:sz="0" w:space="0" w:color="auto"/>
      </w:divBdr>
    </w:div>
    <w:div w:id="2077436127">
      <w:bodyDiv w:val="1"/>
      <w:marLeft w:val="0"/>
      <w:marRight w:val="0"/>
      <w:marTop w:val="0"/>
      <w:marBottom w:val="0"/>
      <w:divBdr>
        <w:top w:val="none" w:sz="0" w:space="0" w:color="auto"/>
        <w:left w:val="none" w:sz="0" w:space="0" w:color="auto"/>
        <w:bottom w:val="none" w:sz="0" w:space="0" w:color="auto"/>
        <w:right w:val="none" w:sz="0" w:space="0" w:color="auto"/>
      </w:divBdr>
      <w:divsChild>
        <w:div w:id="1493594900">
          <w:marLeft w:val="0"/>
          <w:marRight w:val="0"/>
          <w:marTop w:val="0"/>
          <w:marBottom w:val="0"/>
          <w:divBdr>
            <w:top w:val="single" w:sz="2" w:space="0" w:color="auto"/>
            <w:left w:val="single" w:sz="2" w:space="0" w:color="auto"/>
            <w:bottom w:val="single" w:sz="6" w:space="0" w:color="auto"/>
            <w:right w:val="single" w:sz="2" w:space="0" w:color="auto"/>
          </w:divBdr>
          <w:divsChild>
            <w:div w:id="1236864957">
              <w:marLeft w:val="0"/>
              <w:marRight w:val="0"/>
              <w:marTop w:val="100"/>
              <w:marBottom w:val="100"/>
              <w:divBdr>
                <w:top w:val="single" w:sz="2" w:space="0" w:color="D9D9E3"/>
                <w:left w:val="single" w:sz="2" w:space="0" w:color="D9D9E3"/>
                <w:bottom w:val="single" w:sz="2" w:space="0" w:color="D9D9E3"/>
                <w:right w:val="single" w:sz="2" w:space="0" w:color="D9D9E3"/>
              </w:divBdr>
              <w:divsChild>
                <w:div w:id="1252471592">
                  <w:marLeft w:val="0"/>
                  <w:marRight w:val="0"/>
                  <w:marTop w:val="0"/>
                  <w:marBottom w:val="0"/>
                  <w:divBdr>
                    <w:top w:val="single" w:sz="2" w:space="0" w:color="D9D9E3"/>
                    <w:left w:val="single" w:sz="2" w:space="0" w:color="D9D9E3"/>
                    <w:bottom w:val="single" w:sz="2" w:space="0" w:color="D9D9E3"/>
                    <w:right w:val="single" w:sz="2" w:space="0" w:color="D9D9E3"/>
                  </w:divBdr>
                  <w:divsChild>
                    <w:div w:id="657466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11900815">
                  <w:marLeft w:val="0"/>
                  <w:marRight w:val="0"/>
                  <w:marTop w:val="0"/>
                  <w:marBottom w:val="0"/>
                  <w:divBdr>
                    <w:top w:val="single" w:sz="2" w:space="0" w:color="D9D9E3"/>
                    <w:left w:val="single" w:sz="2" w:space="0" w:color="D9D9E3"/>
                    <w:bottom w:val="single" w:sz="2" w:space="0" w:color="D9D9E3"/>
                    <w:right w:val="single" w:sz="2" w:space="0" w:color="D9D9E3"/>
                  </w:divBdr>
                  <w:divsChild>
                    <w:div w:id="1673333958">
                      <w:marLeft w:val="0"/>
                      <w:marRight w:val="0"/>
                      <w:marTop w:val="0"/>
                      <w:marBottom w:val="0"/>
                      <w:divBdr>
                        <w:top w:val="single" w:sz="2" w:space="0" w:color="D9D9E3"/>
                        <w:left w:val="single" w:sz="2" w:space="0" w:color="D9D9E3"/>
                        <w:bottom w:val="single" w:sz="2" w:space="0" w:color="D9D9E3"/>
                        <w:right w:val="single" w:sz="2" w:space="0" w:color="D9D9E3"/>
                      </w:divBdr>
                      <w:divsChild>
                        <w:div w:id="296036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5861551">
          <w:marLeft w:val="0"/>
          <w:marRight w:val="0"/>
          <w:marTop w:val="0"/>
          <w:marBottom w:val="0"/>
          <w:divBdr>
            <w:top w:val="single" w:sz="2" w:space="0" w:color="auto"/>
            <w:left w:val="single" w:sz="2" w:space="0" w:color="auto"/>
            <w:bottom w:val="single" w:sz="6" w:space="0" w:color="auto"/>
            <w:right w:val="single" w:sz="2" w:space="0" w:color="auto"/>
          </w:divBdr>
          <w:divsChild>
            <w:div w:id="2139301435">
              <w:marLeft w:val="0"/>
              <w:marRight w:val="0"/>
              <w:marTop w:val="100"/>
              <w:marBottom w:val="100"/>
              <w:divBdr>
                <w:top w:val="single" w:sz="2" w:space="0" w:color="D9D9E3"/>
                <w:left w:val="single" w:sz="2" w:space="0" w:color="D9D9E3"/>
                <w:bottom w:val="single" w:sz="2" w:space="0" w:color="D9D9E3"/>
                <w:right w:val="single" w:sz="2" w:space="0" w:color="D9D9E3"/>
              </w:divBdr>
              <w:divsChild>
                <w:div w:id="460730892">
                  <w:marLeft w:val="0"/>
                  <w:marRight w:val="0"/>
                  <w:marTop w:val="0"/>
                  <w:marBottom w:val="0"/>
                  <w:divBdr>
                    <w:top w:val="single" w:sz="2" w:space="0" w:color="D9D9E3"/>
                    <w:left w:val="single" w:sz="2" w:space="0" w:color="D9D9E3"/>
                    <w:bottom w:val="single" w:sz="2" w:space="0" w:color="D9D9E3"/>
                    <w:right w:val="single" w:sz="2" w:space="0" w:color="D9D9E3"/>
                  </w:divBdr>
                  <w:divsChild>
                    <w:div w:id="1500121096">
                      <w:marLeft w:val="0"/>
                      <w:marRight w:val="0"/>
                      <w:marTop w:val="0"/>
                      <w:marBottom w:val="0"/>
                      <w:divBdr>
                        <w:top w:val="single" w:sz="2" w:space="0" w:color="D9D9E3"/>
                        <w:left w:val="single" w:sz="2" w:space="0" w:color="D9D9E3"/>
                        <w:bottom w:val="single" w:sz="2" w:space="0" w:color="D9D9E3"/>
                        <w:right w:val="single" w:sz="2" w:space="0" w:color="D9D9E3"/>
                      </w:divBdr>
                      <w:divsChild>
                        <w:div w:id="253786336">
                          <w:marLeft w:val="0"/>
                          <w:marRight w:val="0"/>
                          <w:marTop w:val="0"/>
                          <w:marBottom w:val="0"/>
                          <w:divBdr>
                            <w:top w:val="single" w:sz="2" w:space="0" w:color="D9D9E3"/>
                            <w:left w:val="single" w:sz="2" w:space="0" w:color="D9D9E3"/>
                            <w:bottom w:val="single" w:sz="2" w:space="0" w:color="D9D9E3"/>
                            <w:right w:val="single" w:sz="2" w:space="0" w:color="D9D9E3"/>
                          </w:divBdr>
                          <w:divsChild>
                            <w:div w:id="1599677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77048476">
          <w:marLeft w:val="0"/>
          <w:marRight w:val="0"/>
          <w:marTop w:val="0"/>
          <w:marBottom w:val="0"/>
          <w:divBdr>
            <w:top w:val="single" w:sz="2" w:space="0" w:color="auto"/>
            <w:left w:val="single" w:sz="2" w:space="0" w:color="auto"/>
            <w:bottom w:val="single" w:sz="6" w:space="0" w:color="auto"/>
            <w:right w:val="single" w:sz="2" w:space="0" w:color="auto"/>
          </w:divBdr>
          <w:divsChild>
            <w:div w:id="1211310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146244299">
                  <w:marLeft w:val="0"/>
                  <w:marRight w:val="0"/>
                  <w:marTop w:val="0"/>
                  <w:marBottom w:val="0"/>
                  <w:divBdr>
                    <w:top w:val="single" w:sz="2" w:space="0" w:color="D9D9E3"/>
                    <w:left w:val="single" w:sz="2" w:space="0" w:color="D9D9E3"/>
                    <w:bottom w:val="single" w:sz="2" w:space="0" w:color="D9D9E3"/>
                    <w:right w:val="single" w:sz="2" w:space="0" w:color="D9D9E3"/>
                  </w:divBdr>
                  <w:divsChild>
                    <w:div w:id="1270942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2896386">
                  <w:marLeft w:val="0"/>
                  <w:marRight w:val="0"/>
                  <w:marTop w:val="0"/>
                  <w:marBottom w:val="0"/>
                  <w:divBdr>
                    <w:top w:val="single" w:sz="2" w:space="0" w:color="D9D9E3"/>
                    <w:left w:val="single" w:sz="2" w:space="0" w:color="D9D9E3"/>
                    <w:bottom w:val="single" w:sz="2" w:space="0" w:color="D9D9E3"/>
                    <w:right w:val="single" w:sz="2" w:space="0" w:color="D9D9E3"/>
                  </w:divBdr>
                  <w:divsChild>
                    <w:div w:id="587930423">
                      <w:marLeft w:val="0"/>
                      <w:marRight w:val="0"/>
                      <w:marTop w:val="0"/>
                      <w:marBottom w:val="0"/>
                      <w:divBdr>
                        <w:top w:val="single" w:sz="2" w:space="0" w:color="D9D9E3"/>
                        <w:left w:val="single" w:sz="2" w:space="0" w:color="D9D9E3"/>
                        <w:bottom w:val="single" w:sz="2" w:space="0" w:color="D9D9E3"/>
                        <w:right w:val="single" w:sz="2" w:space="0" w:color="D9D9E3"/>
                      </w:divBdr>
                      <w:divsChild>
                        <w:div w:id="395589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79704802">
          <w:marLeft w:val="0"/>
          <w:marRight w:val="0"/>
          <w:marTop w:val="0"/>
          <w:marBottom w:val="0"/>
          <w:divBdr>
            <w:top w:val="single" w:sz="2" w:space="0" w:color="auto"/>
            <w:left w:val="single" w:sz="2" w:space="0" w:color="auto"/>
            <w:bottom w:val="single" w:sz="6" w:space="0" w:color="auto"/>
            <w:right w:val="single" w:sz="2" w:space="0" w:color="auto"/>
          </w:divBdr>
          <w:divsChild>
            <w:div w:id="699205547">
              <w:marLeft w:val="0"/>
              <w:marRight w:val="0"/>
              <w:marTop w:val="100"/>
              <w:marBottom w:val="100"/>
              <w:divBdr>
                <w:top w:val="single" w:sz="2" w:space="0" w:color="D9D9E3"/>
                <w:left w:val="single" w:sz="2" w:space="0" w:color="D9D9E3"/>
                <w:bottom w:val="single" w:sz="2" w:space="0" w:color="D9D9E3"/>
                <w:right w:val="single" w:sz="2" w:space="0" w:color="D9D9E3"/>
              </w:divBdr>
              <w:divsChild>
                <w:div w:id="115373352">
                  <w:marLeft w:val="0"/>
                  <w:marRight w:val="0"/>
                  <w:marTop w:val="0"/>
                  <w:marBottom w:val="0"/>
                  <w:divBdr>
                    <w:top w:val="single" w:sz="2" w:space="0" w:color="D9D9E3"/>
                    <w:left w:val="single" w:sz="2" w:space="0" w:color="D9D9E3"/>
                    <w:bottom w:val="single" w:sz="2" w:space="0" w:color="D9D9E3"/>
                    <w:right w:val="single" w:sz="2" w:space="0" w:color="D9D9E3"/>
                  </w:divBdr>
                  <w:divsChild>
                    <w:div w:id="850219394">
                      <w:marLeft w:val="0"/>
                      <w:marRight w:val="0"/>
                      <w:marTop w:val="0"/>
                      <w:marBottom w:val="0"/>
                      <w:divBdr>
                        <w:top w:val="single" w:sz="2" w:space="0" w:color="D9D9E3"/>
                        <w:left w:val="single" w:sz="2" w:space="0" w:color="D9D9E3"/>
                        <w:bottom w:val="single" w:sz="2" w:space="0" w:color="D9D9E3"/>
                        <w:right w:val="single" w:sz="2" w:space="0" w:color="D9D9E3"/>
                      </w:divBdr>
                      <w:divsChild>
                        <w:div w:id="423458102">
                          <w:marLeft w:val="0"/>
                          <w:marRight w:val="0"/>
                          <w:marTop w:val="0"/>
                          <w:marBottom w:val="0"/>
                          <w:divBdr>
                            <w:top w:val="single" w:sz="2" w:space="0" w:color="D9D9E3"/>
                            <w:left w:val="single" w:sz="2" w:space="0" w:color="D9D9E3"/>
                            <w:bottom w:val="single" w:sz="2" w:space="0" w:color="D9D9E3"/>
                            <w:right w:val="single" w:sz="2" w:space="0" w:color="D9D9E3"/>
                          </w:divBdr>
                          <w:divsChild>
                            <w:div w:id="670641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7366872">
          <w:marLeft w:val="0"/>
          <w:marRight w:val="0"/>
          <w:marTop w:val="0"/>
          <w:marBottom w:val="0"/>
          <w:divBdr>
            <w:top w:val="single" w:sz="2" w:space="0" w:color="auto"/>
            <w:left w:val="single" w:sz="2" w:space="0" w:color="auto"/>
            <w:bottom w:val="single" w:sz="6" w:space="0" w:color="auto"/>
            <w:right w:val="single" w:sz="2" w:space="0" w:color="auto"/>
          </w:divBdr>
          <w:divsChild>
            <w:div w:id="1194920411">
              <w:marLeft w:val="0"/>
              <w:marRight w:val="0"/>
              <w:marTop w:val="100"/>
              <w:marBottom w:val="100"/>
              <w:divBdr>
                <w:top w:val="single" w:sz="2" w:space="0" w:color="D9D9E3"/>
                <w:left w:val="single" w:sz="2" w:space="0" w:color="D9D9E3"/>
                <w:bottom w:val="single" w:sz="2" w:space="0" w:color="D9D9E3"/>
                <w:right w:val="single" w:sz="2" w:space="0" w:color="D9D9E3"/>
              </w:divBdr>
              <w:divsChild>
                <w:div w:id="501626826">
                  <w:marLeft w:val="0"/>
                  <w:marRight w:val="0"/>
                  <w:marTop w:val="0"/>
                  <w:marBottom w:val="0"/>
                  <w:divBdr>
                    <w:top w:val="single" w:sz="2" w:space="0" w:color="D9D9E3"/>
                    <w:left w:val="single" w:sz="2" w:space="0" w:color="D9D9E3"/>
                    <w:bottom w:val="single" w:sz="2" w:space="0" w:color="D9D9E3"/>
                    <w:right w:val="single" w:sz="2" w:space="0" w:color="D9D9E3"/>
                  </w:divBdr>
                  <w:divsChild>
                    <w:div w:id="402679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28054905">
                  <w:marLeft w:val="0"/>
                  <w:marRight w:val="0"/>
                  <w:marTop w:val="0"/>
                  <w:marBottom w:val="0"/>
                  <w:divBdr>
                    <w:top w:val="single" w:sz="2" w:space="0" w:color="D9D9E3"/>
                    <w:left w:val="single" w:sz="2" w:space="0" w:color="D9D9E3"/>
                    <w:bottom w:val="single" w:sz="2" w:space="0" w:color="D9D9E3"/>
                    <w:right w:val="single" w:sz="2" w:space="0" w:color="D9D9E3"/>
                  </w:divBdr>
                  <w:divsChild>
                    <w:div w:id="1660229141">
                      <w:marLeft w:val="0"/>
                      <w:marRight w:val="0"/>
                      <w:marTop w:val="0"/>
                      <w:marBottom w:val="0"/>
                      <w:divBdr>
                        <w:top w:val="single" w:sz="2" w:space="0" w:color="D9D9E3"/>
                        <w:left w:val="single" w:sz="2" w:space="0" w:color="D9D9E3"/>
                        <w:bottom w:val="single" w:sz="2" w:space="0" w:color="D9D9E3"/>
                        <w:right w:val="single" w:sz="2" w:space="0" w:color="D9D9E3"/>
                      </w:divBdr>
                      <w:divsChild>
                        <w:div w:id="1608001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3646556">
          <w:marLeft w:val="0"/>
          <w:marRight w:val="0"/>
          <w:marTop w:val="0"/>
          <w:marBottom w:val="0"/>
          <w:divBdr>
            <w:top w:val="single" w:sz="2" w:space="0" w:color="auto"/>
            <w:left w:val="single" w:sz="2" w:space="0" w:color="auto"/>
            <w:bottom w:val="single" w:sz="6" w:space="0" w:color="auto"/>
            <w:right w:val="single" w:sz="2" w:space="0" w:color="auto"/>
          </w:divBdr>
          <w:divsChild>
            <w:div w:id="910506918">
              <w:marLeft w:val="0"/>
              <w:marRight w:val="0"/>
              <w:marTop w:val="100"/>
              <w:marBottom w:val="100"/>
              <w:divBdr>
                <w:top w:val="single" w:sz="2" w:space="0" w:color="D9D9E3"/>
                <w:left w:val="single" w:sz="2" w:space="0" w:color="D9D9E3"/>
                <w:bottom w:val="single" w:sz="2" w:space="0" w:color="D9D9E3"/>
                <w:right w:val="single" w:sz="2" w:space="0" w:color="D9D9E3"/>
              </w:divBdr>
              <w:divsChild>
                <w:div w:id="1993017489">
                  <w:marLeft w:val="0"/>
                  <w:marRight w:val="0"/>
                  <w:marTop w:val="0"/>
                  <w:marBottom w:val="0"/>
                  <w:divBdr>
                    <w:top w:val="single" w:sz="2" w:space="0" w:color="D9D9E3"/>
                    <w:left w:val="single" w:sz="2" w:space="0" w:color="D9D9E3"/>
                    <w:bottom w:val="single" w:sz="2" w:space="0" w:color="D9D9E3"/>
                    <w:right w:val="single" w:sz="2" w:space="0" w:color="D9D9E3"/>
                  </w:divBdr>
                  <w:divsChild>
                    <w:div w:id="1287934241">
                      <w:marLeft w:val="0"/>
                      <w:marRight w:val="0"/>
                      <w:marTop w:val="0"/>
                      <w:marBottom w:val="0"/>
                      <w:divBdr>
                        <w:top w:val="single" w:sz="2" w:space="0" w:color="D9D9E3"/>
                        <w:left w:val="single" w:sz="2" w:space="0" w:color="D9D9E3"/>
                        <w:bottom w:val="single" w:sz="2" w:space="0" w:color="D9D9E3"/>
                        <w:right w:val="single" w:sz="2" w:space="0" w:color="D9D9E3"/>
                      </w:divBdr>
                      <w:divsChild>
                        <w:div w:id="749154623">
                          <w:marLeft w:val="0"/>
                          <w:marRight w:val="0"/>
                          <w:marTop w:val="0"/>
                          <w:marBottom w:val="0"/>
                          <w:divBdr>
                            <w:top w:val="single" w:sz="2" w:space="0" w:color="D9D9E3"/>
                            <w:left w:val="single" w:sz="2" w:space="0" w:color="D9D9E3"/>
                            <w:bottom w:val="single" w:sz="2" w:space="0" w:color="D9D9E3"/>
                            <w:right w:val="single" w:sz="2" w:space="0" w:color="D9D9E3"/>
                          </w:divBdr>
                          <w:divsChild>
                            <w:div w:id="1835685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06265120">
          <w:marLeft w:val="0"/>
          <w:marRight w:val="0"/>
          <w:marTop w:val="0"/>
          <w:marBottom w:val="0"/>
          <w:divBdr>
            <w:top w:val="single" w:sz="2" w:space="0" w:color="auto"/>
            <w:left w:val="single" w:sz="2" w:space="0" w:color="auto"/>
            <w:bottom w:val="single" w:sz="6" w:space="0" w:color="auto"/>
            <w:right w:val="single" w:sz="2" w:space="0" w:color="auto"/>
          </w:divBdr>
          <w:divsChild>
            <w:div w:id="303707084">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875289">
                  <w:marLeft w:val="0"/>
                  <w:marRight w:val="0"/>
                  <w:marTop w:val="0"/>
                  <w:marBottom w:val="0"/>
                  <w:divBdr>
                    <w:top w:val="single" w:sz="2" w:space="0" w:color="D9D9E3"/>
                    <w:left w:val="single" w:sz="2" w:space="0" w:color="D9D9E3"/>
                    <w:bottom w:val="single" w:sz="2" w:space="0" w:color="D9D9E3"/>
                    <w:right w:val="single" w:sz="2" w:space="0" w:color="D9D9E3"/>
                  </w:divBdr>
                  <w:divsChild>
                    <w:div w:id="880555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48728391">
                  <w:marLeft w:val="0"/>
                  <w:marRight w:val="0"/>
                  <w:marTop w:val="0"/>
                  <w:marBottom w:val="0"/>
                  <w:divBdr>
                    <w:top w:val="single" w:sz="2" w:space="0" w:color="D9D9E3"/>
                    <w:left w:val="single" w:sz="2" w:space="0" w:color="D9D9E3"/>
                    <w:bottom w:val="single" w:sz="2" w:space="0" w:color="D9D9E3"/>
                    <w:right w:val="single" w:sz="2" w:space="0" w:color="D9D9E3"/>
                  </w:divBdr>
                  <w:divsChild>
                    <w:div w:id="1669092294">
                      <w:marLeft w:val="0"/>
                      <w:marRight w:val="0"/>
                      <w:marTop w:val="0"/>
                      <w:marBottom w:val="0"/>
                      <w:divBdr>
                        <w:top w:val="single" w:sz="2" w:space="0" w:color="D9D9E3"/>
                        <w:left w:val="single" w:sz="2" w:space="0" w:color="D9D9E3"/>
                        <w:bottom w:val="single" w:sz="2" w:space="0" w:color="D9D9E3"/>
                        <w:right w:val="single" w:sz="2" w:space="0" w:color="D9D9E3"/>
                      </w:divBdr>
                      <w:divsChild>
                        <w:div w:id="706375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50752580">
          <w:marLeft w:val="0"/>
          <w:marRight w:val="0"/>
          <w:marTop w:val="0"/>
          <w:marBottom w:val="0"/>
          <w:divBdr>
            <w:top w:val="single" w:sz="2" w:space="0" w:color="auto"/>
            <w:left w:val="single" w:sz="2" w:space="0" w:color="auto"/>
            <w:bottom w:val="single" w:sz="6" w:space="0" w:color="auto"/>
            <w:right w:val="single" w:sz="2" w:space="0" w:color="auto"/>
          </w:divBdr>
          <w:divsChild>
            <w:div w:id="1666743091">
              <w:marLeft w:val="0"/>
              <w:marRight w:val="0"/>
              <w:marTop w:val="100"/>
              <w:marBottom w:val="100"/>
              <w:divBdr>
                <w:top w:val="single" w:sz="2" w:space="0" w:color="D9D9E3"/>
                <w:left w:val="single" w:sz="2" w:space="0" w:color="D9D9E3"/>
                <w:bottom w:val="single" w:sz="2" w:space="0" w:color="D9D9E3"/>
                <w:right w:val="single" w:sz="2" w:space="0" w:color="D9D9E3"/>
              </w:divBdr>
              <w:divsChild>
                <w:div w:id="853305257">
                  <w:marLeft w:val="0"/>
                  <w:marRight w:val="0"/>
                  <w:marTop w:val="0"/>
                  <w:marBottom w:val="0"/>
                  <w:divBdr>
                    <w:top w:val="single" w:sz="2" w:space="0" w:color="D9D9E3"/>
                    <w:left w:val="single" w:sz="2" w:space="0" w:color="D9D9E3"/>
                    <w:bottom w:val="single" w:sz="2" w:space="0" w:color="D9D9E3"/>
                    <w:right w:val="single" w:sz="2" w:space="0" w:color="D9D9E3"/>
                  </w:divBdr>
                  <w:divsChild>
                    <w:div w:id="139352278">
                      <w:marLeft w:val="0"/>
                      <w:marRight w:val="0"/>
                      <w:marTop w:val="0"/>
                      <w:marBottom w:val="0"/>
                      <w:divBdr>
                        <w:top w:val="single" w:sz="2" w:space="0" w:color="D9D9E3"/>
                        <w:left w:val="single" w:sz="2" w:space="0" w:color="D9D9E3"/>
                        <w:bottom w:val="single" w:sz="2" w:space="0" w:color="D9D9E3"/>
                        <w:right w:val="single" w:sz="2" w:space="0" w:color="D9D9E3"/>
                      </w:divBdr>
                      <w:divsChild>
                        <w:div w:id="1536190021">
                          <w:marLeft w:val="0"/>
                          <w:marRight w:val="0"/>
                          <w:marTop w:val="0"/>
                          <w:marBottom w:val="0"/>
                          <w:divBdr>
                            <w:top w:val="single" w:sz="2" w:space="0" w:color="D9D9E3"/>
                            <w:left w:val="single" w:sz="2" w:space="0" w:color="D9D9E3"/>
                            <w:bottom w:val="single" w:sz="2" w:space="0" w:color="D9D9E3"/>
                            <w:right w:val="single" w:sz="2" w:space="0" w:color="D9D9E3"/>
                          </w:divBdr>
                          <w:divsChild>
                            <w:div w:id="584415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77618329">
          <w:marLeft w:val="0"/>
          <w:marRight w:val="0"/>
          <w:marTop w:val="0"/>
          <w:marBottom w:val="0"/>
          <w:divBdr>
            <w:top w:val="single" w:sz="2" w:space="0" w:color="auto"/>
            <w:left w:val="single" w:sz="2" w:space="0" w:color="auto"/>
            <w:bottom w:val="single" w:sz="6" w:space="0" w:color="auto"/>
            <w:right w:val="single" w:sz="2" w:space="0" w:color="auto"/>
          </w:divBdr>
          <w:divsChild>
            <w:div w:id="1124035887">
              <w:marLeft w:val="0"/>
              <w:marRight w:val="0"/>
              <w:marTop w:val="100"/>
              <w:marBottom w:val="100"/>
              <w:divBdr>
                <w:top w:val="single" w:sz="2" w:space="0" w:color="D9D9E3"/>
                <w:left w:val="single" w:sz="2" w:space="0" w:color="D9D9E3"/>
                <w:bottom w:val="single" w:sz="2" w:space="0" w:color="D9D9E3"/>
                <w:right w:val="single" w:sz="2" w:space="0" w:color="D9D9E3"/>
              </w:divBdr>
              <w:divsChild>
                <w:div w:id="1941526905">
                  <w:marLeft w:val="0"/>
                  <w:marRight w:val="0"/>
                  <w:marTop w:val="0"/>
                  <w:marBottom w:val="0"/>
                  <w:divBdr>
                    <w:top w:val="single" w:sz="2" w:space="0" w:color="D9D9E3"/>
                    <w:left w:val="single" w:sz="2" w:space="0" w:color="D9D9E3"/>
                    <w:bottom w:val="single" w:sz="2" w:space="0" w:color="D9D9E3"/>
                    <w:right w:val="single" w:sz="2" w:space="0" w:color="D9D9E3"/>
                  </w:divBdr>
                  <w:divsChild>
                    <w:div w:id="1493257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7459581">
                  <w:marLeft w:val="0"/>
                  <w:marRight w:val="0"/>
                  <w:marTop w:val="0"/>
                  <w:marBottom w:val="0"/>
                  <w:divBdr>
                    <w:top w:val="single" w:sz="2" w:space="0" w:color="D9D9E3"/>
                    <w:left w:val="single" w:sz="2" w:space="0" w:color="D9D9E3"/>
                    <w:bottom w:val="single" w:sz="2" w:space="0" w:color="D9D9E3"/>
                    <w:right w:val="single" w:sz="2" w:space="0" w:color="D9D9E3"/>
                  </w:divBdr>
                  <w:divsChild>
                    <w:div w:id="1776287907">
                      <w:marLeft w:val="0"/>
                      <w:marRight w:val="0"/>
                      <w:marTop w:val="0"/>
                      <w:marBottom w:val="0"/>
                      <w:divBdr>
                        <w:top w:val="single" w:sz="2" w:space="0" w:color="D9D9E3"/>
                        <w:left w:val="single" w:sz="2" w:space="0" w:color="D9D9E3"/>
                        <w:bottom w:val="single" w:sz="2" w:space="0" w:color="D9D9E3"/>
                        <w:right w:val="single" w:sz="2" w:space="0" w:color="D9D9E3"/>
                      </w:divBdr>
                      <w:divsChild>
                        <w:div w:id="211306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3692415">
          <w:marLeft w:val="0"/>
          <w:marRight w:val="0"/>
          <w:marTop w:val="0"/>
          <w:marBottom w:val="0"/>
          <w:divBdr>
            <w:top w:val="single" w:sz="2" w:space="0" w:color="auto"/>
            <w:left w:val="single" w:sz="2" w:space="0" w:color="auto"/>
            <w:bottom w:val="single" w:sz="6" w:space="0" w:color="auto"/>
            <w:right w:val="single" w:sz="2" w:space="0" w:color="auto"/>
          </w:divBdr>
          <w:divsChild>
            <w:div w:id="1593902262">
              <w:marLeft w:val="0"/>
              <w:marRight w:val="0"/>
              <w:marTop w:val="100"/>
              <w:marBottom w:val="100"/>
              <w:divBdr>
                <w:top w:val="single" w:sz="2" w:space="0" w:color="D9D9E3"/>
                <w:left w:val="single" w:sz="2" w:space="0" w:color="D9D9E3"/>
                <w:bottom w:val="single" w:sz="2" w:space="0" w:color="D9D9E3"/>
                <w:right w:val="single" w:sz="2" w:space="0" w:color="D9D9E3"/>
              </w:divBdr>
              <w:divsChild>
                <w:div w:id="295062672">
                  <w:marLeft w:val="0"/>
                  <w:marRight w:val="0"/>
                  <w:marTop w:val="0"/>
                  <w:marBottom w:val="0"/>
                  <w:divBdr>
                    <w:top w:val="single" w:sz="2" w:space="0" w:color="D9D9E3"/>
                    <w:left w:val="single" w:sz="2" w:space="0" w:color="D9D9E3"/>
                    <w:bottom w:val="single" w:sz="2" w:space="0" w:color="D9D9E3"/>
                    <w:right w:val="single" w:sz="2" w:space="0" w:color="D9D9E3"/>
                  </w:divBdr>
                  <w:divsChild>
                    <w:div w:id="1922831442">
                      <w:marLeft w:val="0"/>
                      <w:marRight w:val="0"/>
                      <w:marTop w:val="0"/>
                      <w:marBottom w:val="0"/>
                      <w:divBdr>
                        <w:top w:val="single" w:sz="2" w:space="0" w:color="D9D9E3"/>
                        <w:left w:val="single" w:sz="2" w:space="0" w:color="D9D9E3"/>
                        <w:bottom w:val="single" w:sz="2" w:space="0" w:color="D9D9E3"/>
                        <w:right w:val="single" w:sz="2" w:space="0" w:color="D9D9E3"/>
                      </w:divBdr>
                      <w:divsChild>
                        <w:div w:id="480388628">
                          <w:marLeft w:val="0"/>
                          <w:marRight w:val="0"/>
                          <w:marTop w:val="0"/>
                          <w:marBottom w:val="0"/>
                          <w:divBdr>
                            <w:top w:val="single" w:sz="2" w:space="0" w:color="D9D9E3"/>
                            <w:left w:val="single" w:sz="2" w:space="0" w:color="D9D9E3"/>
                            <w:bottom w:val="single" w:sz="2" w:space="0" w:color="D9D9E3"/>
                            <w:right w:val="single" w:sz="2" w:space="0" w:color="D9D9E3"/>
                          </w:divBdr>
                          <w:divsChild>
                            <w:div w:id="197087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9613406">
          <w:marLeft w:val="0"/>
          <w:marRight w:val="0"/>
          <w:marTop w:val="0"/>
          <w:marBottom w:val="0"/>
          <w:divBdr>
            <w:top w:val="single" w:sz="2" w:space="0" w:color="auto"/>
            <w:left w:val="single" w:sz="2" w:space="0" w:color="auto"/>
            <w:bottom w:val="single" w:sz="6" w:space="0" w:color="auto"/>
            <w:right w:val="single" w:sz="2" w:space="0" w:color="auto"/>
          </w:divBdr>
          <w:divsChild>
            <w:div w:id="1927496931">
              <w:marLeft w:val="0"/>
              <w:marRight w:val="0"/>
              <w:marTop w:val="100"/>
              <w:marBottom w:val="100"/>
              <w:divBdr>
                <w:top w:val="single" w:sz="2" w:space="0" w:color="D9D9E3"/>
                <w:left w:val="single" w:sz="2" w:space="0" w:color="D9D9E3"/>
                <w:bottom w:val="single" w:sz="2" w:space="0" w:color="D9D9E3"/>
                <w:right w:val="single" w:sz="2" w:space="0" w:color="D9D9E3"/>
              </w:divBdr>
              <w:divsChild>
                <w:div w:id="418720369">
                  <w:marLeft w:val="0"/>
                  <w:marRight w:val="0"/>
                  <w:marTop w:val="0"/>
                  <w:marBottom w:val="0"/>
                  <w:divBdr>
                    <w:top w:val="single" w:sz="2" w:space="0" w:color="D9D9E3"/>
                    <w:left w:val="single" w:sz="2" w:space="0" w:color="D9D9E3"/>
                    <w:bottom w:val="single" w:sz="2" w:space="0" w:color="D9D9E3"/>
                    <w:right w:val="single" w:sz="2" w:space="0" w:color="D9D9E3"/>
                  </w:divBdr>
                  <w:divsChild>
                    <w:div w:id="1663121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0103809">
                  <w:marLeft w:val="0"/>
                  <w:marRight w:val="0"/>
                  <w:marTop w:val="0"/>
                  <w:marBottom w:val="0"/>
                  <w:divBdr>
                    <w:top w:val="single" w:sz="2" w:space="0" w:color="D9D9E3"/>
                    <w:left w:val="single" w:sz="2" w:space="0" w:color="D9D9E3"/>
                    <w:bottom w:val="single" w:sz="2" w:space="0" w:color="D9D9E3"/>
                    <w:right w:val="single" w:sz="2" w:space="0" w:color="D9D9E3"/>
                  </w:divBdr>
                  <w:divsChild>
                    <w:div w:id="293757930">
                      <w:marLeft w:val="0"/>
                      <w:marRight w:val="0"/>
                      <w:marTop w:val="0"/>
                      <w:marBottom w:val="0"/>
                      <w:divBdr>
                        <w:top w:val="single" w:sz="2" w:space="0" w:color="D9D9E3"/>
                        <w:left w:val="single" w:sz="2" w:space="0" w:color="D9D9E3"/>
                        <w:bottom w:val="single" w:sz="2" w:space="0" w:color="D9D9E3"/>
                        <w:right w:val="single" w:sz="2" w:space="0" w:color="D9D9E3"/>
                      </w:divBdr>
                      <w:divsChild>
                        <w:div w:id="892689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8462534">
          <w:marLeft w:val="0"/>
          <w:marRight w:val="0"/>
          <w:marTop w:val="0"/>
          <w:marBottom w:val="0"/>
          <w:divBdr>
            <w:top w:val="single" w:sz="2" w:space="0" w:color="auto"/>
            <w:left w:val="single" w:sz="2" w:space="0" w:color="auto"/>
            <w:bottom w:val="single" w:sz="6" w:space="0" w:color="auto"/>
            <w:right w:val="single" w:sz="2" w:space="0" w:color="auto"/>
          </w:divBdr>
          <w:divsChild>
            <w:div w:id="1102726764">
              <w:marLeft w:val="0"/>
              <w:marRight w:val="0"/>
              <w:marTop w:val="100"/>
              <w:marBottom w:val="100"/>
              <w:divBdr>
                <w:top w:val="single" w:sz="2" w:space="0" w:color="D9D9E3"/>
                <w:left w:val="single" w:sz="2" w:space="0" w:color="D9D9E3"/>
                <w:bottom w:val="single" w:sz="2" w:space="0" w:color="D9D9E3"/>
                <w:right w:val="single" w:sz="2" w:space="0" w:color="D9D9E3"/>
              </w:divBdr>
              <w:divsChild>
                <w:div w:id="2032607659">
                  <w:marLeft w:val="0"/>
                  <w:marRight w:val="0"/>
                  <w:marTop w:val="0"/>
                  <w:marBottom w:val="0"/>
                  <w:divBdr>
                    <w:top w:val="single" w:sz="2" w:space="0" w:color="D9D9E3"/>
                    <w:left w:val="single" w:sz="2" w:space="0" w:color="D9D9E3"/>
                    <w:bottom w:val="single" w:sz="2" w:space="0" w:color="D9D9E3"/>
                    <w:right w:val="single" w:sz="2" w:space="0" w:color="D9D9E3"/>
                  </w:divBdr>
                  <w:divsChild>
                    <w:div w:id="1708674006">
                      <w:marLeft w:val="0"/>
                      <w:marRight w:val="0"/>
                      <w:marTop w:val="0"/>
                      <w:marBottom w:val="0"/>
                      <w:divBdr>
                        <w:top w:val="single" w:sz="2" w:space="0" w:color="D9D9E3"/>
                        <w:left w:val="single" w:sz="2" w:space="0" w:color="D9D9E3"/>
                        <w:bottom w:val="single" w:sz="2" w:space="0" w:color="D9D9E3"/>
                        <w:right w:val="single" w:sz="2" w:space="0" w:color="D9D9E3"/>
                      </w:divBdr>
                      <w:divsChild>
                        <w:div w:id="1041247484">
                          <w:marLeft w:val="0"/>
                          <w:marRight w:val="0"/>
                          <w:marTop w:val="0"/>
                          <w:marBottom w:val="0"/>
                          <w:divBdr>
                            <w:top w:val="single" w:sz="2" w:space="0" w:color="D9D9E3"/>
                            <w:left w:val="single" w:sz="2" w:space="0" w:color="D9D9E3"/>
                            <w:bottom w:val="single" w:sz="2" w:space="0" w:color="D9D9E3"/>
                            <w:right w:val="single" w:sz="2" w:space="0" w:color="D9D9E3"/>
                          </w:divBdr>
                          <w:divsChild>
                            <w:div w:id="139813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5953757">
          <w:marLeft w:val="0"/>
          <w:marRight w:val="0"/>
          <w:marTop w:val="0"/>
          <w:marBottom w:val="0"/>
          <w:divBdr>
            <w:top w:val="single" w:sz="2" w:space="0" w:color="auto"/>
            <w:left w:val="single" w:sz="2" w:space="0" w:color="auto"/>
            <w:bottom w:val="single" w:sz="6" w:space="0" w:color="auto"/>
            <w:right w:val="single" w:sz="2" w:space="0" w:color="auto"/>
          </w:divBdr>
          <w:divsChild>
            <w:div w:id="629088338">
              <w:marLeft w:val="0"/>
              <w:marRight w:val="0"/>
              <w:marTop w:val="100"/>
              <w:marBottom w:val="100"/>
              <w:divBdr>
                <w:top w:val="single" w:sz="2" w:space="0" w:color="D9D9E3"/>
                <w:left w:val="single" w:sz="2" w:space="0" w:color="D9D9E3"/>
                <w:bottom w:val="single" w:sz="2" w:space="0" w:color="D9D9E3"/>
                <w:right w:val="single" w:sz="2" w:space="0" w:color="D9D9E3"/>
              </w:divBdr>
              <w:divsChild>
                <w:div w:id="1023894444">
                  <w:marLeft w:val="0"/>
                  <w:marRight w:val="0"/>
                  <w:marTop w:val="0"/>
                  <w:marBottom w:val="0"/>
                  <w:divBdr>
                    <w:top w:val="single" w:sz="2" w:space="0" w:color="D9D9E3"/>
                    <w:left w:val="single" w:sz="2" w:space="0" w:color="D9D9E3"/>
                    <w:bottom w:val="single" w:sz="2" w:space="0" w:color="D9D9E3"/>
                    <w:right w:val="single" w:sz="2" w:space="0" w:color="D9D9E3"/>
                  </w:divBdr>
                  <w:divsChild>
                    <w:div w:id="19653082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47765351">
                  <w:marLeft w:val="0"/>
                  <w:marRight w:val="0"/>
                  <w:marTop w:val="0"/>
                  <w:marBottom w:val="0"/>
                  <w:divBdr>
                    <w:top w:val="single" w:sz="2" w:space="0" w:color="D9D9E3"/>
                    <w:left w:val="single" w:sz="2" w:space="0" w:color="D9D9E3"/>
                    <w:bottom w:val="single" w:sz="2" w:space="0" w:color="D9D9E3"/>
                    <w:right w:val="single" w:sz="2" w:space="0" w:color="D9D9E3"/>
                  </w:divBdr>
                  <w:divsChild>
                    <w:div w:id="1964727054">
                      <w:marLeft w:val="0"/>
                      <w:marRight w:val="0"/>
                      <w:marTop w:val="0"/>
                      <w:marBottom w:val="0"/>
                      <w:divBdr>
                        <w:top w:val="single" w:sz="2" w:space="0" w:color="D9D9E3"/>
                        <w:left w:val="single" w:sz="2" w:space="0" w:color="D9D9E3"/>
                        <w:bottom w:val="single" w:sz="2" w:space="0" w:color="D9D9E3"/>
                        <w:right w:val="single" w:sz="2" w:space="0" w:color="D9D9E3"/>
                      </w:divBdr>
                      <w:divsChild>
                        <w:div w:id="1901553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7398361">
          <w:marLeft w:val="0"/>
          <w:marRight w:val="0"/>
          <w:marTop w:val="0"/>
          <w:marBottom w:val="0"/>
          <w:divBdr>
            <w:top w:val="single" w:sz="2" w:space="0" w:color="auto"/>
            <w:left w:val="single" w:sz="2" w:space="0" w:color="auto"/>
            <w:bottom w:val="single" w:sz="6" w:space="0" w:color="auto"/>
            <w:right w:val="single" w:sz="2" w:space="0" w:color="auto"/>
          </w:divBdr>
          <w:divsChild>
            <w:div w:id="1522083527">
              <w:marLeft w:val="0"/>
              <w:marRight w:val="0"/>
              <w:marTop w:val="100"/>
              <w:marBottom w:val="100"/>
              <w:divBdr>
                <w:top w:val="single" w:sz="2" w:space="0" w:color="D9D9E3"/>
                <w:left w:val="single" w:sz="2" w:space="0" w:color="D9D9E3"/>
                <w:bottom w:val="single" w:sz="2" w:space="0" w:color="D9D9E3"/>
                <w:right w:val="single" w:sz="2" w:space="0" w:color="D9D9E3"/>
              </w:divBdr>
              <w:divsChild>
                <w:div w:id="480313807">
                  <w:marLeft w:val="0"/>
                  <w:marRight w:val="0"/>
                  <w:marTop w:val="0"/>
                  <w:marBottom w:val="0"/>
                  <w:divBdr>
                    <w:top w:val="single" w:sz="2" w:space="0" w:color="D9D9E3"/>
                    <w:left w:val="single" w:sz="2" w:space="0" w:color="D9D9E3"/>
                    <w:bottom w:val="single" w:sz="2" w:space="0" w:color="D9D9E3"/>
                    <w:right w:val="single" w:sz="2" w:space="0" w:color="D9D9E3"/>
                  </w:divBdr>
                  <w:divsChild>
                    <w:div w:id="1427266470">
                      <w:marLeft w:val="0"/>
                      <w:marRight w:val="0"/>
                      <w:marTop w:val="0"/>
                      <w:marBottom w:val="0"/>
                      <w:divBdr>
                        <w:top w:val="single" w:sz="2" w:space="0" w:color="D9D9E3"/>
                        <w:left w:val="single" w:sz="2" w:space="0" w:color="D9D9E3"/>
                        <w:bottom w:val="single" w:sz="2" w:space="0" w:color="D9D9E3"/>
                        <w:right w:val="single" w:sz="2" w:space="0" w:color="D9D9E3"/>
                      </w:divBdr>
                      <w:divsChild>
                        <w:div w:id="684752403">
                          <w:marLeft w:val="0"/>
                          <w:marRight w:val="0"/>
                          <w:marTop w:val="0"/>
                          <w:marBottom w:val="0"/>
                          <w:divBdr>
                            <w:top w:val="single" w:sz="2" w:space="0" w:color="D9D9E3"/>
                            <w:left w:val="single" w:sz="2" w:space="0" w:color="D9D9E3"/>
                            <w:bottom w:val="single" w:sz="2" w:space="0" w:color="D9D9E3"/>
                            <w:right w:val="single" w:sz="2" w:space="0" w:color="D9D9E3"/>
                          </w:divBdr>
                          <w:divsChild>
                            <w:div w:id="1088842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y.com/en_us/hospitality-tourism/global-hospitality-insights" TargetMode="External"/><Relationship Id="rId13" Type="http://schemas.openxmlformats.org/officeDocument/2006/relationships/hyperlink" Target="https://www.pwc.com/us/en/industries/hospitality-leisure/library/hospitality-directions-annual-report.html" TargetMode="External"/><Relationship Id="rId18" Type="http://schemas.openxmlformats.org/officeDocument/2006/relationships/hyperlink" Target="https://hbr.org/topic/financial-managem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jdpower.com/business/press-releases/2020-north-america-hotel-guest-satisfaction-index-upper-upscale" TargetMode="External"/><Relationship Id="rId12" Type="http://schemas.openxmlformats.org/officeDocument/2006/relationships/hyperlink" Target="https://www2.deloitte.com/global/en/pages/about-deloitte/articles/global-hotel-outlook.html" TargetMode="External"/><Relationship Id="rId17" Type="http://schemas.openxmlformats.org/officeDocument/2006/relationships/hyperlink" Target="https://www.thebalancesmb.com/financial-management-definition-and-explanation-393293" TargetMode="External"/><Relationship Id="rId2" Type="http://schemas.openxmlformats.org/officeDocument/2006/relationships/styles" Target="styles.xml"/><Relationship Id="rId16" Type="http://schemas.openxmlformats.org/officeDocument/2006/relationships/hyperlink" Target="https://str.com/data-insights-blog/global-hotel-study" TargetMode="External"/><Relationship Id="rId20" Type="http://schemas.openxmlformats.org/officeDocument/2006/relationships/hyperlink" Target="https://investors.hyatt.com/static-files/9f60a880-b70a-4bbd-b0f6-7b6a2f6d0f6d" TargetMode="External"/><Relationship Id="rId1" Type="http://schemas.openxmlformats.org/officeDocument/2006/relationships/numbering" Target="numbering.xml"/><Relationship Id="rId6" Type="http://schemas.openxmlformats.org/officeDocument/2006/relationships/hyperlink" Target="https://www.statista.com/statistics/193232/revenue-of-hyatt-hotels-worldwide-since-2008/" TargetMode="External"/><Relationship Id="rId11" Type="http://schemas.openxmlformats.org/officeDocument/2006/relationships/hyperlink" Target="https://builtin.com/artificial-intelligence/ai-machine-learning-hospitality" TargetMode="External"/><Relationship Id="rId5" Type="http://schemas.openxmlformats.org/officeDocument/2006/relationships/hyperlink" Target="https://www.statista.com/statistics/193125/revenue-of-marriott-international-worldwide-since-2008/" TargetMode="External"/><Relationship Id="rId15" Type="http://schemas.openxmlformats.org/officeDocument/2006/relationships/hyperlink" Target="https://www.journals.elsevier.com/international-journal-of-hospitality-management" TargetMode="External"/><Relationship Id="rId10" Type="http://schemas.openxmlformats.org/officeDocument/2006/relationships/hyperlink" Target="https://www.hyatt.com/en-US/info/sustainability-pledge" TargetMode="External"/><Relationship Id="rId19" Type="http://schemas.openxmlformats.org/officeDocument/2006/relationships/hyperlink" Target="https://investor.marriott.com/financials/annual-reports/default.aspx" TargetMode="External"/><Relationship Id="rId4" Type="http://schemas.openxmlformats.org/officeDocument/2006/relationships/webSettings" Target="webSettings.xml"/><Relationship Id="rId9" Type="http://schemas.openxmlformats.org/officeDocument/2006/relationships/hyperlink" Target="https://www.marriott.com/corporate-social-responsibility/corporate-social-responsibility.mi" TargetMode="External"/><Relationship Id="rId14" Type="http://schemas.openxmlformats.org/officeDocument/2006/relationships/hyperlink" Target="https://sha.cornell.edu/centers-excellence/center-hospitality-researc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8</Pages>
  <Words>2280</Words>
  <Characters>13001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13</cp:revision>
  <dcterms:created xsi:type="dcterms:W3CDTF">2023-04-27T10:18:00Z</dcterms:created>
  <dcterms:modified xsi:type="dcterms:W3CDTF">2023-05-18T09:45:00Z</dcterms:modified>
</cp:coreProperties>
</file>