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4D4DE35" w:rsidR="00AB46C0" w:rsidRDefault="25387ED2" w:rsidP="0051B5DC">
      <w:pPr>
        <w:jc w:val="center"/>
      </w:pPr>
      <w:r>
        <w:rPr>
          <w:noProof/>
        </w:rPr>
        <w:drawing>
          <wp:inline distT="0" distB="0" distL="0" distR="0" wp14:anchorId="171CEB2D" wp14:editId="48C76099">
            <wp:extent cx="2970391" cy="1324300"/>
            <wp:effectExtent l="0" t="0" r="0" b="0"/>
            <wp:docPr id="18739350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35009" name="Picture 1873935009"/>
                    <pic:cNvPicPr/>
                  </pic:nvPicPr>
                  <pic:blipFill>
                    <a:blip r:embed="rId5">
                      <a:extLst>
                        <a:ext uri="{28A0092B-C50C-407E-A947-70E740481C1C}">
                          <a14:useLocalDpi xmlns:a14="http://schemas.microsoft.com/office/drawing/2010/main"/>
                        </a:ext>
                      </a:extLst>
                    </a:blip>
                    <a:stretch>
                      <a:fillRect/>
                    </a:stretch>
                  </pic:blipFill>
                  <pic:spPr>
                    <a:xfrm>
                      <a:off x="0" y="0"/>
                      <a:ext cx="2970391" cy="1324300"/>
                    </a:xfrm>
                    <a:prstGeom prst="rect">
                      <a:avLst/>
                    </a:prstGeom>
                  </pic:spPr>
                </pic:pic>
              </a:graphicData>
            </a:graphic>
          </wp:inline>
        </w:drawing>
      </w:r>
    </w:p>
    <w:p w14:paraId="6E98035C" w14:textId="7372AA8F" w:rsidR="0051B5DC" w:rsidRDefault="0051B5DC" w:rsidP="0051B5DC">
      <w:pPr>
        <w:jc w:val="center"/>
        <w:rPr>
          <w:rFonts w:ascii="Arial" w:eastAsia="Arial" w:hAnsi="Arial" w:cs="Arial"/>
          <w:sz w:val="32"/>
          <w:szCs w:val="32"/>
        </w:rPr>
      </w:pPr>
    </w:p>
    <w:p w14:paraId="392CF157" w14:textId="6E988D5D" w:rsidR="254FA7AC" w:rsidRDefault="254FA7AC" w:rsidP="254FA7AC">
      <w:pPr>
        <w:jc w:val="center"/>
        <w:rPr>
          <w:rFonts w:ascii="Arial" w:eastAsia="Arial" w:hAnsi="Arial" w:cs="Arial"/>
          <w:b/>
          <w:bCs/>
          <w:sz w:val="32"/>
          <w:szCs w:val="32"/>
        </w:rPr>
      </w:pPr>
    </w:p>
    <w:p w14:paraId="01DBB8B5" w14:textId="08C3CAC4" w:rsidR="254FA7AC" w:rsidRDefault="254FA7AC" w:rsidP="254FA7AC">
      <w:pPr>
        <w:jc w:val="center"/>
        <w:rPr>
          <w:rFonts w:ascii="Arial" w:eastAsia="Arial" w:hAnsi="Arial" w:cs="Arial"/>
          <w:b/>
          <w:bCs/>
          <w:sz w:val="32"/>
          <w:szCs w:val="32"/>
        </w:rPr>
      </w:pPr>
    </w:p>
    <w:p w14:paraId="7B970947" w14:textId="62A38B12" w:rsidR="49B7D6DB" w:rsidRDefault="49B7D6DB" w:rsidP="0051B5DC">
      <w:pPr>
        <w:jc w:val="center"/>
        <w:rPr>
          <w:rFonts w:ascii="Arial" w:eastAsia="Arial" w:hAnsi="Arial" w:cs="Arial"/>
          <w:b/>
          <w:bCs/>
          <w:sz w:val="32"/>
          <w:szCs w:val="32"/>
        </w:rPr>
      </w:pPr>
      <w:r w:rsidRPr="0051B5DC">
        <w:rPr>
          <w:rFonts w:ascii="Arial" w:eastAsia="Arial" w:hAnsi="Arial" w:cs="Arial"/>
          <w:b/>
          <w:bCs/>
          <w:sz w:val="32"/>
          <w:szCs w:val="32"/>
        </w:rPr>
        <w:t>Course: BSc Health and Social Care</w:t>
      </w:r>
    </w:p>
    <w:p w14:paraId="13AC1CF8" w14:textId="1FC2A2DF" w:rsidR="49B7D6DB" w:rsidRDefault="49B7D6DB" w:rsidP="0051B5DC">
      <w:pPr>
        <w:jc w:val="center"/>
        <w:rPr>
          <w:rFonts w:ascii="Arial" w:eastAsia="Arial" w:hAnsi="Arial" w:cs="Arial"/>
          <w:b/>
          <w:bCs/>
          <w:sz w:val="32"/>
          <w:szCs w:val="32"/>
        </w:rPr>
      </w:pPr>
      <w:r w:rsidRPr="0051B5DC">
        <w:rPr>
          <w:rFonts w:ascii="Arial" w:eastAsia="Arial" w:hAnsi="Arial" w:cs="Arial"/>
          <w:b/>
          <w:bCs/>
          <w:sz w:val="32"/>
          <w:szCs w:val="32"/>
        </w:rPr>
        <w:t>Module: Independent Project</w:t>
      </w:r>
    </w:p>
    <w:p w14:paraId="4AF3F05E" w14:textId="718C7D84" w:rsidR="2128FC8A" w:rsidRDefault="2128FC8A" w:rsidP="0051B5DC">
      <w:pPr>
        <w:jc w:val="center"/>
        <w:rPr>
          <w:rFonts w:ascii="Arial" w:eastAsia="Arial" w:hAnsi="Arial" w:cs="Arial"/>
          <w:b/>
          <w:bCs/>
          <w:sz w:val="32"/>
          <w:szCs w:val="32"/>
        </w:rPr>
      </w:pPr>
      <w:r w:rsidRPr="0051B5DC">
        <w:rPr>
          <w:rFonts w:ascii="Arial" w:eastAsia="Arial" w:hAnsi="Arial" w:cs="Arial"/>
          <w:b/>
          <w:bCs/>
          <w:sz w:val="32"/>
          <w:szCs w:val="32"/>
        </w:rPr>
        <w:t>BMHP 6020-BIRM</w:t>
      </w:r>
    </w:p>
    <w:p w14:paraId="7FCF632F" w14:textId="335D032E" w:rsidR="2128FC8A" w:rsidRDefault="2128FC8A" w:rsidP="0051B5DC">
      <w:pPr>
        <w:jc w:val="center"/>
        <w:rPr>
          <w:rFonts w:ascii="Arial" w:eastAsia="Arial" w:hAnsi="Arial" w:cs="Arial"/>
          <w:b/>
          <w:bCs/>
          <w:sz w:val="32"/>
          <w:szCs w:val="32"/>
        </w:rPr>
      </w:pPr>
      <w:r w:rsidRPr="0051B5DC">
        <w:rPr>
          <w:rFonts w:ascii="Arial" w:eastAsia="Arial" w:hAnsi="Arial" w:cs="Arial"/>
          <w:b/>
          <w:bCs/>
          <w:sz w:val="32"/>
          <w:szCs w:val="32"/>
        </w:rPr>
        <w:t>Chapter One and Two</w:t>
      </w:r>
    </w:p>
    <w:p w14:paraId="651F66C3" w14:textId="6B71F0A3" w:rsidR="0051B5DC" w:rsidRDefault="0051B5DC" w:rsidP="0051B5DC">
      <w:pPr>
        <w:jc w:val="center"/>
        <w:rPr>
          <w:rFonts w:ascii="Arial" w:eastAsia="Arial" w:hAnsi="Arial" w:cs="Arial"/>
          <w:b/>
          <w:bCs/>
          <w:sz w:val="32"/>
          <w:szCs w:val="32"/>
        </w:rPr>
      </w:pPr>
    </w:p>
    <w:p w14:paraId="73C9C178" w14:textId="055F17AB" w:rsidR="31AE5446" w:rsidRDefault="31AE5446" w:rsidP="0051B5DC">
      <w:pPr>
        <w:jc w:val="center"/>
        <w:rPr>
          <w:rFonts w:ascii="Arial" w:eastAsia="Arial" w:hAnsi="Arial" w:cs="Arial"/>
          <w:b/>
          <w:bCs/>
          <w:sz w:val="32"/>
          <w:szCs w:val="32"/>
        </w:rPr>
      </w:pPr>
      <w:r w:rsidRPr="0051B5DC">
        <w:rPr>
          <w:rFonts w:ascii="Arial" w:eastAsia="Arial" w:hAnsi="Arial" w:cs="Arial"/>
          <w:b/>
          <w:bCs/>
          <w:sz w:val="32"/>
          <w:szCs w:val="32"/>
        </w:rPr>
        <w:t>Student ID: 230919</w:t>
      </w:r>
      <w:r w:rsidR="45D135B8" w:rsidRPr="0051B5DC">
        <w:rPr>
          <w:rFonts w:ascii="Arial" w:eastAsia="Arial" w:hAnsi="Arial" w:cs="Arial"/>
          <w:b/>
          <w:bCs/>
          <w:sz w:val="32"/>
          <w:szCs w:val="32"/>
        </w:rPr>
        <w:t>2</w:t>
      </w:r>
    </w:p>
    <w:p w14:paraId="24214863" w14:textId="00ED23A5" w:rsidR="31AE5446" w:rsidRDefault="31AE5446" w:rsidP="0051B5DC">
      <w:pPr>
        <w:jc w:val="center"/>
        <w:rPr>
          <w:rFonts w:ascii="Arial" w:eastAsia="Arial" w:hAnsi="Arial" w:cs="Arial"/>
          <w:b/>
          <w:bCs/>
          <w:sz w:val="32"/>
          <w:szCs w:val="32"/>
        </w:rPr>
      </w:pPr>
      <w:r w:rsidRPr="0051B5DC">
        <w:rPr>
          <w:rFonts w:ascii="Arial" w:eastAsia="Arial" w:hAnsi="Arial" w:cs="Arial"/>
          <w:b/>
          <w:bCs/>
          <w:sz w:val="32"/>
          <w:szCs w:val="32"/>
        </w:rPr>
        <w:t>Student Name: Rose Emeka Akpan</w:t>
      </w:r>
    </w:p>
    <w:p w14:paraId="05159A0F" w14:textId="2DBA15F8" w:rsidR="0051B5DC" w:rsidRDefault="0051B5DC" w:rsidP="0051B5DC">
      <w:pPr>
        <w:jc w:val="center"/>
        <w:rPr>
          <w:rFonts w:ascii="Arial" w:eastAsia="Arial" w:hAnsi="Arial" w:cs="Arial"/>
          <w:b/>
          <w:bCs/>
          <w:sz w:val="32"/>
          <w:szCs w:val="32"/>
        </w:rPr>
      </w:pPr>
    </w:p>
    <w:p w14:paraId="42569D5D" w14:textId="55930FBA" w:rsidR="0051B5DC" w:rsidRDefault="0051B5DC" w:rsidP="0051B5DC">
      <w:pPr>
        <w:jc w:val="center"/>
        <w:rPr>
          <w:rFonts w:ascii="Arial" w:eastAsia="Arial" w:hAnsi="Arial" w:cs="Arial"/>
          <w:b/>
          <w:bCs/>
          <w:sz w:val="32"/>
          <w:szCs w:val="32"/>
        </w:rPr>
      </w:pPr>
    </w:p>
    <w:p w14:paraId="6EF4F5A7" w14:textId="438F047C" w:rsidR="0051B5DC" w:rsidRDefault="0051B5DC" w:rsidP="0051B5DC">
      <w:pPr>
        <w:jc w:val="center"/>
        <w:rPr>
          <w:rFonts w:ascii="Arial" w:eastAsia="Arial" w:hAnsi="Arial" w:cs="Arial"/>
          <w:b/>
          <w:bCs/>
          <w:sz w:val="32"/>
          <w:szCs w:val="32"/>
        </w:rPr>
      </w:pPr>
    </w:p>
    <w:p w14:paraId="7950952F" w14:textId="4F45ECBA" w:rsidR="0051B5DC" w:rsidRDefault="0051B5DC" w:rsidP="0051B5DC">
      <w:pPr>
        <w:jc w:val="center"/>
        <w:rPr>
          <w:rFonts w:ascii="Arial" w:eastAsia="Arial" w:hAnsi="Arial" w:cs="Arial"/>
          <w:b/>
          <w:bCs/>
          <w:sz w:val="32"/>
          <w:szCs w:val="32"/>
        </w:rPr>
      </w:pPr>
    </w:p>
    <w:p w14:paraId="41297D7A" w14:textId="26CAB81B" w:rsidR="0051B5DC" w:rsidRDefault="0051B5DC" w:rsidP="0051B5DC">
      <w:pPr>
        <w:jc w:val="center"/>
        <w:rPr>
          <w:rFonts w:ascii="Arial" w:eastAsia="Arial" w:hAnsi="Arial" w:cs="Arial"/>
          <w:b/>
          <w:bCs/>
          <w:sz w:val="32"/>
          <w:szCs w:val="32"/>
        </w:rPr>
      </w:pPr>
    </w:p>
    <w:p w14:paraId="25879273" w14:textId="2EC31CEF" w:rsidR="0051B5DC" w:rsidRDefault="0051B5DC" w:rsidP="0051B5DC">
      <w:pPr>
        <w:jc w:val="center"/>
        <w:rPr>
          <w:rFonts w:ascii="Arial" w:eastAsia="Arial" w:hAnsi="Arial" w:cs="Arial"/>
          <w:b/>
          <w:bCs/>
          <w:sz w:val="32"/>
          <w:szCs w:val="32"/>
        </w:rPr>
      </w:pPr>
    </w:p>
    <w:p w14:paraId="413AF134" w14:textId="61A138BF" w:rsidR="0051B5DC" w:rsidRDefault="0051B5DC" w:rsidP="0051B5DC">
      <w:pPr>
        <w:jc w:val="center"/>
        <w:rPr>
          <w:rFonts w:ascii="Arial" w:eastAsia="Arial" w:hAnsi="Arial" w:cs="Arial"/>
          <w:b/>
          <w:bCs/>
          <w:sz w:val="32"/>
          <w:szCs w:val="32"/>
        </w:rPr>
      </w:pPr>
    </w:p>
    <w:p w14:paraId="5E87CD5A" w14:textId="03CD0741" w:rsidR="0051B5DC" w:rsidRDefault="0051B5DC" w:rsidP="0051B5DC">
      <w:pPr>
        <w:jc w:val="center"/>
        <w:rPr>
          <w:rFonts w:ascii="Arial" w:eastAsia="Arial" w:hAnsi="Arial" w:cs="Arial"/>
          <w:b/>
          <w:bCs/>
          <w:sz w:val="32"/>
          <w:szCs w:val="32"/>
        </w:rPr>
      </w:pPr>
    </w:p>
    <w:p w14:paraId="103A25B0" w14:textId="10E4B7FB" w:rsidR="0051B5DC" w:rsidRDefault="0051B5DC" w:rsidP="0051B5DC">
      <w:pPr>
        <w:jc w:val="center"/>
        <w:rPr>
          <w:rFonts w:ascii="Arial" w:eastAsia="Arial" w:hAnsi="Arial" w:cs="Arial"/>
          <w:b/>
          <w:bCs/>
          <w:sz w:val="32"/>
          <w:szCs w:val="32"/>
        </w:rPr>
      </w:pPr>
    </w:p>
    <w:p w14:paraId="2A00B37F" w14:textId="74882140" w:rsidR="0051B5DC" w:rsidRDefault="0051B5DC" w:rsidP="0051B5DC">
      <w:pPr>
        <w:jc w:val="center"/>
        <w:rPr>
          <w:rFonts w:ascii="Arial" w:eastAsia="Arial" w:hAnsi="Arial" w:cs="Arial"/>
          <w:b/>
          <w:bCs/>
          <w:sz w:val="32"/>
          <w:szCs w:val="32"/>
        </w:rPr>
      </w:pPr>
    </w:p>
    <w:p w14:paraId="63EEAF6C" w14:textId="3309F320" w:rsidR="0051B5DC" w:rsidRDefault="0051B5DC" w:rsidP="0051B5DC">
      <w:pPr>
        <w:jc w:val="center"/>
        <w:rPr>
          <w:rFonts w:ascii="Arial" w:eastAsia="Arial" w:hAnsi="Arial" w:cs="Arial"/>
          <w:b/>
          <w:bCs/>
          <w:sz w:val="32"/>
          <w:szCs w:val="32"/>
        </w:rPr>
      </w:pPr>
    </w:p>
    <w:p w14:paraId="04075A9B" w14:textId="672959BC" w:rsidR="0051B5DC" w:rsidRDefault="0051B5DC" w:rsidP="0051B5DC">
      <w:pPr>
        <w:jc w:val="center"/>
        <w:rPr>
          <w:rFonts w:ascii="Arial" w:eastAsia="Arial" w:hAnsi="Arial" w:cs="Arial"/>
          <w:sz w:val="32"/>
          <w:szCs w:val="32"/>
        </w:rPr>
      </w:pPr>
    </w:p>
    <w:p w14:paraId="55D1E176" w14:textId="77777777" w:rsidR="009960B4" w:rsidRPr="00484BF4" w:rsidRDefault="009960B4" w:rsidP="009960B4">
      <w:pPr>
        <w:spacing w:before="100" w:beforeAutospacing="1" w:after="100" w:afterAutospacing="1" w:line="360" w:lineRule="auto"/>
        <w:jc w:val="both"/>
        <w:outlineLvl w:val="1"/>
        <w:rPr>
          <w:rFonts w:ascii="Arial" w:eastAsia="Times New Roman" w:hAnsi="Arial" w:cs="Arial"/>
          <w:b/>
          <w:bCs/>
          <w:sz w:val="22"/>
          <w:szCs w:val="22"/>
        </w:rPr>
      </w:pPr>
      <w:r w:rsidRPr="254FA7AC">
        <w:rPr>
          <w:rFonts w:ascii="Arial" w:eastAsia="Times New Roman" w:hAnsi="Arial" w:cs="Arial"/>
          <w:b/>
          <w:sz w:val="32"/>
          <w:szCs w:val="32"/>
        </w:rPr>
        <w:t>CHAPTER ONE</w:t>
      </w:r>
    </w:p>
    <w:p w14:paraId="6FC351C4" w14:textId="77777777" w:rsidR="009960B4" w:rsidRPr="00D763A8"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D763A8">
        <w:rPr>
          <w:rFonts w:ascii="Arial" w:eastAsia="Times New Roman" w:hAnsi="Arial" w:cs="Arial"/>
          <w:b/>
          <w:bCs/>
          <w:sz w:val="22"/>
          <w:szCs w:val="22"/>
        </w:rPr>
        <w:t xml:space="preserve">1.1 </w:t>
      </w:r>
      <w:r w:rsidRPr="254FA7AC">
        <w:rPr>
          <w:rFonts w:ascii="Arial" w:eastAsia="Times New Roman" w:hAnsi="Arial" w:cs="Arial"/>
          <w:b/>
          <w:sz w:val="32"/>
          <w:szCs w:val="32"/>
        </w:rPr>
        <w:t>Introduction to Dissertation</w:t>
      </w:r>
    </w:p>
    <w:p w14:paraId="3324CD9B" w14:textId="77777777" w:rsidR="009960B4" w:rsidRPr="00D763A8" w:rsidRDefault="009960B4" w:rsidP="009960B4">
      <w:pPr>
        <w:spacing w:before="100" w:beforeAutospacing="1" w:after="100" w:afterAutospacing="1" w:line="360" w:lineRule="auto"/>
        <w:jc w:val="both"/>
        <w:rPr>
          <w:rFonts w:ascii="Arial" w:hAnsi="Arial" w:cs="Arial"/>
          <w:sz w:val="22"/>
          <w:szCs w:val="22"/>
        </w:rPr>
      </w:pPr>
      <w:r w:rsidRPr="00D763A8">
        <w:rPr>
          <w:rFonts w:ascii="Arial" w:hAnsi="Arial" w:cs="Arial"/>
          <w:sz w:val="22"/>
          <w:szCs w:val="22"/>
        </w:rPr>
        <w:t>Population ageing is one of the most significant demographic shifts affecting the United Kingdom. In 2022, over 11 million people were aged 65 and above, with the fastest growth occurring among those aged 75 and over (</w:t>
      </w:r>
      <w:r w:rsidRPr="00484BF4">
        <w:rPr>
          <w:rFonts w:ascii="Arial" w:eastAsia="Times New Roman" w:hAnsi="Arial" w:cs="Arial"/>
          <w:color w:val="222222"/>
          <w:sz w:val="22"/>
          <w:szCs w:val="22"/>
          <w:shd w:val="clear" w:color="auto" w:fill="FFFFFF"/>
        </w:rPr>
        <w:t>Gilbert-Johns et al.,</w:t>
      </w:r>
      <w:r w:rsidRPr="00D763A8">
        <w:rPr>
          <w:rFonts w:ascii="Arial" w:hAnsi="Arial" w:cs="Arial"/>
          <w:sz w:val="22"/>
          <w:szCs w:val="22"/>
        </w:rPr>
        <w:t xml:space="preserve"> 202</w:t>
      </w:r>
      <w:r w:rsidRPr="00484BF4">
        <w:rPr>
          <w:rFonts w:ascii="Arial" w:hAnsi="Arial" w:cs="Arial"/>
          <w:sz w:val="22"/>
          <w:szCs w:val="22"/>
        </w:rPr>
        <w:t>2</w:t>
      </w:r>
      <w:r w:rsidRPr="00D763A8">
        <w:rPr>
          <w:rFonts w:ascii="Arial" w:hAnsi="Arial" w:cs="Arial"/>
          <w:sz w:val="22"/>
          <w:szCs w:val="22"/>
        </w:rPr>
        <w:t>). This trend has substantial implications for health and social care provision, as older adults are more likely to experience frailty, multimorbidity, and complex support needs requiring coordinated services across organisational boundaries. Despite policy reforms promoting integration through Integrated Care Systems (Department of Health and Social Care, 2021), concerns persist regarding fragmentation, workforce pressures, and inequalities in access to care (Humphries, 2022).</w:t>
      </w:r>
    </w:p>
    <w:p w14:paraId="25F08176" w14:textId="77777777" w:rsidR="009960B4" w:rsidRDefault="009960B4" w:rsidP="009960B4">
      <w:pPr>
        <w:spacing w:before="100" w:beforeAutospacing="1" w:after="100" w:afterAutospacing="1" w:line="360" w:lineRule="auto"/>
        <w:jc w:val="both"/>
        <w:rPr>
          <w:rFonts w:ascii="Arial" w:hAnsi="Arial" w:cs="Arial"/>
          <w:sz w:val="22"/>
          <w:szCs w:val="22"/>
        </w:rPr>
      </w:pPr>
      <w:r w:rsidRPr="00D763A8">
        <w:rPr>
          <w:rFonts w:ascii="Arial" w:hAnsi="Arial" w:cs="Arial"/>
          <w:sz w:val="22"/>
          <w:szCs w:val="22"/>
        </w:rPr>
        <w:t>This dissertation examines the effectiveness of health and social care provision for adults aged 75 years and over in the UK, with particular focus on service integration and accessibility. It addresses ongoing debates about whether integrated care policies translate into improved outcomes in practice. The study adopts a structured secondary research approach to analyse current evidence and policy developments. The dissertation is organised into chapters covering literature review, methodology, findings, discussion, and recommendations, culminating in conclusions relevant to future service improvement within UK health and social care systems.</w:t>
      </w:r>
    </w:p>
    <w:p w14:paraId="16A350A7" w14:textId="77777777" w:rsidR="009960B4" w:rsidRPr="00484BF4" w:rsidRDefault="009960B4" w:rsidP="009960B4">
      <w:pPr>
        <w:spacing w:before="100" w:beforeAutospacing="1" w:after="100" w:afterAutospacing="1" w:line="360" w:lineRule="auto"/>
        <w:jc w:val="both"/>
        <w:rPr>
          <w:rFonts w:ascii="Arial" w:hAnsi="Arial" w:cs="Arial"/>
          <w:sz w:val="22"/>
          <w:szCs w:val="22"/>
        </w:rPr>
      </w:pPr>
    </w:p>
    <w:p w14:paraId="1259E6C5" w14:textId="77777777" w:rsidR="009960B4" w:rsidRPr="006C6C62" w:rsidRDefault="009960B4" w:rsidP="009960B4">
      <w:pPr>
        <w:spacing w:before="100" w:beforeAutospacing="1" w:after="100" w:afterAutospacing="1" w:line="360" w:lineRule="auto"/>
        <w:jc w:val="both"/>
        <w:outlineLvl w:val="1"/>
        <w:rPr>
          <w:rFonts w:ascii="Arial" w:eastAsia="Times New Roman" w:hAnsi="Arial" w:cs="Arial"/>
          <w:b/>
          <w:bCs/>
          <w:sz w:val="22"/>
          <w:szCs w:val="22"/>
        </w:rPr>
      </w:pPr>
      <w:r w:rsidRPr="006C6C62">
        <w:rPr>
          <w:rFonts w:ascii="Arial" w:eastAsia="Times New Roman" w:hAnsi="Arial" w:cs="Arial"/>
          <w:b/>
          <w:bCs/>
          <w:sz w:val="22"/>
          <w:szCs w:val="22"/>
        </w:rPr>
        <w:t>1.2</w:t>
      </w:r>
      <w:r w:rsidRPr="254FA7AC">
        <w:rPr>
          <w:rFonts w:ascii="Arial" w:eastAsia="Times New Roman" w:hAnsi="Arial" w:cs="Arial"/>
          <w:b/>
          <w:sz w:val="32"/>
          <w:szCs w:val="32"/>
        </w:rPr>
        <w:t xml:space="preserve"> Key Definitions</w:t>
      </w:r>
    </w:p>
    <w:p w14:paraId="1DF6CDB7" w14:textId="77777777" w:rsidR="009960B4" w:rsidRPr="006C6C62" w:rsidRDefault="009960B4" w:rsidP="009960B4">
      <w:pPr>
        <w:spacing w:before="100" w:beforeAutospacing="1" w:after="100" w:afterAutospacing="1" w:line="360" w:lineRule="auto"/>
        <w:jc w:val="both"/>
        <w:rPr>
          <w:rFonts w:ascii="Arial" w:hAnsi="Arial" w:cs="Arial"/>
          <w:sz w:val="22"/>
          <w:szCs w:val="22"/>
        </w:rPr>
      </w:pPr>
      <w:r w:rsidRPr="006C6C62">
        <w:rPr>
          <w:rFonts w:ascii="Arial" w:hAnsi="Arial" w:cs="Arial"/>
          <w:sz w:val="22"/>
          <w:szCs w:val="22"/>
        </w:rPr>
        <w:t>Clarity in terminology is essential when examining health and social care provision for adults aged 75 years and over. The following definitions establish conceptual consistency for this dissertation.</w:t>
      </w:r>
    </w:p>
    <w:p w14:paraId="203E9729" w14:textId="77777777" w:rsidR="009960B4" w:rsidRPr="00484BF4" w:rsidRDefault="009960B4" w:rsidP="009960B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484BF4">
        <w:rPr>
          <w:rFonts w:ascii="Arial" w:hAnsi="Arial" w:cs="Arial"/>
          <w:b/>
          <w:bCs/>
          <w:kern w:val="0"/>
          <w:sz w:val="22"/>
          <w:szCs w:val="22"/>
          <w14:ligatures w14:val="none"/>
        </w:rPr>
        <w:t xml:space="preserve">Older Adults (75+): </w:t>
      </w:r>
      <w:r w:rsidRPr="00484BF4">
        <w:rPr>
          <w:rFonts w:ascii="Arial" w:hAnsi="Arial" w:cs="Arial"/>
          <w:kern w:val="0"/>
          <w:sz w:val="22"/>
          <w:szCs w:val="22"/>
          <w14:ligatures w14:val="none"/>
        </w:rPr>
        <w:t xml:space="preserve">While “older people” is often defined as individuals aged 65 and above, this study focuses specifically on adults aged 75 years and over, a group </w:t>
      </w:r>
      <w:r w:rsidRPr="00484BF4">
        <w:rPr>
          <w:rFonts w:ascii="Arial" w:hAnsi="Arial" w:cs="Arial"/>
          <w:kern w:val="0"/>
          <w:sz w:val="22"/>
          <w:szCs w:val="22"/>
          <w14:ligatures w14:val="none"/>
        </w:rPr>
        <w:lastRenderedPageBreak/>
        <w:t>statistically more likely to experience frailty and complex health needs (Gilbert-Johns et al., 2022).</w:t>
      </w:r>
    </w:p>
    <w:p w14:paraId="1C39C3C8" w14:textId="77777777" w:rsidR="009960B4" w:rsidRPr="00484BF4" w:rsidRDefault="009960B4" w:rsidP="009960B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484BF4">
        <w:rPr>
          <w:rFonts w:ascii="Arial" w:hAnsi="Arial" w:cs="Arial"/>
          <w:b/>
          <w:bCs/>
          <w:kern w:val="0"/>
          <w:sz w:val="22"/>
          <w:szCs w:val="22"/>
          <w14:ligatures w14:val="none"/>
        </w:rPr>
        <w:t xml:space="preserve">Integrated Care: </w:t>
      </w:r>
      <w:r w:rsidRPr="00484BF4">
        <w:rPr>
          <w:rFonts w:ascii="Arial" w:hAnsi="Arial" w:cs="Arial"/>
          <w:kern w:val="0"/>
          <w:sz w:val="22"/>
          <w:szCs w:val="22"/>
          <w14:ligatures w14:val="none"/>
        </w:rPr>
        <w:t>Integrated care refers to coordinated services designed to improve patient experience and outcomes by ensuring collaboration across health and social care organisations (</w:t>
      </w:r>
      <w:r>
        <w:rPr>
          <w:rFonts w:ascii="Arial" w:hAnsi="Arial" w:cs="Arial"/>
          <w:kern w:val="0"/>
          <w:sz w:val="22"/>
          <w:szCs w:val="22"/>
          <w14:ligatures w14:val="none"/>
        </w:rPr>
        <w:t>NHS</w:t>
      </w:r>
      <w:r w:rsidRPr="00484BF4">
        <w:rPr>
          <w:rFonts w:ascii="Arial" w:hAnsi="Arial" w:cs="Arial"/>
          <w:kern w:val="0"/>
          <w:sz w:val="22"/>
          <w:szCs w:val="22"/>
          <w14:ligatures w14:val="none"/>
        </w:rPr>
        <w:t xml:space="preserve"> England</w:t>
      </w:r>
      <w:r>
        <w:rPr>
          <w:rFonts w:ascii="Arial" w:hAnsi="Arial" w:cs="Arial"/>
          <w:kern w:val="0"/>
          <w:sz w:val="22"/>
          <w:szCs w:val="22"/>
          <w14:ligatures w14:val="none"/>
        </w:rPr>
        <w:t xml:space="preserve"> and NHS Improvement, </w:t>
      </w:r>
      <w:r w:rsidRPr="00484BF4">
        <w:rPr>
          <w:rFonts w:ascii="Arial" w:hAnsi="Arial" w:cs="Arial"/>
          <w:kern w:val="0"/>
          <w:sz w:val="22"/>
          <w:szCs w:val="22"/>
          <w14:ligatures w14:val="none"/>
        </w:rPr>
        <w:t>202</w:t>
      </w:r>
      <w:r>
        <w:rPr>
          <w:rFonts w:ascii="Arial" w:hAnsi="Arial" w:cs="Arial"/>
          <w:kern w:val="0"/>
          <w:sz w:val="22"/>
          <w:szCs w:val="22"/>
          <w14:ligatures w14:val="none"/>
        </w:rPr>
        <w:t>0</w:t>
      </w:r>
      <w:r w:rsidRPr="00484BF4">
        <w:rPr>
          <w:rFonts w:ascii="Arial" w:hAnsi="Arial" w:cs="Arial"/>
          <w:kern w:val="0"/>
          <w:sz w:val="22"/>
          <w:szCs w:val="22"/>
          <w14:ligatures w14:val="none"/>
        </w:rPr>
        <w:t>).</w:t>
      </w:r>
    </w:p>
    <w:p w14:paraId="6F1898DC" w14:textId="77777777" w:rsidR="009960B4" w:rsidRPr="00484BF4" w:rsidRDefault="009960B4" w:rsidP="009960B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484BF4">
        <w:rPr>
          <w:rFonts w:ascii="Arial" w:hAnsi="Arial" w:cs="Arial"/>
          <w:b/>
          <w:bCs/>
          <w:kern w:val="0"/>
          <w:sz w:val="22"/>
          <w:szCs w:val="22"/>
          <w14:ligatures w14:val="none"/>
        </w:rPr>
        <w:t xml:space="preserve">Frailty: </w:t>
      </w:r>
      <w:r w:rsidRPr="00484BF4">
        <w:rPr>
          <w:rFonts w:ascii="Arial" w:hAnsi="Arial" w:cs="Arial"/>
          <w:kern w:val="0"/>
          <w:sz w:val="22"/>
          <w:szCs w:val="22"/>
          <w14:ligatures w14:val="none"/>
        </w:rPr>
        <w:t>Frailty is a clinically recognised state of increased vulnerability resulting from age-related decline across multiple physiological systems (</w:t>
      </w:r>
      <w:r>
        <w:rPr>
          <w:rFonts w:ascii="Arial" w:hAnsi="Arial" w:cs="Arial"/>
          <w:kern w:val="0"/>
          <w:sz w:val="22"/>
          <w:szCs w:val="22"/>
          <w14:ligatures w14:val="none"/>
        </w:rPr>
        <w:t>Kim and Rockwood</w:t>
      </w:r>
      <w:r w:rsidRPr="00484BF4">
        <w:rPr>
          <w:rFonts w:ascii="Arial" w:hAnsi="Arial" w:cs="Arial"/>
          <w:kern w:val="0"/>
          <w:sz w:val="22"/>
          <w:szCs w:val="22"/>
          <w14:ligatures w14:val="none"/>
        </w:rPr>
        <w:t>, 202</w:t>
      </w:r>
      <w:r>
        <w:rPr>
          <w:rFonts w:ascii="Arial" w:hAnsi="Arial" w:cs="Arial"/>
          <w:kern w:val="0"/>
          <w:sz w:val="22"/>
          <w:szCs w:val="22"/>
          <w14:ligatures w14:val="none"/>
        </w:rPr>
        <w:t>4</w:t>
      </w:r>
      <w:r w:rsidRPr="00484BF4">
        <w:rPr>
          <w:rFonts w:ascii="Arial" w:hAnsi="Arial" w:cs="Arial"/>
          <w:kern w:val="0"/>
          <w:sz w:val="22"/>
          <w:szCs w:val="22"/>
          <w14:ligatures w14:val="none"/>
        </w:rPr>
        <w:t>).</w:t>
      </w:r>
    </w:p>
    <w:p w14:paraId="1DAD1B85" w14:textId="77777777" w:rsidR="009960B4" w:rsidRPr="00484BF4" w:rsidRDefault="009960B4" w:rsidP="009960B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484BF4">
        <w:rPr>
          <w:rFonts w:ascii="Arial" w:hAnsi="Arial" w:cs="Arial"/>
          <w:b/>
          <w:bCs/>
          <w:kern w:val="0"/>
          <w:sz w:val="22"/>
          <w:szCs w:val="22"/>
          <w14:ligatures w14:val="none"/>
        </w:rPr>
        <w:t xml:space="preserve">Multimorbidity: </w:t>
      </w:r>
      <w:r w:rsidRPr="00484BF4">
        <w:rPr>
          <w:rFonts w:ascii="Arial" w:hAnsi="Arial" w:cs="Arial"/>
          <w:kern w:val="0"/>
          <w:sz w:val="22"/>
          <w:szCs w:val="22"/>
          <w14:ligatures w14:val="none"/>
        </w:rPr>
        <w:t>The coexistence of two or more long-term health conditions within one individual, commonly observed among older populations (Barnett et al., 20</w:t>
      </w:r>
      <w:r>
        <w:rPr>
          <w:rFonts w:ascii="Arial" w:hAnsi="Arial" w:cs="Arial"/>
          <w:kern w:val="0"/>
          <w:sz w:val="22"/>
          <w:szCs w:val="22"/>
          <w14:ligatures w14:val="none"/>
        </w:rPr>
        <w:t>12</w:t>
      </w:r>
      <w:r w:rsidRPr="00484BF4">
        <w:rPr>
          <w:rFonts w:ascii="Arial" w:hAnsi="Arial" w:cs="Arial"/>
          <w:kern w:val="0"/>
          <w:sz w:val="22"/>
          <w:szCs w:val="22"/>
          <w14:ligatures w14:val="none"/>
        </w:rPr>
        <w:t>).</w:t>
      </w:r>
    </w:p>
    <w:p w14:paraId="150590DD" w14:textId="77777777" w:rsidR="009960B4" w:rsidRPr="00484BF4" w:rsidRDefault="009960B4" w:rsidP="009960B4">
      <w:pPr>
        <w:pStyle w:val="ListParagraph"/>
        <w:numPr>
          <w:ilvl w:val="0"/>
          <w:numId w:val="1"/>
        </w:numPr>
        <w:spacing w:before="100" w:beforeAutospacing="1" w:after="100" w:afterAutospacing="1" w:line="360" w:lineRule="auto"/>
        <w:jc w:val="both"/>
        <w:rPr>
          <w:rFonts w:ascii="Arial" w:hAnsi="Arial" w:cs="Arial"/>
          <w:kern w:val="0"/>
          <w:sz w:val="22"/>
          <w:szCs w:val="22"/>
          <w14:ligatures w14:val="none"/>
        </w:rPr>
      </w:pPr>
      <w:r w:rsidRPr="00484BF4">
        <w:rPr>
          <w:rFonts w:ascii="Arial" w:hAnsi="Arial" w:cs="Arial"/>
          <w:b/>
          <w:bCs/>
          <w:kern w:val="0"/>
          <w:sz w:val="22"/>
          <w:szCs w:val="22"/>
          <w14:ligatures w14:val="none"/>
        </w:rPr>
        <w:t xml:space="preserve">Accessibility: </w:t>
      </w:r>
      <w:r w:rsidRPr="00484BF4">
        <w:rPr>
          <w:rFonts w:ascii="Arial" w:hAnsi="Arial" w:cs="Arial"/>
          <w:kern w:val="0"/>
          <w:sz w:val="22"/>
          <w:szCs w:val="22"/>
          <w14:ligatures w14:val="none"/>
        </w:rPr>
        <w:t>Accessibility in health and social care refers to the ability of individuals to obtain appropriate services in a timely manner without barriers related to cost, geography, or system complexity (Age UK, 2023).</w:t>
      </w:r>
    </w:p>
    <w:p w14:paraId="11933612" w14:textId="77777777" w:rsidR="009960B4" w:rsidRDefault="009960B4" w:rsidP="009960B4">
      <w:pPr>
        <w:spacing w:before="100" w:beforeAutospacing="1" w:after="100" w:afterAutospacing="1" w:line="360" w:lineRule="auto"/>
        <w:jc w:val="both"/>
        <w:rPr>
          <w:rFonts w:ascii="Arial" w:hAnsi="Arial" w:cs="Arial"/>
          <w:sz w:val="22"/>
          <w:szCs w:val="22"/>
        </w:rPr>
      </w:pPr>
      <w:r w:rsidRPr="006C6C62">
        <w:rPr>
          <w:rFonts w:ascii="Arial" w:hAnsi="Arial" w:cs="Arial"/>
          <w:sz w:val="22"/>
          <w:szCs w:val="22"/>
        </w:rPr>
        <w:t>These definitions provide a shared framework for analysing service provision and integration within the UK context.</w:t>
      </w:r>
    </w:p>
    <w:p w14:paraId="578E0477" w14:textId="77777777" w:rsidR="009960B4" w:rsidRPr="006C6C62" w:rsidRDefault="009960B4" w:rsidP="009960B4">
      <w:pPr>
        <w:spacing w:before="100" w:beforeAutospacing="1" w:after="100" w:afterAutospacing="1" w:line="360" w:lineRule="auto"/>
        <w:jc w:val="both"/>
        <w:rPr>
          <w:rFonts w:ascii="Arial" w:hAnsi="Arial" w:cs="Arial"/>
          <w:sz w:val="22"/>
          <w:szCs w:val="22"/>
        </w:rPr>
      </w:pPr>
    </w:p>
    <w:p w14:paraId="7E4E1E58" w14:textId="77777777" w:rsidR="009960B4" w:rsidRPr="0050470C" w:rsidRDefault="009960B4" w:rsidP="009960B4">
      <w:pPr>
        <w:spacing w:before="100" w:beforeAutospacing="1" w:after="100" w:afterAutospacing="1" w:line="360" w:lineRule="auto"/>
        <w:jc w:val="both"/>
        <w:outlineLvl w:val="1"/>
        <w:rPr>
          <w:rFonts w:ascii="Arial" w:hAnsi="Arial" w:cs="Arial"/>
          <w:sz w:val="32"/>
          <w:szCs w:val="32"/>
        </w:rPr>
      </w:pPr>
      <w:r w:rsidRPr="00797F18">
        <w:rPr>
          <w:rFonts w:ascii="Arial" w:eastAsia="Times New Roman" w:hAnsi="Arial" w:cs="Arial"/>
          <w:b/>
          <w:bCs/>
          <w:sz w:val="22"/>
          <w:szCs w:val="22"/>
        </w:rPr>
        <w:t>1.3</w:t>
      </w:r>
      <w:r w:rsidRPr="254FA7AC">
        <w:rPr>
          <w:rFonts w:ascii="Arial" w:eastAsia="Times New Roman" w:hAnsi="Arial" w:cs="Arial"/>
          <w:b/>
          <w:sz w:val="32"/>
          <w:szCs w:val="32"/>
        </w:rPr>
        <w:t xml:space="preserve"> Background and Current Context </w:t>
      </w:r>
    </w:p>
    <w:p w14:paraId="15EF235D" w14:textId="77777777" w:rsidR="009960B4" w:rsidRPr="0050470C" w:rsidRDefault="009960B4" w:rsidP="009960B4">
      <w:pPr>
        <w:spacing w:before="100" w:beforeAutospacing="1" w:after="100" w:afterAutospacing="1" w:line="360" w:lineRule="auto"/>
        <w:jc w:val="both"/>
        <w:outlineLvl w:val="2"/>
        <w:rPr>
          <w:rFonts w:ascii="Arial" w:eastAsia="Times New Roman" w:hAnsi="Arial" w:cs="Arial"/>
          <w:b/>
          <w:bCs/>
          <w:sz w:val="22"/>
          <w:szCs w:val="22"/>
        </w:rPr>
      </w:pPr>
      <w:r>
        <w:rPr>
          <w:rFonts w:ascii="Arial" w:eastAsia="Times New Roman" w:hAnsi="Arial" w:cs="Arial"/>
          <w:b/>
          <w:bCs/>
          <w:sz w:val="22"/>
          <w:szCs w:val="22"/>
        </w:rPr>
        <w:t xml:space="preserve">1.3.1 </w:t>
      </w:r>
      <w:r w:rsidRPr="254FA7AC">
        <w:rPr>
          <w:rFonts w:ascii="Arial" w:eastAsia="Times New Roman" w:hAnsi="Arial" w:cs="Arial"/>
          <w:b/>
          <w:sz w:val="32"/>
          <w:szCs w:val="32"/>
        </w:rPr>
        <w:t>Background</w:t>
      </w:r>
    </w:p>
    <w:p w14:paraId="122C50F9" w14:textId="77777777" w:rsidR="009960B4" w:rsidRPr="0050470C" w:rsidRDefault="009960B4" w:rsidP="009960B4">
      <w:pPr>
        <w:spacing w:before="100" w:beforeAutospacing="1" w:after="100" w:afterAutospacing="1" w:line="360" w:lineRule="auto"/>
        <w:jc w:val="both"/>
        <w:rPr>
          <w:rFonts w:ascii="Arial" w:hAnsi="Arial" w:cs="Arial"/>
          <w:sz w:val="22"/>
          <w:szCs w:val="22"/>
        </w:rPr>
      </w:pPr>
      <w:r w:rsidRPr="0050470C">
        <w:rPr>
          <w:rFonts w:ascii="Arial" w:hAnsi="Arial" w:cs="Arial"/>
          <w:sz w:val="22"/>
          <w:szCs w:val="22"/>
        </w:rPr>
        <w:t xml:space="preserve">The provision of health and social care for older adults in the UK has evolved </w:t>
      </w:r>
      <w:bookmarkStart w:id="0" w:name="_Int_X4B4m3Pa"/>
      <w:r w:rsidRPr="0050470C">
        <w:rPr>
          <w:rFonts w:ascii="Arial" w:hAnsi="Arial" w:cs="Arial"/>
          <w:sz w:val="22"/>
          <w:szCs w:val="22"/>
        </w:rPr>
        <w:t>considerably over</w:t>
      </w:r>
      <w:bookmarkEnd w:id="0"/>
      <w:r w:rsidRPr="0050470C">
        <w:rPr>
          <w:rFonts w:ascii="Arial" w:hAnsi="Arial" w:cs="Arial"/>
          <w:sz w:val="22"/>
          <w:szCs w:val="22"/>
        </w:rPr>
        <w:t xml:space="preserve"> the past decades. Historically, care was </w:t>
      </w:r>
      <w:bookmarkStart w:id="1" w:name="_Int_p0fmCmmY"/>
      <w:r w:rsidRPr="0050470C">
        <w:rPr>
          <w:rFonts w:ascii="Arial" w:hAnsi="Arial" w:cs="Arial"/>
          <w:sz w:val="22"/>
          <w:szCs w:val="22"/>
        </w:rPr>
        <w:t>largely reactive</w:t>
      </w:r>
      <w:bookmarkEnd w:id="1"/>
      <w:r w:rsidRPr="0050470C">
        <w:rPr>
          <w:rFonts w:ascii="Arial" w:hAnsi="Arial" w:cs="Arial"/>
          <w:sz w:val="22"/>
          <w:szCs w:val="22"/>
        </w:rPr>
        <w:t xml:space="preserve"> and fragmented, with limited coordination between healthcare and social services, leaving older adults, particularly those over 75, vulnerable to unmet health and social needs (Humphries, 2022). The 1948 establishment of the National Health Service provided universal healthcare, but social care remained locally managed and means-tested, resulting in inequalities in access (Glasby, 2021). Over time, policy initiatives such as the Care Act 2014 emphasised integration, safeguarding, and person-centred approaches, reflecting a growing recognition of the complex needs of the ageing population (Department of Health and Social Care, 2021)</w:t>
      </w:r>
      <w:r w:rsidRPr="00797F18">
        <w:rPr>
          <w:rFonts w:ascii="Arial" w:hAnsi="Arial" w:cs="Arial"/>
          <w:sz w:val="22"/>
          <w:szCs w:val="22"/>
        </w:rPr>
        <w:t>.</w:t>
      </w:r>
    </w:p>
    <w:p w14:paraId="579693B7" w14:textId="70754D7A" w:rsidR="254FA7AC" w:rsidRDefault="254FA7AC" w:rsidP="254FA7AC">
      <w:pPr>
        <w:spacing w:beforeAutospacing="1" w:afterAutospacing="1" w:line="360" w:lineRule="auto"/>
        <w:jc w:val="both"/>
        <w:outlineLvl w:val="2"/>
        <w:rPr>
          <w:rFonts w:ascii="Arial" w:eastAsia="Times New Roman" w:hAnsi="Arial" w:cs="Arial"/>
          <w:b/>
          <w:bCs/>
          <w:sz w:val="22"/>
          <w:szCs w:val="22"/>
        </w:rPr>
      </w:pPr>
    </w:p>
    <w:p w14:paraId="733B121F" w14:textId="16E40055" w:rsidR="254FA7AC" w:rsidRDefault="254FA7AC" w:rsidP="254FA7AC">
      <w:pPr>
        <w:spacing w:beforeAutospacing="1" w:afterAutospacing="1" w:line="360" w:lineRule="auto"/>
        <w:jc w:val="both"/>
        <w:outlineLvl w:val="2"/>
        <w:rPr>
          <w:rFonts w:ascii="Arial" w:eastAsia="Times New Roman" w:hAnsi="Arial" w:cs="Arial"/>
          <w:b/>
          <w:bCs/>
          <w:sz w:val="22"/>
          <w:szCs w:val="22"/>
        </w:rPr>
      </w:pPr>
    </w:p>
    <w:p w14:paraId="492B1E0C" w14:textId="77777777" w:rsidR="009960B4" w:rsidRPr="0050470C" w:rsidRDefault="009960B4" w:rsidP="009960B4">
      <w:pPr>
        <w:spacing w:before="100" w:beforeAutospacing="1" w:after="100" w:afterAutospacing="1" w:line="360" w:lineRule="auto"/>
        <w:jc w:val="both"/>
        <w:outlineLvl w:val="2"/>
        <w:rPr>
          <w:rFonts w:ascii="Arial" w:eastAsia="Times New Roman" w:hAnsi="Arial" w:cs="Arial"/>
          <w:b/>
          <w:sz w:val="32"/>
          <w:szCs w:val="32"/>
        </w:rPr>
      </w:pPr>
      <w:r>
        <w:rPr>
          <w:rFonts w:ascii="Arial" w:eastAsia="Times New Roman" w:hAnsi="Arial" w:cs="Arial"/>
          <w:b/>
          <w:bCs/>
          <w:sz w:val="22"/>
          <w:szCs w:val="22"/>
        </w:rPr>
        <w:t xml:space="preserve">1.3.2 </w:t>
      </w:r>
      <w:r w:rsidRPr="254FA7AC">
        <w:rPr>
          <w:rFonts w:ascii="Arial" w:eastAsia="Times New Roman" w:hAnsi="Arial" w:cs="Arial"/>
          <w:b/>
          <w:sz w:val="32"/>
          <w:szCs w:val="32"/>
        </w:rPr>
        <w:t>Current Context</w:t>
      </w:r>
    </w:p>
    <w:p w14:paraId="162C980A" w14:textId="77777777" w:rsidR="009960B4" w:rsidRPr="0050470C" w:rsidRDefault="009960B4" w:rsidP="009960B4">
      <w:pPr>
        <w:spacing w:before="100" w:beforeAutospacing="1" w:after="100" w:afterAutospacing="1" w:line="360" w:lineRule="auto"/>
        <w:jc w:val="both"/>
        <w:rPr>
          <w:rFonts w:ascii="Arial" w:hAnsi="Arial" w:cs="Arial"/>
          <w:sz w:val="22"/>
          <w:szCs w:val="22"/>
        </w:rPr>
      </w:pPr>
      <w:r w:rsidRPr="0050470C">
        <w:rPr>
          <w:rFonts w:ascii="Arial" w:hAnsi="Arial" w:cs="Arial"/>
          <w:sz w:val="22"/>
          <w:szCs w:val="22"/>
        </w:rPr>
        <w:lastRenderedPageBreak/>
        <w:t>Today, adults aged 75 and over face persistent challenges despite reforms. Integrated Care Systems aim to improve collaboration across health and social care, yet workforce shortages, rising demand, and regional disparities continue to hinder service delivery (Khan et al., 2024; Age UK, 2023). Recent statistics indicate that approximately 25% of older adults experience delayed access to necessary services, with frail and multimorbid individuals disproportionately affected (Gilbert-Johns et al., 2022; NHS England</w:t>
      </w:r>
      <w:r>
        <w:rPr>
          <w:rFonts w:ascii="Arial" w:hAnsi="Arial" w:cs="Arial"/>
          <w:sz w:val="22"/>
          <w:szCs w:val="22"/>
          <w:lang w:val="en-US"/>
        </w:rPr>
        <w:t xml:space="preserve"> </w:t>
      </w:r>
      <w:r>
        <w:rPr>
          <w:rFonts w:ascii="Arial" w:hAnsi="Arial" w:cs="Arial"/>
          <w:sz w:val="22"/>
          <w:szCs w:val="22"/>
        </w:rPr>
        <w:t>and NHS Improvement</w:t>
      </w:r>
      <w:r w:rsidRPr="0050470C">
        <w:rPr>
          <w:rFonts w:ascii="Arial" w:hAnsi="Arial" w:cs="Arial"/>
          <w:sz w:val="22"/>
          <w:szCs w:val="22"/>
        </w:rPr>
        <w:t>, 202</w:t>
      </w:r>
      <w:r w:rsidRPr="00797F18">
        <w:rPr>
          <w:rFonts w:ascii="Arial" w:hAnsi="Arial" w:cs="Arial"/>
          <w:sz w:val="22"/>
          <w:szCs w:val="22"/>
        </w:rPr>
        <w:t>0</w:t>
      </w:r>
      <w:r w:rsidRPr="0050470C">
        <w:rPr>
          <w:rFonts w:ascii="Arial" w:hAnsi="Arial" w:cs="Arial"/>
          <w:sz w:val="22"/>
          <w:szCs w:val="22"/>
        </w:rPr>
        <w:t>). These ongoing pressures highlight the importance of critically evaluating how well current health and social care provision meets the needs of this population, providing the rationale for this research.</w:t>
      </w:r>
    </w:p>
    <w:p w14:paraId="47D17DC4" w14:textId="77777777" w:rsidR="009960B4" w:rsidRPr="00797F18" w:rsidRDefault="009960B4" w:rsidP="009960B4">
      <w:pPr>
        <w:spacing w:before="100" w:beforeAutospacing="1" w:after="100" w:afterAutospacing="1" w:line="360" w:lineRule="auto"/>
        <w:jc w:val="both"/>
        <w:rPr>
          <w:rFonts w:ascii="Arial" w:hAnsi="Arial" w:cs="Arial"/>
          <w:b/>
          <w:bCs/>
          <w:sz w:val="22"/>
          <w:szCs w:val="22"/>
        </w:rPr>
      </w:pPr>
      <w:r>
        <w:rPr>
          <w:rFonts w:ascii="Arial" w:hAnsi="Arial" w:cs="Arial"/>
          <w:b/>
          <w:bCs/>
          <w:sz w:val="22"/>
          <w:szCs w:val="22"/>
        </w:rPr>
        <w:t xml:space="preserve">1.3.3 </w:t>
      </w:r>
      <w:r w:rsidRPr="254FA7AC">
        <w:rPr>
          <w:rFonts w:ascii="Arial" w:hAnsi="Arial" w:cs="Arial"/>
          <w:b/>
          <w:sz w:val="32"/>
          <w:szCs w:val="32"/>
        </w:rPr>
        <w:t xml:space="preserve">Comparison Table </w:t>
      </w:r>
    </w:p>
    <w:tbl>
      <w:tblPr>
        <w:tblStyle w:val="TableGrid"/>
        <w:tblW w:w="0" w:type="auto"/>
        <w:tblLook w:val="04A0" w:firstRow="1" w:lastRow="0" w:firstColumn="1" w:lastColumn="0" w:noHBand="0" w:noVBand="1"/>
      </w:tblPr>
      <w:tblGrid>
        <w:gridCol w:w="3824"/>
        <w:gridCol w:w="3756"/>
      </w:tblGrid>
      <w:tr w:rsidR="009960B4" w:rsidRPr="00797F18" w14:paraId="264035A3" w14:textId="77777777" w:rsidTr="004C1229">
        <w:tc>
          <w:tcPr>
            <w:tcW w:w="3824" w:type="dxa"/>
          </w:tcPr>
          <w:p w14:paraId="4AD2A2A4" w14:textId="77777777" w:rsidR="009960B4" w:rsidRPr="00797F18" w:rsidRDefault="009960B4" w:rsidP="004C1229">
            <w:pPr>
              <w:pStyle w:val="p1"/>
              <w:spacing w:line="360" w:lineRule="auto"/>
              <w:jc w:val="both"/>
              <w:rPr>
                <w:rFonts w:ascii="Arial" w:hAnsi="Arial" w:cs="Arial"/>
                <w:sz w:val="22"/>
                <w:szCs w:val="22"/>
              </w:rPr>
            </w:pPr>
            <w:r w:rsidRPr="254FA7AC">
              <w:rPr>
                <w:rStyle w:val="s1"/>
                <w:rFonts w:ascii="Arial" w:hAnsi="Arial" w:cs="Arial"/>
                <w:b/>
                <w:sz w:val="28"/>
                <w:szCs w:val="28"/>
              </w:rPr>
              <w:t>Background (Past)</w:t>
            </w:r>
          </w:p>
        </w:tc>
        <w:tc>
          <w:tcPr>
            <w:tcW w:w="3756" w:type="dxa"/>
          </w:tcPr>
          <w:p w14:paraId="0DB650A3" w14:textId="77777777" w:rsidR="009960B4" w:rsidRPr="00797F18" w:rsidRDefault="009960B4" w:rsidP="004C1229">
            <w:pPr>
              <w:pStyle w:val="p1"/>
              <w:spacing w:line="360" w:lineRule="auto"/>
              <w:jc w:val="both"/>
              <w:rPr>
                <w:rFonts w:ascii="Arial" w:hAnsi="Arial" w:cs="Arial"/>
                <w:sz w:val="22"/>
                <w:szCs w:val="22"/>
              </w:rPr>
            </w:pPr>
            <w:r w:rsidRPr="254FA7AC">
              <w:rPr>
                <w:rStyle w:val="s1"/>
                <w:rFonts w:ascii="Arial" w:hAnsi="Arial" w:cs="Arial"/>
                <w:b/>
                <w:sz w:val="28"/>
                <w:szCs w:val="28"/>
              </w:rPr>
              <w:t>Current</w:t>
            </w:r>
            <w:r w:rsidRPr="254FA7AC">
              <w:rPr>
                <w:rStyle w:val="s1"/>
                <w:rFonts w:ascii="Arial" w:hAnsi="Arial" w:cs="Arial"/>
                <w:sz w:val="28"/>
                <w:szCs w:val="28"/>
              </w:rPr>
              <w:t xml:space="preserve"> </w:t>
            </w:r>
            <w:r w:rsidRPr="254FA7AC">
              <w:rPr>
                <w:rStyle w:val="s1"/>
                <w:rFonts w:ascii="Arial" w:hAnsi="Arial" w:cs="Arial"/>
                <w:b/>
                <w:sz w:val="28"/>
                <w:szCs w:val="28"/>
              </w:rPr>
              <w:t>Context (Present)</w:t>
            </w:r>
          </w:p>
        </w:tc>
      </w:tr>
      <w:tr w:rsidR="009960B4" w:rsidRPr="00797F18" w14:paraId="03082472" w14:textId="77777777" w:rsidTr="004C1229">
        <w:tc>
          <w:tcPr>
            <w:tcW w:w="3824" w:type="dxa"/>
          </w:tcPr>
          <w:p w14:paraId="08567F71" w14:textId="5BFA47D2"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Care reactive and fragmented</w:t>
            </w:r>
          </w:p>
        </w:tc>
        <w:tc>
          <w:tcPr>
            <w:tcW w:w="3756" w:type="dxa"/>
          </w:tcPr>
          <w:p w14:paraId="7963C1A1"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Integrated Care Systems introduced to improve coordination</w:t>
            </w:r>
          </w:p>
        </w:tc>
      </w:tr>
      <w:tr w:rsidR="009960B4" w:rsidRPr="00797F18" w14:paraId="7F830E81" w14:textId="77777777" w:rsidTr="004C1229">
        <w:tc>
          <w:tcPr>
            <w:tcW w:w="3824" w:type="dxa"/>
          </w:tcPr>
          <w:p w14:paraId="6A6ACCB4"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Social care locally managed, means-tested</w:t>
            </w:r>
          </w:p>
        </w:tc>
        <w:tc>
          <w:tcPr>
            <w:tcW w:w="3756" w:type="dxa"/>
          </w:tcPr>
          <w:p w14:paraId="1E3C0470"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Persistent inequalities in access for older adults</w:t>
            </w:r>
            <w:r w:rsidRPr="00797F18">
              <w:rPr>
                <w:rStyle w:val="apple-converted-space"/>
                <w:rFonts w:ascii="Arial" w:hAnsi="Arial" w:cs="Arial"/>
                <w:sz w:val="22"/>
                <w:szCs w:val="22"/>
              </w:rPr>
              <w:t> </w:t>
            </w:r>
          </w:p>
        </w:tc>
      </w:tr>
      <w:tr w:rsidR="009960B4" w:rsidRPr="00797F18" w14:paraId="41B87E69" w14:textId="77777777" w:rsidTr="004C1229">
        <w:tc>
          <w:tcPr>
            <w:tcW w:w="3824" w:type="dxa"/>
          </w:tcPr>
          <w:p w14:paraId="61D0788D"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Limited focus on frailty and multimorbidity</w:t>
            </w:r>
          </w:p>
        </w:tc>
        <w:tc>
          <w:tcPr>
            <w:tcW w:w="3756" w:type="dxa"/>
          </w:tcPr>
          <w:p w14:paraId="15ADA5A6"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25% of adults 75+ experience delayed access to care</w:t>
            </w:r>
          </w:p>
        </w:tc>
      </w:tr>
      <w:tr w:rsidR="009960B4" w:rsidRPr="00797F18" w14:paraId="7F057245" w14:textId="77777777" w:rsidTr="004C1229">
        <w:tc>
          <w:tcPr>
            <w:tcW w:w="3824" w:type="dxa"/>
          </w:tcPr>
          <w:p w14:paraId="5DD66952"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Care Act 2014 emphasised integration and person-centred approaches</w:t>
            </w:r>
          </w:p>
        </w:tc>
        <w:tc>
          <w:tcPr>
            <w:tcW w:w="3756" w:type="dxa"/>
          </w:tcPr>
          <w:p w14:paraId="05934D34" w14:textId="77777777" w:rsidR="009960B4" w:rsidRPr="00797F18" w:rsidRDefault="009960B4" w:rsidP="004C1229">
            <w:pPr>
              <w:pStyle w:val="p1"/>
              <w:spacing w:line="360" w:lineRule="auto"/>
              <w:jc w:val="both"/>
              <w:rPr>
                <w:rFonts w:ascii="Arial" w:hAnsi="Arial" w:cs="Arial"/>
                <w:sz w:val="22"/>
                <w:szCs w:val="22"/>
              </w:rPr>
            </w:pPr>
            <w:r w:rsidRPr="00797F18">
              <w:rPr>
                <w:rStyle w:val="s1"/>
                <w:rFonts w:ascii="Arial" w:hAnsi="Arial" w:cs="Arial"/>
                <w:sz w:val="22"/>
                <w:szCs w:val="22"/>
              </w:rPr>
              <w:t>Workforce shortages and rising demand hinder service delivery</w:t>
            </w:r>
            <w:r w:rsidRPr="00797F18">
              <w:rPr>
                <w:rStyle w:val="apple-converted-space"/>
                <w:rFonts w:ascii="Arial" w:hAnsi="Arial" w:cs="Arial"/>
                <w:sz w:val="22"/>
                <w:szCs w:val="22"/>
              </w:rPr>
              <w:t> </w:t>
            </w:r>
          </w:p>
        </w:tc>
      </w:tr>
    </w:tbl>
    <w:p w14:paraId="0EFDAB9E" w14:textId="77777777" w:rsidR="009960B4" w:rsidRPr="003047D4" w:rsidRDefault="009960B4" w:rsidP="009960B4">
      <w:pPr>
        <w:spacing w:before="100" w:beforeAutospacing="1" w:after="100" w:afterAutospacing="1" w:line="360" w:lineRule="auto"/>
        <w:jc w:val="both"/>
        <w:rPr>
          <w:rFonts w:ascii="Arial" w:hAnsi="Arial" w:cs="Arial"/>
          <w:sz w:val="22"/>
          <w:szCs w:val="22"/>
        </w:rPr>
      </w:pPr>
    </w:p>
    <w:p w14:paraId="34AD8B44" w14:textId="77777777" w:rsidR="009960B4" w:rsidRPr="007C09FF"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3047D4">
        <w:rPr>
          <w:rFonts w:ascii="Arial" w:eastAsia="Times New Roman" w:hAnsi="Arial" w:cs="Arial"/>
          <w:b/>
          <w:bCs/>
          <w:sz w:val="22"/>
          <w:szCs w:val="22"/>
        </w:rPr>
        <w:t xml:space="preserve">1.4 </w:t>
      </w:r>
      <w:r w:rsidRPr="254FA7AC">
        <w:rPr>
          <w:rFonts w:ascii="Arial" w:eastAsia="Times New Roman" w:hAnsi="Arial" w:cs="Arial"/>
          <w:b/>
          <w:sz w:val="32"/>
          <w:szCs w:val="32"/>
        </w:rPr>
        <w:t>Rationale for Research / Problem Statement</w:t>
      </w:r>
    </w:p>
    <w:p w14:paraId="00C47265" w14:textId="77777777" w:rsidR="009960B4" w:rsidRPr="007C09FF" w:rsidRDefault="009960B4" w:rsidP="009960B4">
      <w:pPr>
        <w:spacing w:before="100" w:beforeAutospacing="1" w:after="100" w:afterAutospacing="1" w:line="360" w:lineRule="auto"/>
        <w:jc w:val="both"/>
        <w:rPr>
          <w:rFonts w:ascii="Arial" w:hAnsi="Arial" w:cs="Arial"/>
          <w:sz w:val="22"/>
          <w:szCs w:val="22"/>
        </w:rPr>
      </w:pPr>
      <w:r w:rsidRPr="007C09FF">
        <w:rPr>
          <w:rFonts w:ascii="Arial" w:hAnsi="Arial" w:cs="Arial"/>
          <w:sz w:val="22"/>
          <w:szCs w:val="22"/>
        </w:rPr>
        <w:t>Despite decades of policy reform, the provision of health and social care for adults aged 75 and over in the UK remains inconsistent and fragmented. Existing literature highlights gaps in the integration of services across NHS, local authorities, and third-sector providers, particularly for frail and multimorbid older adults (Humphries, 2022; Khan et al., 2024). While Integrated Care Systems aim to improve coordination, evidence suggests that workforce shortages, regional disparities, and access barriers continue to undermine service delivery (Age UK, 2023; NHS England</w:t>
      </w:r>
      <w:r>
        <w:rPr>
          <w:rFonts w:ascii="Arial" w:hAnsi="Arial" w:cs="Arial"/>
          <w:sz w:val="22"/>
          <w:szCs w:val="22"/>
          <w:lang w:val="en-US"/>
        </w:rPr>
        <w:t xml:space="preserve"> </w:t>
      </w:r>
      <w:r>
        <w:rPr>
          <w:rFonts w:ascii="Arial" w:hAnsi="Arial" w:cs="Arial"/>
          <w:sz w:val="22"/>
          <w:szCs w:val="22"/>
        </w:rPr>
        <w:t>and NHS Improvement</w:t>
      </w:r>
      <w:r w:rsidRPr="007C09FF">
        <w:rPr>
          <w:rFonts w:ascii="Arial" w:hAnsi="Arial" w:cs="Arial"/>
          <w:sz w:val="22"/>
          <w:szCs w:val="22"/>
        </w:rPr>
        <w:t>, 202</w:t>
      </w:r>
      <w:r w:rsidRPr="003047D4">
        <w:rPr>
          <w:rFonts w:ascii="Arial" w:hAnsi="Arial" w:cs="Arial"/>
          <w:sz w:val="22"/>
          <w:szCs w:val="22"/>
        </w:rPr>
        <w:t>0</w:t>
      </w:r>
      <w:r w:rsidRPr="007C09FF">
        <w:rPr>
          <w:rFonts w:ascii="Arial" w:hAnsi="Arial" w:cs="Arial"/>
          <w:sz w:val="22"/>
          <w:szCs w:val="22"/>
        </w:rPr>
        <w:t>).</w:t>
      </w:r>
    </w:p>
    <w:p w14:paraId="0B653322" w14:textId="77777777" w:rsidR="009960B4" w:rsidRDefault="009960B4" w:rsidP="009960B4">
      <w:pPr>
        <w:spacing w:before="100" w:beforeAutospacing="1" w:after="100" w:afterAutospacing="1" w:line="360" w:lineRule="auto"/>
        <w:jc w:val="both"/>
        <w:rPr>
          <w:rFonts w:ascii="Arial" w:hAnsi="Arial" w:cs="Arial"/>
          <w:sz w:val="22"/>
          <w:szCs w:val="22"/>
        </w:rPr>
      </w:pPr>
      <w:r w:rsidRPr="007C09FF">
        <w:rPr>
          <w:rFonts w:ascii="Arial" w:hAnsi="Arial" w:cs="Arial"/>
          <w:sz w:val="22"/>
          <w:szCs w:val="22"/>
        </w:rPr>
        <w:t xml:space="preserve">Research focusing specifically on adults aged 75+ is limited, with most studies treating the “older population” broadly from 65+, leaving the unique needs of the 75+ cohort underexplored </w:t>
      </w:r>
      <w:r w:rsidRPr="007C09FF">
        <w:rPr>
          <w:rFonts w:ascii="Arial" w:hAnsi="Arial" w:cs="Arial"/>
          <w:sz w:val="22"/>
          <w:szCs w:val="22"/>
        </w:rPr>
        <w:lastRenderedPageBreak/>
        <w:t>(Gilbert-Johns et al., 2022). This study is necessary to critically examine whether current health and social care provision effectively meets this population’s needs, identify gaps, and provide recommendations to improve accessibility and integration. Using secondary data ensures broad coverage but limits the ability to capture individual lived experiences.</w:t>
      </w:r>
    </w:p>
    <w:p w14:paraId="446759CC" w14:textId="77777777" w:rsidR="009960B4" w:rsidRPr="003047D4" w:rsidRDefault="009960B4" w:rsidP="009960B4">
      <w:pPr>
        <w:spacing w:before="100" w:beforeAutospacing="1" w:after="100" w:afterAutospacing="1" w:line="360" w:lineRule="auto"/>
        <w:jc w:val="both"/>
        <w:rPr>
          <w:rFonts w:ascii="Arial" w:hAnsi="Arial" w:cs="Arial"/>
          <w:sz w:val="22"/>
          <w:szCs w:val="22"/>
        </w:rPr>
      </w:pPr>
    </w:p>
    <w:p w14:paraId="4BECC029" w14:textId="77777777" w:rsidR="009960B4" w:rsidRPr="007C09FF" w:rsidRDefault="009960B4" w:rsidP="009960B4">
      <w:pPr>
        <w:spacing w:before="100" w:beforeAutospacing="1" w:after="100" w:afterAutospacing="1" w:line="360" w:lineRule="auto"/>
        <w:jc w:val="both"/>
        <w:rPr>
          <w:rFonts w:ascii="Arial" w:hAnsi="Arial" w:cs="Arial"/>
          <w:b/>
          <w:bCs/>
          <w:sz w:val="22"/>
          <w:szCs w:val="22"/>
        </w:rPr>
      </w:pPr>
      <w:r w:rsidRPr="00D14BC4">
        <w:rPr>
          <w:rFonts w:ascii="Arial" w:hAnsi="Arial" w:cs="Arial"/>
          <w:b/>
          <w:bCs/>
          <w:sz w:val="22"/>
          <w:szCs w:val="22"/>
        </w:rPr>
        <w:t xml:space="preserve">1.5 </w:t>
      </w:r>
      <w:r w:rsidRPr="254FA7AC">
        <w:rPr>
          <w:rFonts w:ascii="Arial" w:hAnsi="Arial" w:cs="Arial"/>
          <w:b/>
          <w:sz w:val="32"/>
          <w:szCs w:val="32"/>
        </w:rPr>
        <w:t xml:space="preserve">Aim and Objectives </w:t>
      </w:r>
    </w:p>
    <w:p w14:paraId="5494CD58" w14:textId="77777777" w:rsidR="009960B4" w:rsidRPr="00D14BC4" w:rsidRDefault="009960B4" w:rsidP="009960B4">
      <w:pPr>
        <w:pStyle w:val="s6"/>
        <w:spacing w:before="75" w:beforeAutospacing="0" w:after="75" w:afterAutospacing="0" w:line="360" w:lineRule="auto"/>
        <w:jc w:val="both"/>
        <w:rPr>
          <w:rFonts w:ascii="Arial" w:hAnsi="Arial" w:cs="Arial"/>
          <w:b/>
          <w:color w:val="000000"/>
          <w:sz w:val="32"/>
          <w:szCs w:val="32"/>
        </w:rPr>
      </w:pPr>
      <w:r w:rsidRPr="00D14BC4">
        <w:rPr>
          <w:rFonts w:ascii="Arial" w:hAnsi="Arial" w:cs="Arial"/>
          <w:b/>
          <w:bCs/>
          <w:sz w:val="22"/>
          <w:szCs w:val="22"/>
        </w:rPr>
        <w:t xml:space="preserve">1.5.1 </w:t>
      </w:r>
      <w:r w:rsidRPr="254FA7AC">
        <w:rPr>
          <w:rFonts w:ascii="Arial" w:hAnsi="Arial" w:cs="Arial"/>
          <w:b/>
          <w:color w:val="000000" w:themeColor="text1"/>
          <w:sz w:val="32"/>
          <w:szCs w:val="32"/>
        </w:rPr>
        <w:t>Aim</w:t>
      </w:r>
    </w:p>
    <w:p w14:paraId="6B968ABF" w14:textId="77777777" w:rsidR="009960B4" w:rsidRDefault="009960B4" w:rsidP="009960B4">
      <w:pPr>
        <w:spacing w:before="75" w:after="75" w:line="360" w:lineRule="auto"/>
        <w:jc w:val="both"/>
        <w:rPr>
          <w:rFonts w:ascii="Arial" w:hAnsi="Arial" w:cs="Arial"/>
          <w:color w:val="000000"/>
          <w:sz w:val="22"/>
          <w:szCs w:val="22"/>
        </w:rPr>
      </w:pPr>
      <w:r w:rsidRPr="00CE1D49">
        <w:rPr>
          <w:rFonts w:ascii="Arial" w:hAnsi="Arial" w:cs="Arial"/>
          <w:color w:val="000000"/>
          <w:sz w:val="22"/>
          <w:szCs w:val="22"/>
        </w:rPr>
        <w:t>The aim of this study is to examine the effectiveness of health and social care provision for adults aged 75 years and over in the UK, focusing on service integration and accessibility, to identify gaps and inform improvements in delivery and outcomes for people (Humphries, 2015; Khan et al., 2024).</w:t>
      </w:r>
    </w:p>
    <w:p w14:paraId="0955C32B" w14:textId="77777777" w:rsidR="009960B4" w:rsidRPr="00CE1D49" w:rsidRDefault="009960B4" w:rsidP="009960B4">
      <w:pPr>
        <w:spacing w:before="75" w:after="75" w:line="360" w:lineRule="auto"/>
        <w:jc w:val="both"/>
        <w:rPr>
          <w:rFonts w:ascii="Arial" w:hAnsi="Arial" w:cs="Arial"/>
          <w:color w:val="000000"/>
          <w:sz w:val="22"/>
          <w:szCs w:val="22"/>
        </w:rPr>
      </w:pPr>
    </w:p>
    <w:p w14:paraId="3A2CECD0" w14:textId="77777777" w:rsidR="009960B4" w:rsidRPr="00CE1D49" w:rsidRDefault="009960B4" w:rsidP="009960B4">
      <w:pPr>
        <w:spacing w:before="75" w:after="75" w:line="360" w:lineRule="auto"/>
        <w:jc w:val="both"/>
        <w:rPr>
          <w:rFonts w:ascii="Arial" w:hAnsi="Arial" w:cs="Arial"/>
          <w:b/>
          <w:bCs/>
          <w:color w:val="000000"/>
          <w:sz w:val="22"/>
          <w:szCs w:val="22"/>
        </w:rPr>
      </w:pPr>
      <w:r w:rsidRPr="254FA7AC">
        <w:rPr>
          <w:rFonts w:ascii="Arial" w:hAnsi="Arial" w:cs="Arial"/>
          <w:b/>
          <w:color w:val="000000" w:themeColor="text1"/>
          <w:sz w:val="22"/>
          <w:szCs w:val="22"/>
        </w:rPr>
        <w:t xml:space="preserve">1.5.2 </w:t>
      </w:r>
      <w:r w:rsidRPr="254FA7AC">
        <w:rPr>
          <w:rFonts w:ascii="Arial" w:hAnsi="Arial" w:cs="Arial"/>
          <w:b/>
          <w:color w:val="000000" w:themeColor="text1"/>
          <w:sz w:val="32"/>
          <w:szCs w:val="32"/>
        </w:rPr>
        <w:t>Objectives </w:t>
      </w:r>
    </w:p>
    <w:p w14:paraId="6885B722" w14:textId="77777777" w:rsidR="009960B4" w:rsidRPr="003047D4" w:rsidRDefault="009960B4" w:rsidP="009960B4">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3047D4">
        <w:rPr>
          <w:rFonts w:ascii="Arial" w:eastAsia="Times New Roman" w:hAnsi="Arial" w:cs="Arial"/>
          <w:color w:val="000000"/>
          <w:kern w:val="0"/>
          <w:sz w:val="22"/>
          <w:szCs w:val="22"/>
          <w14:ligatures w14:val="none"/>
        </w:rPr>
        <w:t>To define and examine current health and social care services available to adults aged 75 years and over in the UK, focusing on community-based, residential, and integrated care models (Khan et al., 2024).</w:t>
      </w:r>
    </w:p>
    <w:p w14:paraId="6CCF8FCE" w14:textId="77777777" w:rsidR="009960B4" w:rsidRPr="003047D4" w:rsidRDefault="009960B4" w:rsidP="009960B4">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3047D4">
        <w:rPr>
          <w:rFonts w:ascii="Arial" w:eastAsia="Times New Roman" w:hAnsi="Arial" w:cs="Arial"/>
          <w:color w:val="000000"/>
          <w:kern w:val="0"/>
          <w:sz w:val="22"/>
          <w:szCs w:val="22"/>
          <w14:ligatures w14:val="none"/>
        </w:rPr>
        <w:t>To analyse how effectively services for adults aged 75+ are integrated, considering coordination between NHS organisations, local authorities, and third-sector providers (Humphries, 2015; Khan et al., 2024).</w:t>
      </w:r>
    </w:p>
    <w:p w14:paraId="71CCC6B9" w14:textId="77777777" w:rsidR="009960B4" w:rsidRPr="003047D4" w:rsidRDefault="009960B4" w:rsidP="009960B4">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3047D4">
        <w:rPr>
          <w:rFonts w:ascii="Arial" w:eastAsia="Times New Roman" w:hAnsi="Arial" w:cs="Arial"/>
          <w:color w:val="000000"/>
          <w:kern w:val="0"/>
          <w:sz w:val="22"/>
          <w:szCs w:val="22"/>
          <w14:ligatures w14:val="none"/>
        </w:rPr>
        <w:t>To evaluate evidence on accessibility, quality, and care outcomes, including the impact of workforce capacity and system pressures (Sutton et al., 2023).</w:t>
      </w:r>
    </w:p>
    <w:p w14:paraId="57F08ED5" w14:textId="77777777" w:rsidR="009960B4" w:rsidRDefault="009960B4" w:rsidP="009960B4">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3047D4">
        <w:rPr>
          <w:rFonts w:ascii="Arial" w:eastAsia="Times New Roman" w:hAnsi="Arial" w:cs="Arial"/>
          <w:color w:val="000000"/>
          <w:kern w:val="0"/>
          <w:sz w:val="22"/>
          <w:szCs w:val="22"/>
          <w14:ligatures w14:val="none"/>
        </w:rPr>
        <w:t>To provide recommendations to improve care provision for adults aged 75 and over in UK.</w:t>
      </w:r>
    </w:p>
    <w:p w14:paraId="42A4634F" w14:textId="77777777" w:rsidR="009960B4" w:rsidRPr="007219FA" w:rsidRDefault="009960B4" w:rsidP="009960B4">
      <w:pPr>
        <w:spacing w:after="0" w:line="360" w:lineRule="auto"/>
        <w:jc w:val="both"/>
        <w:rPr>
          <w:rFonts w:ascii="Arial" w:eastAsia="Times New Roman" w:hAnsi="Arial" w:cs="Arial"/>
          <w:color w:val="000000"/>
          <w:sz w:val="22"/>
          <w:szCs w:val="22"/>
        </w:rPr>
      </w:pPr>
    </w:p>
    <w:p w14:paraId="3782B70D" w14:textId="77777777" w:rsidR="009960B4" w:rsidRPr="004A133D" w:rsidRDefault="009960B4" w:rsidP="009960B4">
      <w:pPr>
        <w:pStyle w:val="Heading2"/>
        <w:spacing w:line="360" w:lineRule="auto"/>
        <w:jc w:val="both"/>
        <w:rPr>
          <w:rFonts w:ascii="Arial" w:eastAsia="Times New Roman" w:hAnsi="Arial" w:cs="Arial"/>
          <w:b/>
          <w:bCs/>
          <w:color w:val="000000" w:themeColor="text1"/>
          <w:kern w:val="0"/>
          <w:sz w:val="22"/>
          <w:szCs w:val="22"/>
          <w14:ligatures w14:val="none"/>
        </w:rPr>
      </w:pPr>
      <w:r w:rsidRPr="007219FA">
        <w:rPr>
          <w:rFonts w:ascii="Arial" w:hAnsi="Arial" w:cs="Arial"/>
          <w:b/>
          <w:bCs/>
          <w:color w:val="000000" w:themeColor="text1"/>
          <w:kern w:val="0"/>
          <w:sz w:val="22"/>
          <w:szCs w:val="22"/>
          <w14:ligatures w14:val="none"/>
        </w:rPr>
        <w:t xml:space="preserve">1.6 </w:t>
      </w:r>
      <w:r w:rsidRPr="254FA7AC">
        <w:rPr>
          <w:rFonts w:ascii="Arial" w:eastAsia="Times New Roman" w:hAnsi="Arial" w:cs="Arial"/>
          <w:b/>
          <w:color w:val="000000" w:themeColor="text1"/>
          <w:kern w:val="0"/>
          <w14:ligatures w14:val="none"/>
        </w:rPr>
        <w:t>Conclusion</w:t>
      </w:r>
    </w:p>
    <w:p w14:paraId="2CB53009" w14:textId="77777777" w:rsidR="009960B4" w:rsidRPr="004A133D" w:rsidRDefault="009960B4" w:rsidP="009960B4">
      <w:pPr>
        <w:spacing w:before="100" w:beforeAutospacing="1" w:after="100" w:afterAutospacing="1" w:line="360" w:lineRule="auto"/>
        <w:jc w:val="both"/>
        <w:rPr>
          <w:rFonts w:ascii="Arial" w:hAnsi="Arial" w:cs="Arial"/>
          <w:sz w:val="22"/>
          <w:szCs w:val="22"/>
        </w:rPr>
      </w:pPr>
      <w:r w:rsidRPr="004A133D">
        <w:rPr>
          <w:rFonts w:ascii="Arial" w:hAnsi="Arial" w:cs="Arial"/>
          <w:sz w:val="22"/>
          <w:szCs w:val="22"/>
        </w:rPr>
        <w:t xml:space="preserve">This chapter has introduced the research topic by outlining the background and current context of health and social care provision for adults aged 75 and over in the United Kingdom. It traced key policy developments, demographic shifts, and contemporary pressures shaping service delivery, highlighting ongoing challenges relating to integration, access, and workforce capacity. The chapter also presented the study’s rationale, aim, and objectives, establishing </w:t>
      </w:r>
      <w:r w:rsidRPr="004A133D">
        <w:rPr>
          <w:rFonts w:ascii="Arial" w:hAnsi="Arial" w:cs="Arial"/>
          <w:sz w:val="22"/>
          <w:szCs w:val="22"/>
        </w:rPr>
        <w:lastRenderedPageBreak/>
        <w:t>the academic and practical importance of examining whether current provision adequately meets the needs of the oldest-old population.</w:t>
      </w:r>
    </w:p>
    <w:p w14:paraId="3E009998" w14:textId="77777777" w:rsidR="009960B4" w:rsidRDefault="009960B4" w:rsidP="009960B4">
      <w:pPr>
        <w:spacing w:before="100" w:beforeAutospacing="1" w:after="100" w:afterAutospacing="1" w:line="360" w:lineRule="auto"/>
        <w:jc w:val="both"/>
        <w:rPr>
          <w:rFonts w:ascii="Arial" w:hAnsi="Arial" w:cs="Arial"/>
          <w:sz w:val="22"/>
          <w:szCs w:val="22"/>
        </w:rPr>
      </w:pPr>
      <w:r w:rsidRPr="004A133D">
        <w:rPr>
          <w:rFonts w:ascii="Arial" w:hAnsi="Arial" w:cs="Arial"/>
          <w:sz w:val="22"/>
          <w:szCs w:val="22"/>
        </w:rPr>
        <w:t>The following chapter will critically evaluate existing literature, providing a comprehensive analysis of policy, service models, and evidence relating to health and social care for adults aged 75+.</w:t>
      </w:r>
    </w:p>
    <w:p w14:paraId="38112B45" w14:textId="77777777" w:rsidR="009960B4" w:rsidRDefault="009960B4" w:rsidP="009960B4">
      <w:pPr>
        <w:spacing w:before="100" w:beforeAutospacing="1" w:after="100" w:afterAutospacing="1" w:line="360" w:lineRule="auto"/>
        <w:jc w:val="both"/>
        <w:rPr>
          <w:rFonts w:ascii="Arial" w:hAnsi="Arial" w:cs="Arial"/>
          <w:sz w:val="22"/>
          <w:szCs w:val="22"/>
        </w:rPr>
      </w:pPr>
    </w:p>
    <w:p w14:paraId="05B5C1BF"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lang w:val="en-US"/>
        </w:rPr>
      </w:pPr>
      <w:r w:rsidRPr="254FA7AC">
        <w:rPr>
          <w:rFonts w:ascii="Arial" w:eastAsia="Times New Roman" w:hAnsi="Arial" w:cs="Arial"/>
          <w:b/>
          <w:sz w:val="32"/>
          <w:szCs w:val="32"/>
          <w:lang w:val="en-US"/>
        </w:rPr>
        <w:t xml:space="preserve">CHAPTER TWO </w:t>
      </w:r>
    </w:p>
    <w:p w14:paraId="28D68166"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2E5E1E">
        <w:rPr>
          <w:rFonts w:ascii="Arial" w:eastAsia="Times New Roman" w:hAnsi="Arial" w:cs="Arial"/>
          <w:b/>
          <w:bCs/>
          <w:sz w:val="22"/>
          <w:szCs w:val="22"/>
        </w:rPr>
        <w:t xml:space="preserve">2.1 </w:t>
      </w:r>
      <w:r w:rsidRPr="254FA7AC">
        <w:rPr>
          <w:rFonts w:ascii="Arial" w:eastAsia="Times New Roman" w:hAnsi="Arial" w:cs="Arial"/>
          <w:b/>
          <w:sz w:val="32"/>
          <w:szCs w:val="32"/>
        </w:rPr>
        <w:t>Introduction</w:t>
      </w:r>
    </w:p>
    <w:p w14:paraId="482EE4B2"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This chapter provides the foundational context for examining health and social care provision for adults aged 75 years and over in the United Kingdom. It explores the key historical developments that have shaped current service structures, alongside the theoretical frameworks underpinning care for older populations, including person-centred and integrated care approaches. Understanding these perspectives is essential given the increasing complexity of needs associated with ageing, particularly frailty and multimorbidity (</w:t>
      </w:r>
      <w:r w:rsidRPr="002E5E1E">
        <w:rPr>
          <w:rFonts w:ascii="Arial" w:hAnsi="Arial" w:cs="Arial"/>
          <w:color w:val="1A1A1A" w:themeColor="background1" w:themeShade="1A"/>
          <w:sz w:val="22"/>
          <w:szCs w:val="22"/>
        </w:rPr>
        <w:t>World Health Organization,</w:t>
      </w:r>
      <w:r w:rsidRPr="002E5E1E">
        <w:rPr>
          <w:rFonts w:ascii="Arial" w:hAnsi="Arial" w:cs="Arial"/>
          <w:sz w:val="22"/>
          <w:szCs w:val="22"/>
        </w:rPr>
        <w:t xml:space="preserve"> 2025).</w:t>
      </w:r>
    </w:p>
    <w:p w14:paraId="4A0854CF"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The chapter also considers international approaches to elderly care provision, enabling comparison with UK systems and highlighting alternative models of service delivery. This is followed by an in-depth examination of the UK context, focusing on policy developments, service organisation, and ongoing challenges such as workforce pressures and access inequalities (</w:t>
      </w:r>
      <w:r w:rsidRPr="002E5E1E">
        <w:rPr>
          <w:rFonts w:ascii="Arial" w:hAnsi="Arial" w:cs="Arial"/>
          <w:color w:val="000000" w:themeColor="text1"/>
          <w:sz w:val="22"/>
          <w:szCs w:val="22"/>
        </w:rPr>
        <w:t>NHS England,</w:t>
      </w:r>
      <w:r w:rsidRPr="002E5E1E">
        <w:rPr>
          <w:rFonts w:ascii="Arial" w:hAnsi="Arial" w:cs="Arial"/>
          <w:sz w:val="22"/>
          <w:szCs w:val="22"/>
        </w:rPr>
        <w:t xml:space="preserve"> 2023). Collectively, this background establishes the context for the subsequent analysis and supports the development of the research methodology presented in the following chapter.</w:t>
      </w:r>
    </w:p>
    <w:p w14:paraId="3CAA625D"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2A447BA4" w14:textId="6F2B22D6" w:rsidR="254FA7AC" w:rsidRDefault="254FA7AC" w:rsidP="254FA7AC">
      <w:pPr>
        <w:spacing w:beforeAutospacing="1" w:afterAutospacing="1" w:line="360" w:lineRule="auto"/>
        <w:jc w:val="both"/>
        <w:outlineLvl w:val="1"/>
        <w:rPr>
          <w:rFonts w:ascii="Arial" w:eastAsia="Times New Roman" w:hAnsi="Arial" w:cs="Arial"/>
          <w:b/>
          <w:bCs/>
          <w:sz w:val="22"/>
          <w:szCs w:val="22"/>
        </w:rPr>
      </w:pPr>
    </w:p>
    <w:p w14:paraId="57E9B3E6" w14:textId="66467074" w:rsidR="254FA7AC" w:rsidRDefault="254FA7AC" w:rsidP="254FA7AC">
      <w:pPr>
        <w:spacing w:beforeAutospacing="1" w:afterAutospacing="1" w:line="360" w:lineRule="auto"/>
        <w:jc w:val="both"/>
        <w:outlineLvl w:val="1"/>
        <w:rPr>
          <w:rFonts w:ascii="Arial" w:eastAsia="Times New Roman" w:hAnsi="Arial" w:cs="Arial"/>
          <w:b/>
          <w:bCs/>
          <w:sz w:val="22"/>
          <w:szCs w:val="22"/>
        </w:rPr>
      </w:pPr>
    </w:p>
    <w:p w14:paraId="290E8453" w14:textId="77777777" w:rsidR="00495BC5" w:rsidRDefault="00495BC5" w:rsidP="009960B4">
      <w:pPr>
        <w:spacing w:before="100" w:beforeAutospacing="1" w:after="100" w:afterAutospacing="1" w:line="360" w:lineRule="auto"/>
        <w:jc w:val="both"/>
        <w:outlineLvl w:val="1"/>
        <w:rPr>
          <w:rFonts w:ascii="Arial" w:eastAsia="Times New Roman" w:hAnsi="Arial" w:cs="Arial"/>
          <w:b/>
          <w:bCs/>
          <w:sz w:val="22"/>
          <w:szCs w:val="22"/>
        </w:rPr>
      </w:pPr>
    </w:p>
    <w:p w14:paraId="22C499F3" w14:textId="77777777" w:rsidR="00495BC5" w:rsidRDefault="00495BC5" w:rsidP="009960B4">
      <w:pPr>
        <w:spacing w:before="100" w:beforeAutospacing="1" w:after="100" w:afterAutospacing="1" w:line="360" w:lineRule="auto"/>
        <w:jc w:val="both"/>
        <w:outlineLvl w:val="1"/>
        <w:rPr>
          <w:rFonts w:ascii="Arial" w:eastAsia="Times New Roman" w:hAnsi="Arial" w:cs="Arial"/>
          <w:b/>
          <w:bCs/>
          <w:sz w:val="22"/>
          <w:szCs w:val="22"/>
        </w:rPr>
      </w:pPr>
    </w:p>
    <w:p w14:paraId="6F8C6977" w14:textId="2CF7354D"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2E5E1E">
        <w:rPr>
          <w:rFonts w:ascii="Arial" w:eastAsia="Times New Roman" w:hAnsi="Arial" w:cs="Arial"/>
          <w:b/>
          <w:bCs/>
          <w:sz w:val="22"/>
          <w:szCs w:val="22"/>
        </w:rPr>
        <w:lastRenderedPageBreak/>
        <w:t xml:space="preserve">2.2 </w:t>
      </w:r>
      <w:r w:rsidRPr="254FA7AC">
        <w:rPr>
          <w:rFonts w:ascii="Arial" w:eastAsia="Times New Roman" w:hAnsi="Arial" w:cs="Arial"/>
          <w:b/>
          <w:sz w:val="32"/>
          <w:szCs w:val="32"/>
        </w:rPr>
        <w:t>Historical Background</w:t>
      </w:r>
    </w:p>
    <w:p w14:paraId="4779DB10" w14:textId="0D61F2D9" w:rsidR="009960B4" w:rsidRPr="002E5E1E" w:rsidRDefault="009960B4" w:rsidP="254FA7AC">
      <w:pPr>
        <w:spacing w:before="100" w:beforeAutospacing="1" w:after="100" w:afterAutospacing="1" w:line="360" w:lineRule="auto"/>
        <w:jc w:val="both"/>
        <w:outlineLvl w:val="1"/>
        <w:rPr>
          <w:rFonts w:ascii="Arial" w:hAnsi="Arial" w:cs="Arial"/>
          <w:sz w:val="22"/>
          <w:szCs w:val="22"/>
        </w:rPr>
      </w:pPr>
    </w:p>
    <w:p w14:paraId="78B6F8B5" w14:textId="7A815E57" w:rsidR="009960B4" w:rsidRPr="002E5E1E" w:rsidRDefault="009960B4" w:rsidP="254FA7AC">
      <w:pPr>
        <w:spacing w:before="100" w:beforeAutospacing="1" w:after="100" w:afterAutospacing="1" w:line="360" w:lineRule="auto"/>
        <w:jc w:val="both"/>
        <w:outlineLvl w:val="1"/>
        <w:rPr>
          <w:rFonts w:ascii="Arial" w:hAnsi="Arial" w:cs="Arial"/>
          <w:sz w:val="22"/>
          <w:szCs w:val="22"/>
        </w:rPr>
      </w:pPr>
      <w:r w:rsidRPr="002E5E1E">
        <w:rPr>
          <w:rFonts w:ascii="Arial" w:hAnsi="Arial" w:cs="Arial"/>
          <w:sz w:val="22"/>
          <w:szCs w:val="22"/>
        </w:rPr>
        <w:t>The development of health and social care provision for older adults in the United Kingdom has been shaped by a series of historical, political, and social transformations. Early care for older people was informal, provided by families, charities, and religious institutions, with limited state involvement. However, the establishment of the National Health Service (NHS) in 1948 marked a significant turning point, introducing universal access to healthcare and fundamentally reshaping service delivery (Cohen, 2020). Despite this, social care remained means-tested and locally administered, creating a longstanding structural divide between health and social care systems.</w:t>
      </w:r>
    </w:p>
    <w:p w14:paraId="1E7028F9"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Throughout the late twentieth century, increasing life expectancy and the growing prevalence of chronic illness led to a gradual recognition of the need for more coordinated and long-term care. Policy developments such as the NHS and Community Care Act 1990 aimed to shift care away from institutional settings towards community-based provision, promoting independence and reducing hospital reliance (Glasby, 2017). This marked the beginning of a transition from reactive, hospital-centred care to more holistic and person-centred approaches.</w:t>
      </w:r>
    </w:p>
    <w:p w14:paraId="4FE09D9D" w14:textId="77777777" w:rsidR="009960B4" w:rsidRPr="002E5E1E" w:rsidRDefault="009960B4" w:rsidP="009960B4">
      <w:pPr>
        <w:spacing w:before="100" w:beforeAutospacing="1" w:after="100" w:afterAutospacing="1" w:line="360" w:lineRule="auto"/>
        <w:jc w:val="both"/>
        <w:rPr>
          <w:rFonts w:ascii="Arial" w:hAnsi="Arial" w:cs="Arial"/>
          <w:color w:val="000000" w:themeColor="text1"/>
          <w:sz w:val="22"/>
          <w:szCs w:val="22"/>
        </w:rPr>
      </w:pPr>
      <w:r w:rsidRPr="002E5E1E">
        <w:rPr>
          <w:rFonts w:ascii="Arial" w:hAnsi="Arial" w:cs="Arial"/>
          <w:color w:val="000000" w:themeColor="text1"/>
          <w:sz w:val="22"/>
          <w:szCs w:val="22"/>
        </w:rPr>
        <w:t>Key figures have also significantly influenced the development of care practices. Florence Nightingale established foundational principles of sanitation and patient care, shaping modern healthcare standards. Similarly, Mary Seacole contributed to holistic and compassionate care practices, emphasising cultural sensitivity. More recently, Cicely Saunders revolutionised end-of-life care through the development of the hospice movement, highlighting the importance of dignity and quality of life for older individuals (Clark, 2016). These contributions underpin contemporary approaches to elderly care, particularly in relation to person-centred and compassionate care delivery.</w:t>
      </w:r>
    </w:p>
    <w:p w14:paraId="770B82F9" w14:textId="77777777" w:rsidR="009960B4" w:rsidRPr="002E5E1E" w:rsidRDefault="009960B4" w:rsidP="009960B4">
      <w:pPr>
        <w:spacing w:before="100" w:beforeAutospacing="1" w:after="100" w:afterAutospacing="1" w:line="360" w:lineRule="auto"/>
        <w:jc w:val="both"/>
        <w:rPr>
          <w:rStyle w:val="bumpedfont15"/>
          <w:rFonts w:ascii="Arial" w:eastAsia="Times New Roman" w:hAnsi="Arial" w:cs="Arial"/>
          <w:color w:val="000000"/>
          <w:sz w:val="22"/>
          <w:szCs w:val="22"/>
        </w:rPr>
      </w:pPr>
      <w:r w:rsidRPr="002E5E1E">
        <w:rPr>
          <w:rFonts w:ascii="Arial" w:hAnsi="Arial" w:cs="Arial"/>
          <w:sz w:val="22"/>
          <w:szCs w:val="22"/>
        </w:rPr>
        <w:t>In the twenty-first century, policy attention has increasingly focused on integrating health and social care services. The introduction of the Care Act 2014 represented a major milestone, placing emphasis on wellbeing, prevention, and coordinated service delivery (Clement, 2014). More recently, the development of Integrated Care Systems has sought to address long-standing fragmentation by promoting collaboration between NHS organisations, local authorities, and third-sector providers (</w:t>
      </w:r>
      <w:r w:rsidRPr="002E5E1E">
        <w:rPr>
          <w:rStyle w:val="bumpedfont15"/>
          <w:rFonts w:ascii="Arial" w:eastAsia="Times New Roman" w:hAnsi="Arial" w:cs="Arial"/>
          <w:color w:val="000000"/>
          <w:sz w:val="22"/>
          <w:szCs w:val="22"/>
        </w:rPr>
        <w:t>NHS</w:t>
      </w:r>
      <w:r w:rsidRPr="002E5E1E">
        <w:rPr>
          <w:rStyle w:val="apple-converted-space"/>
          <w:rFonts w:ascii="Arial" w:eastAsia="Times New Roman" w:hAnsi="Arial" w:cs="Arial"/>
          <w:color w:val="000000"/>
          <w:sz w:val="22"/>
          <w:szCs w:val="22"/>
        </w:rPr>
        <w:t> </w:t>
      </w:r>
      <w:r w:rsidRPr="002E5E1E">
        <w:rPr>
          <w:rStyle w:val="bumpedfont15"/>
          <w:rFonts w:ascii="Arial" w:eastAsia="Times New Roman" w:hAnsi="Arial" w:cs="Arial"/>
          <w:color w:val="000000"/>
          <w:sz w:val="22"/>
          <w:szCs w:val="22"/>
        </w:rPr>
        <w:t>England</w:t>
      </w:r>
      <w:r w:rsidRPr="002E5E1E">
        <w:rPr>
          <w:rStyle w:val="apple-converted-space"/>
          <w:rFonts w:ascii="Arial" w:eastAsia="Times New Roman" w:hAnsi="Arial" w:cs="Arial"/>
          <w:color w:val="000000"/>
          <w:sz w:val="22"/>
          <w:szCs w:val="22"/>
        </w:rPr>
        <w:t> </w:t>
      </w:r>
      <w:r w:rsidRPr="002E5E1E">
        <w:rPr>
          <w:rStyle w:val="bumpedfont15"/>
          <w:rFonts w:ascii="Arial" w:eastAsia="Times New Roman" w:hAnsi="Arial" w:cs="Arial"/>
          <w:color w:val="000000"/>
          <w:sz w:val="22"/>
          <w:szCs w:val="22"/>
        </w:rPr>
        <w:t>and</w:t>
      </w:r>
      <w:r w:rsidRPr="002E5E1E">
        <w:rPr>
          <w:rStyle w:val="apple-converted-space"/>
          <w:rFonts w:ascii="Arial" w:eastAsia="Times New Roman" w:hAnsi="Arial" w:cs="Arial"/>
          <w:color w:val="000000"/>
          <w:sz w:val="22"/>
          <w:szCs w:val="22"/>
        </w:rPr>
        <w:t> </w:t>
      </w:r>
      <w:r w:rsidRPr="002E5E1E">
        <w:rPr>
          <w:rStyle w:val="bumpedfont15"/>
          <w:rFonts w:ascii="Arial" w:eastAsia="Times New Roman" w:hAnsi="Arial" w:cs="Arial"/>
          <w:color w:val="000000"/>
          <w:sz w:val="22"/>
          <w:szCs w:val="22"/>
        </w:rPr>
        <w:t>NHS</w:t>
      </w:r>
      <w:r w:rsidRPr="002E5E1E">
        <w:rPr>
          <w:rStyle w:val="apple-converted-space"/>
          <w:rFonts w:ascii="Arial" w:eastAsia="Times New Roman" w:hAnsi="Arial" w:cs="Arial"/>
          <w:color w:val="000000"/>
          <w:sz w:val="22"/>
          <w:szCs w:val="22"/>
        </w:rPr>
        <w:t> </w:t>
      </w:r>
      <w:r w:rsidRPr="002E5E1E">
        <w:rPr>
          <w:rStyle w:val="bumpedfont15"/>
          <w:rFonts w:ascii="Arial" w:eastAsia="Times New Roman" w:hAnsi="Arial" w:cs="Arial"/>
          <w:color w:val="000000"/>
          <w:sz w:val="22"/>
          <w:szCs w:val="22"/>
        </w:rPr>
        <w:t>Improvement,</w:t>
      </w:r>
      <w:r w:rsidRPr="002E5E1E">
        <w:rPr>
          <w:rStyle w:val="apple-converted-space"/>
          <w:rFonts w:ascii="Arial" w:eastAsia="Times New Roman" w:hAnsi="Arial" w:cs="Arial"/>
          <w:color w:val="000000"/>
          <w:sz w:val="22"/>
          <w:szCs w:val="22"/>
        </w:rPr>
        <w:t> </w:t>
      </w:r>
      <w:r w:rsidRPr="002E5E1E">
        <w:rPr>
          <w:rStyle w:val="bumpedfont15"/>
          <w:rFonts w:ascii="Arial" w:eastAsia="Times New Roman" w:hAnsi="Arial" w:cs="Arial"/>
          <w:color w:val="000000"/>
          <w:sz w:val="22"/>
          <w:szCs w:val="22"/>
        </w:rPr>
        <w:t xml:space="preserve">2020). </w:t>
      </w:r>
    </w:p>
    <w:p w14:paraId="0FAC7CBA"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However, despite these historical advancements, challenges persist. The structural separation between health and social care, combined with rising demand from an ageing population, </w:t>
      </w:r>
      <w:r w:rsidRPr="002E5E1E">
        <w:rPr>
          <w:rFonts w:ascii="Arial" w:hAnsi="Arial" w:cs="Arial"/>
          <w:sz w:val="22"/>
          <w:szCs w:val="22"/>
        </w:rPr>
        <w:lastRenderedPageBreak/>
        <w:t>continues to create pressures on service delivery (Humphries, 2022). Understanding this historical evolution is essential, as it highlights how past policy decisions and care models have shaped current systems, as well as why integration remains a central issue in meeting the complex needs of adults aged 75 and over.</w:t>
      </w:r>
    </w:p>
    <w:p w14:paraId="67399F32"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75EC0BEE" w14:textId="1DD37E43" w:rsidR="254FA7AC" w:rsidRDefault="254FA7AC" w:rsidP="254FA7AC">
      <w:pPr>
        <w:spacing w:beforeAutospacing="1" w:afterAutospacing="1" w:line="360" w:lineRule="auto"/>
        <w:jc w:val="both"/>
        <w:outlineLvl w:val="0"/>
        <w:rPr>
          <w:rFonts w:ascii="Arial" w:eastAsia="Times New Roman" w:hAnsi="Arial" w:cs="Arial"/>
          <w:b/>
          <w:bCs/>
          <w:sz w:val="22"/>
          <w:szCs w:val="22"/>
        </w:rPr>
      </w:pPr>
    </w:p>
    <w:p w14:paraId="289D20C6" w14:textId="77777777" w:rsidR="009960B4" w:rsidRPr="002E5E1E" w:rsidRDefault="009960B4" w:rsidP="009960B4">
      <w:pPr>
        <w:spacing w:before="100" w:beforeAutospacing="1" w:after="100" w:afterAutospacing="1" w:line="360" w:lineRule="auto"/>
        <w:jc w:val="both"/>
        <w:outlineLvl w:val="0"/>
        <w:rPr>
          <w:rFonts w:ascii="Arial" w:eastAsia="Times New Roman" w:hAnsi="Arial" w:cs="Arial"/>
          <w:b/>
          <w:bCs/>
          <w:kern w:val="36"/>
          <w:sz w:val="22"/>
          <w:szCs w:val="22"/>
        </w:rPr>
      </w:pPr>
      <w:r w:rsidRPr="002E5E1E">
        <w:rPr>
          <w:rFonts w:ascii="Arial" w:eastAsia="Times New Roman" w:hAnsi="Arial" w:cs="Arial"/>
          <w:b/>
          <w:bCs/>
          <w:kern w:val="36"/>
          <w:sz w:val="22"/>
          <w:szCs w:val="22"/>
        </w:rPr>
        <w:t xml:space="preserve">2.3 </w:t>
      </w:r>
      <w:r w:rsidRPr="254FA7AC">
        <w:rPr>
          <w:rFonts w:ascii="Arial" w:eastAsia="Times New Roman" w:hAnsi="Arial" w:cs="Arial"/>
          <w:b/>
          <w:kern w:val="36"/>
          <w:sz w:val="32"/>
          <w:szCs w:val="32"/>
        </w:rPr>
        <w:t>Theoretical Background</w:t>
      </w:r>
      <w:r w:rsidRPr="002E5E1E">
        <w:rPr>
          <w:rFonts w:ascii="Arial" w:eastAsia="Times New Roman" w:hAnsi="Arial" w:cs="Arial"/>
          <w:b/>
          <w:bCs/>
          <w:kern w:val="36"/>
          <w:sz w:val="22"/>
          <w:szCs w:val="22"/>
        </w:rPr>
        <w:t xml:space="preserve"> </w:t>
      </w:r>
    </w:p>
    <w:p w14:paraId="32F17EAB" w14:textId="6DC074E8" w:rsidR="254FA7AC" w:rsidRDefault="254FA7AC" w:rsidP="254FA7AC">
      <w:pPr>
        <w:spacing w:beforeAutospacing="1" w:afterAutospacing="1" w:line="360" w:lineRule="auto"/>
        <w:jc w:val="both"/>
        <w:outlineLvl w:val="0"/>
        <w:rPr>
          <w:rFonts w:ascii="Arial" w:eastAsia="Times New Roman" w:hAnsi="Arial" w:cs="Arial"/>
          <w:b/>
          <w:bCs/>
          <w:sz w:val="22"/>
          <w:szCs w:val="22"/>
        </w:rPr>
      </w:pPr>
    </w:p>
    <w:p w14:paraId="2EFF1D14"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The provision of health and social care for adults aged 75 and over is informed by several key theoretical frameworks that shape understanding of ageing, care delivery, and service organisation. Among the most relevant are theories of ageing, person-centred care, and integrated care, each offering distinct but complementary perspectives.</w:t>
      </w:r>
    </w:p>
    <w:p w14:paraId="0C0B573E"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Ageing theories provide a critical framework for understanding the social and psychological experiences of older adults. The Activity Theory, developed by Havighurst, posits that continued engagement in social, physical, and productive activities contributes positively to wellbeing in later life</w:t>
      </w:r>
      <w:r w:rsidRPr="002E5E1E">
        <w:rPr>
          <w:rFonts w:ascii="Arial" w:hAnsi="Arial" w:cs="Arial"/>
          <w:sz w:val="22"/>
          <w:szCs w:val="22"/>
          <w:lang w:val="en-US"/>
        </w:rPr>
        <w:t xml:space="preserve"> (</w:t>
      </w:r>
      <w:proofErr w:type="spellStart"/>
      <w:r w:rsidRPr="002E5E1E">
        <w:rPr>
          <w:rFonts w:ascii="Arial" w:hAnsi="Arial" w:cs="Arial"/>
          <w:sz w:val="22"/>
          <w:szCs w:val="22"/>
          <w:lang w:val="en-US"/>
        </w:rPr>
        <w:t>Nosraty</w:t>
      </w:r>
      <w:proofErr w:type="spellEnd"/>
      <w:r w:rsidRPr="002E5E1E">
        <w:rPr>
          <w:rFonts w:ascii="Arial" w:hAnsi="Arial" w:cs="Arial"/>
          <w:sz w:val="22"/>
          <w:szCs w:val="22"/>
          <w:lang w:val="en-US"/>
        </w:rPr>
        <w:t>, 2018)</w:t>
      </w:r>
      <w:r w:rsidRPr="002E5E1E">
        <w:rPr>
          <w:rFonts w:ascii="Arial" w:hAnsi="Arial" w:cs="Arial"/>
          <w:sz w:val="22"/>
          <w:szCs w:val="22"/>
        </w:rPr>
        <w:t>. This perspective has informed policies promoting ageing in place and community participation, which are associated with improved health outcomes (Foster and Walker, 2021). In contrast, the Disengagement Theory proposed by Cumming and Henry (1961) suggests that withdrawal from social roles is an inevitable and functional part of ageing. However, this theory has been widely criticised for its deterministic assumptions and failure to account for individual diversity and social context (Carr and Utz, 2020). Contemporary research increasingly supports active ageing frameworks, emphasising autonomy, participation, and social inclusion as key determinants of wellbeing among older populations (World Health Organization, 2021).</w:t>
      </w:r>
    </w:p>
    <w:p w14:paraId="2A1EAA3C"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Another key framework is the person-centred care approach, rooted in the work of Rogers (1951), which emphasises the importance of respecting individual preferences, dignity, and autonomy in care delivery. This approach has become central to modern health and social care practice, particularly for older adults with complex needs. Empirical studies demonstrate that person-centred care improves patient satisfaction, quality of life, and health outcomes (Ekman et al., 2021). However, its implementation remains inconsistent in practice, often constrained by time pressures, staffing shortages, and organisational limitations within health </w:t>
      </w:r>
      <w:r w:rsidRPr="002E5E1E">
        <w:rPr>
          <w:rFonts w:ascii="Arial" w:hAnsi="Arial" w:cs="Arial"/>
          <w:sz w:val="22"/>
          <w:szCs w:val="22"/>
        </w:rPr>
        <w:lastRenderedPageBreak/>
        <w:t>and social care systems (Kogan et al., 2016). This highlights a gap between theoretical ideals and real-world application.</w:t>
      </w:r>
    </w:p>
    <w:p w14:paraId="757588ED"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Integrated care theory further underpins current service delivery models, particularly in response to the growing prevalence of multimorbidity among older adults. Integrated care promotes coordination across healthcare and social services to improve continuity and efficiency of care (Go</w:t>
      </w:r>
      <w:r>
        <w:rPr>
          <w:rFonts w:ascii="Arial" w:hAnsi="Arial" w:cs="Arial"/>
          <w:sz w:val="22"/>
          <w:szCs w:val="22"/>
          <w:lang w:val="en-US"/>
        </w:rPr>
        <w:t>o</w:t>
      </w:r>
      <w:r w:rsidRPr="002E5E1E">
        <w:rPr>
          <w:rFonts w:ascii="Arial" w:hAnsi="Arial" w:cs="Arial"/>
          <w:sz w:val="22"/>
          <w:szCs w:val="22"/>
        </w:rPr>
        <w:t>d</w:t>
      </w:r>
      <w:r>
        <w:rPr>
          <w:rFonts w:ascii="Arial" w:hAnsi="Arial" w:cs="Arial"/>
          <w:sz w:val="22"/>
          <w:szCs w:val="22"/>
          <w:lang w:val="en-US"/>
        </w:rPr>
        <w:t>win</w:t>
      </w:r>
      <w:r w:rsidRPr="002E5E1E">
        <w:rPr>
          <w:rFonts w:ascii="Arial" w:hAnsi="Arial" w:cs="Arial"/>
          <w:sz w:val="22"/>
          <w:szCs w:val="22"/>
        </w:rPr>
        <w:t xml:space="preserve"> et al., 2025). It has been widely applied in research and policy, with studies showing that integrated care models can reduce hospital admissions and improve patient outcomes when effectively implemented (Baxter et al., 2020). However, the complexity of integrating multiple organisations, funding streams, and professional cultures presents significant challenges. Critics argue that integration efforts often fail to address structural barriers, limiting their overall effectiveness (Wu et al., 2023).</w:t>
      </w:r>
    </w:p>
    <w:p w14:paraId="3912D0BA"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The application of these theories in practice demonstrates their relevance but also exposes their limitations. While ageing theories support the promotion of independence, they may overlook structural inequalities affecting access to care. Similarly, person-centred care emphasises individualised support but may be difficult to sustain within resource-constrained systems. Integrated care offers a solution to fragmentation but is often hindered by implementation challenges.</w:t>
      </w:r>
    </w:p>
    <w:p w14:paraId="21DE4750"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Overall, these theoretical frameworks provide valuable insights into how care for adults aged 75 and over should be structured. However, the gap between theory and practice remains significant, reinforcing the need for critical evaluation of current health and social care provision in the UK.</w:t>
      </w:r>
    </w:p>
    <w:p w14:paraId="6762966F"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4C322060"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2E5E1E">
        <w:rPr>
          <w:rFonts w:ascii="Arial" w:eastAsia="Times New Roman" w:hAnsi="Arial" w:cs="Arial"/>
          <w:b/>
          <w:bCs/>
          <w:sz w:val="22"/>
          <w:szCs w:val="22"/>
        </w:rPr>
        <w:t>2.4</w:t>
      </w:r>
      <w:r w:rsidRPr="254FA7AC">
        <w:rPr>
          <w:rFonts w:ascii="Arial" w:eastAsia="Times New Roman" w:hAnsi="Arial" w:cs="Arial"/>
          <w:b/>
          <w:sz w:val="32"/>
          <w:szCs w:val="32"/>
        </w:rPr>
        <w:t xml:space="preserve"> International Context </w:t>
      </w:r>
    </w:p>
    <w:p w14:paraId="3A10ECF9"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Health and social care provision for older adults varies significantly across countries, shaped by differences in healthcare systems, funding models, and cultural attitudes towards ageing. Globally, there is a growing recognition of the need to develop integrated, person-centred approaches to support ageing populations, particularly as life expectancy increases and the prevalence of chronic conditions rises (</w:t>
      </w:r>
      <w:r w:rsidRPr="002E5E1E">
        <w:rPr>
          <w:rFonts w:ascii="Arial" w:hAnsi="Arial" w:cs="Arial"/>
          <w:color w:val="000000" w:themeColor="text1"/>
          <w:sz w:val="22"/>
          <w:szCs w:val="22"/>
        </w:rPr>
        <w:t xml:space="preserve">World Health Organization, </w:t>
      </w:r>
      <w:r w:rsidRPr="002E5E1E">
        <w:rPr>
          <w:rFonts w:ascii="Arial" w:hAnsi="Arial" w:cs="Arial"/>
          <w:sz w:val="22"/>
          <w:szCs w:val="22"/>
        </w:rPr>
        <w:t>2021). Many high-income countries are shifting from institutional care towards community-based services that promote independence and quality of life.</w:t>
      </w:r>
    </w:p>
    <w:p w14:paraId="365FEE17" w14:textId="4FFB10E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lastRenderedPageBreak/>
        <w:t>In terms of comparative approaches, countries adopt differing models of healthcare provision. The United Kingdom operates a publicly funded system through the NHS, providing universal healthcare, although social care remains means</w:t>
      </w:r>
      <w:r w:rsidR="51D85C03" w:rsidRPr="254FA7AC">
        <w:rPr>
          <w:rFonts w:ascii="Arial" w:hAnsi="Arial" w:cs="Arial"/>
          <w:sz w:val="22"/>
          <w:szCs w:val="22"/>
        </w:rPr>
        <w:t xml:space="preserve"> </w:t>
      </w:r>
      <w:r w:rsidRPr="002E5E1E">
        <w:rPr>
          <w:rFonts w:ascii="Arial" w:hAnsi="Arial" w:cs="Arial"/>
          <w:sz w:val="22"/>
          <w:szCs w:val="22"/>
        </w:rPr>
        <w:t>tested. In contrast, the United States relies heavily on private insurance-based healthcare, which can limit access for older adults without adequate coverage (Tikkanen et al., 2020). Meanwhile, countries such as Sweden and Denmark have developed comprehensive welfare systems with strong emphasis on publicly funded social care, ensuring greater equity in access to services for older populations (Ingvarsson, 2023). These variations highlight how funding structures and policy priorities influence service accessibility and outcomes.</w:t>
      </w:r>
    </w:p>
    <w:p w14:paraId="193DB5D6" w14:textId="7FD58859"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Case studies further illustrate how international models address the challenges of ageing populations. For example, Japan, which has one of the world’s oldest populations, introduced a Long-Term Care Insurance (LTCI) system to provide universal access to care services for older adults. This model emphasises early intervention, community-based care, and shared </w:t>
      </w:r>
      <w:r w:rsidR="65AEBD75" w:rsidRPr="254FA7AC">
        <w:rPr>
          <w:rFonts w:ascii="Arial" w:hAnsi="Arial" w:cs="Arial"/>
          <w:sz w:val="22"/>
          <w:szCs w:val="22"/>
        </w:rPr>
        <w:t>economic</w:t>
      </w:r>
      <w:r w:rsidRPr="002E5E1E">
        <w:rPr>
          <w:rFonts w:ascii="Arial" w:hAnsi="Arial" w:cs="Arial"/>
          <w:sz w:val="22"/>
          <w:szCs w:val="22"/>
        </w:rPr>
        <w:t xml:space="preserve"> responsibility between the state and individuals (Yamada and Arai, 2020). Evidence suggests that Japan’s approach has improved access to care while reducing pressure on hospital services, although sustainability remains a concern due to rising demand.</w:t>
      </w:r>
    </w:p>
    <w:p w14:paraId="6F757F2C"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Similarly, the Netherlands has implemented integrated care models that focus on coordination between health and social care providers, particularly for individuals with complex needs. These models have demonstrated improvements in care continuity and patient satisfaction but require strong governance and collaboration to be effective (Looman et al., 2019).</w:t>
      </w:r>
    </w:p>
    <w:p w14:paraId="099CB02D" w14:textId="7D083D5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Despite differences in approach, </w:t>
      </w:r>
      <w:r w:rsidR="17E53332" w:rsidRPr="254FA7AC">
        <w:rPr>
          <w:rFonts w:ascii="Arial" w:hAnsi="Arial" w:cs="Arial"/>
          <w:sz w:val="22"/>
          <w:szCs w:val="22"/>
        </w:rPr>
        <w:t>familiar</w:t>
      </w:r>
      <w:r w:rsidRPr="002E5E1E">
        <w:rPr>
          <w:rFonts w:ascii="Arial" w:hAnsi="Arial" w:cs="Arial"/>
          <w:sz w:val="22"/>
          <w:szCs w:val="22"/>
        </w:rPr>
        <w:t xml:space="preserve"> challenges are evident across countries, including workforce shortages, rising costs, and increasing demand for services. These shared issues highlight the importance of international collaboration and knowledge exchange in developing sustainable care systems. By examining global practices, valuable insights can be gained to inform improvements in the UK, particularly in relation to integration, accessibility, and long-term care provision for adults aged 75 and over.</w:t>
      </w:r>
    </w:p>
    <w:p w14:paraId="5B1F651E"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5E7727A2"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2E5E1E">
        <w:rPr>
          <w:rFonts w:ascii="Arial" w:eastAsia="Times New Roman" w:hAnsi="Arial" w:cs="Arial"/>
          <w:b/>
          <w:bCs/>
          <w:sz w:val="22"/>
          <w:szCs w:val="22"/>
        </w:rPr>
        <w:t xml:space="preserve">2.5 </w:t>
      </w:r>
      <w:r w:rsidRPr="254FA7AC">
        <w:rPr>
          <w:rFonts w:ascii="Arial" w:eastAsia="Times New Roman" w:hAnsi="Arial" w:cs="Arial"/>
          <w:b/>
          <w:sz w:val="32"/>
          <w:szCs w:val="32"/>
        </w:rPr>
        <w:t xml:space="preserve">National/Local UK Context </w:t>
      </w:r>
    </w:p>
    <w:p w14:paraId="1C3855BC" w14:textId="6010FCD8"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Health and social care provision for older adults in the United Kingdom is shaped by a combination of national policy frameworks, funding structures, and local service delivery. The UK operates a publicly funded healthcare system through the National Health Service (NHS), which provides universal access to healthcare services. However, social care remains means-</w:t>
      </w:r>
      <w:r w:rsidRPr="002E5E1E">
        <w:rPr>
          <w:rFonts w:ascii="Arial" w:hAnsi="Arial" w:cs="Arial"/>
          <w:sz w:val="22"/>
          <w:szCs w:val="22"/>
        </w:rPr>
        <w:lastRenderedPageBreak/>
        <w:t>tested and delivered by local authorities, creating a structural divide that continues to affect service coordination and accessibility for older adults (</w:t>
      </w:r>
      <w:r w:rsidR="6558F99F" w:rsidRPr="254FA7AC">
        <w:rPr>
          <w:rFonts w:ascii="Arial" w:hAnsi="Arial" w:cs="Arial"/>
          <w:sz w:val="22"/>
          <w:szCs w:val="22"/>
        </w:rPr>
        <w:t>Buttery</w:t>
      </w:r>
      <w:r w:rsidRPr="002E5E1E">
        <w:rPr>
          <w:rFonts w:ascii="Arial" w:hAnsi="Arial" w:cs="Arial"/>
          <w:sz w:val="22"/>
          <w:szCs w:val="22"/>
        </w:rPr>
        <w:t>, 2023). This divide is particularly significant for individuals aged 75 and over, who often require both health and social care support due to complex and long-term conditions.</w:t>
      </w:r>
    </w:p>
    <w:p w14:paraId="383DC5A5"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National policy has increasingly focused on addressing these challenges through integration and person-centred approaches. The Care Act 2014 established a legal framework centred on wellbeing, prevention, and personalised care, placing duties on local authorities to support individuals’ independence (Braye and Preston-Shoot, 2017). More recently, the Health and Care Act 2022 formalised the introduction of Integrated Care Systems (ICSs), aiming to improve coordination between NHS organisations, local authorities, and third-sector providers </w:t>
      </w:r>
      <w:r w:rsidRPr="002E5E1E">
        <w:rPr>
          <w:rFonts w:ascii="Arial" w:hAnsi="Arial" w:cs="Arial"/>
          <w:color w:val="000000" w:themeColor="text1"/>
          <w:sz w:val="22"/>
          <w:szCs w:val="22"/>
        </w:rPr>
        <w:t>(Sanderson et al., 2</w:t>
      </w:r>
      <w:r w:rsidRPr="002E5E1E">
        <w:rPr>
          <w:rFonts w:ascii="Arial" w:hAnsi="Arial" w:cs="Arial"/>
          <w:sz w:val="22"/>
          <w:szCs w:val="22"/>
        </w:rPr>
        <w:t>022). These reforms reflect a shift towards collaborative and preventative models of care, particularly for older populations with complex needs.</w:t>
      </w:r>
    </w:p>
    <w:p w14:paraId="34D41532"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Despite these policy developments, significant challenges remain within the UK system. Workforce shortages, funding constraints, and increasing demand from an ageing population continue to place pressure on services (</w:t>
      </w:r>
      <w:proofErr w:type="spellStart"/>
      <w:r w:rsidRPr="002E5E1E">
        <w:rPr>
          <w:rFonts w:ascii="Arial" w:hAnsi="Arial" w:cs="Arial"/>
          <w:sz w:val="22"/>
          <w:szCs w:val="22"/>
        </w:rPr>
        <w:t>Vadean</w:t>
      </w:r>
      <w:proofErr w:type="spellEnd"/>
      <w:r w:rsidRPr="002E5E1E">
        <w:rPr>
          <w:rFonts w:ascii="Arial" w:hAnsi="Arial" w:cs="Arial"/>
          <w:sz w:val="22"/>
          <w:szCs w:val="22"/>
        </w:rPr>
        <w:t xml:space="preserve"> and Allan, 2023). Research indicates that older adults frequently experience delays in accessing care, fragmented service provision, and variability in quality across regions (Baxter et al., 2020). These issues highlight ongoing gaps between policy intentions and practical implementation.</w:t>
      </w:r>
    </w:p>
    <w:p w14:paraId="473DF93A" w14:textId="7D1330FE"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At the local level, service provision varies across the UK due to differences in funding, demographics, and regional priorities. Devolved administrations in Scotland, Wales, and Northern Ireland operate distinct health and social care systems, leading to variations in policy approaches and service delivery (Greer et al., 2015). For example, Scotland has adopted a more integrated model through the establishment of Health and Social Care Partnerships, whereas England continues to face challenges in aligning services across organisational boundaries.</w:t>
      </w:r>
    </w:p>
    <w:p w14:paraId="2F8F0CA6"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Local authorities also play a crucial role in delivering social care services, yet disparities in funding have resulted in unequal access to support across different regions. Areas with higher levels of deprivation often experience greater demand for services but have fewer resources to meet these needs, exacerbating inequalities in care provision (Goodwin, 2019).</w:t>
      </w:r>
    </w:p>
    <w:p w14:paraId="1DE50955" w14:textId="383C602E"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 xml:space="preserve">Overall, while the UK has made </w:t>
      </w:r>
      <w:r w:rsidR="718A3698" w:rsidRPr="254FA7AC">
        <w:rPr>
          <w:rFonts w:ascii="Arial" w:hAnsi="Arial" w:cs="Arial"/>
          <w:sz w:val="22"/>
          <w:szCs w:val="22"/>
        </w:rPr>
        <w:t>considerable</w:t>
      </w:r>
      <w:r w:rsidRPr="002E5E1E">
        <w:rPr>
          <w:rFonts w:ascii="Arial" w:hAnsi="Arial" w:cs="Arial"/>
          <w:sz w:val="22"/>
          <w:szCs w:val="22"/>
        </w:rPr>
        <w:t xml:space="preserve"> progress in developing policies aimed at improving integration and person-centred care, structural and resource-related challenges persist. Understanding both national frameworks and local variations is essential for evaluating the effectiveness of current provision for adults aged 75 and over.</w:t>
      </w:r>
    </w:p>
    <w:p w14:paraId="76A3D13A"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7ADD00B3" w14:textId="0E84D2D6" w:rsidR="254FA7AC" w:rsidRDefault="254FA7AC" w:rsidP="254FA7AC">
      <w:pPr>
        <w:spacing w:beforeAutospacing="1" w:afterAutospacing="1" w:line="360" w:lineRule="auto"/>
        <w:jc w:val="both"/>
        <w:outlineLvl w:val="1"/>
        <w:rPr>
          <w:rFonts w:ascii="Arial" w:eastAsia="Times New Roman" w:hAnsi="Arial" w:cs="Arial"/>
          <w:b/>
          <w:bCs/>
          <w:sz w:val="22"/>
          <w:szCs w:val="22"/>
        </w:rPr>
      </w:pPr>
    </w:p>
    <w:p w14:paraId="059E85A0"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002E5E1E">
        <w:rPr>
          <w:rFonts w:ascii="Arial" w:eastAsia="Times New Roman" w:hAnsi="Arial" w:cs="Arial"/>
          <w:b/>
          <w:bCs/>
          <w:sz w:val="22"/>
          <w:szCs w:val="22"/>
        </w:rPr>
        <w:t xml:space="preserve">2.6 </w:t>
      </w:r>
      <w:r w:rsidRPr="254FA7AC">
        <w:rPr>
          <w:rFonts w:ascii="Arial" w:eastAsia="Times New Roman" w:hAnsi="Arial" w:cs="Arial"/>
          <w:b/>
          <w:sz w:val="32"/>
          <w:szCs w:val="32"/>
        </w:rPr>
        <w:t xml:space="preserve">Conclusion </w:t>
      </w:r>
    </w:p>
    <w:p w14:paraId="1694A7AE" w14:textId="77777777" w:rsidR="00330DC4" w:rsidRDefault="00330DC4" w:rsidP="009960B4">
      <w:pPr>
        <w:spacing w:before="100" w:beforeAutospacing="1" w:after="100" w:afterAutospacing="1" w:line="360" w:lineRule="auto"/>
        <w:jc w:val="both"/>
        <w:rPr>
          <w:rFonts w:ascii="Arial" w:hAnsi="Arial" w:cs="Arial"/>
          <w:sz w:val="22"/>
          <w:szCs w:val="22"/>
        </w:rPr>
      </w:pPr>
    </w:p>
    <w:p w14:paraId="2D78FFCD" w14:textId="39554068"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This chapter has provided a comprehensive foundation for understanding health and social care provision for adults aged 75 and over. It examined the historical development of care systems, key theoretical frameworks such as ageing, person-centred, and integrated care, and explored both international and UK-specific contexts. The discussion highlighted persistent challenges, including service fragmentation, workforce pressures, and inequalities in access, despite ongoing policy reforms.</w:t>
      </w:r>
    </w:p>
    <w:p w14:paraId="15FA298D"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sz w:val="22"/>
          <w:szCs w:val="22"/>
        </w:rPr>
        <w:t>Overall, this chapter has demonstrated the complexity of delivering effective care for older populations and the gap between theory, policy, and practice. The following chapter will outline the research methodology, explaining how secondary data will be systematically analysed to further investigate these issues.</w:t>
      </w:r>
    </w:p>
    <w:p w14:paraId="3918C40A" w14:textId="77777777" w:rsidR="009960B4" w:rsidRPr="002E5E1E" w:rsidRDefault="009960B4" w:rsidP="009960B4">
      <w:pPr>
        <w:spacing w:before="100" w:beforeAutospacing="1" w:after="100" w:afterAutospacing="1" w:line="360" w:lineRule="auto"/>
        <w:jc w:val="both"/>
        <w:rPr>
          <w:rFonts w:ascii="Arial" w:hAnsi="Arial" w:cs="Arial"/>
          <w:sz w:val="22"/>
          <w:szCs w:val="22"/>
        </w:rPr>
      </w:pPr>
    </w:p>
    <w:p w14:paraId="062587DB" w14:textId="77777777" w:rsidR="009960B4" w:rsidRDefault="009960B4" w:rsidP="009960B4">
      <w:pPr>
        <w:spacing w:before="100" w:beforeAutospacing="1" w:after="100" w:afterAutospacing="1" w:line="360" w:lineRule="auto"/>
        <w:jc w:val="both"/>
        <w:outlineLvl w:val="1"/>
        <w:rPr>
          <w:rFonts w:ascii="Arial" w:eastAsia="Times New Roman" w:hAnsi="Arial" w:cs="Arial"/>
          <w:b/>
          <w:sz w:val="32"/>
          <w:szCs w:val="32"/>
        </w:rPr>
      </w:pPr>
      <w:r w:rsidRPr="254FA7AC">
        <w:rPr>
          <w:rFonts w:ascii="Arial" w:eastAsia="Times New Roman" w:hAnsi="Arial" w:cs="Arial"/>
          <w:b/>
          <w:sz w:val="32"/>
          <w:szCs w:val="32"/>
        </w:rPr>
        <w:t>REFERENCES</w:t>
      </w:r>
    </w:p>
    <w:p w14:paraId="68D99653" w14:textId="04C3DC97" w:rsidR="009960B4" w:rsidRPr="003047D4" w:rsidRDefault="009960B4" w:rsidP="009960B4">
      <w:pPr>
        <w:pStyle w:val="p1"/>
        <w:spacing w:line="360" w:lineRule="auto"/>
        <w:jc w:val="both"/>
        <w:rPr>
          <w:rFonts w:ascii="Arial" w:hAnsi="Arial" w:cs="Arial"/>
          <w:sz w:val="22"/>
          <w:szCs w:val="22"/>
        </w:rPr>
      </w:pPr>
      <w:r w:rsidRPr="003047D4">
        <w:rPr>
          <w:rStyle w:val="s1"/>
          <w:rFonts w:ascii="Arial" w:hAnsi="Arial" w:cs="Arial"/>
          <w:sz w:val="22"/>
          <w:szCs w:val="22"/>
        </w:rPr>
        <w:t>Age UK</w:t>
      </w:r>
      <w:r w:rsidRPr="003047D4">
        <w:rPr>
          <w:rStyle w:val="s2"/>
          <w:rFonts w:ascii="Arial" w:hAnsi="Arial" w:cs="Arial"/>
          <w:sz w:val="22"/>
          <w:szCs w:val="22"/>
        </w:rPr>
        <w:t xml:space="preserve">, 2023. </w:t>
      </w:r>
      <w:r w:rsidRPr="003047D4">
        <w:rPr>
          <w:rStyle w:val="s3"/>
          <w:rFonts w:ascii="Arial" w:hAnsi="Arial" w:cs="Arial"/>
          <w:i/>
          <w:iCs/>
          <w:sz w:val="22"/>
          <w:szCs w:val="22"/>
        </w:rPr>
        <w:t xml:space="preserve">Fixing the foundations: Why </w:t>
      </w:r>
      <w:r w:rsidR="1E14AA08" w:rsidRPr="254FA7AC">
        <w:rPr>
          <w:rStyle w:val="s3"/>
          <w:rFonts w:ascii="Arial" w:hAnsi="Arial" w:cs="Arial"/>
          <w:i/>
          <w:iCs/>
          <w:sz w:val="22"/>
          <w:szCs w:val="22"/>
        </w:rPr>
        <w:t>it is</w:t>
      </w:r>
      <w:r w:rsidRPr="003047D4">
        <w:rPr>
          <w:rStyle w:val="s3"/>
          <w:rFonts w:ascii="Arial" w:hAnsi="Arial" w:cs="Arial"/>
          <w:i/>
          <w:iCs/>
          <w:sz w:val="22"/>
          <w:szCs w:val="22"/>
        </w:rPr>
        <w:t xml:space="preserve"> time to rethink how we support older people with health problems to stay well at home</w:t>
      </w:r>
      <w:r w:rsidRPr="003047D4">
        <w:rPr>
          <w:rStyle w:val="s2"/>
          <w:rFonts w:ascii="Arial" w:hAnsi="Arial" w:cs="Arial"/>
          <w:sz w:val="22"/>
          <w:szCs w:val="22"/>
        </w:rPr>
        <w:t>. London: Age UK. Available at: https://www.ageuk.org.uk/siteassets/documents/reports-and-publications/reports-and-briefings/health–wellbeing/fixing-the</w:t>
      </w:r>
      <w:r>
        <w:rPr>
          <w:rStyle w:val="s2"/>
          <w:rFonts w:ascii="Arial" w:hAnsi="Arial" w:cs="Arial"/>
          <w:sz w:val="22"/>
          <w:szCs w:val="22"/>
        </w:rPr>
        <w:t xml:space="preserve"> </w:t>
      </w:r>
      <w:r w:rsidRPr="003047D4">
        <w:rPr>
          <w:rStyle w:val="s2"/>
          <w:rFonts w:ascii="Arial" w:hAnsi="Arial" w:cs="Arial"/>
          <w:sz w:val="22"/>
          <w:szCs w:val="22"/>
        </w:rPr>
        <w:t xml:space="preserve">foundations/FTF-feb-2023.pdf (Accessed 28th </w:t>
      </w:r>
      <w:bookmarkStart w:id="2" w:name="_Int_lj5KH5DA"/>
      <w:proofErr w:type="gramStart"/>
      <w:r w:rsidRPr="003047D4">
        <w:rPr>
          <w:rStyle w:val="s2"/>
          <w:rFonts w:ascii="Arial" w:hAnsi="Arial" w:cs="Arial"/>
          <w:sz w:val="22"/>
          <w:szCs w:val="22"/>
        </w:rPr>
        <w:t>February,</w:t>
      </w:r>
      <w:bookmarkEnd w:id="2"/>
      <w:proofErr w:type="gramEnd"/>
      <w:r w:rsidRPr="003047D4">
        <w:rPr>
          <w:rStyle w:val="s2"/>
          <w:rFonts w:ascii="Arial" w:hAnsi="Arial" w:cs="Arial"/>
          <w:sz w:val="22"/>
          <w:szCs w:val="22"/>
        </w:rPr>
        <w:t xml:space="preserve"> 2025).</w:t>
      </w:r>
    </w:p>
    <w:p w14:paraId="7E68F013" w14:textId="77777777" w:rsidR="009960B4" w:rsidRPr="00D95AFC" w:rsidRDefault="009960B4" w:rsidP="009960B4">
      <w:pPr>
        <w:spacing w:before="100" w:beforeAutospacing="1" w:after="100" w:afterAutospacing="1" w:line="360" w:lineRule="auto"/>
        <w:jc w:val="both"/>
        <w:rPr>
          <w:rFonts w:ascii="Arial" w:hAnsi="Arial" w:cs="Arial"/>
          <w:sz w:val="22"/>
          <w:szCs w:val="22"/>
        </w:rPr>
      </w:pPr>
      <w:r w:rsidRPr="003047D4">
        <w:rPr>
          <w:rFonts w:ascii="Arial" w:eastAsia="Times New Roman" w:hAnsi="Arial" w:cs="Arial"/>
          <w:color w:val="222222"/>
          <w:sz w:val="22"/>
          <w:szCs w:val="22"/>
          <w:shd w:val="clear" w:color="auto" w:fill="FFFFFF"/>
        </w:rPr>
        <w:t>Barnett, K., Mercer, S.W., Norbury, M., Watt, G., Wyke, S. and Guthrie, B., 2012. Epidemiology of multimorbidity and implications for health care, research, and medical education: a cross-sectional study.</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The Lancet</w:t>
      </w:r>
      <w:r w:rsidRPr="003047D4">
        <w:rPr>
          <w:rFonts w:ascii="Arial" w:eastAsia="Times New Roman" w:hAnsi="Arial" w:cs="Arial"/>
          <w:color w:val="222222"/>
          <w:sz w:val="22"/>
          <w:szCs w:val="22"/>
          <w:shd w:val="clear" w:color="auto" w:fill="FFFFFF"/>
        </w:rPr>
        <w:t>,</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380</w:t>
      </w:r>
      <w:r w:rsidRPr="003047D4">
        <w:rPr>
          <w:rFonts w:ascii="Arial" w:eastAsia="Times New Roman" w:hAnsi="Arial" w:cs="Arial"/>
          <w:color w:val="222222"/>
          <w:sz w:val="22"/>
          <w:szCs w:val="22"/>
          <w:shd w:val="clear" w:color="auto" w:fill="FFFFFF"/>
        </w:rPr>
        <w:t>(9836), pp.37-43.</w:t>
      </w:r>
    </w:p>
    <w:p w14:paraId="1ACF07C2"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Baxter, R., Shannon, R., Murray, J., O’Hara, J.K., Sheard, L., Cracknell, A. and Lawton, R., 2020. Delivering exceptionally safe transitions of care to older people: a qualitative study of multidisciplinary staff perspectives.</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BMC Health Services Research</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20</w:t>
      </w:r>
      <w:r w:rsidRPr="002E5E1E">
        <w:rPr>
          <w:rFonts w:ascii="Arial" w:eastAsia="Times New Roman" w:hAnsi="Arial" w:cs="Arial"/>
          <w:color w:val="222222"/>
          <w:sz w:val="22"/>
          <w:szCs w:val="22"/>
          <w:shd w:val="clear" w:color="auto" w:fill="FFFFFF"/>
        </w:rPr>
        <w:t>(1), p.780.</w:t>
      </w:r>
    </w:p>
    <w:p w14:paraId="136964E3" w14:textId="77777777" w:rsidR="009960B4" w:rsidRPr="002E5E1E" w:rsidRDefault="009960B4" w:rsidP="009960B4">
      <w:pPr>
        <w:pStyle w:val="p1"/>
        <w:spacing w:line="360" w:lineRule="auto"/>
        <w:jc w:val="both"/>
        <w:rPr>
          <w:rStyle w:val="apple-converted-space"/>
          <w:rFonts w:ascii="Arial" w:hAnsi="Arial" w:cs="Arial"/>
          <w:sz w:val="22"/>
          <w:szCs w:val="22"/>
        </w:rPr>
      </w:pPr>
      <w:proofErr w:type="spellStart"/>
      <w:r w:rsidRPr="002E5E1E">
        <w:rPr>
          <w:rStyle w:val="s1"/>
          <w:rFonts w:ascii="Arial" w:hAnsi="Arial" w:cs="Arial"/>
          <w:sz w:val="22"/>
          <w:szCs w:val="22"/>
        </w:rPr>
        <w:lastRenderedPageBreak/>
        <w:t>Bottery</w:t>
      </w:r>
      <w:proofErr w:type="spellEnd"/>
      <w:r w:rsidRPr="002E5E1E">
        <w:rPr>
          <w:rStyle w:val="s1"/>
          <w:rFonts w:ascii="Arial" w:hAnsi="Arial" w:cs="Arial"/>
          <w:sz w:val="22"/>
          <w:szCs w:val="22"/>
        </w:rPr>
        <w:t xml:space="preserve">, S., 2023. </w:t>
      </w:r>
      <w:r w:rsidRPr="002E5E1E">
        <w:rPr>
          <w:rStyle w:val="s3"/>
          <w:rFonts w:ascii="Arial" w:hAnsi="Arial" w:cs="Arial"/>
          <w:sz w:val="22"/>
          <w:szCs w:val="22"/>
        </w:rPr>
        <w:t>Social care 360</w:t>
      </w:r>
      <w:r w:rsidRPr="002E5E1E">
        <w:rPr>
          <w:rStyle w:val="s2"/>
          <w:rFonts w:ascii="Arial" w:hAnsi="Arial" w:cs="Arial"/>
          <w:sz w:val="22"/>
          <w:szCs w:val="22"/>
        </w:rPr>
        <w:t xml:space="preserve">. London: The King’s Fund. Available at: </w:t>
      </w:r>
      <w:hyperlink r:id="rId6" w:history="1">
        <w:r w:rsidRPr="002E5E1E">
          <w:rPr>
            <w:rStyle w:val="Hyperlink"/>
            <w:rFonts w:ascii="Arial" w:hAnsi="Arial" w:cs="Arial"/>
            <w:color w:val="000000" w:themeColor="text1"/>
            <w:sz w:val="22"/>
            <w:szCs w:val="22"/>
          </w:rPr>
          <w:t>https://www.kingsfund.org.uk/insight-and-analysis/long-reads/social-care-360</w:t>
        </w:r>
      </w:hyperlink>
      <w:r w:rsidRPr="002E5E1E">
        <w:rPr>
          <w:rStyle w:val="s2"/>
          <w:rFonts w:ascii="Arial" w:hAnsi="Arial" w:cs="Arial"/>
          <w:color w:val="000000" w:themeColor="text1"/>
          <w:sz w:val="22"/>
          <w:szCs w:val="22"/>
        </w:rPr>
        <w:t>.</w:t>
      </w:r>
    </w:p>
    <w:p w14:paraId="4D500FE9" w14:textId="77777777" w:rsidR="009960B4" w:rsidRPr="002E5E1E" w:rsidRDefault="009960B4" w:rsidP="009960B4">
      <w:pPr>
        <w:pStyle w:val="p1"/>
        <w:spacing w:line="360" w:lineRule="auto"/>
        <w:jc w:val="both"/>
        <w:rPr>
          <w:rFonts w:ascii="Arial" w:hAnsi="Arial" w:cs="Arial"/>
          <w:sz w:val="22"/>
          <w:szCs w:val="22"/>
        </w:rPr>
      </w:pPr>
      <w:r w:rsidRPr="002E5E1E">
        <w:rPr>
          <w:rFonts w:ascii="Arial" w:eastAsia="Times New Roman" w:hAnsi="Arial" w:cs="Arial"/>
          <w:color w:val="222222"/>
          <w:sz w:val="22"/>
          <w:szCs w:val="22"/>
          <w:shd w:val="clear" w:color="auto" w:fill="FFFFFF"/>
        </w:rPr>
        <w:t>Braye, S. and Preston-Shoot, M., 2017.</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Practising social work law</w:t>
      </w:r>
      <w:r w:rsidRPr="002E5E1E">
        <w:rPr>
          <w:rFonts w:ascii="Arial" w:eastAsia="Times New Roman" w:hAnsi="Arial" w:cs="Arial"/>
          <w:color w:val="222222"/>
          <w:sz w:val="22"/>
          <w:szCs w:val="22"/>
          <w:shd w:val="clear" w:color="auto" w:fill="FFFFFF"/>
        </w:rPr>
        <w:t>. Bloomsbury Publishing.</w:t>
      </w:r>
    </w:p>
    <w:p w14:paraId="137F475F"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sz w:val="22"/>
          <w:szCs w:val="22"/>
        </w:rPr>
      </w:pPr>
      <w:r w:rsidRPr="002E5E1E">
        <w:rPr>
          <w:rFonts w:ascii="Arial" w:eastAsia="Times New Roman" w:hAnsi="Arial" w:cs="Arial"/>
          <w:color w:val="222222"/>
          <w:sz w:val="22"/>
          <w:szCs w:val="22"/>
          <w:shd w:val="clear" w:color="auto" w:fill="FFFFFF"/>
        </w:rPr>
        <w:t>Carr, D. and Utz, R.L., 2020. Families in later life: A decade in review.</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Journal of Marriage and Family</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82</w:t>
      </w:r>
      <w:r w:rsidRPr="002E5E1E">
        <w:rPr>
          <w:rFonts w:ascii="Arial" w:eastAsia="Times New Roman" w:hAnsi="Arial" w:cs="Arial"/>
          <w:color w:val="222222"/>
          <w:sz w:val="22"/>
          <w:szCs w:val="22"/>
          <w:shd w:val="clear" w:color="auto" w:fill="FFFFFF"/>
        </w:rPr>
        <w:t>(1), pp.346-363.</w:t>
      </w:r>
    </w:p>
    <w:p w14:paraId="14E1C64E"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Clark, D., 2016.</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To comfort always: A history of palliative medicine since the nineteenth century</w:t>
      </w:r>
      <w:r w:rsidRPr="002E5E1E">
        <w:rPr>
          <w:rFonts w:ascii="Arial" w:eastAsia="Times New Roman" w:hAnsi="Arial" w:cs="Arial"/>
          <w:color w:val="222222"/>
          <w:sz w:val="22"/>
          <w:szCs w:val="22"/>
          <w:shd w:val="clear" w:color="auto" w:fill="FFFFFF"/>
        </w:rPr>
        <w:t>. Oxford University Press.</w:t>
      </w:r>
    </w:p>
    <w:p w14:paraId="34815A0E"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sz w:val="22"/>
          <w:szCs w:val="22"/>
        </w:rPr>
      </w:pPr>
      <w:r w:rsidRPr="002E5E1E">
        <w:rPr>
          <w:rFonts w:ascii="Arial" w:eastAsia="Times New Roman" w:hAnsi="Arial" w:cs="Arial"/>
          <w:color w:val="222222"/>
          <w:sz w:val="22"/>
          <w:szCs w:val="22"/>
          <w:shd w:val="clear" w:color="auto" w:fill="FFFFFF"/>
        </w:rPr>
        <w:t>Clements, L., 2014.</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The care Act 2014 overview</w:t>
      </w:r>
      <w:r>
        <w:rPr>
          <w:rFonts w:ascii="Arial" w:eastAsia="Times New Roman" w:hAnsi="Arial" w:cs="Arial"/>
          <w:i/>
          <w:iCs/>
          <w:color w:val="222222"/>
          <w:sz w:val="22"/>
          <w:szCs w:val="22"/>
          <w:lang w:val="en-US"/>
        </w:rPr>
        <w:t xml:space="preserve"> </w:t>
      </w:r>
      <w:r w:rsidRPr="002E5E1E">
        <w:rPr>
          <w:rFonts w:ascii="Arial" w:eastAsia="Times New Roman" w:hAnsi="Arial" w:cs="Arial"/>
          <w:color w:val="222222"/>
          <w:sz w:val="22"/>
          <w:szCs w:val="22"/>
          <w:shd w:val="clear" w:color="auto" w:fill="FFFFFF"/>
        </w:rPr>
        <w:t>[</w:t>
      </w:r>
      <w:r w:rsidRPr="002E5E1E">
        <w:rPr>
          <w:rFonts w:ascii="Arial" w:eastAsia="Times New Roman" w:hAnsi="Arial" w:cs="Arial"/>
          <w:i/>
          <w:iCs/>
          <w:color w:val="222222"/>
          <w:sz w:val="22"/>
          <w:szCs w:val="22"/>
        </w:rPr>
        <w:t xml:space="preserve">Retrieved 23rd </w:t>
      </w:r>
      <w:bookmarkStart w:id="3" w:name="_Int_NEObzmxs"/>
      <w:proofErr w:type="gramStart"/>
      <w:r w:rsidRPr="002E5E1E">
        <w:rPr>
          <w:rFonts w:ascii="Arial" w:eastAsia="Times New Roman" w:hAnsi="Arial" w:cs="Arial"/>
          <w:i/>
          <w:iCs/>
          <w:color w:val="222222"/>
          <w:sz w:val="22"/>
          <w:szCs w:val="22"/>
        </w:rPr>
        <w:t>March,</w:t>
      </w:r>
      <w:bookmarkEnd w:id="3"/>
      <w:proofErr w:type="gramEnd"/>
      <w:r w:rsidRPr="002E5E1E">
        <w:rPr>
          <w:rFonts w:ascii="Arial" w:eastAsia="Times New Roman" w:hAnsi="Arial" w:cs="Arial"/>
          <w:i/>
          <w:iCs/>
          <w:color w:val="222222"/>
          <w:sz w:val="22"/>
          <w:szCs w:val="22"/>
        </w:rPr>
        <w:t xml:space="preserve"> 2026</w:t>
      </w:r>
      <w:r w:rsidRPr="002E5E1E">
        <w:rPr>
          <w:rFonts w:ascii="Arial" w:eastAsia="Times New Roman" w:hAnsi="Arial" w:cs="Arial"/>
          <w:color w:val="222222"/>
          <w:sz w:val="22"/>
          <w:szCs w:val="22"/>
          <w:shd w:val="clear" w:color="auto" w:fill="FFFFFF"/>
        </w:rPr>
        <w:t>].</w:t>
      </w:r>
    </w:p>
    <w:p w14:paraId="61689C02"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Cohen, S., 2020.</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The NHS: Britain's National Health Service, 1948–2020</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color w:val="222222"/>
          <w:sz w:val="22"/>
          <w:szCs w:val="22"/>
          <w:shd w:val="clear" w:color="auto" w:fill="FFFFFF"/>
        </w:rPr>
        <w:t>(Vol. 888). Bloomsbury Publishing.</w:t>
      </w:r>
    </w:p>
    <w:p w14:paraId="0535D92A" w14:textId="77777777" w:rsidR="009960B4" w:rsidRDefault="009960B4" w:rsidP="009960B4">
      <w:pPr>
        <w:spacing w:before="100" w:beforeAutospacing="1" w:after="100" w:afterAutospacing="1" w:line="360" w:lineRule="auto"/>
        <w:jc w:val="both"/>
        <w:outlineLvl w:val="1"/>
        <w:rPr>
          <w:rFonts w:ascii="Arial" w:hAnsi="Arial" w:cs="Arial"/>
          <w:color w:val="222222"/>
          <w:sz w:val="22"/>
          <w:szCs w:val="22"/>
          <w:shd w:val="clear" w:color="auto" w:fill="FFFFFF"/>
          <w:lang w:val="en-US"/>
        </w:rPr>
      </w:pPr>
      <w:r w:rsidRPr="002E5E1E">
        <w:rPr>
          <w:rFonts w:ascii="Arial" w:hAnsi="Arial" w:cs="Arial"/>
          <w:color w:val="222222"/>
          <w:sz w:val="22"/>
          <w:szCs w:val="22"/>
          <w:shd w:val="clear" w:color="auto" w:fill="FFFFFF"/>
        </w:rPr>
        <w:t>Cuming, E. and Henry, W., 1961. Growing old.</w:t>
      </w:r>
      <w:r w:rsidRPr="002E5E1E">
        <w:rPr>
          <w:rFonts w:ascii="Arial" w:hAnsi="Arial" w:cs="Arial"/>
          <w:color w:val="222222"/>
          <w:sz w:val="22"/>
          <w:szCs w:val="22"/>
          <w:shd w:val="clear" w:color="auto" w:fill="FFFFFF"/>
          <w:lang w:val="en-US"/>
        </w:rPr>
        <w:t xml:space="preserve"> The process of disengagement. New York: Basic Books.</w:t>
      </w:r>
    </w:p>
    <w:p w14:paraId="7DD8CAF7" w14:textId="77777777" w:rsidR="009960B4" w:rsidRPr="00D95AFC" w:rsidRDefault="009960B4" w:rsidP="009960B4">
      <w:pPr>
        <w:spacing w:before="100" w:beforeAutospacing="1" w:after="100" w:afterAutospacing="1" w:line="360" w:lineRule="auto"/>
        <w:jc w:val="both"/>
        <w:rPr>
          <w:rFonts w:ascii="Arial" w:eastAsia="Times New Roman" w:hAnsi="Arial" w:cs="Arial"/>
          <w:color w:val="222222"/>
          <w:sz w:val="22"/>
          <w:szCs w:val="22"/>
          <w:shd w:val="clear" w:color="auto" w:fill="FFFFFF"/>
        </w:rPr>
      </w:pPr>
      <w:r w:rsidRPr="003047D4">
        <w:rPr>
          <w:rFonts w:ascii="Arial" w:eastAsia="Times New Roman" w:hAnsi="Arial" w:cs="Arial"/>
          <w:color w:val="222222"/>
          <w:sz w:val="22"/>
          <w:szCs w:val="22"/>
          <w:shd w:val="clear" w:color="auto" w:fill="FFFFFF"/>
        </w:rPr>
        <w:t>Department of Health &amp; Social Care, 2021.</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Integration and Innovation: working together to improve health and social care for all. The Department of Health and Social Care's legislative proposals for a Health and Care Bill</w:t>
      </w:r>
      <w:r w:rsidRPr="003047D4">
        <w:rPr>
          <w:rFonts w:ascii="Arial" w:eastAsia="Times New Roman" w:hAnsi="Arial" w:cs="Arial"/>
          <w:color w:val="222222"/>
          <w:sz w:val="22"/>
          <w:szCs w:val="22"/>
          <w:shd w:val="clear" w:color="auto" w:fill="FFFFFF"/>
        </w:rPr>
        <w:t>. Department of Health and Social Care.</w:t>
      </w:r>
    </w:p>
    <w:p w14:paraId="00EF541B"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Ekman, I., Ebrahimi, Z. and Olaya Contreras, P., 2021. Person-centred care: looking back, looking forward.</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European journal of cardiovascular nursing</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20</w:t>
      </w:r>
      <w:r w:rsidRPr="002E5E1E">
        <w:rPr>
          <w:rFonts w:ascii="Arial" w:eastAsia="Times New Roman" w:hAnsi="Arial" w:cs="Arial"/>
          <w:color w:val="222222"/>
          <w:sz w:val="22"/>
          <w:szCs w:val="22"/>
          <w:shd w:val="clear" w:color="auto" w:fill="FFFFFF"/>
        </w:rPr>
        <w:t>(2), pp.93-95.</w:t>
      </w:r>
    </w:p>
    <w:p w14:paraId="787A3259" w14:textId="77777777" w:rsidR="009960B4" w:rsidRPr="002E5E1E" w:rsidRDefault="009960B4" w:rsidP="009960B4">
      <w:pPr>
        <w:spacing w:before="100" w:beforeAutospacing="1" w:after="100" w:afterAutospacing="1" w:line="360" w:lineRule="auto"/>
        <w:jc w:val="both"/>
        <w:outlineLvl w:val="1"/>
        <w:rPr>
          <w:rStyle w:val="bumpedfont15"/>
          <w:rFonts w:ascii="Arial" w:eastAsia="Times New Roman" w:hAnsi="Arial" w:cs="Arial"/>
          <w:color w:val="222222"/>
          <w:sz w:val="22"/>
          <w:szCs w:val="22"/>
          <w:shd w:val="clear" w:color="auto" w:fill="FFFFFF"/>
        </w:rPr>
      </w:pPr>
      <w:r w:rsidRPr="002E5E1E">
        <w:rPr>
          <w:rStyle w:val="bumpedfont15"/>
          <w:rFonts w:ascii="Arial" w:eastAsia="Times New Roman" w:hAnsi="Arial" w:cs="Arial"/>
          <w:color w:val="222222"/>
          <w:sz w:val="22"/>
          <w:szCs w:val="22"/>
          <w:shd w:val="clear" w:color="auto" w:fill="FFFFFF"/>
        </w:rPr>
        <w:t>England, N.H.S. and Improvement, N.H.S., 2020. Integrating care: next steps to building strong and effective integrated care systems across England. </w:t>
      </w:r>
      <w:r w:rsidRPr="002E5E1E">
        <w:rPr>
          <w:rStyle w:val="bumpedfont15"/>
          <w:rFonts w:ascii="Arial" w:eastAsia="Times New Roman" w:hAnsi="Arial" w:cs="Arial"/>
          <w:i/>
          <w:iCs/>
          <w:color w:val="222222"/>
          <w:sz w:val="22"/>
          <w:szCs w:val="22"/>
          <w:shd w:val="clear" w:color="auto" w:fill="FFFFFF"/>
        </w:rPr>
        <w:t>London: NHS England &amp; NHS Improvement</w:t>
      </w:r>
      <w:r w:rsidRPr="002E5E1E">
        <w:rPr>
          <w:rStyle w:val="bumpedfont15"/>
          <w:rFonts w:ascii="Arial" w:eastAsia="Times New Roman" w:hAnsi="Arial" w:cs="Arial"/>
          <w:color w:val="222222"/>
          <w:sz w:val="22"/>
          <w:szCs w:val="22"/>
          <w:shd w:val="clear" w:color="auto" w:fill="FFFFFF"/>
        </w:rPr>
        <w:t>.</w:t>
      </w:r>
    </w:p>
    <w:p w14:paraId="02EA766D" w14:textId="77777777" w:rsidR="009960B4" w:rsidRPr="002E5E1E" w:rsidRDefault="009960B4" w:rsidP="009960B4">
      <w:pPr>
        <w:spacing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England, N.H.S., 2023. Delivery plan for recovering access to primary care.</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NHS Engl</w:t>
      </w:r>
      <w:r w:rsidRPr="002E5E1E">
        <w:rPr>
          <w:rFonts w:ascii="Arial" w:eastAsia="Times New Roman" w:hAnsi="Arial" w:cs="Arial"/>
          <w:color w:val="222222"/>
          <w:sz w:val="22"/>
          <w:szCs w:val="22"/>
          <w:shd w:val="clear" w:color="auto" w:fill="FFFFFF"/>
        </w:rPr>
        <w:t>.</w:t>
      </w:r>
    </w:p>
    <w:p w14:paraId="77CDD670" w14:textId="77777777" w:rsidR="009960B4" w:rsidRPr="002E5E1E" w:rsidRDefault="009960B4" w:rsidP="009960B4">
      <w:pPr>
        <w:spacing w:line="360" w:lineRule="auto"/>
        <w:jc w:val="both"/>
        <w:rPr>
          <w:rFonts w:ascii="Arial" w:hAnsi="Arial" w:cs="Arial"/>
          <w:sz w:val="22"/>
          <w:szCs w:val="22"/>
        </w:rPr>
      </w:pPr>
      <w:r w:rsidRPr="002E5E1E">
        <w:rPr>
          <w:rFonts w:ascii="Arial" w:hAnsi="Arial" w:cs="Arial"/>
          <w:color w:val="222222"/>
          <w:sz w:val="22"/>
          <w:szCs w:val="22"/>
          <w:shd w:val="clear" w:color="auto" w:fill="FFFFFF"/>
        </w:rPr>
        <w:t>Foster, L. and Walker, A., 2021. Active ageing across the life course: towards a comprehensive approach to prevention. </w:t>
      </w:r>
      <w:r w:rsidRPr="002E5E1E">
        <w:rPr>
          <w:rFonts w:ascii="Arial" w:hAnsi="Arial" w:cs="Arial"/>
          <w:i/>
          <w:iCs/>
          <w:color w:val="222222"/>
          <w:sz w:val="22"/>
          <w:szCs w:val="22"/>
          <w:shd w:val="clear" w:color="auto" w:fill="FFFFFF"/>
        </w:rPr>
        <w:t>BioMed Research International</w:t>
      </w:r>
      <w:r w:rsidRPr="002E5E1E">
        <w:rPr>
          <w:rFonts w:ascii="Arial" w:hAnsi="Arial" w:cs="Arial"/>
          <w:color w:val="222222"/>
          <w:sz w:val="22"/>
          <w:szCs w:val="22"/>
          <w:shd w:val="clear" w:color="auto" w:fill="FFFFFF"/>
        </w:rPr>
        <w:t>, </w:t>
      </w:r>
      <w:r w:rsidRPr="002E5E1E">
        <w:rPr>
          <w:rFonts w:ascii="Arial" w:hAnsi="Arial" w:cs="Arial"/>
          <w:i/>
          <w:iCs/>
          <w:color w:val="222222"/>
          <w:sz w:val="22"/>
          <w:szCs w:val="22"/>
          <w:shd w:val="clear" w:color="auto" w:fill="FFFFFF"/>
        </w:rPr>
        <w:t>2021</w:t>
      </w:r>
      <w:r w:rsidRPr="002E5E1E">
        <w:rPr>
          <w:rFonts w:ascii="Arial" w:hAnsi="Arial" w:cs="Arial"/>
          <w:color w:val="222222"/>
          <w:sz w:val="22"/>
          <w:szCs w:val="22"/>
          <w:shd w:val="clear" w:color="auto" w:fill="FFFFFF"/>
        </w:rPr>
        <w:t>(1), p.6650414.</w:t>
      </w:r>
    </w:p>
    <w:p w14:paraId="2EA8724A" w14:textId="77777777" w:rsidR="009960B4"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Glasby, J., 2017.</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Understanding health and social care</w:t>
      </w:r>
      <w:r w:rsidRPr="002E5E1E">
        <w:rPr>
          <w:rFonts w:ascii="Arial" w:eastAsia="Times New Roman" w:hAnsi="Arial" w:cs="Arial"/>
          <w:color w:val="222222"/>
          <w:sz w:val="22"/>
          <w:szCs w:val="22"/>
          <w:shd w:val="clear" w:color="auto" w:fill="FFFFFF"/>
        </w:rPr>
        <w:t>. Policy Press.</w:t>
      </w:r>
    </w:p>
    <w:p w14:paraId="0F354525" w14:textId="77777777" w:rsidR="009960B4" w:rsidRPr="004C6BBC" w:rsidRDefault="009960B4" w:rsidP="009960B4">
      <w:pPr>
        <w:spacing w:before="100" w:beforeAutospacing="1" w:after="100" w:afterAutospacing="1" w:line="360" w:lineRule="auto"/>
        <w:jc w:val="both"/>
        <w:rPr>
          <w:rFonts w:ascii="Arial" w:eastAsia="Times New Roman" w:hAnsi="Arial" w:cs="Arial"/>
          <w:color w:val="222222"/>
          <w:sz w:val="22"/>
          <w:szCs w:val="22"/>
        </w:rPr>
      </w:pPr>
      <w:r w:rsidRPr="000E71FF">
        <w:rPr>
          <w:rFonts w:ascii="Arial" w:eastAsia="Times New Roman" w:hAnsi="Arial" w:cs="Arial"/>
          <w:color w:val="222222"/>
          <w:sz w:val="22"/>
          <w:szCs w:val="22"/>
        </w:rPr>
        <w:t xml:space="preserve">Glasby, J.O.N., Zhang, Y., Bennett, M.R. and Hall, P., 2021. A lost decade? </w:t>
      </w:r>
      <w:r w:rsidRPr="003047D4">
        <w:rPr>
          <w:rFonts w:ascii="Arial" w:eastAsia="Times New Roman" w:hAnsi="Arial" w:cs="Arial"/>
          <w:color w:val="222222"/>
          <w:sz w:val="22"/>
          <w:szCs w:val="22"/>
        </w:rPr>
        <w:t xml:space="preserve">A </w:t>
      </w:r>
      <w:r w:rsidRPr="000E71FF">
        <w:rPr>
          <w:rFonts w:ascii="Arial" w:eastAsia="Times New Roman" w:hAnsi="Arial" w:cs="Arial"/>
          <w:color w:val="222222"/>
          <w:sz w:val="22"/>
          <w:szCs w:val="22"/>
        </w:rPr>
        <w:t>renewed case for adult social care reform in</w:t>
      </w:r>
      <w:r w:rsidRPr="003047D4">
        <w:rPr>
          <w:rFonts w:ascii="Arial" w:eastAsia="Times New Roman" w:hAnsi="Arial" w:cs="Arial"/>
          <w:color w:val="222222"/>
          <w:sz w:val="22"/>
          <w:szCs w:val="22"/>
        </w:rPr>
        <w:t xml:space="preserve"> </w:t>
      </w:r>
      <w:r w:rsidRPr="000E71FF">
        <w:rPr>
          <w:rFonts w:ascii="Arial" w:eastAsia="Times New Roman" w:hAnsi="Arial" w:cs="Arial"/>
          <w:color w:val="222222"/>
          <w:sz w:val="22"/>
          <w:szCs w:val="22"/>
        </w:rPr>
        <w:t>England. </w:t>
      </w:r>
      <w:r w:rsidRPr="000E71FF">
        <w:rPr>
          <w:rFonts w:ascii="Arial" w:eastAsia="Times New Roman" w:hAnsi="Arial" w:cs="Arial"/>
          <w:i/>
          <w:iCs/>
          <w:color w:val="222222"/>
          <w:sz w:val="22"/>
          <w:szCs w:val="22"/>
        </w:rPr>
        <w:t>Journal of Social Policy</w:t>
      </w:r>
      <w:r w:rsidRPr="000E71FF">
        <w:rPr>
          <w:rFonts w:ascii="Arial" w:eastAsia="Times New Roman" w:hAnsi="Arial" w:cs="Arial"/>
          <w:color w:val="222222"/>
          <w:sz w:val="22"/>
          <w:szCs w:val="22"/>
        </w:rPr>
        <w:t>, </w:t>
      </w:r>
      <w:r w:rsidRPr="000E71FF">
        <w:rPr>
          <w:rFonts w:ascii="Arial" w:eastAsia="Times New Roman" w:hAnsi="Arial" w:cs="Arial"/>
          <w:i/>
          <w:iCs/>
          <w:color w:val="222222"/>
          <w:sz w:val="22"/>
          <w:szCs w:val="22"/>
        </w:rPr>
        <w:t>50</w:t>
      </w:r>
      <w:r w:rsidRPr="000E71FF">
        <w:rPr>
          <w:rFonts w:ascii="Arial" w:eastAsia="Times New Roman" w:hAnsi="Arial" w:cs="Arial"/>
          <w:color w:val="222222"/>
          <w:sz w:val="22"/>
          <w:szCs w:val="22"/>
        </w:rPr>
        <w:t>(2), pp.406-43</w:t>
      </w:r>
      <w:r w:rsidRPr="003047D4">
        <w:rPr>
          <w:rFonts w:ascii="Arial" w:eastAsia="Times New Roman" w:hAnsi="Arial" w:cs="Arial"/>
          <w:color w:val="222222"/>
          <w:sz w:val="22"/>
          <w:szCs w:val="22"/>
        </w:rPr>
        <w:t>7.</w:t>
      </w:r>
    </w:p>
    <w:p w14:paraId="09AA6221" w14:textId="77777777" w:rsidR="009960B4" w:rsidRPr="002E5E1E" w:rsidRDefault="009960B4" w:rsidP="009960B4">
      <w:pPr>
        <w:spacing w:before="100" w:beforeAutospacing="1" w:after="100" w:afterAutospacing="1" w:line="360" w:lineRule="auto"/>
        <w:jc w:val="both"/>
        <w:rPr>
          <w:rFonts w:ascii="Arial" w:eastAsia="Times New Roman" w:hAnsi="Arial" w:cs="Arial"/>
          <w:color w:val="222222"/>
          <w:sz w:val="22"/>
          <w:szCs w:val="22"/>
          <w:shd w:val="clear" w:color="auto" w:fill="FFFFFF"/>
        </w:rPr>
      </w:pPr>
      <w:r w:rsidRPr="003047D4">
        <w:rPr>
          <w:rFonts w:ascii="Arial" w:eastAsia="Times New Roman" w:hAnsi="Arial" w:cs="Arial"/>
          <w:color w:val="222222"/>
          <w:sz w:val="22"/>
          <w:szCs w:val="22"/>
          <w:shd w:val="clear" w:color="auto" w:fill="FFFFFF"/>
        </w:rPr>
        <w:lastRenderedPageBreak/>
        <w:t>Gilbert-Johns, S., Mason, R. and Ward, M., 2022. Overview of the UK Population.</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Newport, United Kingdom: Office for National Statistics</w:t>
      </w:r>
      <w:r w:rsidRPr="003047D4">
        <w:rPr>
          <w:rFonts w:ascii="Arial" w:eastAsia="Times New Roman" w:hAnsi="Arial" w:cs="Arial"/>
          <w:color w:val="222222"/>
          <w:sz w:val="22"/>
          <w:szCs w:val="22"/>
          <w:shd w:val="clear" w:color="auto" w:fill="FFFFFF"/>
        </w:rPr>
        <w:t>.</w:t>
      </w:r>
    </w:p>
    <w:p w14:paraId="68833C9D"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Goodwin, N., 2019. Improving integrated care: can implementation science unlock the ‘black box ‘of complexities?</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International journal of integrated care</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19</w:t>
      </w:r>
      <w:r w:rsidRPr="002E5E1E">
        <w:rPr>
          <w:rFonts w:ascii="Arial" w:eastAsia="Times New Roman" w:hAnsi="Arial" w:cs="Arial"/>
          <w:color w:val="222222"/>
          <w:sz w:val="22"/>
          <w:szCs w:val="22"/>
          <w:shd w:val="clear" w:color="auto" w:fill="FFFFFF"/>
        </w:rPr>
        <w:t>(3), p.12.</w:t>
      </w:r>
    </w:p>
    <w:p w14:paraId="0DB94ED2" w14:textId="77777777" w:rsidR="009960B4" w:rsidRPr="002E5E1E"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Goodwin, N., Stein, V. and Amelung, V., 2025. What is integrated care? In</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Handbook of integrated care</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color w:val="222222"/>
          <w:sz w:val="22"/>
          <w:szCs w:val="22"/>
          <w:shd w:val="clear" w:color="auto" w:fill="FFFFFF"/>
        </w:rPr>
        <w:t>(pp. 1-23). Cham: Springer Nature Switzerland.</w:t>
      </w:r>
    </w:p>
    <w:p w14:paraId="19118477" w14:textId="77777777" w:rsidR="009960B4" w:rsidRDefault="009960B4" w:rsidP="009960B4">
      <w:pPr>
        <w:spacing w:before="100" w:beforeAutospacing="1" w:after="100" w:afterAutospacing="1" w:line="360" w:lineRule="auto"/>
        <w:jc w:val="both"/>
        <w:outlineLvl w:val="1"/>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Greer, S., Wismar, M. and Figueras, J., 2015.</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Strengthening health system governance: better policies, stronger performance</w:t>
      </w:r>
      <w:r w:rsidRPr="002E5E1E">
        <w:rPr>
          <w:rFonts w:ascii="Arial" w:eastAsia="Times New Roman" w:hAnsi="Arial" w:cs="Arial"/>
          <w:color w:val="222222"/>
          <w:sz w:val="22"/>
          <w:szCs w:val="22"/>
          <w:shd w:val="clear" w:color="auto" w:fill="FFFFFF"/>
        </w:rPr>
        <w:t>. McGraw-Hill Education (UK).</w:t>
      </w:r>
    </w:p>
    <w:p w14:paraId="50138938" w14:textId="71663135" w:rsidR="009960B4" w:rsidRPr="001B14EE" w:rsidRDefault="009960B4" w:rsidP="009960B4">
      <w:pPr>
        <w:spacing w:before="100" w:beforeAutospacing="1" w:after="100" w:afterAutospacing="1" w:line="360" w:lineRule="auto"/>
        <w:jc w:val="both"/>
        <w:rPr>
          <w:rFonts w:ascii="Arial" w:eastAsia="Times New Roman" w:hAnsi="Arial" w:cs="Arial"/>
          <w:color w:val="222222"/>
          <w:sz w:val="22"/>
          <w:szCs w:val="22"/>
        </w:rPr>
      </w:pPr>
      <w:r w:rsidRPr="003047D4">
        <w:rPr>
          <w:rStyle w:val="bumpedfont15"/>
          <w:rFonts w:ascii="Arial" w:eastAsia="Times New Roman" w:hAnsi="Arial" w:cs="Arial"/>
          <w:color w:val="222222"/>
          <w:sz w:val="22"/>
          <w:szCs w:val="22"/>
          <w:shd w:val="clear" w:color="auto" w:fill="FFFFFF"/>
        </w:rPr>
        <w:t>Humphries, R., 2015. Health and social care for older people: progress, problems</w:t>
      </w:r>
      <w:r w:rsidR="445C2115" w:rsidRPr="003047D4">
        <w:rPr>
          <w:rStyle w:val="bumpedfont15"/>
          <w:rFonts w:ascii="Arial" w:eastAsia="Times New Roman" w:hAnsi="Arial" w:cs="Arial"/>
          <w:color w:val="222222"/>
          <w:sz w:val="22"/>
          <w:szCs w:val="22"/>
          <w:shd w:val="clear" w:color="auto" w:fill="FFFFFF"/>
        </w:rPr>
        <w:t>,</w:t>
      </w:r>
      <w:r w:rsidRPr="003047D4">
        <w:rPr>
          <w:rStyle w:val="bumpedfont15"/>
          <w:rFonts w:ascii="Arial" w:eastAsia="Times New Roman" w:hAnsi="Arial" w:cs="Arial"/>
          <w:color w:val="222222"/>
          <w:sz w:val="22"/>
          <w:szCs w:val="22"/>
          <w:shd w:val="clear" w:color="auto" w:fill="FFFFFF"/>
        </w:rPr>
        <w:t xml:space="preserve"> and priorities. </w:t>
      </w:r>
      <w:r w:rsidRPr="003047D4">
        <w:rPr>
          <w:rStyle w:val="bumpedfont15"/>
          <w:rFonts w:ascii="Arial" w:eastAsia="Times New Roman" w:hAnsi="Arial" w:cs="Arial"/>
          <w:i/>
          <w:iCs/>
          <w:color w:val="222222"/>
          <w:sz w:val="22"/>
          <w:szCs w:val="22"/>
          <w:shd w:val="clear" w:color="auto" w:fill="FFFFFF"/>
        </w:rPr>
        <w:t>Quality in Ageing and Older Adults</w:t>
      </w:r>
      <w:r w:rsidRPr="003047D4">
        <w:rPr>
          <w:rStyle w:val="bumpedfont15"/>
          <w:rFonts w:ascii="Arial" w:eastAsia="Times New Roman" w:hAnsi="Arial" w:cs="Arial"/>
          <w:color w:val="222222"/>
          <w:sz w:val="22"/>
          <w:szCs w:val="22"/>
          <w:shd w:val="clear" w:color="auto" w:fill="FFFFFF"/>
        </w:rPr>
        <w:t>, </w:t>
      </w:r>
      <w:r w:rsidRPr="003047D4">
        <w:rPr>
          <w:rStyle w:val="bumpedfont15"/>
          <w:rFonts w:ascii="Arial" w:eastAsia="Times New Roman" w:hAnsi="Arial" w:cs="Arial"/>
          <w:i/>
          <w:iCs/>
          <w:color w:val="222222"/>
          <w:sz w:val="22"/>
          <w:szCs w:val="22"/>
          <w:shd w:val="clear" w:color="auto" w:fill="FFFFFF"/>
        </w:rPr>
        <w:t>16</w:t>
      </w:r>
      <w:r w:rsidRPr="003047D4">
        <w:rPr>
          <w:rStyle w:val="bumpedfont15"/>
          <w:rFonts w:ascii="Arial" w:eastAsia="Times New Roman" w:hAnsi="Arial" w:cs="Arial"/>
          <w:color w:val="222222"/>
          <w:sz w:val="22"/>
          <w:szCs w:val="22"/>
          <w:shd w:val="clear" w:color="auto" w:fill="FFFFFF"/>
        </w:rPr>
        <w:t>(1), pp.27-31.</w:t>
      </w:r>
    </w:p>
    <w:p w14:paraId="188407D5" w14:textId="77777777" w:rsidR="009960B4" w:rsidRDefault="009960B4" w:rsidP="009960B4">
      <w:pPr>
        <w:shd w:val="clear" w:color="auto" w:fill="FFFFFF"/>
        <w:spacing w:before="75" w:after="75" w:line="360" w:lineRule="auto"/>
        <w:jc w:val="both"/>
        <w:rPr>
          <w:rFonts w:ascii="Arial" w:hAnsi="Arial" w:cs="Arial"/>
          <w:color w:val="222222"/>
          <w:sz w:val="22"/>
          <w:szCs w:val="22"/>
          <w:shd w:val="clear" w:color="auto" w:fill="FFFFFF"/>
        </w:rPr>
      </w:pPr>
      <w:r w:rsidRPr="002E5E1E">
        <w:rPr>
          <w:rFonts w:ascii="Arial" w:hAnsi="Arial" w:cs="Arial"/>
          <w:color w:val="222222"/>
          <w:sz w:val="22"/>
          <w:szCs w:val="22"/>
          <w:shd w:val="clear" w:color="auto" w:fill="FFFFFF"/>
        </w:rPr>
        <w:t>Humphries, R., 2022. </w:t>
      </w:r>
      <w:r w:rsidRPr="002E5E1E">
        <w:rPr>
          <w:rFonts w:ascii="Arial" w:hAnsi="Arial" w:cs="Arial"/>
          <w:i/>
          <w:iCs/>
          <w:color w:val="222222"/>
          <w:sz w:val="22"/>
          <w:szCs w:val="22"/>
        </w:rPr>
        <w:t>Ending the social care crisis: A new road to reform</w:t>
      </w:r>
      <w:r w:rsidRPr="002E5E1E">
        <w:rPr>
          <w:rFonts w:ascii="Arial" w:hAnsi="Arial" w:cs="Arial"/>
          <w:color w:val="222222"/>
          <w:sz w:val="22"/>
          <w:szCs w:val="22"/>
          <w:shd w:val="clear" w:color="auto" w:fill="FFFFFF"/>
        </w:rPr>
        <w:t>. Policy Press.</w:t>
      </w:r>
    </w:p>
    <w:p w14:paraId="1C2D2BBB" w14:textId="77777777" w:rsidR="009960B4" w:rsidRPr="002E5E1E" w:rsidRDefault="009960B4" w:rsidP="009960B4">
      <w:pPr>
        <w:shd w:val="clear" w:color="auto" w:fill="FFFFFF"/>
        <w:spacing w:before="75" w:after="75" w:line="360" w:lineRule="auto"/>
        <w:jc w:val="both"/>
        <w:rPr>
          <w:rFonts w:ascii="Arial" w:hAnsi="Arial" w:cs="Arial"/>
          <w:color w:val="222222"/>
          <w:sz w:val="10"/>
          <w:szCs w:val="10"/>
          <w:shd w:val="clear" w:color="auto" w:fill="FFFFFF"/>
        </w:rPr>
      </w:pPr>
    </w:p>
    <w:p w14:paraId="0BF36500" w14:textId="77777777" w:rsidR="009960B4" w:rsidRDefault="009960B4" w:rsidP="009960B4">
      <w:pPr>
        <w:shd w:val="clear" w:color="auto" w:fill="FFFFFF"/>
        <w:spacing w:before="75" w:after="75"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Ingvarsson, S., 2023.</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Tipping the scale of resources: de-implementation of low-value care from an operant perspective</w:t>
      </w:r>
      <w:r w:rsidRPr="002E5E1E">
        <w:rPr>
          <w:rFonts w:ascii="Arial" w:eastAsia="Times New Roman" w:hAnsi="Arial" w:cs="Arial"/>
          <w:color w:val="222222"/>
          <w:sz w:val="22"/>
          <w:szCs w:val="22"/>
          <w:shd w:val="clear" w:color="auto" w:fill="FFFFFF"/>
        </w:rPr>
        <w:t>. Karolinska Institute (Sweden).</w:t>
      </w:r>
    </w:p>
    <w:p w14:paraId="13767018" w14:textId="77777777" w:rsidR="009960B4" w:rsidRDefault="009960B4" w:rsidP="009960B4">
      <w:pPr>
        <w:spacing w:before="100" w:beforeAutospacing="1" w:after="100" w:afterAutospacing="1" w:line="360" w:lineRule="auto"/>
        <w:jc w:val="both"/>
        <w:rPr>
          <w:rFonts w:ascii="Arial" w:eastAsia="Times New Roman" w:hAnsi="Arial" w:cs="Arial"/>
          <w:color w:val="222222"/>
          <w:sz w:val="22"/>
          <w:szCs w:val="22"/>
          <w:shd w:val="clear" w:color="auto" w:fill="FFFFFF"/>
        </w:rPr>
      </w:pPr>
      <w:r w:rsidRPr="003047D4">
        <w:rPr>
          <w:rFonts w:ascii="Arial" w:eastAsia="Times New Roman" w:hAnsi="Arial" w:cs="Arial"/>
          <w:color w:val="222222"/>
          <w:sz w:val="22"/>
          <w:szCs w:val="22"/>
          <w:shd w:val="clear" w:color="auto" w:fill="FFFFFF"/>
        </w:rPr>
        <w:t>Khan, N., Hewson, D. and Randhawa, G., 2024. Factors that affect the implementation of an integrated care programme for older people with different frailty levels: a qualitative study of commissioners and provider stakeholders.</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BMC geriatrics</w:t>
      </w:r>
      <w:r w:rsidRPr="003047D4">
        <w:rPr>
          <w:rFonts w:ascii="Arial" w:eastAsia="Times New Roman" w:hAnsi="Arial" w:cs="Arial"/>
          <w:color w:val="222222"/>
          <w:sz w:val="22"/>
          <w:szCs w:val="22"/>
          <w:shd w:val="clear" w:color="auto" w:fill="FFFFFF"/>
        </w:rPr>
        <w:t>,</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24</w:t>
      </w:r>
      <w:r w:rsidRPr="003047D4">
        <w:rPr>
          <w:rFonts w:ascii="Arial" w:eastAsia="Times New Roman" w:hAnsi="Arial" w:cs="Arial"/>
          <w:color w:val="222222"/>
          <w:sz w:val="22"/>
          <w:szCs w:val="22"/>
          <w:shd w:val="clear" w:color="auto" w:fill="FFFFFF"/>
        </w:rPr>
        <w:t>(1), p.832.</w:t>
      </w:r>
    </w:p>
    <w:p w14:paraId="41B6F9F2" w14:textId="77777777" w:rsidR="009960B4" w:rsidRPr="00311444" w:rsidRDefault="009960B4" w:rsidP="009960B4">
      <w:pPr>
        <w:spacing w:line="360" w:lineRule="auto"/>
        <w:jc w:val="both"/>
        <w:rPr>
          <w:rFonts w:ascii="Arial" w:eastAsia="Times New Roman" w:hAnsi="Arial" w:cs="Arial"/>
          <w:color w:val="222222"/>
          <w:sz w:val="22"/>
          <w:szCs w:val="22"/>
          <w:shd w:val="clear" w:color="auto" w:fill="FFFFFF"/>
        </w:rPr>
      </w:pPr>
      <w:r w:rsidRPr="003047D4">
        <w:rPr>
          <w:rFonts w:ascii="Arial" w:eastAsia="Times New Roman" w:hAnsi="Arial" w:cs="Arial"/>
          <w:color w:val="222222"/>
          <w:sz w:val="22"/>
          <w:szCs w:val="22"/>
          <w:shd w:val="clear" w:color="auto" w:fill="FFFFFF"/>
        </w:rPr>
        <w:t>Kim, D.H. and Rockwood, K., 2024. Frailty in older adults.</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New England Journal of Medicine</w:t>
      </w:r>
      <w:r w:rsidRPr="003047D4">
        <w:rPr>
          <w:rFonts w:ascii="Arial" w:eastAsia="Times New Roman" w:hAnsi="Arial" w:cs="Arial"/>
          <w:color w:val="222222"/>
          <w:sz w:val="22"/>
          <w:szCs w:val="22"/>
          <w:shd w:val="clear" w:color="auto" w:fill="FFFFFF"/>
        </w:rPr>
        <w:t>,</w:t>
      </w:r>
      <w:r w:rsidRPr="003047D4">
        <w:rPr>
          <w:rStyle w:val="apple-converted-space"/>
          <w:rFonts w:ascii="Arial" w:eastAsia="Times New Roman" w:hAnsi="Arial" w:cs="Arial"/>
          <w:color w:val="222222"/>
          <w:sz w:val="22"/>
          <w:szCs w:val="22"/>
          <w:shd w:val="clear" w:color="auto" w:fill="FFFFFF"/>
        </w:rPr>
        <w:t> </w:t>
      </w:r>
      <w:r w:rsidRPr="003047D4">
        <w:rPr>
          <w:rFonts w:ascii="Arial" w:eastAsia="Times New Roman" w:hAnsi="Arial" w:cs="Arial"/>
          <w:i/>
          <w:iCs/>
          <w:color w:val="222222"/>
          <w:sz w:val="22"/>
          <w:szCs w:val="22"/>
        </w:rPr>
        <w:t>391</w:t>
      </w:r>
      <w:r w:rsidRPr="003047D4">
        <w:rPr>
          <w:rFonts w:ascii="Arial" w:eastAsia="Times New Roman" w:hAnsi="Arial" w:cs="Arial"/>
          <w:color w:val="222222"/>
          <w:sz w:val="22"/>
          <w:szCs w:val="22"/>
          <w:shd w:val="clear" w:color="auto" w:fill="FFFFFF"/>
        </w:rPr>
        <w:t>(6), pp.538-548.</w:t>
      </w:r>
    </w:p>
    <w:p w14:paraId="239F9FB8" w14:textId="77777777" w:rsidR="009960B4" w:rsidRPr="002E5E1E" w:rsidRDefault="009960B4" w:rsidP="009960B4">
      <w:pPr>
        <w:shd w:val="clear" w:color="auto" w:fill="FFFFFF"/>
        <w:spacing w:before="75" w:after="75"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Kogan, A.C., Wilber, K. and Mosqueda, L., 2016. Person</w:t>
      </w:r>
      <w:r w:rsidRPr="002E5E1E">
        <w:rPr>
          <w:rFonts w:ascii="Cambria Math" w:eastAsia="Times New Roman" w:hAnsi="Cambria Math" w:cs="Cambria Math"/>
          <w:color w:val="222222"/>
          <w:sz w:val="22"/>
          <w:szCs w:val="22"/>
          <w:shd w:val="clear" w:color="auto" w:fill="FFFFFF"/>
        </w:rPr>
        <w:t>‐</w:t>
      </w:r>
      <w:proofErr w:type="spellStart"/>
      <w:r w:rsidRPr="002E5E1E">
        <w:rPr>
          <w:rFonts w:ascii="Arial" w:eastAsia="Times New Roman" w:hAnsi="Arial" w:cs="Arial"/>
          <w:color w:val="222222"/>
          <w:sz w:val="22"/>
          <w:szCs w:val="22"/>
          <w:shd w:val="clear" w:color="auto" w:fill="FFFFFF"/>
        </w:rPr>
        <w:t>centered</w:t>
      </w:r>
      <w:proofErr w:type="spellEnd"/>
      <w:r w:rsidRPr="002E5E1E">
        <w:rPr>
          <w:rFonts w:ascii="Arial" w:eastAsia="Times New Roman" w:hAnsi="Arial" w:cs="Arial"/>
          <w:color w:val="222222"/>
          <w:sz w:val="22"/>
          <w:szCs w:val="22"/>
          <w:shd w:val="clear" w:color="auto" w:fill="FFFFFF"/>
        </w:rPr>
        <w:t xml:space="preserve"> care for older adults with chronic conditions and functional impairment: A systematic literature review.</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Journal of the American Geriatrics Society</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64</w:t>
      </w:r>
      <w:r w:rsidRPr="002E5E1E">
        <w:rPr>
          <w:rFonts w:ascii="Arial" w:eastAsia="Times New Roman" w:hAnsi="Arial" w:cs="Arial"/>
          <w:color w:val="222222"/>
          <w:sz w:val="22"/>
          <w:szCs w:val="22"/>
          <w:shd w:val="clear" w:color="auto" w:fill="FFFFFF"/>
        </w:rPr>
        <w:t>(1), pp. e1-e7.</w:t>
      </w:r>
    </w:p>
    <w:p w14:paraId="3DBF116A" w14:textId="77777777" w:rsidR="009960B4" w:rsidRPr="002E5E1E" w:rsidRDefault="009960B4" w:rsidP="009960B4">
      <w:pPr>
        <w:shd w:val="clear" w:color="auto" w:fill="FFFFFF"/>
        <w:spacing w:before="75" w:after="75" w:line="360" w:lineRule="auto"/>
        <w:jc w:val="both"/>
        <w:rPr>
          <w:rFonts w:ascii="Arial" w:eastAsia="Times New Roman" w:hAnsi="Arial" w:cs="Arial"/>
          <w:color w:val="222222"/>
          <w:sz w:val="12"/>
          <w:szCs w:val="12"/>
          <w:shd w:val="clear" w:color="auto" w:fill="FFFFFF"/>
        </w:rPr>
      </w:pPr>
    </w:p>
    <w:p w14:paraId="660BD27E" w14:textId="77777777" w:rsidR="009960B4" w:rsidRPr="002E5E1E" w:rsidRDefault="009960B4" w:rsidP="254FA7AC">
      <w:pPr>
        <w:shd w:val="clear" w:color="auto" w:fill="FFFFFF" w:themeFill="background1"/>
        <w:spacing w:before="75" w:after="75"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 xml:space="preserve">Looman, W.M., Huijsman, R. and </w:t>
      </w:r>
      <w:r w:rsidR="5C23293C" w:rsidRPr="002E5E1E">
        <w:rPr>
          <w:rFonts w:ascii="Arial" w:eastAsia="Times New Roman" w:hAnsi="Arial" w:cs="Arial"/>
          <w:color w:val="222222"/>
          <w:sz w:val="22"/>
          <w:szCs w:val="22"/>
          <w:shd w:val="clear" w:color="auto" w:fill="FFFFFF"/>
        </w:rPr>
        <w:t>Fabbri Cotti</w:t>
      </w:r>
      <w:r w:rsidRPr="002E5E1E">
        <w:rPr>
          <w:rFonts w:ascii="Arial" w:eastAsia="Times New Roman" w:hAnsi="Arial" w:cs="Arial"/>
          <w:color w:val="222222"/>
          <w:sz w:val="22"/>
          <w:szCs w:val="22"/>
          <w:shd w:val="clear" w:color="auto" w:fill="FFFFFF"/>
        </w:rPr>
        <w:t>, I.N., 2019. The (cost</w:t>
      </w:r>
      <w:r w:rsidRPr="002E5E1E">
        <w:rPr>
          <w:rFonts w:ascii="Cambria Math" w:eastAsia="Times New Roman" w:hAnsi="Cambria Math" w:cs="Cambria Math"/>
          <w:color w:val="222222"/>
          <w:sz w:val="22"/>
          <w:szCs w:val="22"/>
          <w:shd w:val="clear" w:color="auto" w:fill="FFFFFF"/>
        </w:rPr>
        <w:t>‐</w:t>
      </w:r>
      <w:r w:rsidRPr="002E5E1E">
        <w:rPr>
          <w:rFonts w:ascii="Arial" w:eastAsia="Times New Roman" w:hAnsi="Arial" w:cs="Arial"/>
          <w:color w:val="222222"/>
          <w:sz w:val="22"/>
          <w:szCs w:val="22"/>
          <w:shd w:val="clear" w:color="auto" w:fill="FFFFFF"/>
        </w:rPr>
        <w:t>) effectiveness of preventive, integrated care for community</w:t>
      </w:r>
      <w:r w:rsidRPr="002E5E1E">
        <w:rPr>
          <w:rFonts w:ascii="Cambria Math" w:eastAsia="Times New Roman" w:hAnsi="Cambria Math" w:cs="Cambria Math"/>
          <w:color w:val="222222"/>
          <w:sz w:val="22"/>
          <w:szCs w:val="22"/>
          <w:shd w:val="clear" w:color="auto" w:fill="FFFFFF"/>
        </w:rPr>
        <w:t>‐</w:t>
      </w:r>
      <w:r w:rsidRPr="002E5E1E">
        <w:rPr>
          <w:rFonts w:ascii="Arial" w:eastAsia="Times New Roman" w:hAnsi="Arial" w:cs="Arial"/>
          <w:color w:val="222222"/>
          <w:sz w:val="22"/>
          <w:szCs w:val="22"/>
          <w:shd w:val="clear" w:color="auto" w:fill="FFFFFF"/>
        </w:rPr>
        <w:t>dwelling frail older people: A systematic review.</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Health &amp; social care in the community</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27</w:t>
      </w:r>
      <w:r w:rsidRPr="002E5E1E">
        <w:rPr>
          <w:rFonts w:ascii="Arial" w:eastAsia="Times New Roman" w:hAnsi="Arial" w:cs="Arial"/>
          <w:color w:val="222222"/>
          <w:sz w:val="22"/>
          <w:szCs w:val="22"/>
          <w:shd w:val="clear" w:color="auto" w:fill="FFFFFF"/>
        </w:rPr>
        <w:t>(1), pp.1-30.</w:t>
      </w:r>
    </w:p>
    <w:p w14:paraId="6E971472" w14:textId="77777777" w:rsidR="009960B4" w:rsidRPr="002E5E1E" w:rsidRDefault="009960B4" w:rsidP="009960B4">
      <w:pPr>
        <w:shd w:val="clear" w:color="auto" w:fill="FFFFFF"/>
        <w:spacing w:before="75" w:after="75" w:line="360" w:lineRule="auto"/>
        <w:jc w:val="both"/>
        <w:rPr>
          <w:rFonts w:ascii="Arial" w:eastAsia="Times New Roman" w:hAnsi="Arial" w:cs="Arial"/>
          <w:color w:val="222222"/>
          <w:sz w:val="14"/>
          <w:szCs w:val="14"/>
          <w:shd w:val="clear" w:color="auto" w:fill="FFFFFF"/>
        </w:rPr>
      </w:pPr>
    </w:p>
    <w:p w14:paraId="34F8501A" w14:textId="77777777" w:rsidR="009960B4" w:rsidRPr="002E5E1E" w:rsidRDefault="009960B4" w:rsidP="009960B4">
      <w:pPr>
        <w:shd w:val="clear" w:color="auto" w:fill="FFFFFF"/>
        <w:spacing w:before="75" w:after="75" w:line="360" w:lineRule="auto"/>
        <w:jc w:val="both"/>
        <w:rPr>
          <w:rFonts w:ascii="Arial" w:hAnsi="Arial" w:cs="Arial"/>
          <w:color w:val="222222"/>
          <w:sz w:val="22"/>
          <w:szCs w:val="22"/>
          <w:shd w:val="clear" w:color="auto" w:fill="FFFFFF"/>
        </w:rPr>
      </w:pPr>
      <w:proofErr w:type="spellStart"/>
      <w:r w:rsidRPr="002E5E1E">
        <w:rPr>
          <w:rFonts w:ascii="Arial" w:hAnsi="Arial" w:cs="Arial"/>
          <w:color w:val="222222"/>
          <w:sz w:val="22"/>
          <w:szCs w:val="22"/>
          <w:shd w:val="clear" w:color="auto" w:fill="FFFFFF"/>
        </w:rPr>
        <w:t>Nosraty</w:t>
      </w:r>
      <w:proofErr w:type="spellEnd"/>
      <w:r w:rsidRPr="002E5E1E">
        <w:rPr>
          <w:rFonts w:ascii="Arial" w:hAnsi="Arial" w:cs="Arial"/>
          <w:color w:val="222222"/>
          <w:sz w:val="22"/>
          <w:szCs w:val="22"/>
          <w:shd w:val="clear" w:color="auto" w:fill="FFFFFF"/>
        </w:rPr>
        <w:t>, L., 2018. </w:t>
      </w:r>
      <w:r w:rsidRPr="002E5E1E">
        <w:rPr>
          <w:rFonts w:ascii="Arial" w:hAnsi="Arial" w:cs="Arial"/>
          <w:i/>
          <w:iCs/>
          <w:color w:val="222222"/>
          <w:sz w:val="22"/>
          <w:szCs w:val="22"/>
          <w:shd w:val="clear" w:color="auto" w:fill="FFFFFF"/>
        </w:rPr>
        <w:t>Successful aging among the oldest old</w:t>
      </w:r>
      <w:r w:rsidRPr="002E5E1E">
        <w:rPr>
          <w:rFonts w:ascii="Arial" w:hAnsi="Arial" w:cs="Arial"/>
          <w:color w:val="222222"/>
          <w:sz w:val="22"/>
          <w:szCs w:val="22"/>
          <w:shd w:val="clear" w:color="auto" w:fill="FFFFFF"/>
        </w:rPr>
        <w:t> (Doctoral dissertation, University of Tampere).</w:t>
      </w:r>
    </w:p>
    <w:p w14:paraId="3525C47F" w14:textId="77777777" w:rsidR="009960B4" w:rsidRPr="002E5E1E" w:rsidRDefault="009960B4" w:rsidP="009960B4">
      <w:pPr>
        <w:shd w:val="clear" w:color="auto" w:fill="FFFFFF"/>
        <w:spacing w:before="75" w:after="75" w:line="360" w:lineRule="auto"/>
        <w:jc w:val="both"/>
        <w:rPr>
          <w:rFonts w:ascii="Arial" w:hAnsi="Arial" w:cs="Arial"/>
          <w:color w:val="222222"/>
          <w:sz w:val="16"/>
          <w:szCs w:val="16"/>
          <w:shd w:val="clear" w:color="auto" w:fill="FFFFFF"/>
        </w:rPr>
      </w:pPr>
    </w:p>
    <w:p w14:paraId="04F007D1" w14:textId="77777777" w:rsidR="009960B4" w:rsidRPr="002E5E1E" w:rsidRDefault="009960B4" w:rsidP="009960B4">
      <w:pPr>
        <w:shd w:val="clear" w:color="auto" w:fill="FFFFFF"/>
        <w:spacing w:before="75" w:after="75" w:line="360" w:lineRule="auto"/>
        <w:jc w:val="both"/>
        <w:rPr>
          <w:rFonts w:ascii="Arial" w:eastAsia="Times New Roman" w:hAnsi="Arial" w:cs="Arial"/>
          <w:color w:val="222222"/>
          <w:sz w:val="22"/>
          <w:szCs w:val="22"/>
          <w:shd w:val="clear" w:color="auto" w:fill="FFFFFF"/>
        </w:rPr>
      </w:pPr>
      <w:r w:rsidRPr="002E5E1E">
        <w:rPr>
          <w:rFonts w:ascii="Arial" w:hAnsi="Arial" w:cs="Arial"/>
          <w:color w:val="222222"/>
          <w:sz w:val="22"/>
          <w:szCs w:val="22"/>
          <w:shd w:val="clear" w:color="auto" w:fill="FFFFFF"/>
        </w:rPr>
        <w:lastRenderedPageBreak/>
        <w:t>Rogers, C.R., 1951. </w:t>
      </w:r>
      <w:r w:rsidRPr="002E5E1E">
        <w:rPr>
          <w:rFonts w:ascii="Arial" w:hAnsi="Arial" w:cs="Arial"/>
          <w:i/>
          <w:iCs/>
          <w:color w:val="222222"/>
          <w:sz w:val="22"/>
          <w:szCs w:val="22"/>
          <w:shd w:val="clear" w:color="auto" w:fill="FFFFFF"/>
        </w:rPr>
        <w:t>Client-</w:t>
      </w:r>
      <w:proofErr w:type="spellStart"/>
      <w:r w:rsidRPr="002E5E1E">
        <w:rPr>
          <w:rFonts w:ascii="Arial" w:hAnsi="Arial" w:cs="Arial"/>
          <w:i/>
          <w:iCs/>
          <w:color w:val="222222"/>
          <w:sz w:val="22"/>
          <w:szCs w:val="22"/>
          <w:shd w:val="clear" w:color="auto" w:fill="FFFFFF"/>
        </w:rPr>
        <w:t>centered</w:t>
      </w:r>
      <w:proofErr w:type="spellEnd"/>
      <w:r w:rsidRPr="002E5E1E">
        <w:rPr>
          <w:rFonts w:ascii="Arial" w:hAnsi="Arial" w:cs="Arial"/>
          <w:i/>
          <w:iCs/>
          <w:color w:val="222222"/>
          <w:sz w:val="22"/>
          <w:szCs w:val="22"/>
          <w:shd w:val="clear" w:color="auto" w:fill="FFFFFF"/>
        </w:rPr>
        <w:t xml:space="preserve"> therapy: its current practice, implications, and theory</w:t>
      </w:r>
      <w:r w:rsidRPr="002E5E1E">
        <w:rPr>
          <w:rFonts w:ascii="Arial" w:hAnsi="Arial" w:cs="Arial"/>
          <w:color w:val="222222"/>
          <w:sz w:val="22"/>
          <w:szCs w:val="22"/>
          <w:shd w:val="clear" w:color="auto" w:fill="FFFFFF"/>
        </w:rPr>
        <w:t>. Boston: Houghton Mifflin.</w:t>
      </w:r>
    </w:p>
    <w:p w14:paraId="0768A1F0" w14:textId="77777777" w:rsidR="009960B4" w:rsidRPr="005820EF" w:rsidRDefault="009960B4" w:rsidP="009960B4">
      <w:pPr>
        <w:shd w:val="clear" w:color="auto" w:fill="FFFFFF"/>
        <w:spacing w:before="75" w:after="75" w:line="360" w:lineRule="auto"/>
        <w:jc w:val="both"/>
        <w:rPr>
          <w:rFonts w:ascii="Arial" w:eastAsia="Times New Roman" w:hAnsi="Arial" w:cs="Arial"/>
          <w:color w:val="222222"/>
          <w:sz w:val="10"/>
          <w:szCs w:val="10"/>
          <w:shd w:val="clear" w:color="auto" w:fill="FFFFFF"/>
        </w:rPr>
      </w:pPr>
    </w:p>
    <w:p w14:paraId="541932D4" w14:textId="12FAE8A6" w:rsidR="009960B4" w:rsidRDefault="009960B4" w:rsidP="254FA7AC">
      <w:pPr>
        <w:shd w:val="clear" w:color="auto" w:fill="FFFFFF" w:themeFill="background1"/>
        <w:spacing w:before="75" w:after="75"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 xml:space="preserve">Sanderson, M., Hammond, J., </w:t>
      </w:r>
      <w:r w:rsidR="486EE1FE" w:rsidRPr="002E5E1E">
        <w:rPr>
          <w:rFonts w:ascii="Arial" w:eastAsia="Times New Roman" w:hAnsi="Arial" w:cs="Arial"/>
          <w:color w:val="222222"/>
          <w:sz w:val="22"/>
          <w:szCs w:val="22"/>
          <w:shd w:val="clear" w:color="auto" w:fill="FFFFFF"/>
        </w:rPr>
        <w:t>Surgery</w:t>
      </w:r>
      <w:r w:rsidRPr="002E5E1E">
        <w:rPr>
          <w:rFonts w:ascii="Arial" w:eastAsia="Times New Roman" w:hAnsi="Arial" w:cs="Arial"/>
          <w:color w:val="222222"/>
          <w:sz w:val="22"/>
          <w:szCs w:val="22"/>
          <w:shd w:val="clear" w:color="auto" w:fill="FFFFFF"/>
        </w:rPr>
        <w:t xml:space="preserve">, M.M., Aktas-Vincent, P., Wattal, V., Sutton, M., </w:t>
      </w:r>
      <w:proofErr w:type="spellStart"/>
      <w:r w:rsidRPr="002E5E1E">
        <w:rPr>
          <w:rFonts w:ascii="Arial" w:eastAsia="Times New Roman" w:hAnsi="Arial" w:cs="Arial"/>
          <w:color w:val="222222"/>
          <w:sz w:val="22"/>
          <w:szCs w:val="22"/>
          <w:shd w:val="clear" w:color="auto" w:fill="FFFFFF"/>
        </w:rPr>
        <w:t>Checkland</w:t>
      </w:r>
      <w:proofErr w:type="spellEnd"/>
      <w:r w:rsidRPr="002E5E1E">
        <w:rPr>
          <w:rFonts w:ascii="Arial" w:eastAsia="Times New Roman" w:hAnsi="Arial" w:cs="Arial"/>
          <w:color w:val="222222"/>
          <w:sz w:val="22"/>
          <w:szCs w:val="22"/>
          <w:shd w:val="clear" w:color="auto" w:fill="FFFFFF"/>
        </w:rPr>
        <w:t xml:space="preserve">, K., Allen, P., MacInnes, J., Peckham, S. and </w:t>
      </w:r>
      <w:proofErr w:type="spellStart"/>
      <w:r w:rsidRPr="002E5E1E">
        <w:rPr>
          <w:rFonts w:ascii="Arial" w:eastAsia="Times New Roman" w:hAnsi="Arial" w:cs="Arial"/>
          <w:color w:val="222222"/>
          <w:sz w:val="22"/>
          <w:szCs w:val="22"/>
          <w:shd w:val="clear" w:color="auto" w:fill="FFFFFF"/>
        </w:rPr>
        <w:t>Petsoulas</w:t>
      </w:r>
      <w:proofErr w:type="spellEnd"/>
      <w:r w:rsidRPr="002E5E1E">
        <w:rPr>
          <w:rFonts w:ascii="Arial" w:eastAsia="Times New Roman" w:hAnsi="Arial" w:cs="Arial"/>
          <w:color w:val="222222"/>
          <w:sz w:val="22"/>
          <w:szCs w:val="22"/>
          <w:shd w:val="clear" w:color="auto" w:fill="FFFFFF"/>
        </w:rPr>
        <w:t>, C., Post Implementation Review of the Health</w:t>
      </w:r>
      <w:r w:rsidR="7077691B" w:rsidRPr="002E5E1E">
        <w:rPr>
          <w:rFonts w:ascii="Arial" w:eastAsia="Times New Roman" w:hAnsi="Arial" w:cs="Arial"/>
          <w:color w:val="222222"/>
          <w:sz w:val="22"/>
          <w:szCs w:val="22"/>
          <w:shd w:val="clear" w:color="auto" w:fill="FFFFFF"/>
        </w:rPr>
        <w:t>,</w:t>
      </w:r>
      <w:r w:rsidRPr="002E5E1E">
        <w:rPr>
          <w:rFonts w:ascii="Arial" w:eastAsia="Times New Roman" w:hAnsi="Arial" w:cs="Arial"/>
          <w:color w:val="222222"/>
          <w:sz w:val="22"/>
          <w:szCs w:val="22"/>
          <w:shd w:val="clear" w:color="auto" w:fill="FFFFFF"/>
        </w:rPr>
        <w:t xml:space="preserve"> and Care Act 2022.</w:t>
      </w:r>
    </w:p>
    <w:p w14:paraId="65BFC328" w14:textId="77777777" w:rsidR="009960B4" w:rsidRDefault="009960B4" w:rsidP="009960B4">
      <w:pPr>
        <w:shd w:val="clear" w:color="auto" w:fill="FFFFFF"/>
        <w:spacing w:before="75" w:after="75" w:line="360" w:lineRule="auto"/>
        <w:jc w:val="both"/>
        <w:rPr>
          <w:rFonts w:ascii="Arial" w:eastAsia="Times New Roman" w:hAnsi="Arial" w:cs="Arial"/>
          <w:color w:val="222222"/>
          <w:sz w:val="22"/>
          <w:szCs w:val="22"/>
          <w:shd w:val="clear" w:color="auto" w:fill="FFFFFF"/>
        </w:rPr>
      </w:pPr>
    </w:p>
    <w:p w14:paraId="08AED510" w14:textId="77777777" w:rsidR="009960B4" w:rsidRPr="0011439D" w:rsidRDefault="009960B4" w:rsidP="009960B4">
      <w:pPr>
        <w:spacing w:line="360" w:lineRule="auto"/>
        <w:jc w:val="both"/>
        <w:rPr>
          <w:rFonts w:ascii="Arial" w:hAnsi="Arial" w:cs="Arial"/>
          <w:sz w:val="22"/>
          <w:szCs w:val="22"/>
        </w:rPr>
      </w:pPr>
      <w:r w:rsidRPr="003047D4">
        <w:rPr>
          <w:rStyle w:val="bumpedfont15"/>
          <w:rFonts w:ascii="Arial" w:eastAsia="Times New Roman" w:hAnsi="Arial" w:cs="Arial"/>
          <w:color w:val="222222"/>
          <w:sz w:val="22"/>
          <w:szCs w:val="22"/>
          <w:shd w:val="clear" w:color="auto" w:fill="FFFFFF"/>
        </w:rPr>
        <w:t xml:space="preserve">Sutton, C., Prowse, J., McVey, L., </w:t>
      </w:r>
      <w:proofErr w:type="spellStart"/>
      <w:r w:rsidRPr="003047D4">
        <w:rPr>
          <w:rStyle w:val="bumpedfont15"/>
          <w:rFonts w:ascii="Arial" w:eastAsia="Times New Roman" w:hAnsi="Arial" w:cs="Arial"/>
          <w:color w:val="222222"/>
          <w:sz w:val="22"/>
          <w:szCs w:val="22"/>
          <w:shd w:val="clear" w:color="auto" w:fill="FFFFFF"/>
        </w:rPr>
        <w:t>Elshehaly</w:t>
      </w:r>
      <w:proofErr w:type="spellEnd"/>
      <w:r w:rsidRPr="003047D4">
        <w:rPr>
          <w:rStyle w:val="bumpedfont15"/>
          <w:rFonts w:ascii="Arial" w:eastAsia="Times New Roman" w:hAnsi="Arial" w:cs="Arial"/>
          <w:color w:val="222222"/>
          <w:sz w:val="22"/>
          <w:szCs w:val="22"/>
          <w:shd w:val="clear" w:color="auto" w:fill="FFFFFF"/>
        </w:rPr>
        <w:t xml:space="preserve">, M., Neagu, D., Montague, J., Alvarado, N., </w:t>
      </w:r>
      <w:proofErr w:type="spellStart"/>
      <w:r w:rsidRPr="003047D4">
        <w:rPr>
          <w:rStyle w:val="bumpedfont15"/>
          <w:rFonts w:ascii="Arial" w:eastAsia="Times New Roman" w:hAnsi="Arial" w:cs="Arial"/>
          <w:color w:val="222222"/>
          <w:sz w:val="22"/>
          <w:szCs w:val="22"/>
          <w:shd w:val="clear" w:color="auto" w:fill="FFFFFF"/>
        </w:rPr>
        <w:t>Tissiman</w:t>
      </w:r>
      <w:proofErr w:type="spellEnd"/>
      <w:r w:rsidRPr="003047D4">
        <w:rPr>
          <w:rStyle w:val="bumpedfont15"/>
          <w:rFonts w:ascii="Arial" w:eastAsia="Times New Roman" w:hAnsi="Arial" w:cs="Arial"/>
          <w:color w:val="222222"/>
          <w:sz w:val="22"/>
          <w:szCs w:val="22"/>
          <w:shd w:val="clear" w:color="auto" w:fill="FFFFFF"/>
        </w:rPr>
        <w:t>, C., O'Connell, K., Eyers, E. and Faisal, M., 2023. Strategic workforce planning in health and social care–an international perspective: A scoping review. </w:t>
      </w:r>
      <w:r w:rsidRPr="003047D4">
        <w:rPr>
          <w:rStyle w:val="bumpedfont15"/>
          <w:rFonts w:ascii="Arial" w:eastAsia="Times New Roman" w:hAnsi="Arial" w:cs="Arial"/>
          <w:i/>
          <w:iCs/>
          <w:color w:val="222222"/>
          <w:sz w:val="22"/>
          <w:szCs w:val="22"/>
          <w:shd w:val="clear" w:color="auto" w:fill="FFFFFF"/>
        </w:rPr>
        <w:t>Health policy</w:t>
      </w:r>
      <w:r w:rsidRPr="003047D4">
        <w:rPr>
          <w:rStyle w:val="bumpedfont15"/>
          <w:rFonts w:ascii="Arial" w:eastAsia="Times New Roman" w:hAnsi="Arial" w:cs="Arial"/>
          <w:color w:val="222222"/>
          <w:sz w:val="22"/>
          <w:szCs w:val="22"/>
          <w:shd w:val="clear" w:color="auto" w:fill="FFFFFF"/>
        </w:rPr>
        <w:t>, </w:t>
      </w:r>
      <w:r w:rsidRPr="003047D4">
        <w:rPr>
          <w:rStyle w:val="bumpedfont15"/>
          <w:rFonts w:ascii="Arial" w:eastAsia="Times New Roman" w:hAnsi="Arial" w:cs="Arial"/>
          <w:i/>
          <w:iCs/>
          <w:color w:val="222222"/>
          <w:sz w:val="22"/>
          <w:szCs w:val="22"/>
          <w:shd w:val="clear" w:color="auto" w:fill="FFFFFF"/>
        </w:rPr>
        <w:t>132</w:t>
      </w:r>
      <w:r w:rsidRPr="003047D4">
        <w:rPr>
          <w:rStyle w:val="bumpedfont15"/>
          <w:rFonts w:ascii="Arial" w:eastAsia="Times New Roman" w:hAnsi="Arial" w:cs="Arial"/>
          <w:color w:val="222222"/>
          <w:sz w:val="22"/>
          <w:szCs w:val="22"/>
          <w:shd w:val="clear" w:color="auto" w:fill="FFFFFF"/>
        </w:rPr>
        <w:t>, p.104827.</w:t>
      </w:r>
    </w:p>
    <w:p w14:paraId="36308022" w14:textId="77777777" w:rsidR="009960B4" w:rsidRPr="002E5E1E" w:rsidRDefault="009960B4" w:rsidP="254FA7AC">
      <w:pPr>
        <w:shd w:val="clear" w:color="auto" w:fill="FFFFFF" w:themeFill="background1"/>
        <w:spacing w:before="75" w:after="75"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 xml:space="preserve">Tikkanen, R., Osborn, R., </w:t>
      </w:r>
      <w:proofErr w:type="spellStart"/>
      <w:r w:rsidRPr="002E5E1E">
        <w:rPr>
          <w:rFonts w:ascii="Arial" w:eastAsia="Times New Roman" w:hAnsi="Arial" w:cs="Arial"/>
          <w:color w:val="222222"/>
          <w:sz w:val="22"/>
          <w:szCs w:val="22"/>
          <w:shd w:val="clear" w:color="auto" w:fill="FFFFFF"/>
        </w:rPr>
        <w:t>Mossialos</w:t>
      </w:r>
      <w:proofErr w:type="spellEnd"/>
      <w:r w:rsidRPr="002E5E1E">
        <w:rPr>
          <w:rFonts w:ascii="Arial" w:eastAsia="Times New Roman" w:hAnsi="Arial" w:cs="Arial"/>
          <w:color w:val="222222"/>
          <w:sz w:val="22"/>
          <w:szCs w:val="22"/>
          <w:shd w:val="clear" w:color="auto" w:fill="FFFFFF"/>
        </w:rPr>
        <w:t>, E., Djordjevic, A. and Wharton, G.A., 2020. International health care system profiles.</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 xml:space="preserve">The Commonwealth Fund [Retrieved 23rd </w:t>
      </w:r>
      <w:bookmarkStart w:id="4" w:name="_Int_Nln0BAjS"/>
      <w:proofErr w:type="gramStart"/>
      <w:r w:rsidRPr="002E5E1E">
        <w:rPr>
          <w:rFonts w:ascii="Arial" w:eastAsia="Times New Roman" w:hAnsi="Arial" w:cs="Arial"/>
          <w:i/>
          <w:iCs/>
          <w:color w:val="222222"/>
          <w:sz w:val="22"/>
          <w:szCs w:val="22"/>
        </w:rPr>
        <w:t>March,</w:t>
      </w:r>
      <w:bookmarkEnd w:id="4"/>
      <w:proofErr w:type="gramEnd"/>
      <w:r w:rsidRPr="002E5E1E">
        <w:rPr>
          <w:rFonts w:ascii="Arial" w:eastAsia="Times New Roman" w:hAnsi="Arial" w:cs="Arial"/>
          <w:i/>
          <w:iCs/>
          <w:color w:val="222222"/>
          <w:sz w:val="22"/>
          <w:szCs w:val="22"/>
        </w:rPr>
        <w:t xml:space="preserve"> 2026]</w:t>
      </w:r>
      <w:r w:rsidRPr="002E5E1E">
        <w:rPr>
          <w:rFonts w:ascii="Arial" w:eastAsia="Times New Roman" w:hAnsi="Arial" w:cs="Arial"/>
          <w:color w:val="222222"/>
          <w:sz w:val="22"/>
          <w:szCs w:val="22"/>
          <w:shd w:val="clear" w:color="auto" w:fill="FFFFFF"/>
        </w:rPr>
        <w:t>.</w:t>
      </w:r>
    </w:p>
    <w:p w14:paraId="7DB07077" w14:textId="77777777" w:rsidR="009960B4" w:rsidRPr="002E5E1E" w:rsidRDefault="009960B4" w:rsidP="009960B4">
      <w:pPr>
        <w:spacing w:before="100" w:beforeAutospacing="1" w:after="100" w:afterAutospacing="1" w:line="360" w:lineRule="auto"/>
        <w:jc w:val="both"/>
        <w:rPr>
          <w:rFonts w:ascii="Arial" w:eastAsia="Times New Roman" w:hAnsi="Arial" w:cs="Arial"/>
          <w:color w:val="222222"/>
          <w:sz w:val="22"/>
          <w:szCs w:val="22"/>
          <w:shd w:val="clear" w:color="auto" w:fill="FFFFFF"/>
        </w:rPr>
      </w:pPr>
      <w:proofErr w:type="spellStart"/>
      <w:r w:rsidRPr="002E5E1E">
        <w:rPr>
          <w:rFonts w:ascii="Arial" w:eastAsia="Times New Roman" w:hAnsi="Arial" w:cs="Arial"/>
          <w:color w:val="222222"/>
          <w:sz w:val="22"/>
          <w:szCs w:val="22"/>
          <w:shd w:val="clear" w:color="auto" w:fill="FFFFFF"/>
        </w:rPr>
        <w:t>Vadean</w:t>
      </w:r>
      <w:proofErr w:type="spellEnd"/>
      <w:r w:rsidRPr="002E5E1E">
        <w:rPr>
          <w:rFonts w:ascii="Arial" w:eastAsia="Times New Roman" w:hAnsi="Arial" w:cs="Arial"/>
          <w:color w:val="222222"/>
          <w:sz w:val="22"/>
          <w:szCs w:val="22"/>
          <w:shd w:val="clear" w:color="auto" w:fill="FFFFFF"/>
        </w:rPr>
        <w:t>, F. and Allan, S., 2023. Labour market competition and wages in Adult Social Care. World Health Organization, 2021.</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Decade of healthy ageing: baseline report</w:t>
      </w:r>
      <w:r w:rsidRPr="002E5E1E">
        <w:rPr>
          <w:rFonts w:ascii="Arial" w:eastAsia="Times New Roman" w:hAnsi="Arial" w:cs="Arial"/>
          <w:color w:val="222222"/>
          <w:sz w:val="22"/>
          <w:szCs w:val="22"/>
          <w:shd w:val="clear" w:color="auto" w:fill="FFFFFF"/>
        </w:rPr>
        <w:t>. World Health Organization.</w:t>
      </w:r>
    </w:p>
    <w:p w14:paraId="74D77672" w14:textId="77777777" w:rsidR="009960B4" w:rsidRPr="002E5E1E" w:rsidRDefault="009960B4" w:rsidP="009960B4">
      <w:pPr>
        <w:spacing w:before="100" w:beforeAutospacing="1" w:after="100" w:afterAutospacing="1" w:line="360" w:lineRule="auto"/>
        <w:jc w:val="both"/>
        <w:rPr>
          <w:rFonts w:ascii="Arial" w:hAnsi="Arial" w:cs="Arial"/>
          <w:sz w:val="22"/>
          <w:szCs w:val="22"/>
        </w:rPr>
      </w:pPr>
      <w:r w:rsidRPr="002E5E1E">
        <w:rPr>
          <w:rFonts w:ascii="Arial" w:hAnsi="Arial" w:cs="Arial"/>
          <w:color w:val="222222"/>
          <w:sz w:val="22"/>
          <w:szCs w:val="22"/>
          <w:shd w:val="clear" w:color="auto" w:fill="FFFFFF"/>
        </w:rPr>
        <w:t>World Health Organization, 2021. </w:t>
      </w:r>
      <w:r w:rsidRPr="002E5E1E">
        <w:rPr>
          <w:rFonts w:ascii="Arial" w:hAnsi="Arial" w:cs="Arial"/>
          <w:i/>
          <w:iCs/>
          <w:color w:val="222222"/>
          <w:sz w:val="22"/>
          <w:szCs w:val="22"/>
          <w:shd w:val="clear" w:color="auto" w:fill="FFFFFF"/>
        </w:rPr>
        <w:t>Decade of healthy ageing: baseline report</w:t>
      </w:r>
      <w:r w:rsidRPr="002E5E1E">
        <w:rPr>
          <w:rFonts w:ascii="Arial" w:hAnsi="Arial" w:cs="Arial"/>
          <w:color w:val="222222"/>
          <w:sz w:val="22"/>
          <w:szCs w:val="22"/>
          <w:shd w:val="clear" w:color="auto" w:fill="FFFFFF"/>
        </w:rPr>
        <w:t>. World Health Organization.</w:t>
      </w:r>
    </w:p>
    <w:p w14:paraId="08E7DEF1" w14:textId="77777777" w:rsidR="009960B4" w:rsidRPr="002E5E1E" w:rsidRDefault="009960B4" w:rsidP="009960B4">
      <w:pPr>
        <w:spacing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World Health Organization, 2025.</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Integrated care for older people (‎ICOPE)‎: guidance for person-centred assessment and pathways in primary care</w:t>
      </w:r>
      <w:r w:rsidRPr="002E5E1E">
        <w:rPr>
          <w:rFonts w:ascii="Arial" w:eastAsia="Times New Roman" w:hAnsi="Arial" w:cs="Arial"/>
          <w:color w:val="222222"/>
          <w:sz w:val="22"/>
          <w:szCs w:val="22"/>
          <w:shd w:val="clear" w:color="auto" w:fill="FFFFFF"/>
        </w:rPr>
        <w:t>. World Health Organization.</w:t>
      </w:r>
    </w:p>
    <w:p w14:paraId="426069D7" w14:textId="77777777" w:rsidR="009960B4" w:rsidRPr="002E5E1E" w:rsidRDefault="009960B4" w:rsidP="009960B4">
      <w:pPr>
        <w:spacing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Wu, J., Xue, E., Huang, S., Fu, Y., Chen, D., Shao, J., Zhang, H., Tang, L. and Ye, Z., 2023. Facilitators and barriers of integrated care for older adults with multimorbidity: a descriptive qualitative study.</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Clinical interventions in aging</w:t>
      </w:r>
      <w:r w:rsidRPr="002E5E1E">
        <w:rPr>
          <w:rFonts w:ascii="Arial" w:eastAsia="Times New Roman" w:hAnsi="Arial" w:cs="Arial"/>
          <w:color w:val="222222"/>
          <w:sz w:val="22"/>
          <w:szCs w:val="22"/>
          <w:shd w:val="clear" w:color="auto" w:fill="FFFFFF"/>
        </w:rPr>
        <w:t>, pp.1973-1983.</w:t>
      </w:r>
    </w:p>
    <w:p w14:paraId="07C92FFB" w14:textId="77777777" w:rsidR="009960B4" w:rsidRPr="002E5E1E" w:rsidRDefault="009960B4" w:rsidP="009960B4">
      <w:pPr>
        <w:spacing w:line="360" w:lineRule="auto"/>
        <w:jc w:val="both"/>
        <w:rPr>
          <w:rFonts w:ascii="Arial" w:eastAsia="Times New Roman" w:hAnsi="Arial" w:cs="Arial"/>
          <w:color w:val="222222"/>
          <w:sz w:val="22"/>
          <w:szCs w:val="22"/>
          <w:shd w:val="clear" w:color="auto" w:fill="FFFFFF"/>
        </w:rPr>
      </w:pPr>
      <w:r w:rsidRPr="002E5E1E">
        <w:rPr>
          <w:rFonts w:ascii="Arial" w:eastAsia="Times New Roman" w:hAnsi="Arial" w:cs="Arial"/>
          <w:color w:val="222222"/>
          <w:sz w:val="22"/>
          <w:szCs w:val="22"/>
          <w:shd w:val="clear" w:color="auto" w:fill="FFFFFF"/>
        </w:rPr>
        <w:t>Yamada, M. and Arai, H., 2020. Long-term care system in Japan.</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Annals of geriatric medicine and research</w:t>
      </w:r>
      <w:r w:rsidRPr="002E5E1E">
        <w:rPr>
          <w:rFonts w:ascii="Arial" w:eastAsia="Times New Roman" w:hAnsi="Arial" w:cs="Arial"/>
          <w:color w:val="222222"/>
          <w:sz w:val="22"/>
          <w:szCs w:val="22"/>
          <w:shd w:val="clear" w:color="auto" w:fill="FFFFFF"/>
        </w:rPr>
        <w:t>,</w:t>
      </w:r>
      <w:r w:rsidRPr="002E5E1E">
        <w:rPr>
          <w:rStyle w:val="apple-converted-space"/>
          <w:rFonts w:ascii="Arial" w:eastAsia="Times New Roman" w:hAnsi="Arial" w:cs="Arial"/>
          <w:color w:val="222222"/>
          <w:sz w:val="22"/>
          <w:szCs w:val="22"/>
          <w:shd w:val="clear" w:color="auto" w:fill="FFFFFF"/>
        </w:rPr>
        <w:t> </w:t>
      </w:r>
      <w:r w:rsidRPr="002E5E1E">
        <w:rPr>
          <w:rFonts w:ascii="Arial" w:eastAsia="Times New Roman" w:hAnsi="Arial" w:cs="Arial"/>
          <w:i/>
          <w:iCs/>
          <w:color w:val="222222"/>
          <w:sz w:val="22"/>
          <w:szCs w:val="22"/>
        </w:rPr>
        <w:t>24</w:t>
      </w:r>
      <w:r w:rsidRPr="002E5E1E">
        <w:rPr>
          <w:rFonts w:ascii="Arial" w:eastAsia="Times New Roman" w:hAnsi="Arial" w:cs="Arial"/>
          <w:color w:val="222222"/>
          <w:sz w:val="22"/>
          <w:szCs w:val="22"/>
          <w:shd w:val="clear" w:color="auto" w:fill="FFFFFF"/>
        </w:rPr>
        <w:t>(3), p.174.</w:t>
      </w:r>
    </w:p>
    <w:p w14:paraId="4C425F9D" w14:textId="77777777" w:rsidR="009960B4" w:rsidRPr="003047D4" w:rsidRDefault="009960B4" w:rsidP="009960B4">
      <w:pPr>
        <w:spacing w:before="100" w:beforeAutospacing="1" w:after="100" w:afterAutospacing="1" w:line="360" w:lineRule="auto"/>
        <w:jc w:val="both"/>
        <w:rPr>
          <w:rFonts w:ascii="Arial" w:hAnsi="Arial" w:cs="Arial"/>
          <w:b/>
          <w:bCs/>
          <w:sz w:val="22"/>
          <w:szCs w:val="22"/>
        </w:rPr>
      </w:pPr>
    </w:p>
    <w:p w14:paraId="4A8EEC17" w14:textId="6CFD52E2" w:rsidR="0051B5DC" w:rsidRDefault="0051B5DC" w:rsidP="0051B5DC">
      <w:pPr>
        <w:jc w:val="center"/>
        <w:rPr>
          <w:rFonts w:ascii="Arial" w:eastAsia="Arial" w:hAnsi="Arial" w:cs="Arial"/>
          <w:sz w:val="22"/>
          <w:szCs w:val="22"/>
        </w:rPr>
      </w:pPr>
    </w:p>
    <w:p w14:paraId="538B3E4B" w14:textId="464A8331" w:rsidR="0051B5DC" w:rsidRDefault="0051B5DC" w:rsidP="0051B5DC">
      <w:pPr>
        <w:jc w:val="center"/>
        <w:rPr>
          <w:rFonts w:ascii="Arial" w:eastAsia="Arial" w:hAnsi="Arial" w:cs="Arial"/>
          <w:b/>
          <w:bCs/>
          <w:sz w:val="32"/>
          <w:szCs w:val="32"/>
        </w:rPr>
      </w:pPr>
    </w:p>
    <w:p w14:paraId="52DC83AE" w14:textId="5AA03A2E" w:rsidR="0051B5DC" w:rsidRDefault="0051B5DC" w:rsidP="0051B5DC">
      <w:pPr>
        <w:jc w:val="center"/>
        <w:rPr>
          <w:rFonts w:ascii="Arial" w:eastAsia="Arial" w:hAnsi="Arial" w:cs="Arial"/>
          <w:b/>
          <w:bCs/>
          <w:sz w:val="32"/>
          <w:szCs w:val="32"/>
        </w:rPr>
      </w:pPr>
    </w:p>
    <w:p w14:paraId="5C9AE201" w14:textId="578150E2" w:rsidR="0051B5DC" w:rsidRDefault="0051B5DC" w:rsidP="0051B5DC">
      <w:pPr>
        <w:jc w:val="center"/>
        <w:rPr>
          <w:rFonts w:ascii="Arial" w:eastAsia="Arial" w:hAnsi="Arial" w:cs="Arial"/>
          <w:b/>
          <w:bCs/>
          <w:sz w:val="32"/>
          <w:szCs w:val="32"/>
        </w:rPr>
      </w:pPr>
    </w:p>
    <w:p w14:paraId="6D9CB2DF" w14:textId="68A08EB8" w:rsidR="0051B5DC" w:rsidRDefault="0051B5DC" w:rsidP="0051B5DC">
      <w:pPr>
        <w:jc w:val="center"/>
        <w:rPr>
          <w:rFonts w:ascii="Arial" w:eastAsia="Arial" w:hAnsi="Arial" w:cs="Arial"/>
          <w:b/>
          <w:bCs/>
          <w:sz w:val="32"/>
          <w:szCs w:val="32"/>
        </w:rPr>
      </w:pPr>
    </w:p>
    <w:p w14:paraId="5EE523B7" w14:textId="692A8BA2" w:rsidR="0051B5DC" w:rsidRDefault="0051B5DC" w:rsidP="0051B5DC">
      <w:pPr>
        <w:jc w:val="center"/>
        <w:rPr>
          <w:rFonts w:ascii="Arial" w:eastAsia="Arial" w:hAnsi="Arial" w:cs="Arial"/>
          <w:sz w:val="22"/>
          <w:szCs w:val="22"/>
        </w:rPr>
      </w:pPr>
    </w:p>
    <w:sectPr w:rsidR="0051B5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Z0fEDJ5OJDQUEG" int2:id="45RWZtNM">
      <int2:state int2:value="Rejected" int2:type="spell"/>
    </int2:textHash>
    <int2:textHash int2:hashCode="7H8mw6+FSqle3x" int2:id="5aDJX7jK">
      <int2:state int2:value="Rejected" int2:type="spell"/>
    </int2:textHash>
    <int2:textHash int2:hashCode="962wsP9QCafTcs" int2:id="B3GXVL1q">
      <int2:state int2:value="Rejected" int2:type="spell"/>
    </int2:textHash>
    <int2:textHash int2:hashCode="+rOmi2+ZDs/+s3" int2:id="DZbUwGtH">
      <int2:state int2:value="Rejected" int2:type="spell"/>
    </int2:textHash>
    <int2:textHash int2:hashCode="HDgVmmEViCFma7" int2:id="SjU5aNjC">
      <int2:state int2:value="Rejected" int2:type="spell"/>
    </int2:textHash>
    <int2:textHash int2:hashCode="Ef53+qmgAlV5pi" int2:id="cYL6oY5Q">
      <int2:state int2:value="Rejected" int2:type="spell"/>
    </int2:textHash>
    <int2:textHash int2:hashCode="08Z/w10NirvVUK" int2:id="j0b4HP9t">
      <int2:state int2:value="Rejected" int2:type="spell"/>
    </int2:textHash>
    <int2:textHash int2:hashCode="PcWxT1FLGVEDy4" int2:id="qwGUajf5">
      <int2:state int2:value="Rejected" int2:type="spell"/>
    </int2:textHash>
    <int2:textHash int2:hashCode="8MA7sfFGX1VCWN" int2:id="rbwmXSkp">
      <int2:state int2:value="Rejected" int2:type="spell"/>
    </int2:textHash>
    <int2:textHash int2:hashCode="BquQNcZN+/yFE+" int2:id="sGfXMleG">
      <int2:state int2:value="Rejected" int2:type="spell"/>
    </int2:textHash>
    <int2:bookmark int2:bookmarkName="_Int_NEObzmxs" int2:invalidationBookmarkName="" int2:hashCode="sNIDdohFb+8RpT" int2:id="6agjylp1">
      <int2:state int2:value="Rejected" int2:type="gram"/>
    </int2:bookmark>
    <int2:bookmark int2:bookmarkName="_Int_lj5KH5DA" int2:invalidationBookmarkName="" int2:hashCode="p7J8aYgLY/GtnW" int2:id="CPgljmWk">
      <int2:state int2:value="Rejected" int2:type="gram"/>
    </int2:bookmark>
    <int2:bookmark int2:bookmarkName="_Int_p0fmCmmY" int2:invalidationBookmarkName="" int2:hashCode="B4Bc693/L9y/fS" int2:id="LJScIDnF">
      <int2:state int2:value="Rejected" int2:type="style"/>
    </int2:bookmark>
    <int2:bookmark int2:bookmarkName="_Int_Nln0BAjS" int2:invalidationBookmarkName="" int2:hashCode="sNIDdohFb+8RpT" int2:id="gpkWb5aa">
      <int2:state int2:value="Rejected" int2:type="gram"/>
    </int2:bookmark>
    <int2:bookmark int2:bookmarkName="_Int_X4B4m3Pa" int2:invalidationBookmarkName="" int2:hashCode="dTZw3LPZc9DTpe" int2:id="zNs8U8P8">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2F48"/>
    <w:multiLevelType w:val="hybridMultilevel"/>
    <w:tmpl w:val="3D3C7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F54068"/>
    <w:multiLevelType w:val="hybridMultilevel"/>
    <w:tmpl w:val="288E5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953721">
    <w:abstractNumId w:val="1"/>
  </w:num>
  <w:num w:numId="2" w16cid:durableId="1096752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21FAD1"/>
    <w:rsid w:val="001707A5"/>
    <w:rsid w:val="002A508D"/>
    <w:rsid w:val="002E6E2A"/>
    <w:rsid w:val="00330DC4"/>
    <w:rsid w:val="00495BC5"/>
    <w:rsid w:val="004C31F4"/>
    <w:rsid w:val="0051B5DC"/>
    <w:rsid w:val="008A6C92"/>
    <w:rsid w:val="009960B4"/>
    <w:rsid w:val="00AB46C0"/>
    <w:rsid w:val="00E013EC"/>
    <w:rsid w:val="01494048"/>
    <w:rsid w:val="02608E14"/>
    <w:rsid w:val="05E5ABAA"/>
    <w:rsid w:val="065AC034"/>
    <w:rsid w:val="0B0E966D"/>
    <w:rsid w:val="0C5FDAD7"/>
    <w:rsid w:val="0EB5624F"/>
    <w:rsid w:val="0F17A79C"/>
    <w:rsid w:val="137CD409"/>
    <w:rsid w:val="1670D54D"/>
    <w:rsid w:val="17E53332"/>
    <w:rsid w:val="1AB4FBC2"/>
    <w:rsid w:val="1BF83F38"/>
    <w:rsid w:val="1DD94174"/>
    <w:rsid w:val="1E14AA08"/>
    <w:rsid w:val="1F89DA3B"/>
    <w:rsid w:val="2128FC8A"/>
    <w:rsid w:val="22081BBF"/>
    <w:rsid w:val="228FECCF"/>
    <w:rsid w:val="24CE4987"/>
    <w:rsid w:val="25387ED2"/>
    <w:rsid w:val="254FA7AC"/>
    <w:rsid w:val="2838F93E"/>
    <w:rsid w:val="29860958"/>
    <w:rsid w:val="2A218437"/>
    <w:rsid w:val="2A861D1F"/>
    <w:rsid w:val="2C0293B8"/>
    <w:rsid w:val="2CBC5AC9"/>
    <w:rsid w:val="2EF206B5"/>
    <w:rsid w:val="2F55F431"/>
    <w:rsid w:val="319FD053"/>
    <w:rsid w:val="31AE5446"/>
    <w:rsid w:val="31B4AFCC"/>
    <w:rsid w:val="326023EF"/>
    <w:rsid w:val="33344D1A"/>
    <w:rsid w:val="347C06B6"/>
    <w:rsid w:val="39BB4D82"/>
    <w:rsid w:val="3A48AD6E"/>
    <w:rsid w:val="3AC7DF68"/>
    <w:rsid w:val="3AFDFBDE"/>
    <w:rsid w:val="3B73574C"/>
    <w:rsid w:val="3B763AF1"/>
    <w:rsid w:val="3C460821"/>
    <w:rsid w:val="4329F1CA"/>
    <w:rsid w:val="43704393"/>
    <w:rsid w:val="445C2115"/>
    <w:rsid w:val="45D135B8"/>
    <w:rsid w:val="486EE1FE"/>
    <w:rsid w:val="4997AAB0"/>
    <w:rsid w:val="49B7D6DB"/>
    <w:rsid w:val="4A845394"/>
    <w:rsid w:val="4B33590B"/>
    <w:rsid w:val="4CCA570B"/>
    <w:rsid w:val="4DC2A6A2"/>
    <w:rsid w:val="4DDDBEDA"/>
    <w:rsid w:val="4E1559BC"/>
    <w:rsid w:val="4E1FA72F"/>
    <w:rsid w:val="4F60E1B3"/>
    <w:rsid w:val="51D85C03"/>
    <w:rsid w:val="5521FAD1"/>
    <w:rsid w:val="56F3BE03"/>
    <w:rsid w:val="5724B2BA"/>
    <w:rsid w:val="5763EA46"/>
    <w:rsid w:val="59757E2C"/>
    <w:rsid w:val="5B0F68CC"/>
    <w:rsid w:val="5B792D04"/>
    <w:rsid w:val="5C23293C"/>
    <w:rsid w:val="5C81BB93"/>
    <w:rsid w:val="5D41BA8C"/>
    <w:rsid w:val="60986359"/>
    <w:rsid w:val="6430DC29"/>
    <w:rsid w:val="6558F99F"/>
    <w:rsid w:val="65AEBD75"/>
    <w:rsid w:val="67893BEB"/>
    <w:rsid w:val="679D388B"/>
    <w:rsid w:val="6A1DE6DE"/>
    <w:rsid w:val="6A82A32A"/>
    <w:rsid w:val="6B9AEC43"/>
    <w:rsid w:val="6C5DD591"/>
    <w:rsid w:val="6F0FAF94"/>
    <w:rsid w:val="6F4CCF51"/>
    <w:rsid w:val="7077691B"/>
    <w:rsid w:val="70E8BDF2"/>
    <w:rsid w:val="718A3698"/>
    <w:rsid w:val="72EA4FB7"/>
    <w:rsid w:val="7A238631"/>
    <w:rsid w:val="7A6DDFA6"/>
    <w:rsid w:val="7BC54E0E"/>
    <w:rsid w:val="7E695944"/>
    <w:rsid w:val="7EDDB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1FAD1"/>
  <w15:chartTrackingRefBased/>
  <w15:docId w15:val="{801B3CB2-FA36-4D2A-A414-A6E2EE1A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960B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60B4"/>
    <w:rPr>
      <w:rFonts w:asciiTheme="majorHAnsi" w:eastAsiaTheme="majorEastAsia" w:hAnsiTheme="majorHAnsi" w:cstheme="majorBidi"/>
      <w:color w:val="0F4761" w:themeColor="accent1" w:themeShade="BF"/>
      <w:kern w:val="2"/>
      <w:sz w:val="32"/>
      <w:szCs w:val="32"/>
      <w:lang w:eastAsia="en-GB"/>
      <w14:ligatures w14:val="standardContextual"/>
    </w:rPr>
  </w:style>
  <w:style w:type="paragraph" w:styleId="ListParagraph">
    <w:name w:val="List Paragraph"/>
    <w:basedOn w:val="Normal"/>
    <w:uiPriority w:val="34"/>
    <w:qFormat/>
    <w:rsid w:val="009960B4"/>
    <w:pPr>
      <w:spacing w:line="278" w:lineRule="auto"/>
      <w:ind w:left="720"/>
      <w:contextualSpacing/>
    </w:pPr>
    <w:rPr>
      <w:kern w:val="2"/>
      <w:lang w:eastAsia="en-GB"/>
      <w14:ligatures w14:val="standardContextual"/>
    </w:rPr>
  </w:style>
  <w:style w:type="character" w:customStyle="1" w:styleId="s1">
    <w:name w:val="s1"/>
    <w:basedOn w:val="DefaultParagraphFont"/>
    <w:rsid w:val="009960B4"/>
  </w:style>
  <w:style w:type="character" w:customStyle="1" w:styleId="s2">
    <w:name w:val="s2"/>
    <w:basedOn w:val="DefaultParagraphFont"/>
    <w:rsid w:val="009960B4"/>
  </w:style>
  <w:style w:type="character" w:customStyle="1" w:styleId="apple-converted-space">
    <w:name w:val="apple-converted-space"/>
    <w:basedOn w:val="DefaultParagraphFont"/>
    <w:rsid w:val="009960B4"/>
  </w:style>
  <w:style w:type="character" w:customStyle="1" w:styleId="s3">
    <w:name w:val="s3"/>
    <w:basedOn w:val="DefaultParagraphFont"/>
    <w:rsid w:val="009960B4"/>
  </w:style>
  <w:style w:type="paragraph" w:customStyle="1" w:styleId="p1">
    <w:name w:val="p1"/>
    <w:basedOn w:val="Normal"/>
    <w:rsid w:val="009960B4"/>
    <w:pPr>
      <w:spacing w:before="100" w:beforeAutospacing="1" w:after="100" w:afterAutospacing="1" w:line="240" w:lineRule="auto"/>
    </w:pPr>
    <w:rPr>
      <w:rFonts w:ascii="Times New Roman" w:hAnsi="Times New Roman" w:cs="Times New Roman"/>
      <w:lang w:eastAsia="en-GB"/>
    </w:rPr>
  </w:style>
  <w:style w:type="table" w:styleId="TableGrid">
    <w:name w:val="Table Grid"/>
    <w:basedOn w:val="TableNormal"/>
    <w:uiPriority w:val="39"/>
    <w:rsid w:val="009960B4"/>
    <w:pPr>
      <w:spacing w:after="0" w:line="240" w:lineRule="auto"/>
    </w:pPr>
    <w:rPr>
      <w:kern w:val="2"/>
      <w:lang w:eastAsia="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6">
    <w:name w:val="s6"/>
    <w:basedOn w:val="Normal"/>
    <w:rsid w:val="009960B4"/>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9960B4"/>
  </w:style>
  <w:style w:type="character" w:styleId="Hyperlink">
    <w:name w:val="Hyperlink"/>
    <w:basedOn w:val="DefaultParagraphFont"/>
    <w:uiPriority w:val="99"/>
    <w:unhideWhenUsed/>
    <w:rsid w:val="009960B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ngsfund.org.uk/insight-and-analysis/long-reads/social-care-360" TargetMode="External"/><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4379</Words>
  <Characters>24964</Characters>
  <Application>Microsoft Office Word</Application>
  <DocSecurity>0</DocSecurity>
  <Lines>208</Lines>
  <Paragraphs>58</Paragraphs>
  <ScaleCrop>false</ScaleCrop>
  <Company/>
  <LinksUpToDate>false</LinksUpToDate>
  <CharactersWithSpaces>29285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Akpan (2309192)</dc:creator>
  <cp:keywords/>
  <dc:description/>
  <cp:lastModifiedBy>Rose Akpan (2309192)</cp:lastModifiedBy>
  <cp:revision>11</cp:revision>
  <dcterms:created xsi:type="dcterms:W3CDTF">2026-03-25T11:44:00Z</dcterms:created>
  <dcterms:modified xsi:type="dcterms:W3CDTF">2026-03-27T11:21:00Z</dcterms:modified>
</cp:coreProperties>
</file>