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14DE" w:rsidRDefault="00C314DE" w:rsidP="00C314DE">
      <w:pPr>
        <w:rPr>
          <w:rFonts w:cs="Arial"/>
          <w:color w:val="58595B"/>
          <w:sz w:val="36"/>
          <w:szCs w:val="36"/>
        </w:rPr>
      </w:pPr>
      <w:r>
        <w:rPr>
          <w:rFonts w:cs="Arial"/>
          <w:color w:val="58595B"/>
          <w:sz w:val="36"/>
          <w:szCs w:val="36"/>
        </w:rPr>
        <w:t>Qualification: CIPD Diploma in Applied Human Resources</w:t>
      </w:r>
    </w:p>
    <w:p w:rsidR="00C314DE" w:rsidRDefault="00C314DE" w:rsidP="00C314DE">
      <w:pPr>
        <w:rPr>
          <w:rFonts w:cs="Arial"/>
          <w:color w:val="58595B"/>
          <w:sz w:val="36"/>
          <w:szCs w:val="36"/>
        </w:rPr>
      </w:pPr>
    </w:p>
    <w:p w:rsidR="00C314DE" w:rsidRDefault="00C314DE" w:rsidP="00C314DE">
      <w:pPr>
        <w:rPr>
          <w:rFonts w:cs="Arial"/>
          <w:color w:val="58595B"/>
          <w:sz w:val="36"/>
          <w:szCs w:val="36"/>
        </w:rPr>
      </w:pPr>
      <w:r>
        <w:rPr>
          <w:rFonts w:cs="Arial"/>
          <w:color w:val="58595B"/>
          <w:sz w:val="36"/>
          <w:szCs w:val="36"/>
        </w:rPr>
        <w:t>Module Name: Understa</w:t>
      </w:r>
      <w:r>
        <w:rPr>
          <w:rFonts w:cs="Arial"/>
          <w:color w:val="58595B"/>
          <w:sz w:val="36"/>
          <w:szCs w:val="36"/>
        </w:rPr>
        <w:t>nding Employment Law</w:t>
      </w:r>
    </w:p>
    <w:p w:rsidR="00C314DE" w:rsidRDefault="00C314DE" w:rsidP="00C314DE">
      <w:pPr>
        <w:rPr>
          <w:rFonts w:cs="Arial"/>
          <w:color w:val="58595B"/>
          <w:sz w:val="36"/>
          <w:szCs w:val="36"/>
        </w:rPr>
      </w:pPr>
    </w:p>
    <w:p w:rsidR="00C314DE" w:rsidRDefault="00C314DE" w:rsidP="00C314DE">
      <w:pPr>
        <w:rPr>
          <w:rFonts w:cs="Arial"/>
          <w:color w:val="58595B"/>
          <w:sz w:val="36"/>
          <w:szCs w:val="36"/>
        </w:rPr>
      </w:pPr>
    </w:p>
    <w:p w:rsidR="00C314DE" w:rsidRDefault="00C314DE" w:rsidP="00C314DE">
      <w:pPr>
        <w:rPr>
          <w:rFonts w:cs="Arial"/>
          <w:color w:val="58595B"/>
          <w:sz w:val="36"/>
          <w:szCs w:val="36"/>
        </w:rPr>
      </w:pPr>
      <w:r>
        <w:rPr>
          <w:rFonts w:cs="Arial"/>
          <w:color w:val="58595B"/>
          <w:sz w:val="36"/>
          <w:szCs w:val="36"/>
        </w:rPr>
        <w:t>Word Count:  4416</w:t>
      </w:r>
    </w:p>
    <w:p w:rsidR="00C314DE" w:rsidRDefault="00C314DE" w:rsidP="00C314DE">
      <w:pPr>
        <w:rPr>
          <w:rFonts w:cs="Arial"/>
          <w:color w:val="58595B"/>
          <w:sz w:val="36"/>
          <w:szCs w:val="36"/>
        </w:rPr>
      </w:pPr>
    </w:p>
    <w:p w:rsidR="00C314DE" w:rsidRDefault="00C314DE" w:rsidP="00C314DE">
      <w:pPr>
        <w:rPr>
          <w:rFonts w:cs="Arial"/>
          <w:color w:val="58595B"/>
          <w:sz w:val="36"/>
          <w:szCs w:val="36"/>
        </w:rPr>
      </w:pPr>
    </w:p>
    <w:p w:rsidR="00C314DE" w:rsidRDefault="00C314DE" w:rsidP="00C314DE">
      <w:pPr>
        <w:rPr>
          <w:rFonts w:cs="Arial"/>
          <w:color w:val="58595B"/>
          <w:sz w:val="36"/>
          <w:szCs w:val="36"/>
        </w:rPr>
      </w:pPr>
      <w:r>
        <w:rPr>
          <w:rFonts w:cs="Arial"/>
          <w:color w:val="58595B"/>
          <w:sz w:val="36"/>
          <w:szCs w:val="36"/>
        </w:rPr>
        <w:t>Student Name:  Mrs Angela May Procter</w:t>
      </w:r>
    </w:p>
    <w:p w:rsidR="00C314DE" w:rsidRDefault="00C314DE" w:rsidP="00C314DE">
      <w:pPr>
        <w:rPr>
          <w:rFonts w:cs="Arial"/>
          <w:color w:val="58595B"/>
          <w:sz w:val="36"/>
          <w:szCs w:val="36"/>
        </w:rPr>
      </w:pPr>
      <w:r>
        <w:rPr>
          <w:rFonts w:cs="Arial"/>
          <w:color w:val="58595B"/>
          <w:sz w:val="36"/>
          <w:szCs w:val="36"/>
        </w:rPr>
        <w:t xml:space="preserve">Student Number:  2015609  </w:t>
      </w:r>
    </w:p>
    <w:p w:rsidR="00C314DE" w:rsidRDefault="00C314DE" w:rsidP="00C314DE">
      <w:pPr>
        <w:rPr>
          <w:rFonts w:cs="Arial"/>
          <w:color w:val="58595B"/>
          <w:sz w:val="36"/>
          <w:szCs w:val="36"/>
        </w:rPr>
      </w:pPr>
      <w:r>
        <w:rPr>
          <w:rFonts w:cs="Arial"/>
          <w:color w:val="58595B"/>
          <w:sz w:val="36"/>
          <w:szCs w:val="36"/>
        </w:rPr>
        <w:t xml:space="preserve">CIPD Membership Number:  54466106  </w:t>
      </w:r>
    </w:p>
    <w:p w:rsidR="00C314DE" w:rsidRDefault="00C314DE" w:rsidP="00C314DE">
      <w:pPr>
        <w:rPr>
          <w:rFonts w:cs="Arial"/>
          <w:color w:val="58595B"/>
          <w:sz w:val="36"/>
          <w:szCs w:val="36"/>
        </w:rPr>
      </w:pPr>
    </w:p>
    <w:p w:rsidR="00C314DE" w:rsidRDefault="00C314DE" w:rsidP="00C314DE">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C314DE" w:rsidRDefault="00C314DE" w:rsidP="00C314DE">
      <w:pPr>
        <w:rPr>
          <w:rFonts w:cs="Arial"/>
          <w:color w:val="58595B"/>
          <w:sz w:val="36"/>
          <w:szCs w:val="36"/>
        </w:rPr>
      </w:pPr>
    </w:p>
    <w:p w:rsidR="00C314DE" w:rsidRDefault="00C314DE" w:rsidP="00C314DE">
      <w:pPr>
        <w:rPr>
          <w:rFonts w:cs="Arial"/>
          <w:color w:val="58595B"/>
          <w:sz w:val="36"/>
          <w:szCs w:val="36"/>
        </w:rPr>
      </w:pPr>
      <w:r>
        <w:rPr>
          <w:rFonts w:cs="Arial"/>
          <w:color w:val="58595B"/>
          <w:sz w:val="36"/>
          <w:szCs w:val="36"/>
        </w:rPr>
        <w:t>Signed:  A M Procter</w:t>
      </w:r>
      <w:bookmarkStart w:id="0" w:name="_GoBack"/>
      <w:bookmarkEnd w:id="0"/>
    </w:p>
    <w:p w:rsidR="00C314DE" w:rsidRDefault="00C314DE" w:rsidP="00C314DE">
      <w:pPr>
        <w:rPr>
          <w:rFonts w:cs="Arial"/>
          <w:color w:val="58595B"/>
          <w:sz w:val="36"/>
          <w:szCs w:val="36"/>
        </w:rPr>
      </w:pPr>
      <w:r>
        <w:rPr>
          <w:rFonts w:cs="Arial"/>
          <w:color w:val="58595B"/>
          <w:sz w:val="36"/>
          <w:szCs w:val="36"/>
        </w:rPr>
        <w:t xml:space="preserve">Date:    </w:t>
      </w:r>
      <w:r>
        <w:rPr>
          <w:rFonts w:cs="Arial"/>
          <w:color w:val="58595B"/>
          <w:sz w:val="36"/>
          <w:szCs w:val="36"/>
        </w:rPr>
        <w:t>19/04</w:t>
      </w:r>
      <w:r>
        <w:rPr>
          <w:rFonts w:cs="Arial"/>
          <w:color w:val="58595B"/>
          <w:sz w:val="36"/>
          <w:szCs w:val="36"/>
        </w:rPr>
        <w:t>/2021</w:t>
      </w:r>
    </w:p>
    <w:p w:rsidR="00C314DE" w:rsidRDefault="00C314DE" w:rsidP="008E052E">
      <w:pPr>
        <w:rPr>
          <w:rFonts w:cs="Arial"/>
          <w:i/>
        </w:rPr>
        <w:sectPr w:rsidR="00C314DE">
          <w:pgSz w:w="11906" w:h="16838"/>
          <w:pgMar w:top="1440" w:right="1440" w:bottom="1440" w:left="1440" w:header="708" w:footer="708" w:gutter="0"/>
          <w:cols w:space="708"/>
          <w:docGrid w:linePitch="360"/>
        </w:sectPr>
      </w:pPr>
    </w:p>
    <w:p w:rsidR="00570052" w:rsidRPr="008E052E" w:rsidRDefault="00FF5FA3" w:rsidP="008E052E">
      <w:pPr>
        <w:rPr>
          <w:rFonts w:cs="Arial"/>
        </w:rPr>
      </w:pPr>
      <w:r w:rsidRPr="008E052E">
        <w:rPr>
          <w:rFonts w:cs="Arial"/>
          <w:i/>
        </w:rPr>
        <w:lastRenderedPageBreak/>
        <w:br/>
      </w:r>
    </w:p>
    <w:p w:rsidR="00250F94" w:rsidRDefault="00250F94" w:rsidP="00CF31DB">
      <w:pPr>
        <w:pStyle w:val="ListParagraph"/>
        <w:ind w:left="360"/>
        <w:rPr>
          <w:rFonts w:cs="Arial"/>
        </w:rPr>
      </w:pPr>
    </w:p>
    <w:p w:rsidR="00A72E2E" w:rsidRDefault="00570052" w:rsidP="00CF31DB">
      <w:pPr>
        <w:pStyle w:val="ListParagraph"/>
        <w:ind w:left="360"/>
        <w:rPr>
          <w:rFonts w:cs="Arial"/>
        </w:rPr>
      </w:pPr>
      <w:r>
        <w:rPr>
          <w:rFonts w:cs="Arial"/>
        </w:rPr>
        <w:t>The Purpose of Employment Law</w:t>
      </w:r>
    </w:p>
    <w:p w:rsidR="00570052" w:rsidRDefault="00570052" w:rsidP="00CF31DB">
      <w:pPr>
        <w:pStyle w:val="ListParagraph"/>
        <w:ind w:left="360"/>
        <w:rPr>
          <w:rFonts w:cs="Arial"/>
        </w:rPr>
      </w:pPr>
    </w:p>
    <w:p w:rsidR="00CF31DB" w:rsidRDefault="00113C97" w:rsidP="00CF31DB">
      <w:pPr>
        <w:pStyle w:val="ListParagraph"/>
        <w:ind w:left="360"/>
        <w:rPr>
          <w:rFonts w:cs="Arial"/>
        </w:rPr>
      </w:pPr>
      <w:r>
        <w:rPr>
          <w:rFonts w:cs="Arial"/>
        </w:rPr>
        <w:t xml:space="preserve">The purpose of employment law is to </w:t>
      </w:r>
      <w:r w:rsidR="00861475">
        <w:rPr>
          <w:rFonts w:cs="Arial"/>
        </w:rPr>
        <w:t>“</w:t>
      </w:r>
      <w:r>
        <w:rPr>
          <w:rFonts w:cs="Arial"/>
        </w:rPr>
        <w:t xml:space="preserve">regulate the relationship between </w:t>
      </w:r>
      <w:r w:rsidR="00861475">
        <w:rPr>
          <w:rFonts w:cs="Arial"/>
        </w:rPr>
        <w:t xml:space="preserve">the employer </w:t>
      </w:r>
      <w:r>
        <w:rPr>
          <w:rFonts w:cs="Arial"/>
        </w:rPr>
        <w:t>and employee</w:t>
      </w:r>
      <w:r w:rsidR="00861475">
        <w:rPr>
          <w:rFonts w:cs="Arial"/>
        </w:rPr>
        <w:t>”</w:t>
      </w:r>
      <w:r w:rsidR="0017175A">
        <w:rPr>
          <w:rFonts w:cs="Arial"/>
        </w:rPr>
        <w:t xml:space="preserve"> Daniels </w:t>
      </w:r>
      <w:r w:rsidR="00790D4B">
        <w:rPr>
          <w:rFonts w:cs="Arial"/>
        </w:rPr>
        <w:t>(2019)</w:t>
      </w:r>
      <w:r w:rsidR="00067002" w:rsidRPr="00067002">
        <w:rPr>
          <w:rFonts w:cs="Arial"/>
        </w:rPr>
        <w:t>.</w:t>
      </w:r>
      <w:r w:rsidR="0017175A">
        <w:rPr>
          <w:rFonts w:cs="Arial"/>
        </w:rPr>
        <w:t xml:space="preserve"> It aims to provide legal protection to employers and their employees to ensure fairness on both sides by balancing the expectations of the job with the rights of the employee.</w:t>
      </w:r>
      <w:r w:rsidR="00B93A5C">
        <w:rPr>
          <w:rFonts w:cs="Arial"/>
        </w:rPr>
        <w:t xml:space="preserve">  This balance is often contested as it was originally considered weighted in favour of the employee </w:t>
      </w:r>
      <w:r w:rsidR="000541CC">
        <w:rPr>
          <w:rFonts w:cs="Arial"/>
        </w:rPr>
        <w:t>so</w:t>
      </w:r>
      <w:r w:rsidR="00B93A5C">
        <w:rPr>
          <w:rFonts w:cs="Arial"/>
        </w:rPr>
        <w:t xml:space="preserve"> new employment legislation </w:t>
      </w:r>
      <w:r w:rsidR="00C864E3">
        <w:rPr>
          <w:rFonts w:cs="Arial"/>
        </w:rPr>
        <w:t>has been introduced to try and rebalance power</w:t>
      </w:r>
      <w:r w:rsidR="00055AE4">
        <w:rPr>
          <w:rFonts w:cs="Arial"/>
        </w:rPr>
        <w:t>,</w:t>
      </w:r>
      <w:r w:rsidR="00C864E3">
        <w:rPr>
          <w:rFonts w:cs="Arial"/>
        </w:rPr>
        <w:t xml:space="preserve"> </w:t>
      </w:r>
      <w:r w:rsidR="00055AE4">
        <w:rPr>
          <w:rFonts w:cs="Arial"/>
        </w:rPr>
        <w:t>one such change</w:t>
      </w:r>
      <w:r w:rsidR="00C864E3">
        <w:rPr>
          <w:rFonts w:cs="Arial"/>
        </w:rPr>
        <w:t xml:space="preserve"> led to the introduction of the National Minimum Wage.  Further change is expected following the UK’s decision to leave the European Union (EU) as it is now free to repeal or amend any law as and when it wishes to.</w:t>
      </w:r>
      <w:r w:rsidR="006633E4">
        <w:rPr>
          <w:rFonts w:cs="Arial"/>
        </w:rPr>
        <w:t xml:space="preserve">  </w:t>
      </w:r>
    </w:p>
    <w:p w:rsidR="00C864E3" w:rsidRDefault="00C864E3" w:rsidP="00CF31DB">
      <w:pPr>
        <w:pStyle w:val="ListParagraph"/>
        <w:ind w:left="360"/>
        <w:rPr>
          <w:rFonts w:cs="Arial"/>
        </w:rPr>
      </w:pPr>
    </w:p>
    <w:p w:rsidR="00D93FB2" w:rsidRDefault="00D93FB2" w:rsidP="00CF31DB">
      <w:pPr>
        <w:pStyle w:val="ListParagraph"/>
        <w:ind w:left="360"/>
        <w:rPr>
          <w:rFonts w:cs="Arial"/>
        </w:rPr>
      </w:pPr>
      <w:r>
        <w:rPr>
          <w:rFonts w:cs="Arial"/>
        </w:rPr>
        <w:t>Employment Law Enforcement</w:t>
      </w:r>
    </w:p>
    <w:p w:rsidR="00D93FB2" w:rsidRDefault="00D93FB2" w:rsidP="00CF31DB">
      <w:pPr>
        <w:pStyle w:val="ListParagraph"/>
        <w:ind w:left="360"/>
        <w:rPr>
          <w:rFonts w:cs="Arial"/>
        </w:rPr>
      </w:pPr>
    </w:p>
    <w:p w:rsidR="00C864E3" w:rsidRDefault="00C864E3" w:rsidP="00CF31DB">
      <w:pPr>
        <w:pStyle w:val="ListParagraph"/>
        <w:ind w:left="360"/>
        <w:rPr>
          <w:rFonts w:cs="Arial"/>
        </w:rPr>
      </w:pPr>
      <w:r>
        <w:rPr>
          <w:rFonts w:cs="Arial"/>
        </w:rPr>
        <w:t xml:space="preserve">Although politics plays a big part in employment law not all legislation is created </w:t>
      </w:r>
      <w:r w:rsidR="00F76ACE">
        <w:rPr>
          <w:rFonts w:cs="Arial"/>
        </w:rPr>
        <w:t>as an Act of Parliament.  Common Law (or Case Law) is determined by judges ruling a case in court.  The hierarchy of the court system dealing with cases relating to employment law starts with the Employment Tribunal which is illustrated in the below diagram</w:t>
      </w:r>
      <w:r w:rsidR="006633E4">
        <w:rPr>
          <w:rFonts w:cs="Arial"/>
        </w:rPr>
        <w:t>.</w:t>
      </w:r>
    </w:p>
    <w:p w:rsidR="00F76ACE" w:rsidRDefault="00F76ACE" w:rsidP="00CF31DB">
      <w:pPr>
        <w:pStyle w:val="ListParagraph"/>
        <w:ind w:left="360"/>
        <w:rPr>
          <w:rFonts w:cs="Arial"/>
        </w:rPr>
      </w:pPr>
    </w:p>
    <w:p w:rsidR="00F76ACE" w:rsidRDefault="00F76ACE" w:rsidP="00CF31DB">
      <w:pPr>
        <w:pStyle w:val="ListParagraph"/>
        <w:ind w:left="360"/>
        <w:rPr>
          <w:rFonts w:cs="Arial"/>
        </w:rPr>
      </w:pPr>
    </w:p>
    <w:p w:rsidR="000541CC" w:rsidRDefault="000541CC" w:rsidP="00CF31DB">
      <w:pPr>
        <w:pStyle w:val="ListParagraph"/>
        <w:ind w:left="360"/>
        <w:rPr>
          <w:rFonts w:cs="Arial"/>
        </w:rPr>
      </w:pPr>
    </w:p>
    <w:p w:rsidR="00194E9B" w:rsidRDefault="0044241C" w:rsidP="00DB1755">
      <w:pPr>
        <w:pStyle w:val="ListParagraph"/>
        <w:ind w:left="360"/>
        <w:rPr>
          <w:rFonts w:cs="Arial"/>
        </w:rPr>
      </w:pPr>
      <w:r w:rsidRPr="0044241C">
        <w:rPr>
          <w:rFonts w:cs="Arial"/>
          <w:noProof/>
          <w:lang w:eastAsia="en-GB"/>
        </w:rPr>
        <mc:AlternateContent>
          <mc:Choice Requires="wps">
            <w:drawing>
              <wp:anchor distT="0" distB="0" distL="114300" distR="114300" simplePos="0" relativeHeight="251666432" behindDoc="0" locked="0" layoutInCell="1" allowOverlap="1" wp14:anchorId="7704C141" wp14:editId="0C76DD97">
                <wp:simplePos x="0" y="0"/>
                <wp:positionH relativeFrom="column">
                  <wp:posOffset>-233680</wp:posOffset>
                </wp:positionH>
                <wp:positionV relativeFrom="paragraph">
                  <wp:posOffset>2057672</wp:posOffset>
                </wp:positionV>
                <wp:extent cx="1572986" cy="1403985"/>
                <wp:effectExtent l="0" t="0" r="8255" b="19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2986" cy="1403985"/>
                        </a:xfrm>
                        <a:prstGeom prst="rect">
                          <a:avLst/>
                        </a:prstGeom>
                        <a:solidFill>
                          <a:srgbClr val="FFFFFF"/>
                        </a:solidFill>
                        <a:ln w="9525">
                          <a:noFill/>
                          <a:miter lim="800000"/>
                          <a:headEnd/>
                          <a:tailEnd/>
                        </a:ln>
                      </wps:spPr>
                      <wps:txbx>
                        <w:txbxContent>
                          <w:p w:rsidR="00D87A28" w:rsidRDefault="00D87A28" w:rsidP="0044241C">
                            <w:r>
                              <w:t>Pay-out is not capped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4pt;margin-top:162pt;width:123.85pt;height:110.55pt;z-index:25166643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" stroked="f">
                <v:textbox style="mso-fit-shape-to-text:t">
                  <w:txbxContent>
                    <w:p w:rsidR="00D87A28" w:rsidRDefault="00D87A28" w:rsidP="0044241C">
                      <w:r>
                        <w:t>Pay-out is not capped</w:t>
                      </w:r>
                    </w:p>
                  </w:txbxContent>
                </v:textbox>
              </v:shape>
            </w:pict>
          </mc:Fallback>
        </mc:AlternateContent>
      </w:r>
      <w:r w:rsidR="00E5418A">
        <w:rPr>
          <w:rFonts w:cs="Arial"/>
          <w:noProof/>
          <w:lang w:eastAsia="en-GB"/>
        </w:rPr>
        <mc:AlternateContent>
          <mc:Choice Requires="wps">
            <w:drawing>
              <wp:anchor distT="0" distB="0" distL="114300" distR="114300" simplePos="0" relativeHeight="251662336" behindDoc="0" locked="0" layoutInCell="1" allowOverlap="1" wp14:anchorId="471FB0D0" wp14:editId="25CEF5EE">
                <wp:simplePos x="0" y="0"/>
                <wp:positionH relativeFrom="column">
                  <wp:posOffset>419100</wp:posOffset>
                </wp:positionH>
                <wp:positionV relativeFrom="paragraph">
                  <wp:posOffset>1104991</wp:posOffset>
                </wp:positionV>
                <wp:extent cx="76200" cy="239486"/>
                <wp:effectExtent l="19050" t="19050" r="38100" b="27305"/>
                <wp:wrapNone/>
                <wp:docPr id="3" name="Up Arrow 3"/>
                <wp:cNvGraphicFramePr/>
                <a:graphic xmlns:a="http://schemas.openxmlformats.org/drawingml/2006/main">
                  <a:graphicData uri="http://schemas.microsoft.com/office/word/2010/wordprocessingShape">
                    <wps:wsp>
                      <wps:cNvSpPr/>
                      <wps:spPr>
                        <a:xfrm>
                          <a:off x="0" y="0"/>
                          <a:ext cx="76200" cy="23948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 o:spid="_x0000_s1026" type="#_x0000_t68" style="position:absolute;margin-left:33pt;margin-top:87pt;width:6pt;height:18.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" adj="3436" fillcolor="#4f81bd [3204]" strokecolor="#243f60 [1604]" strokeweight="2pt"/>
            </w:pict>
          </mc:Fallback>
        </mc:AlternateContent>
      </w:r>
      <w:r w:rsidR="00E5418A" w:rsidRPr="00E5418A">
        <w:rPr>
          <w:rFonts w:cs="Arial"/>
          <w:noProof/>
          <w:lang w:eastAsia="en-GB"/>
        </w:rPr>
        <mc:AlternateContent>
          <mc:Choice Requires="wps">
            <w:drawing>
              <wp:anchor distT="0" distB="0" distL="114300" distR="114300" simplePos="0" relativeHeight="251659264" behindDoc="0" locked="0" layoutInCell="1" allowOverlap="1" wp14:anchorId="0FBD6130" wp14:editId="6F462AFA">
                <wp:simplePos x="0" y="0"/>
                <wp:positionH relativeFrom="column">
                  <wp:posOffset>-191135</wp:posOffset>
                </wp:positionH>
                <wp:positionV relativeFrom="paragraph">
                  <wp:posOffset>1409065</wp:posOffset>
                </wp:positionV>
                <wp:extent cx="1414780" cy="473075"/>
                <wp:effectExtent l="0" t="0" r="13970" b="2222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4780" cy="473075"/>
                        </a:xfrm>
                        <a:prstGeom prst="rect">
                          <a:avLst/>
                        </a:prstGeom>
                        <a:solidFill>
                          <a:schemeClr val="accent2">
                            <a:lumMod val="60000"/>
                            <a:lumOff val="40000"/>
                          </a:schemeClr>
                        </a:solidFill>
                        <a:ln w="9525">
                          <a:solidFill>
                            <a:srgbClr val="000000"/>
                          </a:solidFill>
                          <a:miter lim="800000"/>
                          <a:headEnd/>
                          <a:tailEnd/>
                        </a:ln>
                      </wps:spPr>
                      <wps:txbx>
                        <w:txbxContent>
                          <w:p w:rsidR="00D87A28" w:rsidRDefault="00D87A28" w:rsidP="00E5418A">
                            <w:pPr>
                              <w:jc w:val="center"/>
                            </w:pPr>
                            <w:r>
                              <w:t>County Court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5.05pt;margin-top:110.95pt;width:111.4pt;height:3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" fillcolor="#d99594 [1941]">
                <v:textbox>
                  <w:txbxContent>
                    <w:p w:rsidR="00D87A28" w:rsidRDefault="00D87A28" w:rsidP="00E5418A">
                      <w:pPr>
                        <w:jc w:val="center"/>
                      </w:pPr>
                      <w:r>
                        <w:t>County Court</w:t>
                      </w:r>
                    </w:p>
                  </w:txbxContent>
                </v:textbox>
              </v:shape>
            </w:pict>
          </mc:Fallback>
        </mc:AlternateContent>
      </w:r>
      <w:r w:rsidR="00E5418A" w:rsidRPr="00E5418A">
        <w:rPr>
          <w:rFonts w:cs="Arial"/>
          <w:noProof/>
          <w:lang w:eastAsia="en-GB"/>
        </w:rPr>
        <mc:AlternateContent>
          <mc:Choice Requires="wps">
            <w:drawing>
              <wp:anchor distT="0" distB="0" distL="114300" distR="114300" simplePos="0" relativeHeight="251661312" behindDoc="0" locked="0" layoutInCell="1" allowOverlap="1" wp14:anchorId="71EBB007" wp14:editId="79CCFC71">
                <wp:simplePos x="0" y="0"/>
                <wp:positionH relativeFrom="column">
                  <wp:posOffset>-190500</wp:posOffset>
                </wp:positionH>
                <wp:positionV relativeFrom="paragraph">
                  <wp:posOffset>554990</wp:posOffset>
                </wp:positionV>
                <wp:extent cx="1414780" cy="511175"/>
                <wp:effectExtent l="0" t="0" r="13970"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4780" cy="511175"/>
                        </a:xfrm>
                        <a:prstGeom prst="rect">
                          <a:avLst/>
                        </a:prstGeom>
                        <a:solidFill>
                          <a:schemeClr val="accent2">
                            <a:lumMod val="40000"/>
                            <a:lumOff val="60000"/>
                          </a:schemeClr>
                        </a:solidFill>
                        <a:ln w="9525">
                          <a:solidFill>
                            <a:srgbClr val="000000"/>
                          </a:solidFill>
                          <a:miter lim="800000"/>
                          <a:headEnd/>
                          <a:tailEnd/>
                        </a:ln>
                      </wps:spPr>
                      <wps:txbx>
                        <w:txbxContent>
                          <w:p w:rsidR="00D87A28" w:rsidRDefault="00D87A28" w:rsidP="00E5418A">
                            <w:pPr>
                              <w:jc w:val="center"/>
                            </w:pPr>
                            <w:r>
                              <w:t>High Court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15pt;margin-top:43.7pt;width:111.4pt;height:4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" fillcolor="#e5b8b7 [1301]">
                <v:textbox>
                  <w:txbxContent>
                    <w:p w:rsidR="00D87A28" w:rsidRDefault="00D87A28" w:rsidP="00E5418A">
                      <w:pPr>
                        <w:jc w:val="center"/>
                      </w:pPr>
                      <w:r>
                        <w:t>High Court</w:t>
                      </w:r>
                    </w:p>
                  </w:txbxContent>
                </v:textbox>
              </v:shape>
            </w:pict>
          </mc:Fallback>
        </mc:AlternateContent>
      </w:r>
      <w:r w:rsidR="00300040">
        <w:rPr>
          <w:rFonts w:cs="Arial"/>
          <w:noProof/>
          <w:lang w:eastAsia="en-GB"/>
        </w:rPr>
        <w:drawing>
          <wp:inline distT="0" distB="0" distL="0" distR="0" wp14:anchorId="47FD7DA7" wp14:editId="62CA3A38">
            <wp:extent cx="5823857" cy="4234543"/>
            <wp:effectExtent l="0" t="0" r="24765" b="139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D93FB2" w:rsidRDefault="006633E4" w:rsidP="00DB1755">
      <w:pPr>
        <w:pStyle w:val="ListParagraph"/>
        <w:ind w:left="360"/>
        <w:rPr>
          <w:rFonts w:cs="Arial"/>
        </w:rPr>
      </w:pPr>
      <w:r w:rsidRPr="0044241C">
        <w:rPr>
          <w:rFonts w:cs="Arial"/>
          <w:noProof/>
          <w:lang w:eastAsia="en-GB"/>
        </w:rPr>
        <mc:AlternateContent>
          <mc:Choice Requires="wps">
            <w:drawing>
              <wp:anchor distT="0" distB="0" distL="114300" distR="114300" simplePos="0" relativeHeight="251664384" behindDoc="0" locked="0" layoutInCell="1" allowOverlap="1" wp14:anchorId="03286C49" wp14:editId="40CEDC40">
                <wp:simplePos x="0" y="0"/>
                <wp:positionH relativeFrom="column">
                  <wp:posOffset>2437947</wp:posOffset>
                </wp:positionH>
                <wp:positionV relativeFrom="paragraph">
                  <wp:posOffset>100511</wp:posOffset>
                </wp:positionV>
                <wp:extent cx="1665514" cy="1403985"/>
                <wp:effectExtent l="0" t="0" r="0" b="190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5514" cy="1403985"/>
                        </a:xfrm>
                        <a:prstGeom prst="rect">
                          <a:avLst/>
                        </a:prstGeom>
                        <a:solidFill>
                          <a:srgbClr val="FFFFFF"/>
                        </a:solidFill>
                        <a:ln w="9525">
                          <a:noFill/>
                          <a:miter lim="800000"/>
                          <a:headEnd/>
                          <a:tailEnd/>
                        </a:ln>
                      </wps:spPr>
                      <wps:txbx>
                        <w:txbxContent>
                          <w:p w:rsidR="00D87A28" w:rsidRDefault="00D87A28">
                            <w:r>
                              <w:t>Pay-out capped at £25K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191.95pt;margin-top:7.9pt;width:131.15pt;height:110.55pt;z-index:251664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" stroked="f">
                <v:textbox style="mso-fit-shape-to-text:t">
                  <w:txbxContent>
                    <w:p w:rsidR="00D87A28" w:rsidRDefault="00D87A28">
                      <w:r>
                        <w:t>Pay-out capped at £25K</w:t>
                      </w:r>
                    </w:p>
                  </w:txbxContent>
                </v:textbox>
              </v:shape>
            </w:pict>
          </mc:Fallback>
        </mc:AlternateContent>
      </w:r>
    </w:p>
    <w:p w:rsidR="00D93FB2" w:rsidRDefault="00D93FB2" w:rsidP="00DB1755">
      <w:pPr>
        <w:pStyle w:val="ListParagraph"/>
        <w:ind w:left="360"/>
        <w:rPr>
          <w:rFonts w:cs="Arial"/>
        </w:rPr>
      </w:pPr>
    </w:p>
    <w:p w:rsidR="00D93FB2" w:rsidRDefault="00D93FB2" w:rsidP="00DB1755">
      <w:pPr>
        <w:pStyle w:val="ListParagraph"/>
        <w:ind w:left="360"/>
        <w:rPr>
          <w:rFonts w:cs="Arial"/>
        </w:rPr>
      </w:pPr>
    </w:p>
    <w:p w:rsidR="00D93FB2" w:rsidRDefault="00D93FB2" w:rsidP="00DB1755">
      <w:pPr>
        <w:pStyle w:val="ListParagraph"/>
        <w:ind w:left="360"/>
        <w:rPr>
          <w:rFonts w:cs="Arial"/>
        </w:rPr>
      </w:pPr>
    </w:p>
    <w:p w:rsidR="00121288" w:rsidRDefault="003E323A" w:rsidP="00121288">
      <w:pPr>
        <w:pStyle w:val="ListParagraph"/>
        <w:ind w:left="360"/>
        <w:rPr>
          <w:rFonts w:cs="Arial"/>
        </w:rPr>
      </w:pPr>
      <w:r>
        <w:rPr>
          <w:rFonts w:cs="Arial"/>
        </w:rPr>
        <w:t>In order to bring a claim to the Employment Tribunal, the claim needs</w:t>
      </w:r>
      <w:r w:rsidR="003A5468">
        <w:rPr>
          <w:rFonts w:cs="Arial"/>
        </w:rPr>
        <w:t xml:space="preserve"> to meet the qualifying period of 2 years (except for harassment, discrimination, breach of contract, breach of statutory rights &amp; whistleblowing) and must be</w:t>
      </w:r>
      <w:r>
        <w:rPr>
          <w:rFonts w:cs="Arial"/>
        </w:rPr>
        <w:t xml:space="preserve"> lodged within the r</w:t>
      </w:r>
      <w:r w:rsidR="00512899">
        <w:rPr>
          <w:rFonts w:cs="Arial"/>
        </w:rPr>
        <w:t>equired 3 month period from</w:t>
      </w:r>
      <w:r>
        <w:rPr>
          <w:rFonts w:cs="Arial"/>
        </w:rPr>
        <w:t xml:space="preserve"> when the incident occurred, although in some instances a judge may consider whether a claim can still be heard if there are sufficient mitigating factors for the delay in submitting the claim</w:t>
      </w:r>
      <w:r w:rsidR="00055AE4">
        <w:rPr>
          <w:rFonts w:cs="Arial"/>
        </w:rPr>
        <w:t>, for example on grounds of techn</w:t>
      </w:r>
      <w:r w:rsidR="00250867">
        <w:rPr>
          <w:rFonts w:cs="Arial"/>
        </w:rPr>
        <w:t>icality</w:t>
      </w:r>
      <w:r w:rsidR="00121288">
        <w:rPr>
          <w:rFonts w:cs="Arial"/>
        </w:rPr>
        <w:t xml:space="preserve"> (</w:t>
      </w:r>
      <w:proofErr w:type="spellStart"/>
      <w:r w:rsidR="00121288" w:rsidRPr="008E331E">
        <w:rPr>
          <w:rFonts w:cs="Arial"/>
          <w:i/>
        </w:rPr>
        <w:t>Scannell</w:t>
      </w:r>
      <w:proofErr w:type="spellEnd"/>
      <w:r w:rsidR="00121288" w:rsidRPr="008E331E">
        <w:rPr>
          <w:rFonts w:cs="Arial"/>
          <w:i/>
        </w:rPr>
        <w:t xml:space="preserve"> V Ganymede Solutions Limited</w:t>
      </w:r>
      <w:r w:rsidR="00121288">
        <w:rPr>
          <w:rFonts w:cs="Arial"/>
        </w:rPr>
        <w:t xml:space="preserve"> [2017] upheld)</w:t>
      </w:r>
      <w:r w:rsidR="00721021">
        <w:rPr>
          <w:rFonts w:cs="Arial"/>
        </w:rPr>
        <w:t>.</w:t>
      </w:r>
    </w:p>
    <w:p w:rsidR="00721021" w:rsidRDefault="00721021" w:rsidP="00121288">
      <w:pPr>
        <w:pStyle w:val="ListParagraph"/>
        <w:ind w:left="360"/>
        <w:rPr>
          <w:rFonts w:cs="Arial"/>
        </w:rPr>
      </w:pPr>
    </w:p>
    <w:p w:rsidR="00721021" w:rsidRDefault="00721021" w:rsidP="00121288">
      <w:pPr>
        <w:pStyle w:val="ListParagraph"/>
        <w:ind w:left="360"/>
        <w:rPr>
          <w:rFonts w:cs="Arial"/>
        </w:rPr>
      </w:pPr>
      <w:r>
        <w:rPr>
          <w:rFonts w:cs="Arial"/>
        </w:rPr>
        <w:t>There are exceptions to the 3 month rule given above and these are determined by the specific nature of the case (unfair dismissal for industrial action, redundancy payment and equal pay</w:t>
      </w:r>
      <w:r w:rsidR="007B060B">
        <w:rPr>
          <w:rFonts w:cs="Arial"/>
        </w:rPr>
        <w:t xml:space="preserve"> </w:t>
      </w:r>
      <w:proofErr w:type="spellStart"/>
      <w:r w:rsidR="007B060B">
        <w:rPr>
          <w:rFonts w:cs="Arial"/>
        </w:rPr>
        <w:t>etc</w:t>
      </w:r>
      <w:proofErr w:type="spellEnd"/>
      <w:r>
        <w:rPr>
          <w:rFonts w:cs="Arial"/>
        </w:rPr>
        <w:t>) which allows for a 6 month period from the key date.</w:t>
      </w:r>
    </w:p>
    <w:p w:rsidR="008B694C" w:rsidRDefault="008B694C" w:rsidP="00121288">
      <w:pPr>
        <w:pStyle w:val="ListParagraph"/>
        <w:ind w:left="360"/>
        <w:rPr>
          <w:rFonts w:cs="Arial"/>
        </w:rPr>
      </w:pPr>
    </w:p>
    <w:p w:rsidR="008B694C" w:rsidRDefault="008B694C" w:rsidP="00121288">
      <w:pPr>
        <w:pStyle w:val="ListParagraph"/>
        <w:ind w:left="360"/>
        <w:rPr>
          <w:rFonts w:cs="Arial"/>
        </w:rPr>
      </w:pPr>
      <w:r>
        <w:rPr>
          <w:rFonts w:cs="Arial"/>
        </w:rPr>
        <w:t xml:space="preserve">The application will be first assessed to establish whether there is legitimate case to answer.  </w:t>
      </w:r>
      <w:r w:rsidR="003A5468">
        <w:rPr>
          <w:rFonts w:cs="Arial"/>
        </w:rPr>
        <w:t>If there is not then the case cannot progress.</w:t>
      </w:r>
    </w:p>
    <w:p w:rsidR="00EF24F2" w:rsidRDefault="00EF24F2" w:rsidP="00121288">
      <w:pPr>
        <w:pStyle w:val="ListParagraph"/>
        <w:ind w:left="360"/>
        <w:rPr>
          <w:rFonts w:cs="Arial"/>
        </w:rPr>
      </w:pPr>
    </w:p>
    <w:p w:rsidR="00DD2A91" w:rsidRDefault="008F6C66" w:rsidP="008F6C66">
      <w:pPr>
        <w:pStyle w:val="ListParagraph"/>
        <w:ind w:left="360"/>
        <w:rPr>
          <w:rFonts w:cs="Arial"/>
        </w:rPr>
      </w:pPr>
      <w:r>
        <w:rPr>
          <w:rFonts w:cs="Arial"/>
        </w:rPr>
        <w:t xml:space="preserve">A conciliation service is provided by ACAS to try and resolve the dispute outside of the court system which can be beneficial to both parties given the amount of work and stress related to this.  It is also not in the public domain at this point which can help to protect the organisation’s reputation. A case worker will be appointed to work as an </w:t>
      </w:r>
      <w:r w:rsidR="00D57F3D">
        <w:rPr>
          <w:rFonts w:cs="Arial"/>
        </w:rPr>
        <w:t xml:space="preserve">intermediary with both parties to </w:t>
      </w:r>
      <w:r>
        <w:rPr>
          <w:rFonts w:cs="Arial"/>
        </w:rPr>
        <w:t xml:space="preserve">try to </w:t>
      </w:r>
      <w:r w:rsidR="00D57F3D">
        <w:rPr>
          <w:rFonts w:cs="Arial"/>
        </w:rPr>
        <w:t>come to an agreement.</w:t>
      </w:r>
      <w:r w:rsidR="003A5468">
        <w:rPr>
          <w:rFonts w:cs="Arial"/>
        </w:rPr>
        <w:t xml:space="preserve">  </w:t>
      </w:r>
    </w:p>
    <w:p w:rsidR="008F6C66" w:rsidRPr="008F6C66" w:rsidRDefault="008F6C66" w:rsidP="008F6C66">
      <w:pPr>
        <w:pStyle w:val="ListParagraph"/>
        <w:ind w:left="360"/>
        <w:rPr>
          <w:rFonts w:cs="Arial"/>
        </w:rPr>
      </w:pPr>
    </w:p>
    <w:p w:rsidR="00DD2A91" w:rsidRDefault="00512899" w:rsidP="00121288">
      <w:pPr>
        <w:pStyle w:val="ListParagraph"/>
        <w:ind w:left="360"/>
        <w:rPr>
          <w:rFonts w:cs="Arial"/>
        </w:rPr>
      </w:pPr>
      <w:r>
        <w:rPr>
          <w:rFonts w:cs="Arial"/>
        </w:rPr>
        <w:t>Where previous mediation has failed, a judge may consider judicial mediation as an option whereby an Employment judge would</w:t>
      </w:r>
      <w:r w:rsidR="00DD2A91">
        <w:rPr>
          <w:rFonts w:cs="Arial"/>
        </w:rPr>
        <w:t xml:space="preserve"> </w:t>
      </w:r>
      <w:r>
        <w:rPr>
          <w:rFonts w:cs="Arial"/>
        </w:rPr>
        <w:t xml:space="preserve">try to </w:t>
      </w:r>
      <w:r w:rsidR="00DD2A91">
        <w:rPr>
          <w:rFonts w:cs="Arial"/>
        </w:rPr>
        <w:t>mediate for a resolution.</w:t>
      </w:r>
    </w:p>
    <w:p w:rsidR="00FF48DF" w:rsidRDefault="00FF48DF" w:rsidP="00121288">
      <w:pPr>
        <w:pStyle w:val="ListParagraph"/>
        <w:ind w:left="360"/>
        <w:rPr>
          <w:rFonts w:cs="Arial"/>
        </w:rPr>
      </w:pPr>
    </w:p>
    <w:p w:rsidR="00A306C7" w:rsidRDefault="00FF48DF" w:rsidP="00121288">
      <w:pPr>
        <w:pStyle w:val="ListParagraph"/>
        <w:ind w:left="360"/>
        <w:rPr>
          <w:rFonts w:cs="Arial"/>
          <w:i/>
        </w:rPr>
      </w:pPr>
      <w:r>
        <w:rPr>
          <w:rFonts w:cs="Arial"/>
        </w:rPr>
        <w:t>If no agreement can be fo</w:t>
      </w:r>
      <w:r w:rsidR="00A306C7">
        <w:rPr>
          <w:rFonts w:cs="Arial"/>
        </w:rPr>
        <w:t>und then the case would be listed</w:t>
      </w:r>
      <w:r>
        <w:rPr>
          <w:rFonts w:cs="Arial"/>
        </w:rPr>
        <w:t xml:space="preserve"> to </w:t>
      </w:r>
      <w:r w:rsidR="00A306C7">
        <w:rPr>
          <w:rFonts w:cs="Arial"/>
        </w:rPr>
        <w:t xml:space="preserve">be heard at </w:t>
      </w:r>
      <w:r w:rsidR="008E3109">
        <w:rPr>
          <w:rFonts w:cs="Arial"/>
        </w:rPr>
        <w:t xml:space="preserve">the Employment Tribunal where an Employment Judge will preside over the case and may be supported by two lay members, depending on the nature of the complaint.  The Employment Tribunal will send direction to both parties which typically </w:t>
      </w:r>
      <w:proofErr w:type="gramStart"/>
      <w:r w:rsidR="008E3109">
        <w:rPr>
          <w:rFonts w:cs="Arial"/>
        </w:rPr>
        <w:t>provides</w:t>
      </w:r>
      <w:proofErr w:type="gramEnd"/>
      <w:r w:rsidR="008E3109">
        <w:rPr>
          <w:rFonts w:cs="Arial"/>
        </w:rPr>
        <w:t xml:space="preserve"> the information needed to rule on a case.  If these are not met then this could result in the party being excluded from the hearing or the case being dismissed following the issue of an ‘unless </w:t>
      </w:r>
      <w:proofErr w:type="gramStart"/>
      <w:r w:rsidR="008E3109">
        <w:rPr>
          <w:rFonts w:cs="Arial"/>
        </w:rPr>
        <w:t xml:space="preserve">order’ </w:t>
      </w:r>
      <w:r w:rsidR="00C0278D">
        <w:rPr>
          <w:rFonts w:cs="Arial"/>
        </w:rPr>
        <w:t xml:space="preserve"> as</w:t>
      </w:r>
      <w:proofErr w:type="gramEnd"/>
      <w:r w:rsidR="00C0278D">
        <w:rPr>
          <w:rFonts w:cs="Arial"/>
        </w:rPr>
        <w:t xml:space="preserve"> in the case of </w:t>
      </w:r>
      <w:proofErr w:type="spellStart"/>
      <w:r w:rsidR="00C0278D">
        <w:rPr>
          <w:rFonts w:cs="Arial"/>
        </w:rPr>
        <w:t>Riniker</w:t>
      </w:r>
      <w:proofErr w:type="spellEnd"/>
      <w:r w:rsidR="00C0278D">
        <w:rPr>
          <w:rFonts w:cs="Arial"/>
        </w:rPr>
        <w:t xml:space="preserve"> </w:t>
      </w:r>
      <w:r w:rsidR="00326DF9">
        <w:rPr>
          <w:rFonts w:cs="Arial"/>
        </w:rPr>
        <w:t>(</w:t>
      </w:r>
      <w:proofErr w:type="spellStart"/>
      <w:r w:rsidR="00326DF9">
        <w:rPr>
          <w:rFonts w:cs="Arial"/>
          <w:i/>
        </w:rPr>
        <w:t>Riniker</w:t>
      </w:r>
      <w:proofErr w:type="spellEnd"/>
      <w:r w:rsidR="00326DF9">
        <w:rPr>
          <w:rFonts w:cs="Arial"/>
          <w:i/>
        </w:rPr>
        <w:t xml:space="preserve"> v City and Islington College Corporation [2010], dismissed)</w:t>
      </w:r>
    </w:p>
    <w:p w:rsidR="006D2482" w:rsidRDefault="006D2482" w:rsidP="00121288">
      <w:pPr>
        <w:pStyle w:val="ListParagraph"/>
        <w:ind w:left="360"/>
        <w:rPr>
          <w:rFonts w:cs="Arial"/>
          <w:i/>
        </w:rPr>
      </w:pPr>
    </w:p>
    <w:p w:rsidR="006D2482" w:rsidRDefault="00B85AFF" w:rsidP="00121288">
      <w:pPr>
        <w:pStyle w:val="ListParagraph"/>
        <w:ind w:left="360"/>
        <w:rPr>
          <w:rFonts w:cs="Arial"/>
        </w:rPr>
      </w:pPr>
      <w:r>
        <w:rPr>
          <w:rFonts w:cs="Arial"/>
        </w:rPr>
        <w:t>The Employment Tribunal will consider all the evidence presented then retire in order to reach a verdict which will comprise who won the case and what remedy is required.  The options for remedy are:</w:t>
      </w:r>
    </w:p>
    <w:p w:rsidR="00B85AFF" w:rsidRDefault="00B85AFF" w:rsidP="00121288">
      <w:pPr>
        <w:pStyle w:val="ListParagraph"/>
        <w:ind w:left="360"/>
        <w:rPr>
          <w:rFonts w:cs="Arial"/>
        </w:rPr>
      </w:pPr>
    </w:p>
    <w:p w:rsidR="00B85AFF" w:rsidRDefault="00B85AFF" w:rsidP="00B85AFF">
      <w:pPr>
        <w:pStyle w:val="ListParagraph"/>
        <w:numPr>
          <w:ilvl w:val="0"/>
          <w:numId w:val="2"/>
        </w:numPr>
        <w:rPr>
          <w:rFonts w:cs="Arial"/>
        </w:rPr>
      </w:pPr>
      <w:r>
        <w:rPr>
          <w:rFonts w:cs="Arial"/>
        </w:rPr>
        <w:t>Reinstatement (where the employee has left the company)</w:t>
      </w:r>
    </w:p>
    <w:p w:rsidR="00B85AFF" w:rsidRDefault="00B85AFF" w:rsidP="00B85AFF">
      <w:pPr>
        <w:pStyle w:val="ListParagraph"/>
        <w:numPr>
          <w:ilvl w:val="0"/>
          <w:numId w:val="2"/>
        </w:numPr>
        <w:rPr>
          <w:rFonts w:cs="Arial"/>
        </w:rPr>
      </w:pPr>
      <w:r>
        <w:rPr>
          <w:rFonts w:cs="Arial"/>
        </w:rPr>
        <w:t>Re-engagement - re-employed in a different role</w:t>
      </w:r>
    </w:p>
    <w:p w:rsidR="00B85AFF" w:rsidRDefault="00B85AFF" w:rsidP="00B85AFF">
      <w:pPr>
        <w:pStyle w:val="ListParagraph"/>
        <w:numPr>
          <w:ilvl w:val="0"/>
          <w:numId w:val="2"/>
        </w:numPr>
        <w:rPr>
          <w:rFonts w:cs="Arial"/>
        </w:rPr>
      </w:pPr>
      <w:r>
        <w:rPr>
          <w:rFonts w:cs="Arial"/>
        </w:rPr>
        <w:t>Compensation -  this is in 2 parts: basic award &amp; compensatory award</w:t>
      </w:r>
      <w:r>
        <w:rPr>
          <w:rFonts w:cs="Arial"/>
        </w:rPr>
        <w:tab/>
      </w:r>
    </w:p>
    <w:p w:rsidR="00B85AFF" w:rsidRPr="00B85AFF" w:rsidRDefault="00B85AFF" w:rsidP="00B85AFF">
      <w:pPr>
        <w:ind w:left="720"/>
        <w:rPr>
          <w:rFonts w:cs="Arial"/>
        </w:rPr>
      </w:pPr>
    </w:p>
    <w:p w:rsidR="00A306C7" w:rsidRDefault="00B85AFF" w:rsidP="00121288">
      <w:pPr>
        <w:pStyle w:val="ListParagraph"/>
        <w:ind w:left="360"/>
        <w:rPr>
          <w:rFonts w:cs="Arial"/>
        </w:rPr>
      </w:pPr>
      <w:r>
        <w:rPr>
          <w:rFonts w:cs="Arial"/>
        </w:rPr>
        <w:t>If either party is dissatisfied with the out</w:t>
      </w:r>
      <w:r w:rsidR="00A41661">
        <w:rPr>
          <w:rFonts w:cs="Arial"/>
        </w:rPr>
        <w:t>come, two options are available:</w:t>
      </w:r>
    </w:p>
    <w:p w:rsidR="00A41661" w:rsidRDefault="00A41661" w:rsidP="00121288">
      <w:pPr>
        <w:pStyle w:val="ListParagraph"/>
        <w:ind w:left="360"/>
        <w:rPr>
          <w:rFonts w:cs="Arial"/>
        </w:rPr>
      </w:pPr>
    </w:p>
    <w:p w:rsidR="00A41661" w:rsidRDefault="00A41661" w:rsidP="00A41661">
      <w:pPr>
        <w:pStyle w:val="ListParagraph"/>
        <w:numPr>
          <w:ilvl w:val="0"/>
          <w:numId w:val="3"/>
        </w:numPr>
        <w:rPr>
          <w:rFonts w:cs="Arial"/>
        </w:rPr>
      </w:pPr>
      <w:r>
        <w:rPr>
          <w:rFonts w:cs="Arial"/>
        </w:rPr>
        <w:t>Reconsideration – to consider specific points</w:t>
      </w:r>
    </w:p>
    <w:p w:rsidR="00A41661" w:rsidRDefault="00A41661" w:rsidP="00A41661">
      <w:pPr>
        <w:pStyle w:val="ListParagraph"/>
        <w:numPr>
          <w:ilvl w:val="0"/>
          <w:numId w:val="3"/>
        </w:numPr>
        <w:rPr>
          <w:rFonts w:cs="Arial"/>
        </w:rPr>
      </w:pPr>
      <w:r>
        <w:rPr>
          <w:rFonts w:cs="Arial"/>
        </w:rPr>
        <w:t>To progress to an Employment Appeal Tribunal (EAT)</w:t>
      </w:r>
    </w:p>
    <w:p w:rsidR="00A41661" w:rsidRDefault="00A41661" w:rsidP="00A41661">
      <w:pPr>
        <w:rPr>
          <w:rFonts w:cs="Arial"/>
        </w:rPr>
      </w:pPr>
    </w:p>
    <w:p w:rsidR="00A41661" w:rsidRDefault="00A41661" w:rsidP="00A41661">
      <w:pPr>
        <w:pStyle w:val="ListParagraph"/>
        <w:ind w:left="360"/>
        <w:rPr>
          <w:rFonts w:cs="Arial"/>
        </w:rPr>
      </w:pPr>
      <w:r>
        <w:rPr>
          <w:rFonts w:cs="Arial"/>
        </w:rPr>
        <w:t>Progression</w:t>
      </w:r>
      <w:r w:rsidR="00586E97">
        <w:rPr>
          <w:rFonts w:cs="Arial"/>
        </w:rPr>
        <w:t xml:space="preserve"> can only be made to an EAT on a point of law, that the decision was ‘perverse’ or that there was a fundamental flaw in proceedings.</w:t>
      </w:r>
    </w:p>
    <w:p w:rsidR="00586E97" w:rsidRDefault="00586E97" w:rsidP="00A41661">
      <w:pPr>
        <w:pStyle w:val="ListParagraph"/>
        <w:ind w:left="360"/>
        <w:rPr>
          <w:rFonts w:cs="Arial"/>
        </w:rPr>
      </w:pPr>
    </w:p>
    <w:p w:rsidR="00586E97" w:rsidRDefault="00586E97" w:rsidP="00A41661">
      <w:pPr>
        <w:pStyle w:val="ListParagraph"/>
        <w:ind w:left="360"/>
        <w:rPr>
          <w:rFonts w:cs="Arial"/>
        </w:rPr>
      </w:pPr>
      <w:r>
        <w:rPr>
          <w:rFonts w:cs="Arial"/>
        </w:rPr>
        <w:t>All appeals are subject to a preliminary hearing to determine whether there is a case to answer and provide further direction for the parties. It may be deemed appropriate to engage the services of the ACAS conciliation service once again.</w:t>
      </w:r>
    </w:p>
    <w:p w:rsidR="00586E97" w:rsidRDefault="00586E97" w:rsidP="00A41661">
      <w:pPr>
        <w:pStyle w:val="ListParagraph"/>
        <w:ind w:left="360"/>
        <w:rPr>
          <w:rFonts w:cs="Arial"/>
        </w:rPr>
      </w:pPr>
    </w:p>
    <w:p w:rsidR="00586E97" w:rsidRDefault="00586E97" w:rsidP="00A41661">
      <w:pPr>
        <w:pStyle w:val="ListParagraph"/>
        <w:ind w:left="360"/>
        <w:rPr>
          <w:rFonts w:cs="Arial"/>
        </w:rPr>
      </w:pPr>
      <w:r>
        <w:rPr>
          <w:rFonts w:cs="Arial"/>
        </w:rPr>
        <w:t>Progression can continue in the same manner to the Court of Appeal and the Supreme Court</w:t>
      </w:r>
      <w:r w:rsidR="000C3702">
        <w:rPr>
          <w:rFonts w:cs="Arial"/>
        </w:rPr>
        <w:t xml:space="preserve">, however, </w:t>
      </w:r>
      <w:r>
        <w:rPr>
          <w:rFonts w:cs="Arial"/>
        </w:rPr>
        <w:t xml:space="preserve">the judge is the ultimate decision-making and may deem it appropriate to take a case straight to a higher court depending on the case itself.  </w:t>
      </w:r>
      <w:r w:rsidR="000C3702">
        <w:rPr>
          <w:rFonts w:cs="Arial"/>
        </w:rPr>
        <w:t>Where a challenge has been made to an initial decision at an Employment Tribunal, case law can be made to provide further litigation to the presiding judge.</w:t>
      </w:r>
    </w:p>
    <w:p w:rsidR="006F16C3" w:rsidRDefault="006F16C3" w:rsidP="00A41661">
      <w:pPr>
        <w:pStyle w:val="ListParagraph"/>
        <w:ind w:left="360"/>
        <w:rPr>
          <w:rFonts w:cs="Arial"/>
        </w:rPr>
      </w:pPr>
    </w:p>
    <w:p w:rsidR="00CF31DB" w:rsidRDefault="006F16C3" w:rsidP="00EE6BD9">
      <w:pPr>
        <w:pStyle w:val="ListParagraph"/>
        <w:ind w:left="360"/>
        <w:rPr>
          <w:rFonts w:cs="Arial"/>
        </w:rPr>
      </w:pPr>
      <w:r>
        <w:rPr>
          <w:rFonts w:cs="Arial"/>
        </w:rPr>
        <w:t>Another court system available to consider cases for employment law is that of the County Court and Hi</w:t>
      </w:r>
      <w:r w:rsidR="009A3CF1">
        <w:rPr>
          <w:rFonts w:cs="Arial"/>
        </w:rPr>
        <w:t>gh Court.  The time constraint</w:t>
      </w:r>
      <w:r>
        <w:rPr>
          <w:rFonts w:cs="Arial"/>
        </w:rPr>
        <w:t xml:space="preserve">s for submission are far greater with the limitation period being set at 6 years. Only certain cases are permissible to be heard at the County Court, </w:t>
      </w:r>
      <w:proofErr w:type="spellStart"/>
      <w:r>
        <w:rPr>
          <w:rFonts w:cs="Arial"/>
        </w:rPr>
        <w:t>ie</w:t>
      </w:r>
      <w:proofErr w:type="spellEnd"/>
      <w:r>
        <w:rPr>
          <w:rFonts w:cs="Arial"/>
        </w:rPr>
        <w:t xml:space="preserve">. </w:t>
      </w:r>
      <w:proofErr w:type="gramStart"/>
      <w:r>
        <w:rPr>
          <w:rFonts w:cs="Arial"/>
        </w:rPr>
        <w:t>breach</w:t>
      </w:r>
      <w:proofErr w:type="gramEnd"/>
      <w:r>
        <w:rPr>
          <w:rFonts w:cs="Arial"/>
        </w:rPr>
        <w:t xml:space="preserve"> of contract, discrimination and harassment.</w:t>
      </w:r>
    </w:p>
    <w:p w:rsidR="00EE6BD9" w:rsidRPr="00EE6BD9" w:rsidRDefault="00EE6BD9" w:rsidP="00EE6BD9">
      <w:pPr>
        <w:pStyle w:val="ListParagraph"/>
        <w:ind w:left="360"/>
        <w:rPr>
          <w:rFonts w:cs="Arial"/>
        </w:rPr>
      </w:pPr>
    </w:p>
    <w:p w:rsidR="00250F94" w:rsidRDefault="00250F94" w:rsidP="00791204">
      <w:pPr>
        <w:pStyle w:val="NoSpacing"/>
        <w:ind w:left="360"/>
        <w:rPr>
          <w:rFonts w:ascii="Arial" w:hAnsi="Arial" w:cs="Arial"/>
          <w:i/>
        </w:rPr>
      </w:pPr>
    </w:p>
    <w:p w:rsidR="002B267E" w:rsidRDefault="002B267E" w:rsidP="00791204">
      <w:pPr>
        <w:pStyle w:val="NoSpacing"/>
        <w:ind w:left="360"/>
        <w:rPr>
          <w:rFonts w:ascii="Arial" w:hAnsi="Arial" w:cs="Arial"/>
        </w:rPr>
      </w:pPr>
      <w:r>
        <w:rPr>
          <w:rFonts w:ascii="Arial" w:hAnsi="Arial" w:cs="Arial"/>
        </w:rPr>
        <w:t>Discrimination and Recruitment</w:t>
      </w:r>
    </w:p>
    <w:p w:rsidR="002B267E" w:rsidRDefault="002B267E" w:rsidP="00791204">
      <w:pPr>
        <w:pStyle w:val="NoSpacing"/>
        <w:ind w:left="360"/>
        <w:rPr>
          <w:rFonts w:ascii="Arial" w:hAnsi="Arial" w:cs="Arial"/>
        </w:rPr>
      </w:pPr>
    </w:p>
    <w:p w:rsidR="00C66A9D" w:rsidRDefault="00250F94" w:rsidP="00791204">
      <w:pPr>
        <w:pStyle w:val="NoSpacing"/>
        <w:ind w:left="360"/>
        <w:rPr>
          <w:rFonts w:ascii="Arial" w:hAnsi="Arial" w:cs="Arial"/>
        </w:rPr>
      </w:pPr>
      <w:r>
        <w:rPr>
          <w:rFonts w:ascii="Arial" w:hAnsi="Arial" w:cs="Arial"/>
        </w:rPr>
        <w:t xml:space="preserve">Discrimination Law is now captured within the Equality Act 2010 which outlines the grounds on which discrimination can occur.  In addition to employees, potential employees are covered from </w:t>
      </w:r>
      <w:r w:rsidR="007B1AC0">
        <w:rPr>
          <w:rFonts w:ascii="Arial" w:hAnsi="Arial" w:cs="Arial"/>
        </w:rPr>
        <w:t>discrimination</w:t>
      </w:r>
      <w:r w:rsidR="00C66A9D">
        <w:rPr>
          <w:rFonts w:ascii="Arial" w:hAnsi="Arial" w:cs="Arial"/>
        </w:rPr>
        <w:t xml:space="preserve"> against the protected characteristics and therefore need to be considered during the recruitment process to ensure the process </w:t>
      </w:r>
      <w:r w:rsidR="006A631B">
        <w:rPr>
          <w:rFonts w:ascii="Arial" w:hAnsi="Arial" w:cs="Arial"/>
        </w:rPr>
        <w:t xml:space="preserve">is </w:t>
      </w:r>
      <w:r w:rsidR="00777709">
        <w:rPr>
          <w:rFonts w:ascii="Arial" w:hAnsi="Arial" w:cs="Arial"/>
        </w:rPr>
        <w:t xml:space="preserve">fair and </w:t>
      </w:r>
      <w:r w:rsidR="006A631B">
        <w:rPr>
          <w:rFonts w:ascii="Arial" w:hAnsi="Arial" w:cs="Arial"/>
        </w:rPr>
        <w:t>lawful</w:t>
      </w:r>
      <w:r w:rsidR="007B1AC0">
        <w:rPr>
          <w:rFonts w:ascii="Arial" w:hAnsi="Arial" w:cs="Arial"/>
        </w:rPr>
        <w:t xml:space="preserve">. </w:t>
      </w:r>
    </w:p>
    <w:p w:rsidR="00C66A9D" w:rsidRDefault="00C66A9D" w:rsidP="00791204">
      <w:pPr>
        <w:pStyle w:val="NoSpacing"/>
        <w:ind w:left="360"/>
        <w:rPr>
          <w:rFonts w:ascii="Arial" w:hAnsi="Arial" w:cs="Arial"/>
        </w:rPr>
      </w:pPr>
    </w:p>
    <w:p w:rsidR="00C66A9D" w:rsidRDefault="00C66A9D" w:rsidP="00791204">
      <w:pPr>
        <w:pStyle w:val="NoSpacing"/>
        <w:ind w:left="360"/>
        <w:rPr>
          <w:rFonts w:ascii="Arial" w:hAnsi="Arial" w:cs="Arial"/>
        </w:rPr>
      </w:pPr>
      <w:r>
        <w:rPr>
          <w:rFonts w:ascii="Arial" w:hAnsi="Arial" w:cs="Arial"/>
        </w:rPr>
        <w:t>These characteristics are:</w:t>
      </w:r>
    </w:p>
    <w:p w:rsidR="00C66A9D" w:rsidRDefault="00C66A9D" w:rsidP="00791204">
      <w:pPr>
        <w:pStyle w:val="NoSpacing"/>
        <w:ind w:left="360"/>
        <w:rPr>
          <w:rFonts w:ascii="Arial" w:hAnsi="Arial" w:cs="Arial"/>
        </w:rPr>
      </w:pPr>
    </w:p>
    <w:p w:rsidR="00C66A9D" w:rsidRDefault="00C66A9D" w:rsidP="00C66A9D">
      <w:pPr>
        <w:pStyle w:val="NoSpacing"/>
        <w:numPr>
          <w:ilvl w:val="0"/>
          <w:numId w:val="4"/>
        </w:numPr>
        <w:rPr>
          <w:rFonts w:ascii="Arial" w:hAnsi="Arial" w:cs="Arial"/>
        </w:rPr>
      </w:pPr>
      <w:r>
        <w:rPr>
          <w:rFonts w:ascii="Arial" w:hAnsi="Arial" w:cs="Arial"/>
        </w:rPr>
        <w:t>Age</w:t>
      </w:r>
    </w:p>
    <w:p w:rsidR="00C66A9D" w:rsidRDefault="00C66A9D" w:rsidP="00C66A9D">
      <w:pPr>
        <w:pStyle w:val="NoSpacing"/>
        <w:numPr>
          <w:ilvl w:val="0"/>
          <w:numId w:val="4"/>
        </w:numPr>
        <w:rPr>
          <w:rFonts w:ascii="Arial" w:hAnsi="Arial" w:cs="Arial"/>
        </w:rPr>
      </w:pPr>
      <w:r>
        <w:rPr>
          <w:rFonts w:ascii="Arial" w:hAnsi="Arial" w:cs="Arial"/>
        </w:rPr>
        <w:t xml:space="preserve">Disability – physical/mental impairment that </w:t>
      </w:r>
      <w:r w:rsidR="00F2661C">
        <w:rPr>
          <w:rFonts w:ascii="Arial" w:hAnsi="Arial" w:cs="Arial"/>
        </w:rPr>
        <w:t xml:space="preserve">substantially </w:t>
      </w:r>
      <w:r>
        <w:rPr>
          <w:rFonts w:ascii="Arial" w:hAnsi="Arial" w:cs="Arial"/>
        </w:rPr>
        <w:t>impacts on daily activity</w:t>
      </w:r>
    </w:p>
    <w:p w:rsidR="00C66A9D" w:rsidRDefault="00C66A9D" w:rsidP="00C66A9D">
      <w:pPr>
        <w:pStyle w:val="NoSpacing"/>
        <w:numPr>
          <w:ilvl w:val="0"/>
          <w:numId w:val="4"/>
        </w:numPr>
        <w:rPr>
          <w:rFonts w:ascii="Arial" w:hAnsi="Arial" w:cs="Arial"/>
        </w:rPr>
      </w:pPr>
      <w:r>
        <w:rPr>
          <w:rFonts w:ascii="Arial" w:hAnsi="Arial" w:cs="Arial"/>
        </w:rPr>
        <w:t>Gender Reassignment – before, during and after</w:t>
      </w:r>
    </w:p>
    <w:p w:rsidR="00C66A9D" w:rsidRDefault="00C66A9D" w:rsidP="00C66A9D">
      <w:pPr>
        <w:pStyle w:val="NoSpacing"/>
        <w:numPr>
          <w:ilvl w:val="0"/>
          <w:numId w:val="4"/>
        </w:numPr>
        <w:rPr>
          <w:rFonts w:ascii="Arial" w:hAnsi="Arial" w:cs="Arial"/>
        </w:rPr>
      </w:pPr>
      <w:r>
        <w:rPr>
          <w:rFonts w:ascii="Arial" w:hAnsi="Arial" w:cs="Arial"/>
        </w:rPr>
        <w:t>Marriage and Civil Partnership</w:t>
      </w:r>
    </w:p>
    <w:p w:rsidR="00C66A9D" w:rsidRDefault="00C66A9D" w:rsidP="00C66A9D">
      <w:pPr>
        <w:pStyle w:val="NoSpacing"/>
        <w:numPr>
          <w:ilvl w:val="0"/>
          <w:numId w:val="4"/>
        </w:numPr>
        <w:rPr>
          <w:rFonts w:ascii="Arial" w:hAnsi="Arial" w:cs="Arial"/>
        </w:rPr>
      </w:pPr>
      <w:r>
        <w:rPr>
          <w:rFonts w:ascii="Arial" w:hAnsi="Arial" w:cs="Arial"/>
        </w:rPr>
        <w:t>Pregnancy and Maternity</w:t>
      </w:r>
    </w:p>
    <w:p w:rsidR="00C66A9D" w:rsidRDefault="00C66A9D" w:rsidP="00C66A9D">
      <w:pPr>
        <w:pStyle w:val="NoSpacing"/>
        <w:numPr>
          <w:ilvl w:val="0"/>
          <w:numId w:val="4"/>
        </w:numPr>
        <w:rPr>
          <w:rFonts w:ascii="Arial" w:hAnsi="Arial" w:cs="Arial"/>
        </w:rPr>
      </w:pPr>
      <w:r>
        <w:rPr>
          <w:rFonts w:ascii="Arial" w:hAnsi="Arial" w:cs="Arial"/>
        </w:rPr>
        <w:t>Race – includes colour, nationality, ethnicity or national origin</w:t>
      </w:r>
    </w:p>
    <w:p w:rsidR="00023551" w:rsidRDefault="00023551" w:rsidP="00C66A9D">
      <w:pPr>
        <w:pStyle w:val="NoSpacing"/>
        <w:numPr>
          <w:ilvl w:val="0"/>
          <w:numId w:val="4"/>
        </w:numPr>
        <w:rPr>
          <w:rFonts w:ascii="Arial" w:hAnsi="Arial" w:cs="Arial"/>
        </w:rPr>
      </w:pPr>
      <w:r>
        <w:rPr>
          <w:rFonts w:ascii="Arial" w:hAnsi="Arial" w:cs="Arial"/>
        </w:rPr>
        <w:t>Religion, religious or philosophical belief</w:t>
      </w:r>
    </w:p>
    <w:p w:rsidR="00C66A9D" w:rsidRDefault="00C66A9D" w:rsidP="00C66A9D">
      <w:pPr>
        <w:pStyle w:val="NoSpacing"/>
        <w:numPr>
          <w:ilvl w:val="0"/>
          <w:numId w:val="4"/>
        </w:numPr>
        <w:rPr>
          <w:rFonts w:ascii="Arial" w:hAnsi="Arial" w:cs="Arial"/>
        </w:rPr>
      </w:pPr>
      <w:r>
        <w:rPr>
          <w:rFonts w:ascii="Arial" w:hAnsi="Arial" w:cs="Arial"/>
        </w:rPr>
        <w:t>Sex</w:t>
      </w:r>
    </w:p>
    <w:p w:rsidR="00C66A9D" w:rsidRDefault="00C66A9D" w:rsidP="00C66A9D">
      <w:pPr>
        <w:pStyle w:val="NoSpacing"/>
        <w:numPr>
          <w:ilvl w:val="0"/>
          <w:numId w:val="4"/>
        </w:numPr>
        <w:rPr>
          <w:rFonts w:ascii="Arial" w:hAnsi="Arial" w:cs="Arial"/>
        </w:rPr>
      </w:pPr>
      <w:r>
        <w:rPr>
          <w:rFonts w:ascii="Arial" w:hAnsi="Arial" w:cs="Arial"/>
        </w:rPr>
        <w:t>Sexual Orientation</w:t>
      </w:r>
    </w:p>
    <w:p w:rsidR="00A43EDB" w:rsidRDefault="00A43EDB" w:rsidP="00A43EDB">
      <w:pPr>
        <w:pStyle w:val="NoSpacing"/>
        <w:rPr>
          <w:rFonts w:ascii="Arial" w:hAnsi="Arial" w:cs="Arial"/>
        </w:rPr>
      </w:pPr>
    </w:p>
    <w:p w:rsidR="00C66A9D" w:rsidRDefault="00C66A9D" w:rsidP="00C66A9D">
      <w:pPr>
        <w:pStyle w:val="NoSpacing"/>
        <w:rPr>
          <w:rFonts w:ascii="Arial" w:hAnsi="Arial" w:cs="Arial"/>
        </w:rPr>
      </w:pPr>
    </w:p>
    <w:p w:rsidR="00A43EDB" w:rsidRDefault="00A43EDB" w:rsidP="00791204">
      <w:pPr>
        <w:pStyle w:val="NoSpacing"/>
        <w:ind w:left="360"/>
        <w:rPr>
          <w:rFonts w:ascii="Arial" w:hAnsi="Arial" w:cs="Arial"/>
        </w:rPr>
      </w:pPr>
      <w:r>
        <w:rPr>
          <w:rFonts w:ascii="Arial" w:hAnsi="Arial" w:cs="Arial"/>
        </w:rPr>
        <w:t xml:space="preserve">The types of discrimination that can occur within the process are:  </w:t>
      </w:r>
    </w:p>
    <w:p w:rsidR="00A43EDB" w:rsidRDefault="00A43EDB" w:rsidP="00791204">
      <w:pPr>
        <w:pStyle w:val="NoSpacing"/>
        <w:ind w:left="360"/>
        <w:rPr>
          <w:rFonts w:ascii="Arial" w:hAnsi="Arial" w:cs="Arial"/>
        </w:rPr>
      </w:pPr>
    </w:p>
    <w:p w:rsidR="00A43EDB" w:rsidRDefault="00A43EDB" w:rsidP="00A43EDB">
      <w:pPr>
        <w:pStyle w:val="NoSpacing"/>
        <w:numPr>
          <w:ilvl w:val="0"/>
          <w:numId w:val="5"/>
        </w:numPr>
        <w:rPr>
          <w:rFonts w:ascii="Arial" w:hAnsi="Arial" w:cs="Arial"/>
        </w:rPr>
      </w:pPr>
      <w:r>
        <w:rPr>
          <w:rFonts w:ascii="Arial" w:hAnsi="Arial" w:cs="Arial"/>
        </w:rPr>
        <w:t>Direct – failure to offer a job to an applicant due to a protective characteristic</w:t>
      </w:r>
    </w:p>
    <w:p w:rsidR="00A43EDB" w:rsidRDefault="00A43EDB" w:rsidP="00A43EDB">
      <w:pPr>
        <w:pStyle w:val="NoSpacing"/>
        <w:numPr>
          <w:ilvl w:val="0"/>
          <w:numId w:val="5"/>
        </w:numPr>
        <w:rPr>
          <w:rFonts w:ascii="Arial" w:hAnsi="Arial" w:cs="Arial"/>
        </w:rPr>
      </w:pPr>
      <w:r>
        <w:rPr>
          <w:rFonts w:ascii="Arial" w:hAnsi="Arial" w:cs="Arial"/>
        </w:rPr>
        <w:t xml:space="preserve">Indirect </w:t>
      </w:r>
      <w:r w:rsidR="00D32586">
        <w:rPr>
          <w:rFonts w:ascii="Arial" w:hAnsi="Arial" w:cs="Arial"/>
        </w:rPr>
        <w:t>–</w:t>
      </w:r>
      <w:r>
        <w:rPr>
          <w:rFonts w:ascii="Arial" w:hAnsi="Arial" w:cs="Arial"/>
        </w:rPr>
        <w:t xml:space="preserve"> </w:t>
      </w:r>
      <w:r w:rsidR="00D32586">
        <w:rPr>
          <w:rFonts w:ascii="Arial" w:hAnsi="Arial" w:cs="Arial"/>
        </w:rPr>
        <w:t xml:space="preserve">applying conditions to a job or any part of the recruitment process </w:t>
      </w:r>
      <w:r w:rsidR="00777709">
        <w:rPr>
          <w:rFonts w:ascii="Arial" w:hAnsi="Arial" w:cs="Arial"/>
        </w:rPr>
        <w:t>that creates a disadvantage</w:t>
      </w:r>
    </w:p>
    <w:p w:rsidR="00A43EDB" w:rsidRDefault="00777709" w:rsidP="00A43EDB">
      <w:pPr>
        <w:pStyle w:val="NoSpacing"/>
        <w:numPr>
          <w:ilvl w:val="0"/>
          <w:numId w:val="5"/>
        </w:numPr>
        <w:rPr>
          <w:rFonts w:ascii="Arial" w:hAnsi="Arial" w:cs="Arial"/>
        </w:rPr>
      </w:pPr>
      <w:r>
        <w:rPr>
          <w:rFonts w:ascii="Arial" w:hAnsi="Arial" w:cs="Arial"/>
        </w:rPr>
        <w:t>Discrimination arising from disability</w:t>
      </w:r>
      <w:r w:rsidR="00A43EDB">
        <w:rPr>
          <w:rFonts w:ascii="Arial" w:hAnsi="Arial" w:cs="Arial"/>
        </w:rPr>
        <w:t xml:space="preserve"> </w:t>
      </w:r>
      <w:r>
        <w:rPr>
          <w:rFonts w:ascii="Arial" w:hAnsi="Arial" w:cs="Arial"/>
        </w:rPr>
        <w:t xml:space="preserve">– </w:t>
      </w:r>
      <w:proofErr w:type="spellStart"/>
      <w:r>
        <w:rPr>
          <w:rFonts w:ascii="Arial" w:hAnsi="Arial" w:cs="Arial"/>
        </w:rPr>
        <w:t>eg.setting</w:t>
      </w:r>
      <w:proofErr w:type="spellEnd"/>
      <w:r>
        <w:rPr>
          <w:rFonts w:ascii="Arial" w:hAnsi="Arial" w:cs="Arial"/>
        </w:rPr>
        <w:t xml:space="preserve"> a test which places the candidate at a disadvantage</w:t>
      </w:r>
    </w:p>
    <w:p w:rsidR="00777709" w:rsidRDefault="00777709" w:rsidP="00A43EDB">
      <w:pPr>
        <w:pStyle w:val="NoSpacing"/>
        <w:numPr>
          <w:ilvl w:val="0"/>
          <w:numId w:val="5"/>
        </w:numPr>
        <w:rPr>
          <w:rFonts w:ascii="Arial" w:hAnsi="Arial" w:cs="Arial"/>
        </w:rPr>
      </w:pPr>
      <w:r>
        <w:rPr>
          <w:rFonts w:ascii="Arial" w:hAnsi="Arial" w:cs="Arial"/>
        </w:rPr>
        <w:t xml:space="preserve">Failure to make reasonable adjustments – setting an </w:t>
      </w:r>
      <w:proofErr w:type="spellStart"/>
      <w:r>
        <w:rPr>
          <w:rFonts w:ascii="Arial" w:hAnsi="Arial" w:cs="Arial"/>
        </w:rPr>
        <w:t>unlevel</w:t>
      </w:r>
      <w:proofErr w:type="spellEnd"/>
      <w:r>
        <w:rPr>
          <w:rFonts w:ascii="Arial" w:hAnsi="Arial" w:cs="Arial"/>
        </w:rPr>
        <w:t xml:space="preserve"> playing field</w:t>
      </w:r>
    </w:p>
    <w:p w:rsidR="00777709" w:rsidRPr="00A43EDB" w:rsidRDefault="00777709" w:rsidP="00777709">
      <w:pPr>
        <w:pStyle w:val="NoSpacing"/>
        <w:ind w:left="1080"/>
        <w:rPr>
          <w:rFonts w:ascii="Arial" w:hAnsi="Arial" w:cs="Arial"/>
        </w:rPr>
      </w:pPr>
    </w:p>
    <w:p w:rsidR="006A631B" w:rsidRDefault="006A631B" w:rsidP="00791204">
      <w:pPr>
        <w:pStyle w:val="NoSpacing"/>
        <w:ind w:left="360"/>
        <w:rPr>
          <w:rFonts w:ascii="Arial" w:hAnsi="Arial" w:cs="Arial"/>
        </w:rPr>
      </w:pPr>
      <w:r>
        <w:rPr>
          <w:rFonts w:ascii="Arial" w:hAnsi="Arial" w:cs="Arial"/>
        </w:rPr>
        <w:t xml:space="preserve">There is a legal requirement for employers not to apply conditions and criteria to a job description that could discriminate against those applying and for reasonable adjustments to be made available wherever possible to ensure a fair process is conducted.  </w:t>
      </w:r>
    </w:p>
    <w:p w:rsidR="00777709" w:rsidRDefault="00777709" w:rsidP="00791204">
      <w:pPr>
        <w:pStyle w:val="NoSpacing"/>
        <w:ind w:left="360"/>
        <w:rPr>
          <w:rFonts w:ascii="Arial" w:hAnsi="Arial" w:cs="Arial"/>
        </w:rPr>
      </w:pPr>
    </w:p>
    <w:p w:rsidR="006A631B" w:rsidRDefault="006A631B" w:rsidP="00791204">
      <w:pPr>
        <w:pStyle w:val="NoSpacing"/>
        <w:ind w:left="360"/>
        <w:rPr>
          <w:rFonts w:ascii="Arial" w:hAnsi="Arial" w:cs="Arial"/>
        </w:rPr>
      </w:pPr>
      <w:r>
        <w:rPr>
          <w:rFonts w:ascii="Arial" w:hAnsi="Arial" w:cs="Arial"/>
        </w:rPr>
        <w:t xml:space="preserve">It is also unlawful for an employer to instruct an agency to discriminate, </w:t>
      </w:r>
      <w:r w:rsidR="00777709">
        <w:rPr>
          <w:rFonts w:ascii="Arial" w:hAnsi="Arial" w:cs="Arial"/>
        </w:rPr>
        <w:t xml:space="preserve">either intentionally or unintentionally, </w:t>
      </w:r>
      <w:r>
        <w:rPr>
          <w:rFonts w:ascii="Arial" w:hAnsi="Arial" w:cs="Arial"/>
        </w:rPr>
        <w:t xml:space="preserve">both would be held accountable should this occur.  </w:t>
      </w:r>
    </w:p>
    <w:p w:rsidR="006A631B" w:rsidRDefault="006A631B" w:rsidP="00791204">
      <w:pPr>
        <w:pStyle w:val="NoSpacing"/>
        <w:ind w:left="360"/>
        <w:rPr>
          <w:rFonts w:ascii="Arial" w:hAnsi="Arial" w:cs="Arial"/>
        </w:rPr>
      </w:pPr>
    </w:p>
    <w:p w:rsidR="00A43EDB" w:rsidRDefault="006A631B" w:rsidP="00791204">
      <w:pPr>
        <w:pStyle w:val="NoSpacing"/>
        <w:ind w:left="360"/>
        <w:rPr>
          <w:rFonts w:ascii="Arial" w:hAnsi="Arial" w:cs="Arial"/>
        </w:rPr>
      </w:pPr>
      <w:r>
        <w:rPr>
          <w:rFonts w:ascii="Arial" w:hAnsi="Arial" w:cs="Arial"/>
        </w:rPr>
        <w:t xml:space="preserve">However, positive action is allowed in order to address any under-representation </w:t>
      </w:r>
      <w:r w:rsidR="00A43EDB">
        <w:rPr>
          <w:rFonts w:ascii="Arial" w:hAnsi="Arial" w:cs="Arial"/>
        </w:rPr>
        <w:t xml:space="preserve">of a disadvantaged group. </w:t>
      </w:r>
      <w:r w:rsidR="00777709">
        <w:rPr>
          <w:rFonts w:ascii="Arial" w:hAnsi="Arial" w:cs="Arial"/>
        </w:rPr>
        <w:t>For example, a police force needs to increase the number of female ethnic minorities to better reflect the dem</w:t>
      </w:r>
      <w:r w:rsidR="00197387">
        <w:rPr>
          <w:rFonts w:ascii="Arial" w:hAnsi="Arial" w:cs="Arial"/>
        </w:rPr>
        <w:t xml:space="preserve">ographics of the people served and </w:t>
      </w:r>
      <w:r w:rsidR="00197387">
        <w:rPr>
          <w:rFonts w:ascii="Arial" w:hAnsi="Arial" w:cs="Arial"/>
        </w:rPr>
        <w:lastRenderedPageBreak/>
        <w:t xml:space="preserve">conducts a recruitment campaign to recruit from this group. </w:t>
      </w:r>
      <w:r w:rsidR="00A43EDB">
        <w:rPr>
          <w:rFonts w:ascii="Arial" w:hAnsi="Arial" w:cs="Arial"/>
        </w:rPr>
        <w:t xml:space="preserve"> </w:t>
      </w:r>
      <w:r w:rsidR="001F346F">
        <w:rPr>
          <w:rFonts w:ascii="Arial" w:hAnsi="Arial" w:cs="Arial"/>
        </w:rPr>
        <w:t>A</w:t>
      </w:r>
      <w:r w:rsidR="003C6BAB">
        <w:rPr>
          <w:rFonts w:ascii="Arial" w:hAnsi="Arial" w:cs="Arial"/>
        </w:rPr>
        <w:t xml:space="preserve">lthough as previously stated direct discrimination is unlawful, there are </w:t>
      </w:r>
      <w:r w:rsidR="00230A5D">
        <w:rPr>
          <w:rFonts w:ascii="Arial" w:hAnsi="Arial" w:cs="Arial"/>
        </w:rPr>
        <w:t xml:space="preserve">also </w:t>
      </w:r>
      <w:r w:rsidR="003C6BAB">
        <w:rPr>
          <w:rFonts w:ascii="Arial" w:hAnsi="Arial" w:cs="Arial"/>
        </w:rPr>
        <w:t xml:space="preserve">occasions when a specific gender would be required due to the activities performed within that role </w:t>
      </w:r>
      <w:proofErr w:type="spellStart"/>
      <w:r w:rsidR="003C6BAB">
        <w:rPr>
          <w:rFonts w:ascii="Arial" w:hAnsi="Arial" w:cs="Arial"/>
        </w:rPr>
        <w:t>ie</w:t>
      </w:r>
      <w:proofErr w:type="spellEnd"/>
      <w:r w:rsidR="003C6BAB">
        <w:rPr>
          <w:rFonts w:ascii="Arial" w:hAnsi="Arial" w:cs="Arial"/>
        </w:rPr>
        <w:t>, meas</w:t>
      </w:r>
      <w:r w:rsidR="00351DBE">
        <w:rPr>
          <w:rFonts w:ascii="Arial" w:hAnsi="Arial" w:cs="Arial"/>
        </w:rPr>
        <w:t>uring women to establish clothe</w:t>
      </w:r>
      <w:r w:rsidR="003C6BAB">
        <w:rPr>
          <w:rFonts w:ascii="Arial" w:hAnsi="Arial" w:cs="Arial"/>
        </w:rPr>
        <w:t xml:space="preserve"> size (</w:t>
      </w:r>
      <w:proofErr w:type="spellStart"/>
      <w:r w:rsidR="003C6BAB">
        <w:rPr>
          <w:rFonts w:ascii="Arial" w:hAnsi="Arial" w:cs="Arial"/>
          <w:i/>
        </w:rPr>
        <w:t>Etam</w:t>
      </w:r>
      <w:proofErr w:type="spellEnd"/>
      <w:r w:rsidR="003C6BAB">
        <w:rPr>
          <w:rFonts w:ascii="Arial" w:hAnsi="Arial" w:cs="Arial"/>
          <w:i/>
        </w:rPr>
        <w:t xml:space="preserve"> </w:t>
      </w:r>
      <w:proofErr w:type="spellStart"/>
      <w:r w:rsidR="003C6BAB">
        <w:rPr>
          <w:rFonts w:ascii="Arial" w:hAnsi="Arial" w:cs="Arial"/>
          <w:i/>
        </w:rPr>
        <w:t>plc</w:t>
      </w:r>
      <w:proofErr w:type="spellEnd"/>
      <w:r w:rsidR="003C6BAB">
        <w:rPr>
          <w:rFonts w:ascii="Arial" w:hAnsi="Arial" w:cs="Arial"/>
          <w:i/>
        </w:rPr>
        <w:t xml:space="preserve"> v Rowan </w:t>
      </w:r>
      <w:r w:rsidR="003C6BAB">
        <w:rPr>
          <w:rFonts w:ascii="Arial" w:hAnsi="Arial" w:cs="Arial"/>
        </w:rPr>
        <w:t>[1989], upheld)</w:t>
      </w:r>
      <w:r w:rsidR="002B267E">
        <w:rPr>
          <w:rFonts w:ascii="Arial" w:hAnsi="Arial" w:cs="Arial"/>
        </w:rPr>
        <w:t>.</w:t>
      </w:r>
    </w:p>
    <w:p w:rsidR="003417E9" w:rsidRDefault="003417E9" w:rsidP="00791204">
      <w:pPr>
        <w:pStyle w:val="NoSpacing"/>
        <w:ind w:left="360"/>
        <w:rPr>
          <w:rFonts w:ascii="Arial" w:hAnsi="Arial" w:cs="Arial"/>
        </w:rPr>
      </w:pPr>
    </w:p>
    <w:p w:rsidR="003417E9" w:rsidRDefault="003417E9" w:rsidP="00791204">
      <w:pPr>
        <w:pStyle w:val="NoSpacing"/>
        <w:ind w:left="360"/>
        <w:rPr>
          <w:rFonts w:ascii="Arial" w:hAnsi="Arial" w:cs="Arial"/>
        </w:rPr>
      </w:pPr>
      <w:r>
        <w:rPr>
          <w:rFonts w:ascii="Arial" w:hAnsi="Arial" w:cs="Arial"/>
        </w:rPr>
        <w:t>Contracts of Employment</w:t>
      </w:r>
    </w:p>
    <w:p w:rsidR="003417E9" w:rsidRDefault="003417E9" w:rsidP="00791204">
      <w:pPr>
        <w:pStyle w:val="NoSpacing"/>
        <w:ind w:left="360"/>
        <w:rPr>
          <w:rFonts w:ascii="Arial" w:hAnsi="Arial" w:cs="Arial"/>
        </w:rPr>
      </w:pPr>
    </w:p>
    <w:p w:rsidR="00F7004E" w:rsidRDefault="003417E9" w:rsidP="00791204">
      <w:pPr>
        <w:pStyle w:val="NoSpacing"/>
        <w:ind w:left="360"/>
        <w:rPr>
          <w:rFonts w:ascii="Arial" w:hAnsi="Arial" w:cs="Arial"/>
        </w:rPr>
      </w:pPr>
      <w:r>
        <w:rPr>
          <w:rFonts w:ascii="Arial" w:hAnsi="Arial" w:cs="Arial"/>
        </w:rPr>
        <w:t xml:space="preserve">The contract of employment lays out the relationship of employment between employee and employer and can be either in written form or a verbal agreement. </w:t>
      </w:r>
      <w:r w:rsidR="00EB6207">
        <w:rPr>
          <w:rFonts w:ascii="Arial" w:hAnsi="Arial" w:cs="Arial"/>
        </w:rPr>
        <w:t>The terms of this agreement can either be expressed or implied terms.  Expressed terms are very specific and are laid out within the contract whereas implied terms have not been agreed but are implied through such things as collective agreements and recognised practice within the organisation or those determined by statute or the courts.</w:t>
      </w:r>
      <w:r w:rsidR="00CD2081">
        <w:rPr>
          <w:rFonts w:ascii="Arial" w:hAnsi="Arial" w:cs="Arial"/>
        </w:rPr>
        <w:t xml:space="preserve"> For example, the expectation to be paid for the work undertaken as upheld in the case of </w:t>
      </w:r>
      <w:proofErr w:type="spellStart"/>
      <w:r w:rsidR="00CD2081">
        <w:rPr>
          <w:rFonts w:ascii="Arial" w:hAnsi="Arial" w:cs="Arial"/>
          <w:i/>
        </w:rPr>
        <w:t>Devonald</w:t>
      </w:r>
      <w:proofErr w:type="spellEnd"/>
      <w:r w:rsidR="00CD2081">
        <w:rPr>
          <w:rFonts w:ascii="Arial" w:hAnsi="Arial" w:cs="Arial"/>
          <w:i/>
        </w:rPr>
        <w:t xml:space="preserve"> v Rosser </w:t>
      </w:r>
      <w:r w:rsidR="00CD2081">
        <w:rPr>
          <w:rFonts w:ascii="Arial" w:hAnsi="Arial" w:cs="Arial"/>
        </w:rPr>
        <w:t>[1906]</w:t>
      </w:r>
      <w:r w:rsidR="00F7004E">
        <w:rPr>
          <w:rFonts w:ascii="Arial" w:hAnsi="Arial" w:cs="Arial"/>
        </w:rPr>
        <w:t xml:space="preserve">. </w:t>
      </w:r>
    </w:p>
    <w:p w:rsidR="00F7004E" w:rsidRDefault="00F7004E" w:rsidP="00791204">
      <w:pPr>
        <w:pStyle w:val="NoSpacing"/>
        <w:ind w:left="360"/>
        <w:rPr>
          <w:rFonts w:ascii="Arial" w:hAnsi="Arial" w:cs="Arial"/>
        </w:rPr>
      </w:pPr>
    </w:p>
    <w:p w:rsidR="00EB6207" w:rsidRPr="00CD2081" w:rsidRDefault="00F7004E" w:rsidP="00791204">
      <w:pPr>
        <w:pStyle w:val="NoSpacing"/>
        <w:ind w:left="360"/>
        <w:rPr>
          <w:rFonts w:ascii="Arial" w:hAnsi="Arial" w:cs="Arial"/>
        </w:rPr>
      </w:pPr>
      <w:r>
        <w:rPr>
          <w:rFonts w:ascii="Arial" w:hAnsi="Arial" w:cs="Arial"/>
        </w:rPr>
        <w:t xml:space="preserve">Even if a contract is agreed by both parties but this breaches a statute then the affected party is eligible to claim, </w:t>
      </w:r>
      <w:proofErr w:type="spellStart"/>
      <w:r>
        <w:rPr>
          <w:rFonts w:ascii="Arial" w:hAnsi="Arial" w:cs="Arial"/>
        </w:rPr>
        <w:t>ie</w:t>
      </w:r>
      <w:proofErr w:type="spellEnd"/>
      <w:r>
        <w:rPr>
          <w:rFonts w:ascii="Arial" w:hAnsi="Arial" w:cs="Arial"/>
        </w:rPr>
        <w:t xml:space="preserve"> the agreed rate is below the National Minimum Wage.</w:t>
      </w:r>
    </w:p>
    <w:p w:rsidR="00EB6207" w:rsidRDefault="00EB6207" w:rsidP="00791204">
      <w:pPr>
        <w:pStyle w:val="NoSpacing"/>
        <w:ind w:left="360"/>
        <w:rPr>
          <w:rFonts w:ascii="Arial" w:hAnsi="Arial" w:cs="Arial"/>
        </w:rPr>
      </w:pPr>
    </w:p>
    <w:p w:rsidR="000508E7" w:rsidRDefault="00EB6207" w:rsidP="00791204">
      <w:pPr>
        <w:pStyle w:val="NoSpacing"/>
        <w:ind w:left="360"/>
        <w:rPr>
          <w:rFonts w:ascii="Arial" w:hAnsi="Arial" w:cs="Arial"/>
        </w:rPr>
      </w:pPr>
      <w:r>
        <w:rPr>
          <w:rFonts w:ascii="Arial" w:hAnsi="Arial" w:cs="Arial"/>
        </w:rPr>
        <w:t>A written statement is legally required within the first two months of starting employment which provides the basic information but can refer to staff terms and conditions policies and other information held within the organisation’</w:t>
      </w:r>
      <w:r w:rsidR="000508E7">
        <w:rPr>
          <w:rFonts w:ascii="Arial" w:hAnsi="Arial" w:cs="Arial"/>
        </w:rPr>
        <w:t xml:space="preserve">s protocols. </w:t>
      </w:r>
    </w:p>
    <w:p w:rsidR="0005140C" w:rsidRDefault="0005140C" w:rsidP="00791204">
      <w:pPr>
        <w:pStyle w:val="NoSpacing"/>
        <w:ind w:left="360"/>
        <w:rPr>
          <w:rFonts w:ascii="Arial" w:hAnsi="Arial" w:cs="Arial"/>
        </w:rPr>
      </w:pPr>
    </w:p>
    <w:p w:rsidR="0005140C" w:rsidRPr="00AF6D51" w:rsidRDefault="0005140C" w:rsidP="0005140C">
      <w:pPr>
        <w:pStyle w:val="NoSpacing"/>
        <w:ind w:left="360"/>
        <w:rPr>
          <w:rFonts w:ascii="Arial" w:hAnsi="Arial" w:cs="Arial"/>
        </w:rPr>
      </w:pPr>
      <w:r>
        <w:rPr>
          <w:rFonts w:ascii="Arial" w:hAnsi="Arial" w:cs="Arial"/>
        </w:rPr>
        <w:t>Although there are a number of tests that can be used to establish the employment relationship (control, organisation, ordinary person and economic reality test), the most frequently used test within the courts presently is the multiple test which looks at all aspects of the relations</w:t>
      </w:r>
      <w:r w:rsidR="00AF6D51">
        <w:rPr>
          <w:rFonts w:ascii="Arial" w:hAnsi="Arial" w:cs="Arial"/>
        </w:rPr>
        <w:t>hip</w:t>
      </w:r>
      <w:r w:rsidR="00510427">
        <w:rPr>
          <w:rFonts w:ascii="Arial" w:hAnsi="Arial" w:cs="Arial"/>
        </w:rPr>
        <w:t xml:space="preserve"> (expressed and implied terms)</w:t>
      </w:r>
      <w:r w:rsidR="00AF6D51">
        <w:rPr>
          <w:rFonts w:ascii="Arial" w:hAnsi="Arial" w:cs="Arial"/>
        </w:rPr>
        <w:t xml:space="preserve"> and was proven by case law (</w:t>
      </w:r>
      <w:r w:rsidR="00AF6D51" w:rsidRPr="00AF6D51">
        <w:rPr>
          <w:rFonts w:ascii="Arial" w:hAnsi="Arial" w:cs="Arial"/>
          <w:i/>
        </w:rPr>
        <w:t>Ready-Mixed Concrete v Minister of Pensions</w:t>
      </w:r>
      <w:r w:rsidR="00AF6D51">
        <w:rPr>
          <w:rFonts w:ascii="Arial" w:hAnsi="Arial" w:cs="Arial"/>
          <w:i/>
        </w:rPr>
        <w:t xml:space="preserve"> </w:t>
      </w:r>
      <w:r w:rsidR="00510427">
        <w:rPr>
          <w:rFonts w:ascii="Arial" w:hAnsi="Arial" w:cs="Arial"/>
        </w:rPr>
        <w:t>[1968].</w:t>
      </w:r>
    </w:p>
    <w:p w:rsidR="000508E7" w:rsidRDefault="000508E7" w:rsidP="00791204">
      <w:pPr>
        <w:pStyle w:val="NoSpacing"/>
        <w:ind w:left="360"/>
        <w:rPr>
          <w:rFonts w:ascii="Arial" w:hAnsi="Arial" w:cs="Arial"/>
        </w:rPr>
      </w:pPr>
    </w:p>
    <w:p w:rsidR="003417E9" w:rsidRDefault="000508E7" w:rsidP="00791204">
      <w:pPr>
        <w:pStyle w:val="NoSpacing"/>
        <w:ind w:left="360"/>
        <w:rPr>
          <w:rFonts w:ascii="Arial" w:hAnsi="Arial" w:cs="Arial"/>
        </w:rPr>
      </w:pPr>
      <w:r>
        <w:rPr>
          <w:rFonts w:ascii="Arial" w:hAnsi="Arial" w:cs="Arial"/>
        </w:rPr>
        <w:t xml:space="preserve">The status of the ‘employee’ determines the level of commitment of the organisation with employees receiving the greatest protection and the self-employed receiving the basic statutory requirements. </w:t>
      </w:r>
      <w:r w:rsidR="00EB6207">
        <w:rPr>
          <w:rFonts w:ascii="Arial" w:hAnsi="Arial" w:cs="Arial"/>
        </w:rPr>
        <w:t xml:space="preserve">  </w:t>
      </w:r>
      <w:r w:rsidR="003415A0">
        <w:rPr>
          <w:rFonts w:ascii="Arial" w:hAnsi="Arial" w:cs="Arial"/>
        </w:rPr>
        <w:t xml:space="preserve">The other status type is the </w:t>
      </w:r>
      <w:proofErr w:type="gramStart"/>
      <w:r w:rsidR="003415A0">
        <w:rPr>
          <w:rFonts w:ascii="Arial" w:hAnsi="Arial" w:cs="Arial"/>
        </w:rPr>
        <w:t>‘worker’  who</w:t>
      </w:r>
      <w:proofErr w:type="gramEnd"/>
      <w:r w:rsidR="003415A0">
        <w:rPr>
          <w:rFonts w:ascii="Arial" w:hAnsi="Arial" w:cs="Arial"/>
        </w:rPr>
        <w:t xml:space="preserve"> receives benefits such as holiday pay, National Minimum Wage and breaks as outlined in the Working Time Regulations 1998.  The most recent successful challenge to employment status was of the </w:t>
      </w:r>
      <w:proofErr w:type="spellStart"/>
      <w:r w:rsidR="003415A0">
        <w:rPr>
          <w:rFonts w:ascii="Arial" w:hAnsi="Arial" w:cs="Arial"/>
        </w:rPr>
        <w:t>Uber</w:t>
      </w:r>
      <w:proofErr w:type="spellEnd"/>
      <w:r w:rsidR="003415A0">
        <w:rPr>
          <w:rFonts w:ascii="Arial" w:hAnsi="Arial" w:cs="Arial"/>
        </w:rPr>
        <w:t xml:space="preserve"> drivers who</w:t>
      </w:r>
      <w:r w:rsidR="00951F87">
        <w:rPr>
          <w:rFonts w:ascii="Arial" w:hAnsi="Arial" w:cs="Arial"/>
        </w:rPr>
        <w:t xml:space="preserve"> were</w:t>
      </w:r>
      <w:r w:rsidR="003415A0">
        <w:rPr>
          <w:rFonts w:ascii="Arial" w:hAnsi="Arial" w:cs="Arial"/>
        </w:rPr>
        <w:t xml:space="preserve"> initially considered as self-employed, however, the case was dismissed (</w:t>
      </w:r>
      <w:proofErr w:type="spellStart"/>
      <w:r w:rsidR="003415A0" w:rsidRPr="003415A0">
        <w:rPr>
          <w:rFonts w:ascii="Arial" w:hAnsi="Arial" w:cs="Arial"/>
          <w:i/>
        </w:rPr>
        <w:t>Uber</w:t>
      </w:r>
      <w:proofErr w:type="spellEnd"/>
      <w:r w:rsidR="003415A0" w:rsidRPr="003415A0">
        <w:rPr>
          <w:rFonts w:ascii="Arial" w:hAnsi="Arial" w:cs="Arial"/>
          <w:i/>
        </w:rPr>
        <w:t xml:space="preserve"> BV and others v </w:t>
      </w:r>
      <w:proofErr w:type="spellStart"/>
      <w:r w:rsidR="003415A0" w:rsidRPr="003415A0">
        <w:rPr>
          <w:rFonts w:ascii="Arial" w:hAnsi="Arial" w:cs="Arial"/>
          <w:i/>
        </w:rPr>
        <w:t>Aslam</w:t>
      </w:r>
      <w:proofErr w:type="spellEnd"/>
      <w:r w:rsidR="003415A0" w:rsidRPr="003415A0">
        <w:rPr>
          <w:rFonts w:ascii="Arial" w:hAnsi="Arial" w:cs="Arial"/>
          <w:i/>
        </w:rPr>
        <w:t xml:space="preserve"> and others</w:t>
      </w:r>
      <w:r w:rsidR="003415A0">
        <w:rPr>
          <w:rFonts w:ascii="Arial" w:hAnsi="Arial" w:cs="Arial"/>
        </w:rPr>
        <w:t xml:space="preserve"> [2019], dismissed) and was found in favour of the respondents on appeal at </w:t>
      </w:r>
      <w:r w:rsidR="00951F87">
        <w:rPr>
          <w:rFonts w:ascii="Arial" w:hAnsi="Arial" w:cs="Arial"/>
        </w:rPr>
        <w:t>the Supreme Court.</w:t>
      </w:r>
    </w:p>
    <w:p w:rsidR="002B267E" w:rsidRDefault="002B267E" w:rsidP="00791204">
      <w:pPr>
        <w:pStyle w:val="NoSpacing"/>
        <w:ind w:left="360"/>
        <w:rPr>
          <w:rFonts w:ascii="Arial" w:hAnsi="Arial" w:cs="Arial"/>
        </w:rPr>
      </w:pPr>
    </w:p>
    <w:p w:rsidR="002B267E" w:rsidRDefault="009661C0" w:rsidP="00791204">
      <w:pPr>
        <w:pStyle w:val="NoSpacing"/>
        <w:ind w:left="360"/>
        <w:rPr>
          <w:rFonts w:ascii="Arial" w:hAnsi="Arial" w:cs="Arial"/>
        </w:rPr>
      </w:pPr>
      <w:r>
        <w:rPr>
          <w:rFonts w:ascii="Arial" w:hAnsi="Arial" w:cs="Arial"/>
        </w:rPr>
        <w:t>Reorganisation within the workplace</w:t>
      </w:r>
    </w:p>
    <w:p w:rsidR="009661C0" w:rsidRDefault="009661C0" w:rsidP="00791204">
      <w:pPr>
        <w:pStyle w:val="NoSpacing"/>
        <w:ind w:left="360"/>
        <w:rPr>
          <w:rFonts w:ascii="Arial" w:hAnsi="Arial" w:cs="Arial"/>
        </w:rPr>
      </w:pPr>
    </w:p>
    <w:p w:rsidR="009661C0" w:rsidRDefault="009661C0" w:rsidP="00791204">
      <w:pPr>
        <w:pStyle w:val="NoSpacing"/>
        <w:ind w:left="360"/>
        <w:rPr>
          <w:rFonts w:ascii="Arial" w:hAnsi="Arial" w:cs="Arial"/>
        </w:rPr>
      </w:pPr>
      <w:r>
        <w:rPr>
          <w:rFonts w:ascii="Arial" w:hAnsi="Arial" w:cs="Arial"/>
        </w:rPr>
        <w:t>Changing contracts</w:t>
      </w:r>
    </w:p>
    <w:p w:rsidR="00454A5A" w:rsidRDefault="00454A5A" w:rsidP="00791204">
      <w:pPr>
        <w:pStyle w:val="NoSpacing"/>
        <w:ind w:left="360"/>
        <w:rPr>
          <w:rFonts w:ascii="Arial" w:hAnsi="Arial" w:cs="Arial"/>
        </w:rPr>
      </w:pPr>
    </w:p>
    <w:p w:rsidR="00454A5A" w:rsidRDefault="00454A5A" w:rsidP="00791204">
      <w:pPr>
        <w:pStyle w:val="NoSpacing"/>
        <w:ind w:left="360"/>
        <w:rPr>
          <w:rFonts w:ascii="Arial" w:hAnsi="Arial" w:cs="Arial"/>
        </w:rPr>
      </w:pPr>
      <w:r>
        <w:rPr>
          <w:rFonts w:ascii="Arial" w:hAnsi="Arial" w:cs="Arial"/>
        </w:rPr>
        <w:t xml:space="preserve">A contract of employment is unable to be changed unilaterally as it is a legal agreement between the employer and employee which therefore requires consultation prior to any changes being made.  </w:t>
      </w:r>
      <w:r w:rsidR="00823272">
        <w:rPr>
          <w:rFonts w:ascii="Arial" w:hAnsi="Arial" w:cs="Arial"/>
        </w:rPr>
        <w:t>The length of consultation and whether a representative is required depends on the number involved in the change.  This detail is provided in the table below:</w:t>
      </w:r>
    </w:p>
    <w:p w:rsidR="00823272" w:rsidRDefault="00823272" w:rsidP="00791204">
      <w:pPr>
        <w:pStyle w:val="NoSpacing"/>
        <w:ind w:left="360"/>
        <w:rPr>
          <w:rFonts w:ascii="Arial" w:hAnsi="Arial" w:cs="Arial"/>
        </w:rPr>
      </w:pPr>
    </w:p>
    <w:p w:rsidR="00454A5A" w:rsidRDefault="00454A5A" w:rsidP="00791204">
      <w:pPr>
        <w:pStyle w:val="NoSpacing"/>
        <w:ind w:left="360"/>
        <w:rPr>
          <w:rFonts w:ascii="Arial" w:hAnsi="Arial" w:cs="Arial"/>
        </w:rPr>
      </w:pPr>
    </w:p>
    <w:tbl>
      <w:tblPr>
        <w:tblStyle w:val="TableGrid"/>
        <w:tblW w:w="0" w:type="auto"/>
        <w:tblInd w:w="360" w:type="dxa"/>
        <w:tblLook w:val="04A0" w:firstRow="1" w:lastRow="0" w:firstColumn="1" w:lastColumn="0" w:noHBand="0" w:noVBand="1"/>
      </w:tblPr>
      <w:tblGrid>
        <w:gridCol w:w="2953"/>
        <w:gridCol w:w="2975"/>
        <w:gridCol w:w="2954"/>
      </w:tblGrid>
      <w:tr w:rsidR="00823272" w:rsidTr="00D87A28">
        <w:tc>
          <w:tcPr>
            <w:tcW w:w="8882" w:type="dxa"/>
            <w:gridSpan w:val="3"/>
          </w:tcPr>
          <w:p w:rsidR="00823272" w:rsidRDefault="00823272" w:rsidP="00791204">
            <w:pPr>
              <w:pStyle w:val="NoSpacing"/>
              <w:rPr>
                <w:rFonts w:ascii="Arial" w:hAnsi="Arial" w:cs="Arial"/>
              </w:rPr>
            </w:pPr>
            <w:r>
              <w:rPr>
                <w:rFonts w:ascii="Arial" w:hAnsi="Arial" w:cs="Arial"/>
              </w:rPr>
              <w:t>Consultation to vary contract</w:t>
            </w:r>
          </w:p>
        </w:tc>
      </w:tr>
      <w:tr w:rsidR="00454A5A" w:rsidTr="00823272">
        <w:tc>
          <w:tcPr>
            <w:tcW w:w="2953" w:type="dxa"/>
          </w:tcPr>
          <w:p w:rsidR="00454A5A" w:rsidRDefault="00454A5A" w:rsidP="00791204">
            <w:pPr>
              <w:pStyle w:val="NoSpacing"/>
              <w:rPr>
                <w:rFonts w:ascii="Arial" w:hAnsi="Arial" w:cs="Arial"/>
              </w:rPr>
            </w:pPr>
            <w:r>
              <w:rPr>
                <w:rFonts w:ascii="Arial" w:hAnsi="Arial" w:cs="Arial"/>
              </w:rPr>
              <w:t>Number of employees affected</w:t>
            </w:r>
          </w:p>
        </w:tc>
        <w:tc>
          <w:tcPr>
            <w:tcW w:w="2975" w:type="dxa"/>
          </w:tcPr>
          <w:p w:rsidR="00454A5A" w:rsidRDefault="00823272" w:rsidP="00791204">
            <w:pPr>
              <w:pStyle w:val="NoSpacing"/>
              <w:rPr>
                <w:rFonts w:ascii="Arial" w:hAnsi="Arial" w:cs="Arial"/>
              </w:rPr>
            </w:pPr>
            <w:r>
              <w:rPr>
                <w:rFonts w:ascii="Arial" w:hAnsi="Arial" w:cs="Arial"/>
              </w:rPr>
              <w:t>Representation r</w:t>
            </w:r>
            <w:r w:rsidR="00454A5A">
              <w:rPr>
                <w:rFonts w:ascii="Arial" w:hAnsi="Arial" w:cs="Arial"/>
              </w:rPr>
              <w:t>equired?</w:t>
            </w:r>
          </w:p>
        </w:tc>
        <w:tc>
          <w:tcPr>
            <w:tcW w:w="2954" w:type="dxa"/>
          </w:tcPr>
          <w:p w:rsidR="00454A5A" w:rsidRDefault="00823272" w:rsidP="00791204">
            <w:pPr>
              <w:pStyle w:val="NoSpacing"/>
              <w:rPr>
                <w:rFonts w:ascii="Arial" w:hAnsi="Arial" w:cs="Arial"/>
              </w:rPr>
            </w:pPr>
            <w:r>
              <w:rPr>
                <w:rFonts w:ascii="Arial" w:hAnsi="Arial" w:cs="Arial"/>
              </w:rPr>
              <w:t>Length of c</w:t>
            </w:r>
            <w:r w:rsidR="00454A5A">
              <w:rPr>
                <w:rFonts w:ascii="Arial" w:hAnsi="Arial" w:cs="Arial"/>
              </w:rPr>
              <w:t>onsultation</w:t>
            </w:r>
          </w:p>
        </w:tc>
      </w:tr>
      <w:tr w:rsidR="00454A5A" w:rsidTr="00823272">
        <w:tc>
          <w:tcPr>
            <w:tcW w:w="2953" w:type="dxa"/>
          </w:tcPr>
          <w:p w:rsidR="00454A5A" w:rsidRDefault="00823272" w:rsidP="00791204">
            <w:pPr>
              <w:pStyle w:val="NoSpacing"/>
              <w:rPr>
                <w:rFonts w:ascii="Arial" w:hAnsi="Arial" w:cs="Arial"/>
              </w:rPr>
            </w:pPr>
            <w:r>
              <w:rPr>
                <w:rFonts w:ascii="Arial" w:hAnsi="Arial" w:cs="Arial"/>
              </w:rPr>
              <w:t>&lt;20</w:t>
            </w:r>
          </w:p>
        </w:tc>
        <w:tc>
          <w:tcPr>
            <w:tcW w:w="2975" w:type="dxa"/>
          </w:tcPr>
          <w:p w:rsidR="00454A5A" w:rsidRDefault="00823272" w:rsidP="00791204">
            <w:pPr>
              <w:pStyle w:val="NoSpacing"/>
              <w:rPr>
                <w:rFonts w:ascii="Arial" w:hAnsi="Arial" w:cs="Arial"/>
              </w:rPr>
            </w:pPr>
            <w:r>
              <w:rPr>
                <w:rFonts w:ascii="Arial" w:hAnsi="Arial" w:cs="Arial"/>
              </w:rPr>
              <w:t>No</w:t>
            </w:r>
          </w:p>
        </w:tc>
        <w:tc>
          <w:tcPr>
            <w:tcW w:w="2954" w:type="dxa"/>
          </w:tcPr>
          <w:p w:rsidR="00454A5A" w:rsidRDefault="00823272" w:rsidP="00791204">
            <w:pPr>
              <w:pStyle w:val="NoSpacing"/>
              <w:rPr>
                <w:rFonts w:ascii="Arial" w:hAnsi="Arial" w:cs="Arial"/>
              </w:rPr>
            </w:pPr>
            <w:r>
              <w:rPr>
                <w:rFonts w:ascii="Arial" w:hAnsi="Arial" w:cs="Arial"/>
              </w:rPr>
              <w:t xml:space="preserve">No Minimum </w:t>
            </w:r>
          </w:p>
        </w:tc>
      </w:tr>
      <w:tr w:rsidR="00454A5A" w:rsidTr="00823272">
        <w:tc>
          <w:tcPr>
            <w:tcW w:w="2953" w:type="dxa"/>
          </w:tcPr>
          <w:p w:rsidR="00454A5A" w:rsidRDefault="00823272" w:rsidP="00791204">
            <w:pPr>
              <w:pStyle w:val="NoSpacing"/>
              <w:rPr>
                <w:rFonts w:ascii="Arial" w:hAnsi="Arial" w:cs="Arial"/>
              </w:rPr>
            </w:pPr>
            <w:r>
              <w:rPr>
                <w:rFonts w:ascii="Arial" w:hAnsi="Arial" w:cs="Arial"/>
              </w:rPr>
              <w:t>20-99</w:t>
            </w:r>
          </w:p>
        </w:tc>
        <w:tc>
          <w:tcPr>
            <w:tcW w:w="2975" w:type="dxa"/>
          </w:tcPr>
          <w:p w:rsidR="00454A5A" w:rsidRDefault="00823272" w:rsidP="00791204">
            <w:pPr>
              <w:pStyle w:val="NoSpacing"/>
              <w:rPr>
                <w:rFonts w:ascii="Arial" w:hAnsi="Arial" w:cs="Arial"/>
              </w:rPr>
            </w:pPr>
            <w:r>
              <w:rPr>
                <w:rFonts w:ascii="Arial" w:hAnsi="Arial" w:cs="Arial"/>
              </w:rPr>
              <w:t>Yes</w:t>
            </w:r>
          </w:p>
        </w:tc>
        <w:tc>
          <w:tcPr>
            <w:tcW w:w="2954" w:type="dxa"/>
          </w:tcPr>
          <w:p w:rsidR="00454A5A" w:rsidRDefault="00823272" w:rsidP="00791204">
            <w:pPr>
              <w:pStyle w:val="NoSpacing"/>
              <w:rPr>
                <w:rFonts w:ascii="Arial" w:hAnsi="Arial" w:cs="Arial"/>
              </w:rPr>
            </w:pPr>
            <w:r>
              <w:rPr>
                <w:rFonts w:ascii="Arial" w:hAnsi="Arial" w:cs="Arial"/>
              </w:rPr>
              <w:t>Minimum 30 Days</w:t>
            </w:r>
          </w:p>
        </w:tc>
      </w:tr>
      <w:tr w:rsidR="00454A5A" w:rsidTr="00823272">
        <w:tc>
          <w:tcPr>
            <w:tcW w:w="2953" w:type="dxa"/>
          </w:tcPr>
          <w:p w:rsidR="00454A5A" w:rsidRDefault="00823272" w:rsidP="00791204">
            <w:pPr>
              <w:pStyle w:val="NoSpacing"/>
              <w:rPr>
                <w:rFonts w:ascii="Arial" w:hAnsi="Arial" w:cs="Arial"/>
              </w:rPr>
            </w:pPr>
            <w:r>
              <w:rPr>
                <w:rFonts w:ascii="Arial" w:hAnsi="Arial" w:cs="Arial"/>
              </w:rPr>
              <w:t xml:space="preserve">100+ </w:t>
            </w:r>
          </w:p>
        </w:tc>
        <w:tc>
          <w:tcPr>
            <w:tcW w:w="2975" w:type="dxa"/>
          </w:tcPr>
          <w:p w:rsidR="00454A5A" w:rsidRDefault="00823272" w:rsidP="00791204">
            <w:pPr>
              <w:pStyle w:val="NoSpacing"/>
              <w:rPr>
                <w:rFonts w:ascii="Arial" w:hAnsi="Arial" w:cs="Arial"/>
              </w:rPr>
            </w:pPr>
            <w:r>
              <w:rPr>
                <w:rFonts w:ascii="Arial" w:hAnsi="Arial" w:cs="Arial"/>
              </w:rPr>
              <w:t>Yes</w:t>
            </w:r>
          </w:p>
        </w:tc>
        <w:tc>
          <w:tcPr>
            <w:tcW w:w="2954" w:type="dxa"/>
          </w:tcPr>
          <w:p w:rsidR="00454A5A" w:rsidRDefault="00823272" w:rsidP="00791204">
            <w:pPr>
              <w:pStyle w:val="NoSpacing"/>
              <w:rPr>
                <w:rFonts w:ascii="Arial" w:hAnsi="Arial" w:cs="Arial"/>
              </w:rPr>
            </w:pPr>
            <w:r>
              <w:rPr>
                <w:rFonts w:ascii="Arial" w:hAnsi="Arial" w:cs="Arial"/>
              </w:rPr>
              <w:t>Minimum 45 Days</w:t>
            </w:r>
          </w:p>
        </w:tc>
      </w:tr>
    </w:tbl>
    <w:p w:rsidR="00454A5A" w:rsidRDefault="00454A5A" w:rsidP="00791204">
      <w:pPr>
        <w:pStyle w:val="NoSpacing"/>
        <w:ind w:left="360"/>
        <w:rPr>
          <w:rFonts w:ascii="Arial" w:hAnsi="Arial" w:cs="Arial"/>
        </w:rPr>
      </w:pPr>
    </w:p>
    <w:p w:rsidR="009661C0" w:rsidRDefault="009661C0" w:rsidP="00791204">
      <w:pPr>
        <w:pStyle w:val="NoSpacing"/>
        <w:ind w:left="360"/>
        <w:rPr>
          <w:rFonts w:ascii="Arial" w:hAnsi="Arial" w:cs="Arial"/>
        </w:rPr>
      </w:pPr>
    </w:p>
    <w:p w:rsidR="00823272" w:rsidRDefault="00823272" w:rsidP="00823272">
      <w:pPr>
        <w:pStyle w:val="NoSpacing"/>
        <w:ind w:left="360"/>
        <w:rPr>
          <w:rFonts w:ascii="Arial" w:hAnsi="Arial" w:cs="Arial"/>
        </w:rPr>
      </w:pPr>
      <w:r>
        <w:rPr>
          <w:rFonts w:ascii="Arial" w:hAnsi="Arial" w:cs="Arial"/>
        </w:rPr>
        <w:t>It is hoped that the consultation results in agreement to the change, how</w:t>
      </w:r>
      <w:r w:rsidR="007255A7">
        <w:rPr>
          <w:rFonts w:ascii="Arial" w:hAnsi="Arial" w:cs="Arial"/>
        </w:rPr>
        <w:t xml:space="preserve">ever, if the employee fails to </w:t>
      </w:r>
      <w:r>
        <w:rPr>
          <w:rFonts w:ascii="Arial" w:hAnsi="Arial" w:cs="Arial"/>
        </w:rPr>
        <w:t>agree yet works in accordance with the changes for a significant period of time, it can be reasonably assumed that they have agreed to the changes.</w:t>
      </w:r>
    </w:p>
    <w:p w:rsidR="00823272" w:rsidRDefault="00823272" w:rsidP="00823272">
      <w:pPr>
        <w:pStyle w:val="NoSpacing"/>
        <w:ind w:left="360"/>
        <w:rPr>
          <w:rFonts w:ascii="Arial" w:hAnsi="Arial" w:cs="Arial"/>
        </w:rPr>
      </w:pPr>
    </w:p>
    <w:p w:rsidR="00823272" w:rsidRDefault="00823272" w:rsidP="00823272">
      <w:pPr>
        <w:pStyle w:val="NoSpacing"/>
        <w:ind w:left="360"/>
        <w:rPr>
          <w:rFonts w:ascii="Arial" w:hAnsi="Arial" w:cs="Arial"/>
        </w:rPr>
      </w:pPr>
      <w:r>
        <w:rPr>
          <w:rFonts w:ascii="Arial" w:hAnsi="Arial" w:cs="Arial"/>
        </w:rPr>
        <w:t>If no agre</w:t>
      </w:r>
      <w:r w:rsidR="007255A7">
        <w:rPr>
          <w:rFonts w:ascii="Arial" w:hAnsi="Arial" w:cs="Arial"/>
        </w:rPr>
        <w:t xml:space="preserve">ement is achieved the employer could </w:t>
      </w:r>
      <w:r w:rsidR="003E2307">
        <w:rPr>
          <w:rFonts w:ascii="Arial" w:hAnsi="Arial" w:cs="Arial"/>
        </w:rPr>
        <w:t xml:space="preserve">terminate the contract on the grounds that ‘some other substantial reason’ requires the new terms to be imposed.  It would be beneficial to the employer to try and negotiate with the representative to come to an agreement by addressing all of the issues raised within a reasonable timeframe, as there would be a significant risk of unfair or constructive dismissal being brought against the employer.  </w:t>
      </w:r>
    </w:p>
    <w:p w:rsidR="009661C0" w:rsidRDefault="009661C0" w:rsidP="00AC59E5">
      <w:pPr>
        <w:pStyle w:val="NoSpacing"/>
        <w:rPr>
          <w:rFonts w:ascii="Arial" w:hAnsi="Arial" w:cs="Arial"/>
        </w:rPr>
      </w:pPr>
    </w:p>
    <w:p w:rsidR="009661C0" w:rsidRDefault="009661C0" w:rsidP="00791204">
      <w:pPr>
        <w:pStyle w:val="NoSpacing"/>
        <w:ind w:left="360"/>
        <w:rPr>
          <w:rFonts w:ascii="Arial" w:hAnsi="Arial" w:cs="Arial"/>
        </w:rPr>
      </w:pPr>
    </w:p>
    <w:p w:rsidR="009661C0" w:rsidRDefault="009661C0" w:rsidP="00791204">
      <w:pPr>
        <w:pStyle w:val="NoSpacing"/>
        <w:ind w:left="360"/>
        <w:rPr>
          <w:rFonts w:ascii="Arial" w:hAnsi="Arial" w:cs="Arial"/>
        </w:rPr>
      </w:pPr>
      <w:r>
        <w:rPr>
          <w:rFonts w:ascii="Arial" w:hAnsi="Arial" w:cs="Arial"/>
        </w:rPr>
        <w:t>Redundancy Law</w:t>
      </w:r>
    </w:p>
    <w:p w:rsidR="00AC59E5" w:rsidRDefault="00AC59E5" w:rsidP="00791204">
      <w:pPr>
        <w:pStyle w:val="NoSpacing"/>
        <w:ind w:left="360"/>
        <w:rPr>
          <w:rFonts w:ascii="Arial" w:hAnsi="Arial" w:cs="Arial"/>
        </w:rPr>
      </w:pPr>
    </w:p>
    <w:p w:rsidR="00AC59E5" w:rsidRDefault="00E5466A" w:rsidP="00791204">
      <w:pPr>
        <w:pStyle w:val="NoSpacing"/>
        <w:ind w:left="360"/>
        <w:rPr>
          <w:rFonts w:ascii="Arial" w:hAnsi="Arial" w:cs="Arial"/>
        </w:rPr>
      </w:pPr>
      <w:r>
        <w:rPr>
          <w:rFonts w:ascii="Arial" w:hAnsi="Arial" w:cs="Arial"/>
        </w:rPr>
        <w:t>The section of Employment Rights Act 1996 which determines when redundancy is a legitimate reason for di</w:t>
      </w:r>
      <w:r w:rsidR="007B4C0A">
        <w:rPr>
          <w:rFonts w:ascii="Arial" w:hAnsi="Arial" w:cs="Arial"/>
        </w:rPr>
        <w:t xml:space="preserve">smissal is section 139(1) </w:t>
      </w:r>
      <w:r>
        <w:rPr>
          <w:rFonts w:ascii="Arial" w:hAnsi="Arial" w:cs="Arial"/>
        </w:rPr>
        <w:t>states ‘employees are regarded as redundant if their dismissals are attributed</w:t>
      </w:r>
      <w:r w:rsidR="00F42BAF">
        <w:rPr>
          <w:rFonts w:ascii="Arial" w:hAnsi="Arial" w:cs="Arial"/>
        </w:rPr>
        <w:t>, primarily or in part to any of three reasons’</w:t>
      </w:r>
      <w:r w:rsidR="00730568">
        <w:rPr>
          <w:rFonts w:ascii="Arial" w:hAnsi="Arial" w:cs="Arial"/>
        </w:rPr>
        <w:t xml:space="preserve"> (Great Britain. </w:t>
      </w:r>
      <w:proofErr w:type="gramStart"/>
      <w:r w:rsidR="00730568">
        <w:rPr>
          <w:rFonts w:ascii="Arial" w:hAnsi="Arial" w:cs="Arial"/>
          <w:i/>
        </w:rPr>
        <w:t>Employment Rights Act 1996)</w:t>
      </w:r>
      <w:r w:rsidR="00F42BAF">
        <w:rPr>
          <w:rFonts w:ascii="Arial" w:hAnsi="Arial" w:cs="Arial"/>
        </w:rPr>
        <w:t>.</w:t>
      </w:r>
      <w:proofErr w:type="gramEnd"/>
      <w:r w:rsidR="00F42BAF">
        <w:rPr>
          <w:rFonts w:ascii="Arial" w:hAnsi="Arial" w:cs="Arial"/>
        </w:rPr>
        <w:t xml:space="preserve">  These reasons are:</w:t>
      </w:r>
    </w:p>
    <w:p w:rsidR="00F42BAF" w:rsidRDefault="00F42BAF" w:rsidP="00791204">
      <w:pPr>
        <w:pStyle w:val="NoSpacing"/>
        <w:ind w:left="360"/>
        <w:rPr>
          <w:rFonts w:ascii="Arial" w:hAnsi="Arial" w:cs="Arial"/>
        </w:rPr>
      </w:pPr>
    </w:p>
    <w:p w:rsidR="00F42BAF" w:rsidRDefault="00F42BAF" w:rsidP="00F42BAF">
      <w:pPr>
        <w:pStyle w:val="NoSpacing"/>
        <w:numPr>
          <w:ilvl w:val="0"/>
          <w:numId w:val="6"/>
        </w:numPr>
        <w:rPr>
          <w:rFonts w:ascii="Arial" w:hAnsi="Arial" w:cs="Arial"/>
        </w:rPr>
      </w:pPr>
      <w:r>
        <w:rPr>
          <w:rFonts w:ascii="Arial" w:hAnsi="Arial" w:cs="Arial"/>
        </w:rPr>
        <w:t>The employer has ceased or plans to cease to carry on the business for the purpose of which the employee was employed</w:t>
      </w:r>
    </w:p>
    <w:p w:rsidR="00F42BAF" w:rsidRDefault="00F42BAF" w:rsidP="00F42BAF">
      <w:pPr>
        <w:pStyle w:val="NoSpacing"/>
        <w:numPr>
          <w:ilvl w:val="0"/>
          <w:numId w:val="6"/>
        </w:numPr>
        <w:rPr>
          <w:rFonts w:ascii="Arial" w:hAnsi="Arial" w:cs="Arial"/>
        </w:rPr>
      </w:pPr>
      <w:r>
        <w:rPr>
          <w:rFonts w:ascii="Arial" w:hAnsi="Arial" w:cs="Arial"/>
        </w:rPr>
        <w:t>The employer has ceased or plans to cease to carry on the business in the place for which the employee was employed</w:t>
      </w:r>
    </w:p>
    <w:p w:rsidR="00F42BAF" w:rsidRDefault="00F42BAF" w:rsidP="00F42BAF">
      <w:pPr>
        <w:pStyle w:val="NoSpacing"/>
        <w:numPr>
          <w:ilvl w:val="0"/>
          <w:numId w:val="6"/>
        </w:numPr>
        <w:rPr>
          <w:rFonts w:ascii="Arial" w:hAnsi="Arial" w:cs="Arial"/>
        </w:rPr>
      </w:pPr>
      <w:r>
        <w:rPr>
          <w:rFonts w:ascii="Arial" w:hAnsi="Arial" w:cs="Arial"/>
        </w:rPr>
        <w:t>The requirement for the employer to carry on the business or place of business in which the employee was employed has or is expected to cease or diminish</w:t>
      </w:r>
    </w:p>
    <w:p w:rsidR="00730568" w:rsidRDefault="00730568" w:rsidP="00730568">
      <w:pPr>
        <w:pStyle w:val="NoSpacing"/>
        <w:rPr>
          <w:rFonts w:ascii="Arial" w:hAnsi="Arial" w:cs="Arial"/>
        </w:rPr>
      </w:pPr>
    </w:p>
    <w:p w:rsidR="009661C0" w:rsidRDefault="009661C0" w:rsidP="00791204">
      <w:pPr>
        <w:pStyle w:val="NoSpacing"/>
        <w:ind w:left="360"/>
        <w:rPr>
          <w:rFonts w:ascii="Arial" w:hAnsi="Arial" w:cs="Arial"/>
        </w:rPr>
      </w:pPr>
    </w:p>
    <w:p w:rsidR="009661C0" w:rsidRDefault="00B0337E" w:rsidP="00791204">
      <w:pPr>
        <w:pStyle w:val="NoSpacing"/>
        <w:ind w:left="360"/>
        <w:rPr>
          <w:rFonts w:ascii="Arial" w:hAnsi="Arial" w:cs="Arial"/>
        </w:rPr>
      </w:pPr>
      <w:r>
        <w:rPr>
          <w:rFonts w:ascii="Arial" w:hAnsi="Arial" w:cs="Arial"/>
        </w:rPr>
        <w:t xml:space="preserve">Consultation is </w:t>
      </w:r>
      <w:proofErr w:type="gramStart"/>
      <w:r>
        <w:rPr>
          <w:rFonts w:ascii="Arial" w:hAnsi="Arial" w:cs="Arial"/>
        </w:rPr>
        <w:t>a requirement to ensure redundancy is lawful and the timeframes/representation set out for redundancy reflect</w:t>
      </w:r>
      <w:proofErr w:type="gramEnd"/>
      <w:r>
        <w:rPr>
          <w:rFonts w:ascii="Arial" w:hAnsi="Arial" w:cs="Arial"/>
        </w:rPr>
        <w:t xml:space="preserve"> those set out in the </w:t>
      </w:r>
      <w:r w:rsidR="007B4C0A">
        <w:rPr>
          <w:rFonts w:ascii="Arial" w:hAnsi="Arial" w:cs="Arial"/>
        </w:rPr>
        <w:t>table in the previous section</w:t>
      </w:r>
      <w:r>
        <w:rPr>
          <w:rFonts w:ascii="Arial" w:hAnsi="Arial" w:cs="Arial"/>
        </w:rPr>
        <w:t>.  This consultation needs to be meaningf</w:t>
      </w:r>
      <w:r w:rsidR="003E7B3C">
        <w:rPr>
          <w:rFonts w:ascii="Arial" w:hAnsi="Arial" w:cs="Arial"/>
        </w:rPr>
        <w:t xml:space="preserve">ul and supporting documentation must be provided in a timely manner to facilitate this.  The documentation must include how those identified for redundancy will be selected. </w:t>
      </w:r>
    </w:p>
    <w:p w:rsidR="003E7B3C" w:rsidRDefault="003E7B3C" w:rsidP="00791204">
      <w:pPr>
        <w:pStyle w:val="NoSpacing"/>
        <w:ind w:left="360"/>
        <w:rPr>
          <w:rFonts w:ascii="Arial" w:hAnsi="Arial" w:cs="Arial"/>
        </w:rPr>
      </w:pPr>
      <w:r>
        <w:rPr>
          <w:rFonts w:ascii="Arial" w:hAnsi="Arial" w:cs="Arial"/>
        </w:rPr>
        <w:t>Careful conside</w:t>
      </w:r>
      <w:r w:rsidR="00671F81">
        <w:rPr>
          <w:rFonts w:ascii="Arial" w:hAnsi="Arial" w:cs="Arial"/>
        </w:rPr>
        <w:t>ration needs to be given to both the selection pool and method of selection to ensure the process is fair and objective.</w:t>
      </w:r>
    </w:p>
    <w:p w:rsidR="003E7B3C" w:rsidRDefault="003E7B3C" w:rsidP="00791204">
      <w:pPr>
        <w:pStyle w:val="NoSpacing"/>
        <w:ind w:left="360"/>
        <w:rPr>
          <w:rFonts w:ascii="Arial" w:hAnsi="Arial" w:cs="Arial"/>
        </w:rPr>
      </w:pPr>
    </w:p>
    <w:p w:rsidR="003E7B3C" w:rsidRDefault="000B1739" w:rsidP="00671F81">
      <w:pPr>
        <w:pStyle w:val="NoSpacing"/>
        <w:ind w:left="360"/>
        <w:rPr>
          <w:rFonts w:ascii="Arial" w:hAnsi="Arial" w:cs="Arial"/>
        </w:rPr>
      </w:pPr>
      <w:r>
        <w:rPr>
          <w:rFonts w:ascii="Arial" w:hAnsi="Arial" w:cs="Arial"/>
        </w:rPr>
        <w:t>Once the individuals have been identified for redundancy, further consultation is required to notify the individual of the decision and to address any i</w:t>
      </w:r>
      <w:r w:rsidR="003044E1">
        <w:rPr>
          <w:rFonts w:ascii="Arial" w:hAnsi="Arial" w:cs="Arial"/>
        </w:rPr>
        <w:t xml:space="preserve">ssues that may be raised. When </w:t>
      </w:r>
      <w:r>
        <w:rPr>
          <w:rFonts w:ascii="Arial" w:hAnsi="Arial" w:cs="Arial"/>
        </w:rPr>
        <w:t xml:space="preserve">a decision has been made in favour of redundancy, the individual has a right of appeal.  An employee is entitled to a statutory redundancy payment if they have been in continuous employment for two years. </w:t>
      </w:r>
      <w:r w:rsidR="00671F81">
        <w:rPr>
          <w:rFonts w:ascii="Arial" w:hAnsi="Arial" w:cs="Arial"/>
        </w:rPr>
        <w:t>An alternative to redundancy would be to offer suitable alternative employment.</w:t>
      </w:r>
      <w:r>
        <w:rPr>
          <w:rFonts w:ascii="Arial" w:hAnsi="Arial" w:cs="Arial"/>
        </w:rPr>
        <w:t xml:space="preserve">  If the employee unjustifiably refuses this then they lose their entitlement to redundancy payment.</w:t>
      </w:r>
    </w:p>
    <w:p w:rsidR="00671F81" w:rsidRDefault="00671F81" w:rsidP="00791204">
      <w:pPr>
        <w:pStyle w:val="NoSpacing"/>
        <w:ind w:left="360"/>
        <w:rPr>
          <w:rFonts w:ascii="Arial" w:hAnsi="Arial" w:cs="Arial"/>
        </w:rPr>
      </w:pPr>
    </w:p>
    <w:p w:rsidR="003E7B3C" w:rsidRDefault="003E7B3C" w:rsidP="00791204">
      <w:pPr>
        <w:pStyle w:val="NoSpacing"/>
        <w:ind w:left="360"/>
        <w:rPr>
          <w:rFonts w:ascii="Arial" w:hAnsi="Arial" w:cs="Arial"/>
        </w:rPr>
      </w:pPr>
    </w:p>
    <w:p w:rsidR="009661C0" w:rsidRDefault="009661C0" w:rsidP="00236CB3">
      <w:pPr>
        <w:pStyle w:val="NoSpacing"/>
        <w:ind w:firstLine="360"/>
        <w:rPr>
          <w:rFonts w:ascii="Arial" w:hAnsi="Arial" w:cs="Arial"/>
        </w:rPr>
      </w:pPr>
      <w:r>
        <w:rPr>
          <w:rFonts w:ascii="Arial" w:hAnsi="Arial" w:cs="Arial"/>
        </w:rPr>
        <w:t>Business Transfers</w:t>
      </w:r>
    </w:p>
    <w:p w:rsidR="00236CB3" w:rsidRDefault="00236CB3" w:rsidP="00236CB3">
      <w:pPr>
        <w:pStyle w:val="NoSpacing"/>
        <w:ind w:firstLine="360"/>
        <w:rPr>
          <w:rFonts w:ascii="Arial" w:hAnsi="Arial" w:cs="Arial"/>
        </w:rPr>
      </w:pPr>
    </w:p>
    <w:p w:rsidR="00236CB3" w:rsidRDefault="00317A56" w:rsidP="00317A56">
      <w:pPr>
        <w:pStyle w:val="NoSpacing"/>
        <w:ind w:left="360"/>
        <w:rPr>
          <w:rFonts w:ascii="Arial" w:hAnsi="Arial" w:cs="Arial"/>
        </w:rPr>
      </w:pPr>
      <w:r>
        <w:rPr>
          <w:rFonts w:ascii="Arial" w:hAnsi="Arial" w:cs="Arial"/>
        </w:rPr>
        <w:t>Employees who work for an organisation which is transferred to a new owner are protected under the Transfer of Undertakings (Protection of Employment) Regulations 2006, otherwise known as TUPE.  This protects their contractual rights and recognises continuity of service and existing contract of employment, ensuring all rights are maintained.</w:t>
      </w:r>
    </w:p>
    <w:p w:rsidR="005355DB" w:rsidRDefault="005355DB" w:rsidP="00317A56">
      <w:pPr>
        <w:pStyle w:val="NoSpacing"/>
        <w:ind w:left="360"/>
        <w:rPr>
          <w:rFonts w:ascii="Arial" w:hAnsi="Arial" w:cs="Arial"/>
        </w:rPr>
      </w:pPr>
    </w:p>
    <w:p w:rsidR="005355DB" w:rsidRDefault="005355DB" w:rsidP="00317A56">
      <w:pPr>
        <w:pStyle w:val="NoSpacing"/>
        <w:ind w:left="360"/>
        <w:rPr>
          <w:rFonts w:ascii="Arial" w:hAnsi="Arial" w:cs="Arial"/>
        </w:rPr>
      </w:pPr>
      <w:r>
        <w:rPr>
          <w:rFonts w:ascii="Arial" w:hAnsi="Arial" w:cs="Arial"/>
        </w:rPr>
        <w:lastRenderedPageBreak/>
        <w:t>Dismissal or contractual changes cannot be made even after a period of time if these relate to the transfer</w:t>
      </w:r>
      <w:r w:rsidR="0036501A">
        <w:rPr>
          <w:rFonts w:ascii="Arial" w:hAnsi="Arial" w:cs="Arial"/>
        </w:rPr>
        <w:t>,</w:t>
      </w:r>
      <w:r>
        <w:rPr>
          <w:rFonts w:ascii="Arial" w:hAnsi="Arial" w:cs="Arial"/>
        </w:rPr>
        <w:t xml:space="preserve"> unless there is an economic, technical or organisational (ETO) reason for the change which was further clarified by the 2014 regulations by adding ‘entailing changes in the workforce’</w:t>
      </w:r>
      <w:r w:rsidR="003044E1">
        <w:rPr>
          <w:rFonts w:ascii="Arial" w:hAnsi="Arial" w:cs="Arial"/>
        </w:rPr>
        <w:t xml:space="preserve"> (Great Britain</w:t>
      </w:r>
      <w:r>
        <w:rPr>
          <w:rFonts w:ascii="Arial" w:hAnsi="Arial" w:cs="Arial"/>
        </w:rPr>
        <w:t xml:space="preserve">. </w:t>
      </w:r>
      <w:proofErr w:type="gramStart"/>
      <w:r w:rsidR="0036501A" w:rsidRPr="0036501A">
        <w:rPr>
          <w:rFonts w:ascii="Arial" w:hAnsi="Arial" w:cs="Arial"/>
          <w:i/>
        </w:rPr>
        <w:t>The Collective Redundancies and Transfer of Undertakings (Protection of Employment) (Amendment) Regulations 2014</w:t>
      </w:r>
      <w:r w:rsidR="0036501A">
        <w:rPr>
          <w:rFonts w:ascii="Arial" w:hAnsi="Arial" w:cs="Arial"/>
          <w:i/>
        </w:rPr>
        <w:t>).</w:t>
      </w:r>
      <w:proofErr w:type="gramEnd"/>
      <w:r w:rsidR="0036501A">
        <w:rPr>
          <w:rFonts w:ascii="Arial" w:hAnsi="Arial" w:cs="Arial"/>
          <w:i/>
        </w:rPr>
        <w:t xml:space="preserve">  </w:t>
      </w:r>
      <w:r w:rsidR="0036501A">
        <w:rPr>
          <w:rFonts w:ascii="Arial" w:hAnsi="Arial" w:cs="Arial"/>
        </w:rPr>
        <w:t xml:space="preserve">These changes include changes to the place in which the employee is employed or to </w:t>
      </w:r>
      <w:r w:rsidR="002865B4">
        <w:rPr>
          <w:rFonts w:ascii="Arial" w:hAnsi="Arial" w:cs="Arial"/>
        </w:rPr>
        <w:t xml:space="preserve">undertake work </w:t>
      </w:r>
      <w:r w:rsidR="003734BE">
        <w:rPr>
          <w:rFonts w:ascii="Arial" w:hAnsi="Arial" w:cs="Arial"/>
        </w:rPr>
        <w:t>of a specific nature.</w:t>
      </w:r>
      <w:r w:rsidR="00163ED9">
        <w:rPr>
          <w:rFonts w:ascii="Arial" w:hAnsi="Arial" w:cs="Arial"/>
        </w:rPr>
        <w:t xml:space="preserve">  </w:t>
      </w:r>
    </w:p>
    <w:p w:rsidR="00BA5A4E" w:rsidRDefault="00BA5A4E" w:rsidP="00317A56">
      <w:pPr>
        <w:pStyle w:val="NoSpacing"/>
        <w:ind w:left="360"/>
        <w:rPr>
          <w:rFonts w:ascii="Arial" w:hAnsi="Arial" w:cs="Arial"/>
        </w:rPr>
      </w:pPr>
    </w:p>
    <w:p w:rsidR="00BA5A4E" w:rsidRDefault="00FF4B7D" w:rsidP="00317A56">
      <w:pPr>
        <w:pStyle w:val="NoSpacing"/>
        <w:ind w:left="360"/>
        <w:rPr>
          <w:rFonts w:ascii="Arial" w:hAnsi="Arial" w:cs="Arial"/>
        </w:rPr>
      </w:pPr>
      <w:r>
        <w:rPr>
          <w:rFonts w:ascii="Arial" w:hAnsi="Arial" w:cs="Arial"/>
        </w:rPr>
        <w:t>An agreement</w:t>
      </w:r>
      <w:r w:rsidR="009B1A3E">
        <w:rPr>
          <w:rFonts w:ascii="Arial" w:hAnsi="Arial" w:cs="Arial"/>
        </w:rPr>
        <w:t>,</w:t>
      </w:r>
      <w:r>
        <w:rPr>
          <w:rFonts w:ascii="Arial" w:hAnsi="Arial" w:cs="Arial"/>
        </w:rPr>
        <w:t xml:space="preserve"> known as a collective agreement, can be made between management and a recognised trade </w:t>
      </w:r>
      <w:proofErr w:type="gramStart"/>
      <w:r>
        <w:rPr>
          <w:rFonts w:ascii="Arial" w:hAnsi="Arial" w:cs="Arial"/>
        </w:rPr>
        <w:t>union  following</w:t>
      </w:r>
      <w:proofErr w:type="gramEnd"/>
      <w:r>
        <w:rPr>
          <w:rFonts w:ascii="Arial" w:hAnsi="Arial" w:cs="Arial"/>
        </w:rPr>
        <w:t xml:space="preserve"> a bargaining process, however, provisions within this agreement will not transfer if they come into effect after the transfer has taken place and the new employer has not been involved in the negotiations.  This was added to the 2014 regulations along with the proviso to change</w:t>
      </w:r>
      <w:r w:rsidR="009B1A3E">
        <w:rPr>
          <w:rFonts w:ascii="Arial" w:hAnsi="Arial" w:cs="Arial"/>
        </w:rPr>
        <w:t xml:space="preserve"> a</w:t>
      </w:r>
      <w:r>
        <w:rPr>
          <w:rFonts w:ascii="Arial" w:hAnsi="Arial" w:cs="Arial"/>
        </w:rPr>
        <w:t xml:space="preserve"> collective agreement after one year following the transfer</w:t>
      </w:r>
      <w:r w:rsidR="009B1A3E">
        <w:rPr>
          <w:rFonts w:ascii="Arial" w:hAnsi="Arial" w:cs="Arial"/>
        </w:rPr>
        <w:t>,</w:t>
      </w:r>
      <w:r>
        <w:rPr>
          <w:rFonts w:ascii="Arial" w:hAnsi="Arial" w:cs="Arial"/>
        </w:rPr>
        <w:t xml:space="preserve"> </w:t>
      </w:r>
      <w:r w:rsidR="009B1A3E">
        <w:rPr>
          <w:rFonts w:ascii="Arial" w:hAnsi="Arial" w:cs="Arial"/>
        </w:rPr>
        <w:t>as long as the provisions are not less favourable as a whole to the employees concerned.</w:t>
      </w:r>
    </w:p>
    <w:p w:rsidR="003211F5" w:rsidRDefault="003211F5" w:rsidP="00317A56">
      <w:pPr>
        <w:pStyle w:val="NoSpacing"/>
        <w:ind w:left="360"/>
        <w:rPr>
          <w:rFonts w:ascii="Arial" w:hAnsi="Arial" w:cs="Arial"/>
        </w:rPr>
      </w:pPr>
    </w:p>
    <w:p w:rsidR="003211F5" w:rsidRDefault="003211F5" w:rsidP="00317A56">
      <w:pPr>
        <w:pStyle w:val="NoSpacing"/>
        <w:ind w:left="360"/>
        <w:rPr>
          <w:rFonts w:ascii="Arial" w:hAnsi="Arial" w:cs="Arial"/>
        </w:rPr>
      </w:pPr>
      <w:r>
        <w:rPr>
          <w:rFonts w:ascii="Arial" w:hAnsi="Arial" w:cs="Arial"/>
        </w:rPr>
        <w:t>Although pension schemes do not transfer, the requirement for an employer to continue to pay into a non-occupational scheme does.</w:t>
      </w:r>
    </w:p>
    <w:p w:rsidR="003211F5" w:rsidRDefault="003211F5" w:rsidP="00317A56">
      <w:pPr>
        <w:pStyle w:val="NoSpacing"/>
        <w:ind w:left="360"/>
        <w:rPr>
          <w:rFonts w:ascii="Arial" w:hAnsi="Arial" w:cs="Arial"/>
        </w:rPr>
      </w:pPr>
    </w:p>
    <w:p w:rsidR="003211F5" w:rsidRDefault="00F865B1" w:rsidP="00317A56">
      <w:pPr>
        <w:pStyle w:val="NoSpacing"/>
        <w:ind w:left="360"/>
        <w:rPr>
          <w:rFonts w:ascii="Arial" w:hAnsi="Arial" w:cs="Arial"/>
        </w:rPr>
      </w:pPr>
      <w:r>
        <w:rPr>
          <w:rFonts w:ascii="Arial" w:hAnsi="Arial" w:cs="Arial"/>
        </w:rPr>
        <w:t>The definition</w:t>
      </w:r>
      <w:r w:rsidR="003211F5">
        <w:rPr>
          <w:rFonts w:ascii="Arial" w:hAnsi="Arial" w:cs="Arial"/>
        </w:rPr>
        <w:t xml:space="preserve"> of a transfer has been made clearer through the 2006 TUPE Regulations which highlights </w:t>
      </w:r>
      <w:r>
        <w:rPr>
          <w:rFonts w:ascii="Arial" w:hAnsi="Arial" w:cs="Arial"/>
        </w:rPr>
        <w:t xml:space="preserve">two types of transfer.  These are where 1) an economic entity retains </w:t>
      </w:r>
      <w:proofErr w:type="spellStart"/>
      <w:r>
        <w:rPr>
          <w:rFonts w:ascii="Arial" w:hAnsi="Arial" w:cs="Arial"/>
        </w:rPr>
        <w:t>it’s</w:t>
      </w:r>
      <w:proofErr w:type="spellEnd"/>
      <w:r>
        <w:rPr>
          <w:rFonts w:ascii="Arial" w:hAnsi="Arial" w:cs="Arial"/>
        </w:rPr>
        <w:t xml:space="preserve"> own identity and 2) a change of service provision </w:t>
      </w:r>
      <w:proofErr w:type="spellStart"/>
      <w:r>
        <w:rPr>
          <w:rFonts w:ascii="Arial" w:hAnsi="Arial" w:cs="Arial"/>
        </w:rPr>
        <w:t>i</w:t>
      </w:r>
      <w:proofErr w:type="spellEnd"/>
      <w:r>
        <w:rPr>
          <w:rFonts w:ascii="Arial" w:hAnsi="Arial" w:cs="Arial"/>
        </w:rPr>
        <w:t>) transferring from one person/contractor to another on the client’s behalf ii) the company decides to provide that particular service itself which previously was undertaken by a contractor.</w:t>
      </w:r>
    </w:p>
    <w:p w:rsidR="00AE550E" w:rsidRDefault="00AE550E" w:rsidP="00317A56">
      <w:pPr>
        <w:pStyle w:val="NoSpacing"/>
        <w:ind w:left="360"/>
        <w:rPr>
          <w:rFonts w:ascii="Arial" w:hAnsi="Arial" w:cs="Arial"/>
        </w:rPr>
      </w:pPr>
    </w:p>
    <w:p w:rsidR="00D67A13" w:rsidRDefault="007B4C0A" w:rsidP="00317A56">
      <w:pPr>
        <w:pStyle w:val="NoSpacing"/>
        <w:ind w:left="360"/>
        <w:rPr>
          <w:rFonts w:ascii="Arial" w:hAnsi="Arial" w:cs="Arial"/>
        </w:rPr>
      </w:pPr>
      <w:r>
        <w:rPr>
          <w:rFonts w:ascii="Arial" w:hAnsi="Arial" w:cs="Arial"/>
        </w:rPr>
        <w:t>As with other changes within the workplace, consultation is required as with the sharing of information to ensure that a fair and transparent process is enacted.</w:t>
      </w:r>
    </w:p>
    <w:p w:rsidR="00AE550E" w:rsidRDefault="00AE550E" w:rsidP="00317A56">
      <w:pPr>
        <w:pStyle w:val="NoSpacing"/>
        <w:ind w:left="360"/>
        <w:rPr>
          <w:rFonts w:ascii="Arial" w:hAnsi="Arial" w:cs="Arial"/>
        </w:rPr>
      </w:pPr>
    </w:p>
    <w:p w:rsidR="0027238A" w:rsidRDefault="00337FEC" w:rsidP="00317A56">
      <w:pPr>
        <w:pStyle w:val="NoSpacing"/>
        <w:ind w:left="360"/>
        <w:rPr>
          <w:rFonts w:ascii="Arial" w:hAnsi="Arial" w:cs="Arial"/>
        </w:rPr>
      </w:pPr>
      <w:r>
        <w:rPr>
          <w:rFonts w:ascii="Arial" w:hAnsi="Arial" w:cs="Arial"/>
        </w:rPr>
        <w:t>Statutory Rights</w:t>
      </w:r>
    </w:p>
    <w:p w:rsidR="004135A2" w:rsidRDefault="004135A2" w:rsidP="00317A56">
      <w:pPr>
        <w:pStyle w:val="NoSpacing"/>
        <w:ind w:left="360"/>
        <w:rPr>
          <w:rFonts w:ascii="Arial" w:hAnsi="Arial" w:cs="Arial"/>
        </w:rPr>
      </w:pPr>
    </w:p>
    <w:p w:rsidR="0013158A" w:rsidRDefault="00190EC7" w:rsidP="004135A2">
      <w:pPr>
        <w:pStyle w:val="NoSpacing"/>
        <w:ind w:left="360"/>
        <w:rPr>
          <w:rFonts w:ascii="Arial" w:hAnsi="Arial" w:cs="Arial"/>
        </w:rPr>
      </w:pPr>
      <w:r>
        <w:rPr>
          <w:rFonts w:ascii="Arial" w:hAnsi="Arial" w:cs="Arial"/>
        </w:rPr>
        <w:t>As part of the Employment Rights Act 1996 a</w:t>
      </w:r>
      <w:r w:rsidR="0013158A">
        <w:rPr>
          <w:rFonts w:ascii="Arial" w:hAnsi="Arial" w:cs="Arial"/>
        </w:rPr>
        <w:t xml:space="preserve">ll workers have a right to receive payment of wages for work undertaken </w:t>
      </w:r>
      <w:r>
        <w:rPr>
          <w:rFonts w:ascii="Arial" w:hAnsi="Arial" w:cs="Arial"/>
        </w:rPr>
        <w:t xml:space="preserve">as well as the right to an itemised pay statement either before or at the same time that payment is made.  They also have a right to only have authorised deductions being taken from their pay, typically those authorised by statute (PAYE and NIC) or those as agreed via contract or direct consent from the employee.  </w:t>
      </w:r>
    </w:p>
    <w:p w:rsidR="00C0349B" w:rsidRDefault="00C0349B" w:rsidP="004135A2">
      <w:pPr>
        <w:pStyle w:val="NoSpacing"/>
        <w:ind w:left="360"/>
        <w:rPr>
          <w:rFonts w:ascii="Arial" w:hAnsi="Arial" w:cs="Arial"/>
        </w:rPr>
      </w:pPr>
    </w:p>
    <w:p w:rsidR="00C0349B" w:rsidRDefault="00C0349B" w:rsidP="004135A2">
      <w:pPr>
        <w:pStyle w:val="NoSpacing"/>
        <w:ind w:left="360"/>
        <w:rPr>
          <w:rFonts w:ascii="Arial" w:hAnsi="Arial" w:cs="Arial"/>
        </w:rPr>
      </w:pPr>
      <w:proofErr w:type="gramStart"/>
      <w:r>
        <w:rPr>
          <w:rFonts w:ascii="Arial" w:hAnsi="Arial" w:cs="Arial"/>
        </w:rPr>
        <w:t xml:space="preserve">The National Minimum Wage </w:t>
      </w:r>
      <w:r w:rsidR="004F09EC">
        <w:rPr>
          <w:rFonts w:ascii="Arial" w:hAnsi="Arial" w:cs="Arial"/>
        </w:rPr>
        <w:t xml:space="preserve">Act 1998 ‘sets out the legal framework for the national minimum wage in the United Kingdom’ </w:t>
      </w:r>
      <w:r w:rsidR="001A1C5B">
        <w:rPr>
          <w:rFonts w:ascii="Arial" w:hAnsi="Arial" w:cs="Arial"/>
        </w:rPr>
        <w:t>(Great Britain.</w:t>
      </w:r>
      <w:proofErr w:type="gramEnd"/>
      <w:r w:rsidR="001A1C5B">
        <w:rPr>
          <w:rFonts w:ascii="Arial" w:hAnsi="Arial" w:cs="Arial"/>
        </w:rPr>
        <w:t xml:space="preserve"> </w:t>
      </w:r>
      <w:proofErr w:type="gramStart"/>
      <w:r w:rsidR="001A1C5B">
        <w:rPr>
          <w:rFonts w:ascii="Arial" w:hAnsi="Arial" w:cs="Arial"/>
          <w:i/>
        </w:rPr>
        <w:t>The National Minimum Age Act 1998)</w:t>
      </w:r>
      <w:r w:rsidR="00A66F12">
        <w:rPr>
          <w:rFonts w:ascii="Arial" w:hAnsi="Arial" w:cs="Arial"/>
          <w:i/>
        </w:rPr>
        <w:t>,</w:t>
      </w:r>
      <w:r w:rsidR="001A1C5B">
        <w:rPr>
          <w:rFonts w:ascii="Arial" w:hAnsi="Arial" w:cs="Arial"/>
          <w:i/>
        </w:rPr>
        <w:t xml:space="preserve"> </w:t>
      </w:r>
      <w:r w:rsidR="001A1C5B">
        <w:rPr>
          <w:rFonts w:ascii="Arial" w:hAnsi="Arial" w:cs="Arial"/>
        </w:rPr>
        <w:t>i</w:t>
      </w:r>
      <w:r w:rsidR="004F09EC">
        <w:rPr>
          <w:rFonts w:ascii="Arial" w:hAnsi="Arial" w:cs="Arial"/>
        </w:rPr>
        <w:t xml:space="preserve">n order that there is a contractual </w:t>
      </w:r>
      <w:r w:rsidR="001A1C5B">
        <w:rPr>
          <w:rFonts w:ascii="Arial" w:hAnsi="Arial" w:cs="Arial"/>
        </w:rPr>
        <w:t>right to receive a minimum wage, according to the appropriate age groups.</w:t>
      </w:r>
      <w:proofErr w:type="gramEnd"/>
      <w:r w:rsidR="001A1C5B">
        <w:rPr>
          <w:rFonts w:ascii="Arial" w:hAnsi="Arial" w:cs="Arial"/>
        </w:rPr>
        <w:t xml:space="preserve">  </w:t>
      </w:r>
      <w:r w:rsidR="00736D5F">
        <w:rPr>
          <w:rFonts w:ascii="Arial" w:hAnsi="Arial" w:cs="Arial"/>
        </w:rPr>
        <w:t>This is not to be confused with the National Living Wage which employers are encouraged to sign up to but is purely voluntary as this wage is higher.</w:t>
      </w:r>
    </w:p>
    <w:p w:rsidR="00190EC7" w:rsidRDefault="00190EC7" w:rsidP="004135A2">
      <w:pPr>
        <w:pStyle w:val="NoSpacing"/>
        <w:ind w:left="360"/>
        <w:rPr>
          <w:rFonts w:ascii="Arial" w:hAnsi="Arial" w:cs="Arial"/>
        </w:rPr>
      </w:pPr>
    </w:p>
    <w:p w:rsidR="00190EC7" w:rsidRDefault="00190EC7" w:rsidP="004135A2">
      <w:pPr>
        <w:pStyle w:val="NoSpacing"/>
        <w:ind w:left="360"/>
        <w:rPr>
          <w:rFonts w:ascii="Arial" w:hAnsi="Arial" w:cs="Arial"/>
        </w:rPr>
      </w:pPr>
      <w:r>
        <w:rPr>
          <w:rFonts w:ascii="Arial" w:hAnsi="Arial" w:cs="Arial"/>
        </w:rPr>
        <w:t xml:space="preserve">In addition to </w:t>
      </w:r>
      <w:r w:rsidR="00A66F12">
        <w:rPr>
          <w:rFonts w:ascii="Arial" w:hAnsi="Arial" w:cs="Arial"/>
        </w:rPr>
        <w:t xml:space="preserve">payment for </w:t>
      </w:r>
      <w:r>
        <w:rPr>
          <w:rFonts w:ascii="Arial" w:hAnsi="Arial" w:cs="Arial"/>
        </w:rPr>
        <w:t xml:space="preserve">work undertaken, all employers are required to pay Statutory Sick Pay (SSP) for those who are sick for 4 days or more for a maximum of 28 weeks in a 12 month period providing they earn at least the </w:t>
      </w:r>
      <w:r w:rsidR="00C0349B">
        <w:rPr>
          <w:rFonts w:ascii="Arial" w:hAnsi="Arial" w:cs="Arial"/>
        </w:rPr>
        <w:t>lower earnings limit (limit set when NIC contribution is applicable) and meet the qualifying period of continuous employment.</w:t>
      </w:r>
    </w:p>
    <w:p w:rsidR="00C0349B" w:rsidRDefault="00C0349B" w:rsidP="004135A2">
      <w:pPr>
        <w:pStyle w:val="NoSpacing"/>
        <w:ind w:left="360"/>
        <w:rPr>
          <w:rFonts w:ascii="Arial" w:hAnsi="Arial" w:cs="Arial"/>
        </w:rPr>
      </w:pPr>
    </w:p>
    <w:p w:rsidR="004135A2" w:rsidRDefault="004135A2" w:rsidP="004135A2">
      <w:pPr>
        <w:pStyle w:val="NoSpacing"/>
        <w:ind w:left="360"/>
        <w:rPr>
          <w:rFonts w:ascii="Arial" w:hAnsi="Arial" w:cs="Arial"/>
        </w:rPr>
      </w:pPr>
      <w:r>
        <w:rPr>
          <w:rFonts w:ascii="Arial" w:hAnsi="Arial" w:cs="Arial"/>
        </w:rPr>
        <w:t>The Working Time Regulations 1998 were introduced to</w:t>
      </w:r>
      <w:r w:rsidR="00A66F12">
        <w:rPr>
          <w:rFonts w:ascii="Arial" w:hAnsi="Arial" w:cs="Arial"/>
        </w:rPr>
        <w:t xml:space="preserve"> protect the safety of workers </w:t>
      </w:r>
      <w:r>
        <w:rPr>
          <w:rFonts w:ascii="Arial" w:hAnsi="Arial" w:cs="Arial"/>
        </w:rPr>
        <w:t>by ensuring they receive</w:t>
      </w:r>
      <w:r w:rsidR="00683038">
        <w:rPr>
          <w:rFonts w:ascii="Arial" w:hAnsi="Arial" w:cs="Arial"/>
        </w:rPr>
        <w:t xml:space="preserve">d the minimum level of holidays and </w:t>
      </w:r>
      <w:r>
        <w:rPr>
          <w:rFonts w:ascii="Arial" w:hAnsi="Arial" w:cs="Arial"/>
        </w:rPr>
        <w:t>rest breaks</w:t>
      </w:r>
      <w:r w:rsidR="00683038">
        <w:rPr>
          <w:rFonts w:ascii="Arial" w:hAnsi="Arial" w:cs="Arial"/>
        </w:rPr>
        <w:t>,</w:t>
      </w:r>
      <w:r>
        <w:rPr>
          <w:rFonts w:ascii="Arial" w:hAnsi="Arial" w:cs="Arial"/>
        </w:rPr>
        <w:t xml:space="preserve"> and by working reasonable hours</w:t>
      </w:r>
      <w:r w:rsidR="00683038">
        <w:rPr>
          <w:rFonts w:ascii="Arial" w:hAnsi="Arial" w:cs="Arial"/>
        </w:rPr>
        <w:t>,</w:t>
      </w:r>
      <w:r>
        <w:rPr>
          <w:rFonts w:ascii="Arial" w:hAnsi="Arial" w:cs="Arial"/>
        </w:rPr>
        <w:t xml:space="preserve"> alt</w:t>
      </w:r>
      <w:r w:rsidR="00A66F12">
        <w:rPr>
          <w:rFonts w:ascii="Arial" w:hAnsi="Arial" w:cs="Arial"/>
        </w:rPr>
        <w:t xml:space="preserve">hough there are some exclusions </w:t>
      </w:r>
      <w:proofErr w:type="spellStart"/>
      <w:r w:rsidR="00A66F12">
        <w:rPr>
          <w:rFonts w:ascii="Arial" w:hAnsi="Arial" w:cs="Arial"/>
        </w:rPr>
        <w:t>ie</w:t>
      </w:r>
      <w:proofErr w:type="spellEnd"/>
      <w:r w:rsidR="00A66F12">
        <w:rPr>
          <w:rFonts w:ascii="Arial" w:hAnsi="Arial" w:cs="Arial"/>
        </w:rPr>
        <w:t xml:space="preserve"> </w:t>
      </w:r>
      <w:r>
        <w:rPr>
          <w:rFonts w:ascii="Arial" w:hAnsi="Arial" w:cs="Arial"/>
        </w:rPr>
        <w:t xml:space="preserve">doctors </w:t>
      </w:r>
      <w:r w:rsidR="00A66F12">
        <w:rPr>
          <w:rFonts w:ascii="Arial" w:hAnsi="Arial" w:cs="Arial"/>
        </w:rPr>
        <w:t>in training, armed forces</w:t>
      </w:r>
      <w:r w:rsidR="00683038">
        <w:rPr>
          <w:rFonts w:ascii="Arial" w:hAnsi="Arial" w:cs="Arial"/>
        </w:rPr>
        <w:t xml:space="preserve">, </w:t>
      </w:r>
      <w:r>
        <w:rPr>
          <w:rFonts w:ascii="Arial" w:hAnsi="Arial" w:cs="Arial"/>
        </w:rPr>
        <w:t>the police</w:t>
      </w:r>
      <w:r w:rsidR="00683038">
        <w:rPr>
          <w:rFonts w:ascii="Arial" w:hAnsi="Arial" w:cs="Arial"/>
        </w:rPr>
        <w:t>, all forms of transport and workers at sea</w:t>
      </w:r>
      <w:r>
        <w:rPr>
          <w:rFonts w:ascii="Arial" w:hAnsi="Arial" w:cs="Arial"/>
        </w:rPr>
        <w:t xml:space="preserve">.  </w:t>
      </w:r>
    </w:p>
    <w:p w:rsidR="00683038" w:rsidRDefault="00683038" w:rsidP="004135A2">
      <w:pPr>
        <w:pStyle w:val="NoSpacing"/>
        <w:ind w:left="360"/>
        <w:rPr>
          <w:rFonts w:ascii="Arial" w:hAnsi="Arial" w:cs="Arial"/>
        </w:rPr>
      </w:pPr>
    </w:p>
    <w:p w:rsidR="00C1764F" w:rsidRDefault="00C1764F" w:rsidP="004135A2">
      <w:pPr>
        <w:pStyle w:val="NoSpacing"/>
        <w:ind w:left="360"/>
        <w:rPr>
          <w:rFonts w:ascii="Arial" w:hAnsi="Arial" w:cs="Arial"/>
        </w:rPr>
      </w:pPr>
      <w:r>
        <w:rPr>
          <w:rFonts w:ascii="Arial" w:hAnsi="Arial" w:cs="Arial"/>
        </w:rPr>
        <w:t>These regulations entitle</w:t>
      </w:r>
      <w:r w:rsidR="00683038">
        <w:rPr>
          <w:rFonts w:ascii="Arial" w:hAnsi="Arial" w:cs="Arial"/>
        </w:rPr>
        <w:t xml:space="preserve"> a worker to 5.6 weeks paid leave each year which equates to 28 days, including public holidays.  They are also entitled to be paid for the leave</w:t>
      </w:r>
      <w:r w:rsidR="00A66F12">
        <w:rPr>
          <w:rFonts w:ascii="Arial" w:hAnsi="Arial" w:cs="Arial"/>
        </w:rPr>
        <w:t xml:space="preserve"> should </w:t>
      </w:r>
      <w:r w:rsidR="00A66F12">
        <w:rPr>
          <w:rFonts w:ascii="Arial" w:hAnsi="Arial" w:cs="Arial"/>
        </w:rPr>
        <w:lastRenderedPageBreak/>
        <w:t>this not be taken.</w:t>
      </w:r>
      <w:r>
        <w:rPr>
          <w:rFonts w:ascii="Arial" w:hAnsi="Arial" w:cs="Arial"/>
        </w:rPr>
        <w:t xml:space="preserve">  If their pay is variable the average of the last 12 weeks’ pay is taken to calculate the amount due. </w:t>
      </w:r>
    </w:p>
    <w:p w:rsidR="009D60C5" w:rsidRDefault="009D60C5" w:rsidP="004135A2">
      <w:pPr>
        <w:pStyle w:val="NoSpacing"/>
        <w:ind w:left="360"/>
        <w:rPr>
          <w:rFonts w:ascii="Arial" w:hAnsi="Arial" w:cs="Arial"/>
        </w:rPr>
      </w:pPr>
    </w:p>
    <w:p w:rsidR="009D60C5" w:rsidRDefault="009D60C5" w:rsidP="004135A2">
      <w:pPr>
        <w:pStyle w:val="NoSpacing"/>
        <w:ind w:left="360"/>
        <w:rPr>
          <w:rFonts w:ascii="Arial" w:hAnsi="Arial" w:cs="Arial"/>
        </w:rPr>
      </w:pPr>
      <w:r>
        <w:rPr>
          <w:rFonts w:ascii="Arial" w:hAnsi="Arial" w:cs="Arial"/>
        </w:rPr>
        <w:t xml:space="preserve">The conditions contained </w:t>
      </w:r>
      <w:proofErr w:type="gramStart"/>
      <w:r>
        <w:rPr>
          <w:rFonts w:ascii="Arial" w:hAnsi="Arial" w:cs="Arial"/>
        </w:rPr>
        <w:t>with</w:t>
      </w:r>
      <w:r w:rsidR="00A66F12">
        <w:rPr>
          <w:rFonts w:ascii="Arial" w:hAnsi="Arial" w:cs="Arial"/>
        </w:rPr>
        <w:t xml:space="preserve">in </w:t>
      </w:r>
      <w:r>
        <w:rPr>
          <w:rFonts w:ascii="Arial" w:hAnsi="Arial" w:cs="Arial"/>
        </w:rPr>
        <w:t xml:space="preserve"> the</w:t>
      </w:r>
      <w:proofErr w:type="gramEnd"/>
      <w:r>
        <w:rPr>
          <w:rFonts w:ascii="Arial" w:hAnsi="Arial" w:cs="Arial"/>
        </w:rPr>
        <w:t xml:space="preserve"> regulat</w:t>
      </w:r>
      <w:r w:rsidR="0013158A">
        <w:rPr>
          <w:rFonts w:ascii="Arial" w:hAnsi="Arial" w:cs="Arial"/>
        </w:rPr>
        <w:t>ions vary according to different</w:t>
      </w:r>
      <w:r>
        <w:rPr>
          <w:rFonts w:ascii="Arial" w:hAnsi="Arial" w:cs="Arial"/>
        </w:rPr>
        <w:t xml:space="preserve"> </w:t>
      </w:r>
      <w:r w:rsidR="0013158A">
        <w:rPr>
          <w:rFonts w:ascii="Arial" w:hAnsi="Arial" w:cs="Arial"/>
        </w:rPr>
        <w:t xml:space="preserve">age </w:t>
      </w:r>
      <w:r>
        <w:rPr>
          <w:rFonts w:ascii="Arial" w:hAnsi="Arial" w:cs="Arial"/>
        </w:rPr>
        <w:t>groups which is illustrated in the table below:</w:t>
      </w:r>
    </w:p>
    <w:p w:rsidR="00A66F12" w:rsidRDefault="00A66F12" w:rsidP="004135A2">
      <w:pPr>
        <w:pStyle w:val="NoSpacing"/>
        <w:ind w:left="360"/>
        <w:rPr>
          <w:rFonts w:ascii="Arial" w:hAnsi="Arial" w:cs="Arial"/>
        </w:rPr>
      </w:pPr>
    </w:p>
    <w:p w:rsidR="00A66F12" w:rsidRDefault="00A66F12" w:rsidP="004135A2">
      <w:pPr>
        <w:pStyle w:val="NoSpacing"/>
        <w:ind w:left="360"/>
        <w:rPr>
          <w:rFonts w:ascii="Arial" w:hAnsi="Arial" w:cs="Arial"/>
        </w:rPr>
      </w:pPr>
    </w:p>
    <w:tbl>
      <w:tblPr>
        <w:tblStyle w:val="TableGrid"/>
        <w:tblW w:w="0" w:type="auto"/>
        <w:tblInd w:w="360" w:type="dxa"/>
        <w:tblLook w:val="04A0" w:firstRow="1" w:lastRow="0" w:firstColumn="1" w:lastColumn="0" w:noHBand="0" w:noVBand="1"/>
      </w:tblPr>
      <w:tblGrid>
        <w:gridCol w:w="2076"/>
        <w:gridCol w:w="1500"/>
        <w:gridCol w:w="1701"/>
        <w:gridCol w:w="1701"/>
        <w:gridCol w:w="1701"/>
      </w:tblGrid>
      <w:tr w:rsidR="00755B8A" w:rsidTr="007D7971">
        <w:tc>
          <w:tcPr>
            <w:tcW w:w="2076" w:type="dxa"/>
          </w:tcPr>
          <w:p w:rsidR="00755B8A" w:rsidRDefault="00755B8A" w:rsidP="004135A2">
            <w:pPr>
              <w:pStyle w:val="NoSpacing"/>
              <w:rPr>
                <w:rFonts w:ascii="Arial" w:hAnsi="Arial" w:cs="Arial"/>
              </w:rPr>
            </w:pPr>
            <w:r>
              <w:rPr>
                <w:rFonts w:ascii="Arial" w:hAnsi="Arial" w:cs="Arial"/>
              </w:rPr>
              <w:t>Age Group</w:t>
            </w:r>
          </w:p>
        </w:tc>
        <w:tc>
          <w:tcPr>
            <w:tcW w:w="1500" w:type="dxa"/>
          </w:tcPr>
          <w:p w:rsidR="00755B8A" w:rsidRDefault="00755B8A" w:rsidP="004135A2">
            <w:pPr>
              <w:pStyle w:val="NoSpacing"/>
              <w:rPr>
                <w:rFonts w:ascii="Arial" w:hAnsi="Arial" w:cs="Arial"/>
              </w:rPr>
            </w:pPr>
            <w:r>
              <w:rPr>
                <w:rFonts w:ascii="Arial" w:hAnsi="Arial" w:cs="Arial"/>
              </w:rPr>
              <w:t>Adults</w:t>
            </w:r>
          </w:p>
        </w:tc>
        <w:tc>
          <w:tcPr>
            <w:tcW w:w="1701" w:type="dxa"/>
          </w:tcPr>
          <w:p w:rsidR="00755B8A" w:rsidRDefault="00755B8A" w:rsidP="004135A2">
            <w:pPr>
              <w:pStyle w:val="NoSpacing"/>
              <w:rPr>
                <w:rFonts w:ascii="Arial" w:hAnsi="Arial" w:cs="Arial"/>
              </w:rPr>
            </w:pPr>
            <w:r>
              <w:rPr>
                <w:rFonts w:ascii="Arial" w:hAnsi="Arial" w:cs="Arial"/>
              </w:rPr>
              <w:t>&lt;18s</w:t>
            </w:r>
          </w:p>
        </w:tc>
        <w:tc>
          <w:tcPr>
            <w:tcW w:w="1701" w:type="dxa"/>
          </w:tcPr>
          <w:p w:rsidR="00755B8A" w:rsidRDefault="00755B8A" w:rsidP="004135A2">
            <w:pPr>
              <w:pStyle w:val="NoSpacing"/>
              <w:rPr>
                <w:rFonts w:ascii="Arial" w:hAnsi="Arial" w:cs="Arial"/>
              </w:rPr>
            </w:pPr>
            <w:r>
              <w:rPr>
                <w:rFonts w:ascii="Arial" w:hAnsi="Arial" w:cs="Arial"/>
              </w:rPr>
              <w:t>15-16s</w:t>
            </w:r>
          </w:p>
        </w:tc>
        <w:tc>
          <w:tcPr>
            <w:tcW w:w="1701" w:type="dxa"/>
          </w:tcPr>
          <w:p w:rsidR="00755B8A" w:rsidRDefault="00755B8A" w:rsidP="004135A2">
            <w:pPr>
              <w:pStyle w:val="NoSpacing"/>
              <w:rPr>
                <w:rFonts w:ascii="Arial" w:hAnsi="Arial" w:cs="Arial"/>
              </w:rPr>
            </w:pPr>
            <w:r>
              <w:rPr>
                <w:rFonts w:ascii="Arial" w:hAnsi="Arial" w:cs="Arial"/>
              </w:rPr>
              <w:t>13-14</w:t>
            </w:r>
          </w:p>
        </w:tc>
      </w:tr>
      <w:tr w:rsidR="00755B8A" w:rsidTr="007D7971">
        <w:tc>
          <w:tcPr>
            <w:tcW w:w="2076" w:type="dxa"/>
          </w:tcPr>
          <w:p w:rsidR="00755B8A" w:rsidRDefault="00755B8A" w:rsidP="004135A2">
            <w:pPr>
              <w:pStyle w:val="NoSpacing"/>
              <w:rPr>
                <w:rFonts w:ascii="Arial" w:hAnsi="Arial" w:cs="Arial"/>
              </w:rPr>
            </w:pPr>
            <w:r>
              <w:rPr>
                <w:rFonts w:ascii="Arial" w:hAnsi="Arial" w:cs="Arial"/>
              </w:rPr>
              <w:t>Total working hours per week</w:t>
            </w:r>
          </w:p>
        </w:tc>
        <w:tc>
          <w:tcPr>
            <w:tcW w:w="1500" w:type="dxa"/>
          </w:tcPr>
          <w:p w:rsidR="00755B8A" w:rsidRDefault="00755B8A" w:rsidP="004135A2">
            <w:pPr>
              <w:pStyle w:val="NoSpacing"/>
              <w:rPr>
                <w:rFonts w:ascii="Arial" w:hAnsi="Arial" w:cs="Arial"/>
              </w:rPr>
            </w:pPr>
            <w:r>
              <w:rPr>
                <w:rFonts w:ascii="Arial" w:hAnsi="Arial" w:cs="Arial"/>
              </w:rPr>
              <w:t xml:space="preserve">48 </w:t>
            </w:r>
            <w:proofErr w:type="spellStart"/>
            <w:r>
              <w:rPr>
                <w:rFonts w:ascii="Arial" w:hAnsi="Arial" w:cs="Arial"/>
              </w:rPr>
              <w:t>hrs</w:t>
            </w:r>
            <w:proofErr w:type="spellEnd"/>
            <w:r>
              <w:rPr>
                <w:rFonts w:ascii="Arial" w:hAnsi="Arial" w:cs="Arial"/>
              </w:rPr>
              <w:t xml:space="preserve"> unless opt-out</w:t>
            </w:r>
          </w:p>
        </w:tc>
        <w:tc>
          <w:tcPr>
            <w:tcW w:w="1701" w:type="dxa"/>
          </w:tcPr>
          <w:p w:rsidR="00755B8A" w:rsidRDefault="00755B8A" w:rsidP="004135A2">
            <w:pPr>
              <w:pStyle w:val="NoSpacing"/>
              <w:rPr>
                <w:rFonts w:ascii="Arial" w:hAnsi="Arial" w:cs="Arial"/>
              </w:rPr>
            </w:pPr>
            <w:r>
              <w:rPr>
                <w:rFonts w:ascii="Arial" w:hAnsi="Arial" w:cs="Arial"/>
              </w:rPr>
              <w:t xml:space="preserve">40 </w:t>
            </w:r>
            <w:proofErr w:type="spellStart"/>
            <w:r>
              <w:rPr>
                <w:rFonts w:ascii="Arial" w:hAnsi="Arial" w:cs="Arial"/>
              </w:rPr>
              <w:t>hrs</w:t>
            </w:r>
            <w:proofErr w:type="spellEnd"/>
            <w:r>
              <w:rPr>
                <w:rFonts w:ascii="Arial" w:hAnsi="Arial" w:cs="Arial"/>
              </w:rPr>
              <w:t xml:space="preserve"> max</w:t>
            </w:r>
          </w:p>
        </w:tc>
        <w:tc>
          <w:tcPr>
            <w:tcW w:w="1701" w:type="dxa"/>
          </w:tcPr>
          <w:p w:rsidR="00755B8A" w:rsidRDefault="00755B8A" w:rsidP="004135A2">
            <w:pPr>
              <w:pStyle w:val="NoSpacing"/>
              <w:rPr>
                <w:rFonts w:ascii="Arial" w:hAnsi="Arial" w:cs="Arial"/>
              </w:rPr>
            </w:pPr>
            <w:r>
              <w:rPr>
                <w:rFonts w:ascii="Arial" w:hAnsi="Arial" w:cs="Arial"/>
              </w:rPr>
              <w:t xml:space="preserve">35 </w:t>
            </w:r>
            <w:proofErr w:type="spellStart"/>
            <w:r>
              <w:rPr>
                <w:rFonts w:ascii="Arial" w:hAnsi="Arial" w:cs="Arial"/>
              </w:rPr>
              <w:t>hrs</w:t>
            </w:r>
            <w:proofErr w:type="spellEnd"/>
            <w:r>
              <w:rPr>
                <w:rFonts w:ascii="Arial" w:hAnsi="Arial" w:cs="Arial"/>
              </w:rPr>
              <w:t xml:space="preserve"> max</w:t>
            </w:r>
          </w:p>
        </w:tc>
        <w:tc>
          <w:tcPr>
            <w:tcW w:w="1701" w:type="dxa"/>
          </w:tcPr>
          <w:p w:rsidR="00755B8A" w:rsidRDefault="00755B8A" w:rsidP="004135A2">
            <w:pPr>
              <w:pStyle w:val="NoSpacing"/>
              <w:rPr>
                <w:rFonts w:ascii="Arial" w:hAnsi="Arial" w:cs="Arial"/>
              </w:rPr>
            </w:pPr>
            <w:r>
              <w:rPr>
                <w:rFonts w:ascii="Arial" w:hAnsi="Arial" w:cs="Arial"/>
              </w:rPr>
              <w:t xml:space="preserve">25 </w:t>
            </w:r>
            <w:proofErr w:type="spellStart"/>
            <w:r>
              <w:rPr>
                <w:rFonts w:ascii="Arial" w:hAnsi="Arial" w:cs="Arial"/>
              </w:rPr>
              <w:t>hrs</w:t>
            </w:r>
            <w:proofErr w:type="spellEnd"/>
            <w:r>
              <w:rPr>
                <w:rFonts w:ascii="Arial" w:hAnsi="Arial" w:cs="Arial"/>
              </w:rPr>
              <w:t xml:space="preserve"> max</w:t>
            </w:r>
          </w:p>
        </w:tc>
      </w:tr>
      <w:tr w:rsidR="00755B8A" w:rsidTr="007D7971">
        <w:tc>
          <w:tcPr>
            <w:tcW w:w="2076" w:type="dxa"/>
          </w:tcPr>
          <w:p w:rsidR="00755B8A" w:rsidRDefault="00755B8A" w:rsidP="004135A2">
            <w:pPr>
              <w:pStyle w:val="NoSpacing"/>
              <w:rPr>
                <w:rFonts w:ascii="Arial" w:hAnsi="Arial" w:cs="Arial"/>
              </w:rPr>
            </w:pPr>
            <w:r>
              <w:rPr>
                <w:rFonts w:ascii="Arial" w:hAnsi="Arial" w:cs="Arial"/>
              </w:rPr>
              <w:t>Weekday/Saturday</w:t>
            </w:r>
          </w:p>
        </w:tc>
        <w:tc>
          <w:tcPr>
            <w:tcW w:w="1500" w:type="dxa"/>
          </w:tcPr>
          <w:p w:rsidR="00755B8A" w:rsidRDefault="007D7971" w:rsidP="004135A2">
            <w:pPr>
              <w:pStyle w:val="NoSpacing"/>
              <w:rPr>
                <w:rFonts w:ascii="Arial" w:hAnsi="Arial" w:cs="Arial"/>
              </w:rPr>
            </w:pPr>
            <w:r>
              <w:rPr>
                <w:rFonts w:ascii="Arial" w:hAnsi="Arial" w:cs="Arial"/>
              </w:rPr>
              <w:t>N/A</w:t>
            </w:r>
          </w:p>
        </w:tc>
        <w:tc>
          <w:tcPr>
            <w:tcW w:w="1701" w:type="dxa"/>
          </w:tcPr>
          <w:p w:rsidR="00755B8A" w:rsidRDefault="00755B8A" w:rsidP="004135A2">
            <w:pPr>
              <w:pStyle w:val="NoSpacing"/>
              <w:rPr>
                <w:rFonts w:ascii="Arial" w:hAnsi="Arial" w:cs="Arial"/>
              </w:rPr>
            </w:pPr>
            <w:r>
              <w:rPr>
                <w:rFonts w:ascii="Arial" w:hAnsi="Arial" w:cs="Arial"/>
              </w:rPr>
              <w:t xml:space="preserve">8 </w:t>
            </w:r>
            <w:proofErr w:type="spellStart"/>
            <w:r>
              <w:rPr>
                <w:rFonts w:ascii="Arial" w:hAnsi="Arial" w:cs="Arial"/>
              </w:rPr>
              <w:t>hrs</w:t>
            </w:r>
            <w:proofErr w:type="spellEnd"/>
            <w:r>
              <w:rPr>
                <w:rFonts w:ascii="Arial" w:hAnsi="Arial" w:cs="Arial"/>
              </w:rPr>
              <w:t xml:space="preserve"> max</w:t>
            </w:r>
          </w:p>
        </w:tc>
        <w:tc>
          <w:tcPr>
            <w:tcW w:w="1701" w:type="dxa"/>
          </w:tcPr>
          <w:p w:rsidR="00755B8A" w:rsidRDefault="00755B8A" w:rsidP="004135A2">
            <w:pPr>
              <w:pStyle w:val="NoSpacing"/>
              <w:rPr>
                <w:rFonts w:ascii="Arial" w:hAnsi="Arial" w:cs="Arial"/>
              </w:rPr>
            </w:pPr>
            <w:r>
              <w:rPr>
                <w:rFonts w:ascii="Arial" w:hAnsi="Arial" w:cs="Arial"/>
              </w:rPr>
              <w:t xml:space="preserve">8 </w:t>
            </w:r>
            <w:proofErr w:type="spellStart"/>
            <w:r>
              <w:rPr>
                <w:rFonts w:ascii="Arial" w:hAnsi="Arial" w:cs="Arial"/>
              </w:rPr>
              <w:t>hrs</w:t>
            </w:r>
            <w:proofErr w:type="spellEnd"/>
            <w:r>
              <w:rPr>
                <w:rFonts w:ascii="Arial" w:hAnsi="Arial" w:cs="Arial"/>
              </w:rPr>
              <w:t xml:space="preserve"> max</w:t>
            </w:r>
          </w:p>
        </w:tc>
        <w:tc>
          <w:tcPr>
            <w:tcW w:w="1701" w:type="dxa"/>
          </w:tcPr>
          <w:p w:rsidR="00755B8A" w:rsidRDefault="00755B8A" w:rsidP="004135A2">
            <w:pPr>
              <w:pStyle w:val="NoSpacing"/>
              <w:rPr>
                <w:rFonts w:ascii="Arial" w:hAnsi="Arial" w:cs="Arial"/>
              </w:rPr>
            </w:pPr>
            <w:r>
              <w:rPr>
                <w:rFonts w:ascii="Arial" w:hAnsi="Arial" w:cs="Arial"/>
              </w:rPr>
              <w:t xml:space="preserve">5 </w:t>
            </w:r>
            <w:proofErr w:type="spellStart"/>
            <w:r>
              <w:rPr>
                <w:rFonts w:ascii="Arial" w:hAnsi="Arial" w:cs="Arial"/>
              </w:rPr>
              <w:t>hrs</w:t>
            </w:r>
            <w:proofErr w:type="spellEnd"/>
            <w:r>
              <w:rPr>
                <w:rFonts w:ascii="Arial" w:hAnsi="Arial" w:cs="Arial"/>
              </w:rPr>
              <w:t xml:space="preserve"> max</w:t>
            </w:r>
          </w:p>
        </w:tc>
      </w:tr>
      <w:tr w:rsidR="00755B8A" w:rsidTr="007D7971">
        <w:tc>
          <w:tcPr>
            <w:tcW w:w="2076" w:type="dxa"/>
          </w:tcPr>
          <w:p w:rsidR="00755B8A" w:rsidRDefault="00755B8A" w:rsidP="004135A2">
            <w:pPr>
              <w:pStyle w:val="NoSpacing"/>
              <w:rPr>
                <w:rFonts w:ascii="Arial" w:hAnsi="Arial" w:cs="Arial"/>
              </w:rPr>
            </w:pPr>
            <w:r>
              <w:rPr>
                <w:rFonts w:ascii="Arial" w:hAnsi="Arial" w:cs="Arial"/>
              </w:rPr>
              <w:t>Sunday</w:t>
            </w:r>
          </w:p>
        </w:tc>
        <w:tc>
          <w:tcPr>
            <w:tcW w:w="1500" w:type="dxa"/>
          </w:tcPr>
          <w:p w:rsidR="00755B8A" w:rsidRDefault="007D7971" w:rsidP="004135A2">
            <w:pPr>
              <w:pStyle w:val="NoSpacing"/>
              <w:rPr>
                <w:rFonts w:ascii="Arial" w:hAnsi="Arial" w:cs="Arial"/>
              </w:rPr>
            </w:pPr>
            <w:r>
              <w:rPr>
                <w:rFonts w:ascii="Arial" w:hAnsi="Arial" w:cs="Arial"/>
              </w:rPr>
              <w:t>N/A</w:t>
            </w:r>
          </w:p>
        </w:tc>
        <w:tc>
          <w:tcPr>
            <w:tcW w:w="1701" w:type="dxa"/>
          </w:tcPr>
          <w:p w:rsidR="00755B8A" w:rsidRDefault="00755B8A" w:rsidP="004135A2">
            <w:pPr>
              <w:pStyle w:val="NoSpacing"/>
              <w:rPr>
                <w:rFonts w:ascii="Arial" w:hAnsi="Arial" w:cs="Arial"/>
              </w:rPr>
            </w:pPr>
            <w:r>
              <w:rPr>
                <w:rFonts w:ascii="Arial" w:hAnsi="Arial" w:cs="Arial"/>
              </w:rPr>
              <w:t xml:space="preserve">8 </w:t>
            </w:r>
            <w:proofErr w:type="spellStart"/>
            <w:r>
              <w:rPr>
                <w:rFonts w:ascii="Arial" w:hAnsi="Arial" w:cs="Arial"/>
              </w:rPr>
              <w:t>hrs</w:t>
            </w:r>
            <w:proofErr w:type="spellEnd"/>
            <w:r>
              <w:rPr>
                <w:rFonts w:ascii="Arial" w:hAnsi="Arial" w:cs="Arial"/>
              </w:rPr>
              <w:t xml:space="preserve"> max</w:t>
            </w:r>
          </w:p>
        </w:tc>
        <w:tc>
          <w:tcPr>
            <w:tcW w:w="1701" w:type="dxa"/>
          </w:tcPr>
          <w:p w:rsidR="00755B8A" w:rsidRDefault="00755B8A" w:rsidP="004135A2">
            <w:pPr>
              <w:pStyle w:val="NoSpacing"/>
              <w:rPr>
                <w:rFonts w:ascii="Arial" w:hAnsi="Arial" w:cs="Arial"/>
              </w:rPr>
            </w:pPr>
            <w:r>
              <w:rPr>
                <w:rFonts w:ascii="Arial" w:hAnsi="Arial" w:cs="Arial"/>
              </w:rPr>
              <w:t xml:space="preserve">2 </w:t>
            </w:r>
            <w:proofErr w:type="spellStart"/>
            <w:r>
              <w:rPr>
                <w:rFonts w:ascii="Arial" w:hAnsi="Arial" w:cs="Arial"/>
              </w:rPr>
              <w:t>hrs</w:t>
            </w:r>
            <w:proofErr w:type="spellEnd"/>
            <w:r>
              <w:rPr>
                <w:rFonts w:ascii="Arial" w:hAnsi="Arial" w:cs="Arial"/>
              </w:rPr>
              <w:t xml:space="preserve"> max</w:t>
            </w:r>
          </w:p>
        </w:tc>
        <w:tc>
          <w:tcPr>
            <w:tcW w:w="1701" w:type="dxa"/>
          </w:tcPr>
          <w:p w:rsidR="00755B8A" w:rsidRDefault="00755B8A" w:rsidP="004135A2">
            <w:pPr>
              <w:pStyle w:val="NoSpacing"/>
              <w:rPr>
                <w:rFonts w:ascii="Arial" w:hAnsi="Arial" w:cs="Arial"/>
              </w:rPr>
            </w:pPr>
            <w:r>
              <w:rPr>
                <w:rFonts w:ascii="Arial" w:hAnsi="Arial" w:cs="Arial"/>
              </w:rPr>
              <w:t>2,hrs max</w:t>
            </w:r>
          </w:p>
        </w:tc>
      </w:tr>
      <w:tr w:rsidR="00755B8A" w:rsidTr="007D7971">
        <w:trPr>
          <w:trHeight w:val="250"/>
        </w:trPr>
        <w:tc>
          <w:tcPr>
            <w:tcW w:w="2076" w:type="dxa"/>
          </w:tcPr>
          <w:p w:rsidR="00755B8A" w:rsidRDefault="00755B8A" w:rsidP="004135A2">
            <w:pPr>
              <w:pStyle w:val="NoSpacing"/>
              <w:rPr>
                <w:rFonts w:ascii="Arial" w:hAnsi="Arial" w:cs="Arial"/>
              </w:rPr>
            </w:pPr>
            <w:r>
              <w:rPr>
                <w:rFonts w:ascii="Arial" w:hAnsi="Arial" w:cs="Arial"/>
              </w:rPr>
              <w:t>Breaks</w:t>
            </w:r>
          </w:p>
        </w:tc>
        <w:tc>
          <w:tcPr>
            <w:tcW w:w="1500" w:type="dxa"/>
          </w:tcPr>
          <w:p w:rsidR="007D7971" w:rsidRDefault="007D7971" w:rsidP="004135A2">
            <w:pPr>
              <w:pStyle w:val="NoSpacing"/>
              <w:rPr>
                <w:rFonts w:ascii="Arial" w:hAnsi="Arial" w:cs="Arial"/>
              </w:rPr>
            </w:pPr>
            <w:r>
              <w:rPr>
                <w:rFonts w:ascii="Arial" w:hAnsi="Arial" w:cs="Arial"/>
              </w:rPr>
              <w:t xml:space="preserve">&gt; 6 </w:t>
            </w:r>
            <w:proofErr w:type="spellStart"/>
            <w:r>
              <w:rPr>
                <w:rFonts w:ascii="Arial" w:hAnsi="Arial" w:cs="Arial"/>
              </w:rPr>
              <w:t>hrs</w:t>
            </w:r>
            <w:proofErr w:type="spellEnd"/>
            <w:r>
              <w:rPr>
                <w:rFonts w:ascii="Arial" w:hAnsi="Arial" w:cs="Arial"/>
              </w:rPr>
              <w:t xml:space="preserve"> =  minimum </w:t>
            </w:r>
          </w:p>
          <w:p w:rsidR="00755B8A" w:rsidRDefault="007D7971" w:rsidP="004135A2">
            <w:pPr>
              <w:pStyle w:val="NoSpacing"/>
              <w:rPr>
                <w:rFonts w:ascii="Arial" w:hAnsi="Arial" w:cs="Arial"/>
              </w:rPr>
            </w:pPr>
            <w:r>
              <w:rPr>
                <w:rFonts w:ascii="Arial" w:hAnsi="Arial" w:cs="Arial"/>
              </w:rPr>
              <w:t xml:space="preserve">20 minutes </w:t>
            </w:r>
          </w:p>
        </w:tc>
        <w:tc>
          <w:tcPr>
            <w:tcW w:w="1701" w:type="dxa"/>
          </w:tcPr>
          <w:p w:rsidR="007D7971" w:rsidRDefault="00755B8A" w:rsidP="004135A2">
            <w:pPr>
              <w:pStyle w:val="NoSpacing"/>
              <w:rPr>
                <w:rFonts w:ascii="Arial" w:hAnsi="Arial" w:cs="Arial"/>
              </w:rPr>
            </w:pPr>
            <w:r>
              <w:rPr>
                <w:rFonts w:ascii="Arial" w:hAnsi="Arial" w:cs="Arial"/>
              </w:rPr>
              <w:t xml:space="preserve">&gt;4.5 </w:t>
            </w:r>
            <w:proofErr w:type="spellStart"/>
            <w:r>
              <w:rPr>
                <w:rFonts w:ascii="Arial" w:hAnsi="Arial" w:cs="Arial"/>
              </w:rPr>
              <w:t>hrs</w:t>
            </w:r>
            <w:proofErr w:type="spellEnd"/>
            <w:r w:rsidR="007D7971">
              <w:rPr>
                <w:rFonts w:ascii="Arial" w:hAnsi="Arial" w:cs="Arial"/>
              </w:rPr>
              <w:t xml:space="preserve"> </w:t>
            </w:r>
            <w:r>
              <w:rPr>
                <w:rFonts w:ascii="Arial" w:hAnsi="Arial" w:cs="Arial"/>
              </w:rPr>
              <w:t xml:space="preserve">= </w:t>
            </w:r>
            <w:r w:rsidR="007D7971">
              <w:rPr>
                <w:rFonts w:ascii="Arial" w:hAnsi="Arial" w:cs="Arial"/>
              </w:rPr>
              <w:t xml:space="preserve">minimum </w:t>
            </w:r>
          </w:p>
          <w:p w:rsidR="00755B8A" w:rsidRDefault="007D7971" w:rsidP="004135A2">
            <w:pPr>
              <w:pStyle w:val="NoSpacing"/>
              <w:rPr>
                <w:rFonts w:ascii="Arial" w:hAnsi="Arial" w:cs="Arial"/>
              </w:rPr>
            </w:pPr>
            <w:r>
              <w:rPr>
                <w:rFonts w:ascii="Arial" w:hAnsi="Arial" w:cs="Arial"/>
              </w:rPr>
              <w:t>30 minutes</w:t>
            </w:r>
          </w:p>
        </w:tc>
        <w:tc>
          <w:tcPr>
            <w:tcW w:w="1701" w:type="dxa"/>
          </w:tcPr>
          <w:p w:rsidR="007D7971" w:rsidRDefault="007D7971" w:rsidP="007D7971">
            <w:pPr>
              <w:pStyle w:val="NoSpacing"/>
              <w:rPr>
                <w:rFonts w:ascii="Arial" w:hAnsi="Arial" w:cs="Arial"/>
              </w:rPr>
            </w:pPr>
            <w:r>
              <w:rPr>
                <w:rFonts w:ascii="Arial" w:hAnsi="Arial" w:cs="Arial"/>
              </w:rPr>
              <w:t xml:space="preserve">&gt;4.5 </w:t>
            </w:r>
            <w:proofErr w:type="spellStart"/>
            <w:r>
              <w:rPr>
                <w:rFonts w:ascii="Arial" w:hAnsi="Arial" w:cs="Arial"/>
              </w:rPr>
              <w:t>hrs</w:t>
            </w:r>
            <w:proofErr w:type="spellEnd"/>
            <w:r>
              <w:rPr>
                <w:rFonts w:ascii="Arial" w:hAnsi="Arial" w:cs="Arial"/>
              </w:rPr>
              <w:t xml:space="preserve"> = minimum </w:t>
            </w:r>
          </w:p>
          <w:p w:rsidR="00755B8A" w:rsidRDefault="007D7971" w:rsidP="007D7971">
            <w:pPr>
              <w:pStyle w:val="NoSpacing"/>
              <w:rPr>
                <w:rFonts w:ascii="Arial" w:hAnsi="Arial" w:cs="Arial"/>
              </w:rPr>
            </w:pPr>
            <w:r>
              <w:rPr>
                <w:rFonts w:ascii="Arial" w:hAnsi="Arial" w:cs="Arial"/>
              </w:rPr>
              <w:t>30 minutes</w:t>
            </w:r>
          </w:p>
        </w:tc>
        <w:tc>
          <w:tcPr>
            <w:tcW w:w="1701" w:type="dxa"/>
          </w:tcPr>
          <w:p w:rsidR="007D7971" w:rsidRDefault="007D7971" w:rsidP="007D7971">
            <w:pPr>
              <w:pStyle w:val="NoSpacing"/>
              <w:rPr>
                <w:rFonts w:ascii="Arial" w:hAnsi="Arial" w:cs="Arial"/>
              </w:rPr>
            </w:pPr>
            <w:r>
              <w:rPr>
                <w:rFonts w:ascii="Arial" w:hAnsi="Arial" w:cs="Arial"/>
              </w:rPr>
              <w:t xml:space="preserve">&gt;4.5 </w:t>
            </w:r>
            <w:proofErr w:type="spellStart"/>
            <w:r>
              <w:rPr>
                <w:rFonts w:ascii="Arial" w:hAnsi="Arial" w:cs="Arial"/>
              </w:rPr>
              <w:t>hrs</w:t>
            </w:r>
            <w:proofErr w:type="spellEnd"/>
            <w:r>
              <w:rPr>
                <w:rFonts w:ascii="Arial" w:hAnsi="Arial" w:cs="Arial"/>
              </w:rPr>
              <w:t xml:space="preserve"> = minimum </w:t>
            </w:r>
          </w:p>
          <w:p w:rsidR="00755B8A" w:rsidRDefault="007D7971" w:rsidP="007D7971">
            <w:pPr>
              <w:pStyle w:val="NoSpacing"/>
              <w:rPr>
                <w:rFonts w:ascii="Arial" w:hAnsi="Arial" w:cs="Arial"/>
              </w:rPr>
            </w:pPr>
            <w:r>
              <w:rPr>
                <w:rFonts w:ascii="Arial" w:hAnsi="Arial" w:cs="Arial"/>
              </w:rPr>
              <w:t>30 minutes</w:t>
            </w:r>
          </w:p>
        </w:tc>
      </w:tr>
      <w:tr w:rsidR="00755B8A" w:rsidTr="007D7971">
        <w:tc>
          <w:tcPr>
            <w:tcW w:w="2076" w:type="dxa"/>
          </w:tcPr>
          <w:p w:rsidR="00755B8A" w:rsidRDefault="00755B8A" w:rsidP="004135A2">
            <w:pPr>
              <w:pStyle w:val="NoSpacing"/>
              <w:rPr>
                <w:rFonts w:ascii="Arial" w:hAnsi="Arial" w:cs="Arial"/>
              </w:rPr>
            </w:pPr>
            <w:r>
              <w:rPr>
                <w:rFonts w:ascii="Arial" w:hAnsi="Arial" w:cs="Arial"/>
              </w:rPr>
              <w:t>Rest</w:t>
            </w:r>
          </w:p>
        </w:tc>
        <w:tc>
          <w:tcPr>
            <w:tcW w:w="1500" w:type="dxa"/>
          </w:tcPr>
          <w:p w:rsidR="00755B8A" w:rsidRDefault="00755B8A" w:rsidP="004135A2">
            <w:pPr>
              <w:pStyle w:val="NoSpacing"/>
              <w:rPr>
                <w:rFonts w:ascii="Arial" w:hAnsi="Arial" w:cs="Arial"/>
              </w:rPr>
            </w:pPr>
            <w:r>
              <w:rPr>
                <w:rFonts w:ascii="Arial" w:hAnsi="Arial" w:cs="Arial"/>
              </w:rPr>
              <w:t xml:space="preserve">11 </w:t>
            </w:r>
            <w:proofErr w:type="spellStart"/>
            <w:r>
              <w:rPr>
                <w:rFonts w:ascii="Arial" w:hAnsi="Arial" w:cs="Arial"/>
              </w:rPr>
              <w:t>hrs</w:t>
            </w:r>
            <w:proofErr w:type="spellEnd"/>
            <w:r>
              <w:rPr>
                <w:rFonts w:ascii="Arial" w:hAnsi="Arial" w:cs="Arial"/>
              </w:rPr>
              <w:t xml:space="preserve"> in 24 </w:t>
            </w:r>
            <w:proofErr w:type="spellStart"/>
            <w:r>
              <w:rPr>
                <w:rFonts w:ascii="Arial" w:hAnsi="Arial" w:cs="Arial"/>
              </w:rPr>
              <w:t>hrs</w:t>
            </w:r>
            <w:proofErr w:type="spellEnd"/>
          </w:p>
        </w:tc>
        <w:tc>
          <w:tcPr>
            <w:tcW w:w="1701" w:type="dxa"/>
          </w:tcPr>
          <w:p w:rsidR="00755B8A" w:rsidRDefault="00755B8A" w:rsidP="004135A2">
            <w:pPr>
              <w:pStyle w:val="NoSpacing"/>
              <w:rPr>
                <w:rFonts w:ascii="Arial" w:hAnsi="Arial" w:cs="Arial"/>
              </w:rPr>
            </w:pPr>
            <w:r>
              <w:rPr>
                <w:rFonts w:ascii="Arial" w:hAnsi="Arial" w:cs="Arial"/>
              </w:rPr>
              <w:t xml:space="preserve">12 </w:t>
            </w:r>
            <w:proofErr w:type="spellStart"/>
            <w:r>
              <w:rPr>
                <w:rFonts w:ascii="Arial" w:hAnsi="Arial" w:cs="Arial"/>
              </w:rPr>
              <w:t>hrs</w:t>
            </w:r>
            <w:proofErr w:type="spellEnd"/>
            <w:r>
              <w:rPr>
                <w:rFonts w:ascii="Arial" w:hAnsi="Arial" w:cs="Arial"/>
              </w:rPr>
              <w:t xml:space="preserve"> in 24 </w:t>
            </w:r>
            <w:proofErr w:type="spellStart"/>
            <w:r>
              <w:rPr>
                <w:rFonts w:ascii="Arial" w:hAnsi="Arial" w:cs="Arial"/>
              </w:rPr>
              <w:t>hrs</w:t>
            </w:r>
            <w:proofErr w:type="spellEnd"/>
          </w:p>
        </w:tc>
        <w:tc>
          <w:tcPr>
            <w:tcW w:w="1701" w:type="dxa"/>
          </w:tcPr>
          <w:p w:rsidR="00755B8A" w:rsidRDefault="00755B8A" w:rsidP="004135A2">
            <w:pPr>
              <w:pStyle w:val="NoSpacing"/>
              <w:rPr>
                <w:rFonts w:ascii="Arial" w:hAnsi="Arial" w:cs="Arial"/>
              </w:rPr>
            </w:pPr>
            <w:r>
              <w:rPr>
                <w:rFonts w:ascii="Arial" w:hAnsi="Arial" w:cs="Arial"/>
              </w:rPr>
              <w:t xml:space="preserve">12 </w:t>
            </w:r>
            <w:proofErr w:type="spellStart"/>
            <w:r>
              <w:rPr>
                <w:rFonts w:ascii="Arial" w:hAnsi="Arial" w:cs="Arial"/>
              </w:rPr>
              <w:t>hrs</w:t>
            </w:r>
            <w:proofErr w:type="spellEnd"/>
            <w:r>
              <w:rPr>
                <w:rFonts w:ascii="Arial" w:hAnsi="Arial" w:cs="Arial"/>
              </w:rPr>
              <w:t xml:space="preserve"> in 24 </w:t>
            </w:r>
            <w:proofErr w:type="spellStart"/>
            <w:r>
              <w:rPr>
                <w:rFonts w:ascii="Arial" w:hAnsi="Arial" w:cs="Arial"/>
              </w:rPr>
              <w:t>hrs</w:t>
            </w:r>
            <w:proofErr w:type="spellEnd"/>
          </w:p>
        </w:tc>
        <w:tc>
          <w:tcPr>
            <w:tcW w:w="1701" w:type="dxa"/>
          </w:tcPr>
          <w:p w:rsidR="00755B8A" w:rsidRDefault="00755B8A" w:rsidP="004135A2">
            <w:pPr>
              <w:pStyle w:val="NoSpacing"/>
              <w:rPr>
                <w:rFonts w:ascii="Arial" w:hAnsi="Arial" w:cs="Arial"/>
              </w:rPr>
            </w:pPr>
            <w:r>
              <w:rPr>
                <w:rFonts w:ascii="Arial" w:hAnsi="Arial" w:cs="Arial"/>
              </w:rPr>
              <w:t xml:space="preserve">12 </w:t>
            </w:r>
            <w:proofErr w:type="spellStart"/>
            <w:r>
              <w:rPr>
                <w:rFonts w:ascii="Arial" w:hAnsi="Arial" w:cs="Arial"/>
              </w:rPr>
              <w:t>hrs</w:t>
            </w:r>
            <w:proofErr w:type="spellEnd"/>
            <w:r>
              <w:rPr>
                <w:rFonts w:ascii="Arial" w:hAnsi="Arial" w:cs="Arial"/>
              </w:rPr>
              <w:t xml:space="preserve"> in 24 </w:t>
            </w:r>
            <w:proofErr w:type="spellStart"/>
            <w:r>
              <w:rPr>
                <w:rFonts w:ascii="Arial" w:hAnsi="Arial" w:cs="Arial"/>
              </w:rPr>
              <w:t>hrs</w:t>
            </w:r>
            <w:proofErr w:type="spellEnd"/>
          </w:p>
        </w:tc>
      </w:tr>
      <w:tr w:rsidR="00755B8A" w:rsidTr="007D7971">
        <w:tc>
          <w:tcPr>
            <w:tcW w:w="2076" w:type="dxa"/>
          </w:tcPr>
          <w:p w:rsidR="00755B8A" w:rsidRDefault="00755B8A" w:rsidP="004135A2">
            <w:pPr>
              <w:pStyle w:val="NoSpacing"/>
              <w:rPr>
                <w:rFonts w:ascii="Arial" w:hAnsi="Arial" w:cs="Arial"/>
              </w:rPr>
            </w:pPr>
            <w:r>
              <w:rPr>
                <w:rFonts w:ascii="Arial" w:hAnsi="Arial" w:cs="Arial"/>
              </w:rPr>
              <w:t>Uninterrupted rest</w:t>
            </w:r>
          </w:p>
        </w:tc>
        <w:tc>
          <w:tcPr>
            <w:tcW w:w="1500" w:type="dxa"/>
          </w:tcPr>
          <w:p w:rsidR="00755B8A" w:rsidRDefault="00755B8A" w:rsidP="004135A2">
            <w:pPr>
              <w:pStyle w:val="NoSpacing"/>
              <w:rPr>
                <w:rFonts w:ascii="Arial" w:hAnsi="Arial" w:cs="Arial"/>
              </w:rPr>
            </w:pPr>
            <w:r>
              <w:rPr>
                <w:rFonts w:ascii="Arial" w:hAnsi="Arial" w:cs="Arial"/>
              </w:rPr>
              <w:t xml:space="preserve">24 </w:t>
            </w:r>
            <w:proofErr w:type="spellStart"/>
            <w:r>
              <w:rPr>
                <w:rFonts w:ascii="Arial" w:hAnsi="Arial" w:cs="Arial"/>
              </w:rPr>
              <w:t>hrs</w:t>
            </w:r>
            <w:proofErr w:type="spellEnd"/>
            <w:r>
              <w:rPr>
                <w:rFonts w:ascii="Arial" w:hAnsi="Arial" w:cs="Arial"/>
              </w:rPr>
              <w:t xml:space="preserve"> every 7 days</w:t>
            </w:r>
          </w:p>
        </w:tc>
        <w:tc>
          <w:tcPr>
            <w:tcW w:w="1701" w:type="dxa"/>
          </w:tcPr>
          <w:p w:rsidR="00755B8A" w:rsidRDefault="007D7971" w:rsidP="004135A2">
            <w:pPr>
              <w:pStyle w:val="NoSpacing"/>
              <w:rPr>
                <w:rFonts w:ascii="Arial" w:hAnsi="Arial" w:cs="Arial"/>
              </w:rPr>
            </w:pPr>
            <w:r>
              <w:rPr>
                <w:rFonts w:ascii="Arial" w:hAnsi="Arial" w:cs="Arial"/>
              </w:rPr>
              <w:t xml:space="preserve">24 </w:t>
            </w:r>
            <w:proofErr w:type="spellStart"/>
            <w:r>
              <w:rPr>
                <w:rFonts w:ascii="Arial" w:hAnsi="Arial" w:cs="Arial"/>
              </w:rPr>
              <w:t>hrs</w:t>
            </w:r>
            <w:proofErr w:type="spellEnd"/>
            <w:r>
              <w:rPr>
                <w:rFonts w:ascii="Arial" w:hAnsi="Arial" w:cs="Arial"/>
              </w:rPr>
              <w:t xml:space="preserve"> every 7 days</w:t>
            </w:r>
          </w:p>
        </w:tc>
        <w:tc>
          <w:tcPr>
            <w:tcW w:w="1701" w:type="dxa"/>
          </w:tcPr>
          <w:p w:rsidR="00755B8A" w:rsidRDefault="007D7971" w:rsidP="004135A2">
            <w:pPr>
              <w:pStyle w:val="NoSpacing"/>
              <w:rPr>
                <w:rFonts w:ascii="Arial" w:hAnsi="Arial" w:cs="Arial"/>
              </w:rPr>
            </w:pPr>
            <w:r>
              <w:rPr>
                <w:rFonts w:ascii="Arial" w:hAnsi="Arial" w:cs="Arial"/>
              </w:rPr>
              <w:t xml:space="preserve">24 </w:t>
            </w:r>
            <w:proofErr w:type="spellStart"/>
            <w:r>
              <w:rPr>
                <w:rFonts w:ascii="Arial" w:hAnsi="Arial" w:cs="Arial"/>
              </w:rPr>
              <w:t>hrs</w:t>
            </w:r>
            <w:proofErr w:type="spellEnd"/>
            <w:r>
              <w:rPr>
                <w:rFonts w:ascii="Arial" w:hAnsi="Arial" w:cs="Arial"/>
              </w:rPr>
              <w:t xml:space="preserve"> every 7 days</w:t>
            </w:r>
          </w:p>
        </w:tc>
        <w:tc>
          <w:tcPr>
            <w:tcW w:w="1701" w:type="dxa"/>
          </w:tcPr>
          <w:p w:rsidR="00755B8A" w:rsidRDefault="007D7971" w:rsidP="004135A2">
            <w:pPr>
              <w:pStyle w:val="NoSpacing"/>
              <w:rPr>
                <w:rFonts w:ascii="Arial" w:hAnsi="Arial" w:cs="Arial"/>
              </w:rPr>
            </w:pPr>
            <w:r>
              <w:rPr>
                <w:rFonts w:ascii="Arial" w:hAnsi="Arial" w:cs="Arial"/>
              </w:rPr>
              <w:t xml:space="preserve">24 </w:t>
            </w:r>
            <w:proofErr w:type="spellStart"/>
            <w:r>
              <w:rPr>
                <w:rFonts w:ascii="Arial" w:hAnsi="Arial" w:cs="Arial"/>
              </w:rPr>
              <w:t>hrs</w:t>
            </w:r>
            <w:proofErr w:type="spellEnd"/>
            <w:r>
              <w:rPr>
                <w:rFonts w:ascii="Arial" w:hAnsi="Arial" w:cs="Arial"/>
              </w:rPr>
              <w:t xml:space="preserve"> every 7 days</w:t>
            </w:r>
          </w:p>
        </w:tc>
      </w:tr>
    </w:tbl>
    <w:p w:rsidR="00C1764F" w:rsidRDefault="00C1764F" w:rsidP="00755B8A">
      <w:pPr>
        <w:pStyle w:val="NoSpacing"/>
        <w:rPr>
          <w:rFonts w:ascii="Arial" w:hAnsi="Arial" w:cs="Arial"/>
        </w:rPr>
      </w:pPr>
    </w:p>
    <w:p w:rsidR="00573EF4" w:rsidRDefault="00573EF4" w:rsidP="003E1757">
      <w:pPr>
        <w:pStyle w:val="ListParagraph"/>
        <w:ind w:left="360"/>
        <w:rPr>
          <w:rFonts w:cs="Arial"/>
        </w:rPr>
      </w:pPr>
    </w:p>
    <w:p w:rsidR="003D3CF8" w:rsidRDefault="003D3CF8" w:rsidP="003E1757">
      <w:pPr>
        <w:pStyle w:val="ListParagraph"/>
        <w:ind w:left="360"/>
        <w:rPr>
          <w:rFonts w:cs="Arial"/>
        </w:rPr>
      </w:pPr>
      <w:r>
        <w:rPr>
          <w:rFonts w:cs="Arial"/>
        </w:rPr>
        <w:t>Family Friendly Statutory Rights</w:t>
      </w:r>
    </w:p>
    <w:p w:rsidR="003D3CF8" w:rsidRDefault="003D3CF8" w:rsidP="003E1757">
      <w:pPr>
        <w:pStyle w:val="ListParagraph"/>
        <w:ind w:left="360"/>
        <w:rPr>
          <w:rFonts w:cs="Arial"/>
        </w:rPr>
      </w:pPr>
    </w:p>
    <w:p w:rsidR="00064656" w:rsidRDefault="00573EF4" w:rsidP="003E1757">
      <w:pPr>
        <w:pStyle w:val="ListParagraph"/>
        <w:ind w:left="360"/>
        <w:rPr>
          <w:rFonts w:cs="Arial"/>
        </w:rPr>
      </w:pPr>
      <w:r>
        <w:rPr>
          <w:rFonts w:cs="Arial"/>
        </w:rPr>
        <w:t>There are other statutory rights which focus more on the family friendly employment rights</w:t>
      </w:r>
      <w:r w:rsidR="00064656">
        <w:rPr>
          <w:rFonts w:cs="Arial"/>
        </w:rPr>
        <w:t xml:space="preserve"> which include </w:t>
      </w:r>
      <w:r w:rsidR="00DC6954">
        <w:rPr>
          <w:rFonts w:cs="Arial"/>
        </w:rPr>
        <w:t>Maternity, Paternity, Adoption, Parental and Dependants</w:t>
      </w:r>
      <w:r w:rsidR="00064656">
        <w:rPr>
          <w:rFonts w:cs="Arial"/>
        </w:rPr>
        <w:t xml:space="preserve"> leave.</w:t>
      </w:r>
    </w:p>
    <w:p w:rsidR="00064656" w:rsidRDefault="00064656" w:rsidP="003E1757">
      <w:pPr>
        <w:pStyle w:val="ListParagraph"/>
        <w:ind w:left="360"/>
        <w:rPr>
          <w:rFonts w:cs="Arial"/>
        </w:rPr>
      </w:pPr>
    </w:p>
    <w:p w:rsidR="00064656" w:rsidRDefault="00064656" w:rsidP="003E1757">
      <w:pPr>
        <w:pStyle w:val="ListParagraph"/>
        <w:ind w:left="360"/>
        <w:rPr>
          <w:rFonts w:cs="Arial"/>
        </w:rPr>
      </w:pPr>
      <w:r>
        <w:rPr>
          <w:rFonts w:cs="Arial"/>
        </w:rPr>
        <w:t>Provision is made for women to take time out of work to have children whilst still protecting their position within the company.  Although there is a qualifying period of 26 weeks to receive the full benefit, maternity leave and pay is available to all women.  This allows women to attend anti-natal appointments, protects their unborn baby at work</w:t>
      </w:r>
      <w:r w:rsidR="00B846FC">
        <w:rPr>
          <w:rFonts w:cs="Arial"/>
        </w:rPr>
        <w:t xml:space="preserve"> and provides sufficient time to remain at home following the birth. </w:t>
      </w:r>
    </w:p>
    <w:p w:rsidR="00B846FC" w:rsidRDefault="00B846FC" w:rsidP="003E1757">
      <w:pPr>
        <w:pStyle w:val="ListParagraph"/>
        <w:ind w:left="360"/>
        <w:rPr>
          <w:rFonts w:cs="Arial"/>
        </w:rPr>
      </w:pPr>
    </w:p>
    <w:p w:rsidR="00B846FC" w:rsidRDefault="00B846FC" w:rsidP="003E1757">
      <w:pPr>
        <w:pStyle w:val="ListParagraph"/>
        <w:ind w:left="360"/>
        <w:rPr>
          <w:rFonts w:cs="Arial"/>
        </w:rPr>
      </w:pPr>
      <w:r>
        <w:rPr>
          <w:rFonts w:cs="Arial"/>
        </w:rPr>
        <w:t>Paternity leave also provides for attendance at anti-natal appointments, however, this is limited to 2 appointments and is unpaid.  A husband, partner or father of the baby is allowed to take 2 weeks paid paternity leave following the birth of the baby.</w:t>
      </w:r>
    </w:p>
    <w:p w:rsidR="00B846FC" w:rsidRDefault="00B846FC" w:rsidP="003E1757">
      <w:pPr>
        <w:pStyle w:val="ListParagraph"/>
        <w:ind w:left="360"/>
        <w:rPr>
          <w:rFonts w:cs="Arial"/>
        </w:rPr>
      </w:pPr>
    </w:p>
    <w:p w:rsidR="00B846FC" w:rsidRDefault="00B846FC" w:rsidP="003E1757">
      <w:pPr>
        <w:pStyle w:val="ListParagraph"/>
        <w:ind w:left="360"/>
        <w:rPr>
          <w:rFonts w:cs="Arial"/>
        </w:rPr>
      </w:pPr>
      <w:r>
        <w:rPr>
          <w:rFonts w:cs="Arial"/>
        </w:rPr>
        <w:t xml:space="preserve">Adoption leave mirrors that of maternity leave with the only differences being no qualifying period and pre-adoption appointments being limited to 5. The equivalent of paternity leave remains the same. </w:t>
      </w:r>
    </w:p>
    <w:p w:rsidR="00B846FC" w:rsidRDefault="00B846FC" w:rsidP="003E1757">
      <w:pPr>
        <w:pStyle w:val="ListParagraph"/>
        <w:ind w:left="360"/>
        <w:rPr>
          <w:rFonts w:cs="Arial"/>
        </w:rPr>
      </w:pPr>
    </w:p>
    <w:p w:rsidR="00B846FC" w:rsidRDefault="00B846FC" w:rsidP="003E1757">
      <w:pPr>
        <w:pStyle w:val="ListParagraph"/>
        <w:ind w:left="360"/>
        <w:rPr>
          <w:rFonts w:cs="Arial"/>
        </w:rPr>
      </w:pPr>
      <w:r>
        <w:rPr>
          <w:rFonts w:cs="Arial"/>
        </w:rPr>
        <w:t>With both maternity and adoption leave</w:t>
      </w:r>
      <w:r w:rsidR="00DC6954">
        <w:rPr>
          <w:rFonts w:cs="Arial"/>
        </w:rPr>
        <w:t>, Shared P</w:t>
      </w:r>
      <w:r>
        <w:rPr>
          <w:rFonts w:cs="Arial"/>
        </w:rPr>
        <w:t xml:space="preserve">arental leave allows for the each couple to swap </w:t>
      </w:r>
      <w:r w:rsidR="00DC6954">
        <w:rPr>
          <w:rFonts w:cs="Arial"/>
        </w:rPr>
        <w:t>and therefore share the leave associated with caring for their child, as long as this is continuous.  If a break exists then the employer has a right to refuse.</w:t>
      </w:r>
    </w:p>
    <w:p w:rsidR="00DC6954" w:rsidRDefault="00DC6954" w:rsidP="003E1757">
      <w:pPr>
        <w:pStyle w:val="ListParagraph"/>
        <w:ind w:left="360"/>
        <w:rPr>
          <w:rFonts w:cs="Arial"/>
        </w:rPr>
      </w:pPr>
    </w:p>
    <w:p w:rsidR="00DC6954" w:rsidRDefault="00DC6954" w:rsidP="003E1757">
      <w:pPr>
        <w:pStyle w:val="ListParagraph"/>
        <w:ind w:left="360"/>
        <w:rPr>
          <w:rFonts w:cs="Arial"/>
        </w:rPr>
      </w:pPr>
      <w:r>
        <w:rPr>
          <w:rFonts w:cs="Arial"/>
        </w:rPr>
        <w:t>Parental leave provides for a total of 18 weeks for each child which equates to one week a year per child until their 18</w:t>
      </w:r>
      <w:r w:rsidRPr="00DC6954">
        <w:rPr>
          <w:rFonts w:cs="Arial"/>
          <w:vertAlign w:val="superscript"/>
        </w:rPr>
        <w:t>th</w:t>
      </w:r>
      <w:r>
        <w:rPr>
          <w:rFonts w:cs="Arial"/>
        </w:rPr>
        <w:t xml:space="preserve"> birthday, however, a maximum of 4 weeks each year can be taken.  Suitable notice needs to be given prior to the leave being taken which needs to be specifically used for the purposes of childcare.  Parental leave is unpaid.</w:t>
      </w:r>
    </w:p>
    <w:p w:rsidR="00DC6954" w:rsidRDefault="00DC6954" w:rsidP="003E1757">
      <w:pPr>
        <w:pStyle w:val="ListParagraph"/>
        <w:ind w:left="360"/>
        <w:rPr>
          <w:rFonts w:cs="Arial"/>
        </w:rPr>
      </w:pPr>
    </w:p>
    <w:p w:rsidR="00DC6954" w:rsidRDefault="00DC6954" w:rsidP="003E1757">
      <w:pPr>
        <w:pStyle w:val="ListParagraph"/>
        <w:ind w:left="360"/>
        <w:rPr>
          <w:rFonts w:cs="Arial"/>
        </w:rPr>
      </w:pPr>
      <w:r>
        <w:rPr>
          <w:rFonts w:cs="Arial"/>
        </w:rPr>
        <w:t>The last type of family friendly leave is Dependants leave which is available to deal with issues that arise in relation to a dependant.  A dependant is classified a</w:t>
      </w:r>
      <w:r w:rsidR="00847F2B">
        <w:rPr>
          <w:rFonts w:cs="Arial"/>
        </w:rPr>
        <w:t xml:space="preserve">s a husband, wife, partner, parent, child, or someone living in the same household.  This leave is again unpaid. </w:t>
      </w:r>
    </w:p>
    <w:p w:rsidR="00847F2B" w:rsidRDefault="00847F2B" w:rsidP="003E1757">
      <w:pPr>
        <w:pStyle w:val="ListParagraph"/>
        <w:ind w:left="360"/>
        <w:rPr>
          <w:rFonts w:cs="Arial"/>
        </w:rPr>
      </w:pPr>
    </w:p>
    <w:p w:rsidR="00847F2B" w:rsidRDefault="00847F2B" w:rsidP="003E1757">
      <w:pPr>
        <w:pStyle w:val="ListParagraph"/>
        <w:ind w:left="360"/>
        <w:rPr>
          <w:rFonts w:cs="Arial"/>
        </w:rPr>
      </w:pPr>
      <w:r>
        <w:rPr>
          <w:rFonts w:cs="Arial"/>
        </w:rPr>
        <w:t xml:space="preserve">Further information is provided in the table in </w:t>
      </w:r>
      <w:hyperlink r:id="rId14" w:history="1">
        <w:r w:rsidRPr="00847F2B">
          <w:rPr>
            <w:rStyle w:val="Hyperlink"/>
            <w:rFonts w:cs="Arial"/>
          </w:rPr>
          <w:t>Appendix A</w:t>
        </w:r>
      </w:hyperlink>
    </w:p>
    <w:p w:rsidR="00B846FC" w:rsidRDefault="00B846FC" w:rsidP="003E1757">
      <w:pPr>
        <w:pStyle w:val="ListParagraph"/>
        <w:ind w:left="360"/>
        <w:rPr>
          <w:rFonts w:cs="Arial"/>
        </w:rPr>
      </w:pPr>
    </w:p>
    <w:p w:rsidR="00064656" w:rsidRDefault="002C22D7" w:rsidP="003E1757">
      <w:pPr>
        <w:pStyle w:val="ListParagraph"/>
        <w:ind w:left="360"/>
        <w:rPr>
          <w:rFonts w:cs="Arial"/>
        </w:rPr>
      </w:pPr>
      <w:r>
        <w:rPr>
          <w:rFonts w:cs="Arial"/>
        </w:rPr>
        <w:t>Health and Safety Law</w:t>
      </w:r>
    </w:p>
    <w:p w:rsidR="002C22D7" w:rsidRDefault="002C22D7" w:rsidP="003E1757">
      <w:pPr>
        <w:pStyle w:val="ListParagraph"/>
        <w:ind w:left="360"/>
        <w:rPr>
          <w:rFonts w:cs="Arial"/>
        </w:rPr>
      </w:pPr>
    </w:p>
    <w:p w:rsidR="002C22D7" w:rsidRDefault="00456017" w:rsidP="003E1757">
      <w:pPr>
        <w:pStyle w:val="ListParagraph"/>
        <w:ind w:left="360"/>
        <w:rPr>
          <w:rFonts w:cs="Arial"/>
        </w:rPr>
      </w:pPr>
      <w:proofErr w:type="gramStart"/>
      <w:r>
        <w:rPr>
          <w:rFonts w:cs="Arial"/>
        </w:rPr>
        <w:t xml:space="preserve">The Health and </w:t>
      </w:r>
      <w:proofErr w:type="spellStart"/>
      <w:r>
        <w:rPr>
          <w:rFonts w:cs="Arial"/>
        </w:rPr>
        <w:t>Safey</w:t>
      </w:r>
      <w:proofErr w:type="spellEnd"/>
      <w:r>
        <w:rPr>
          <w:rFonts w:cs="Arial"/>
        </w:rPr>
        <w:t xml:space="preserve"> at Work Act (HASAWA) 1974 sets out the responsibilities of both employer and employee and the various forms of enforcement.</w:t>
      </w:r>
      <w:proofErr w:type="gramEnd"/>
    </w:p>
    <w:p w:rsidR="00456017" w:rsidRDefault="00456017" w:rsidP="003E1757">
      <w:pPr>
        <w:pStyle w:val="ListParagraph"/>
        <w:ind w:left="360"/>
        <w:rPr>
          <w:rFonts w:cs="Arial"/>
        </w:rPr>
      </w:pPr>
    </w:p>
    <w:p w:rsidR="00456017" w:rsidRDefault="00456017" w:rsidP="003E1757">
      <w:pPr>
        <w:pStyle w:val="ListParagraph"/>
        <w:ind w:left="360"/>
        <w:rPr>
          <w:rFonts w:cs="Arial"/>
        </w:rPr>
      </w:pPr>
      <w:r>
        <w:rPr>
          <w:rFonts w:cs="Arial"/>
        </w:rPr>
        <w:t xml:space="preserve">Responsibilities of the employer include ensuring that all plant and equipment is safe to use and the premises in which the employees work is a safe environment, along with </w:t>
      </w:r>
      <w:r w:rsidR="00A0073C">
        <w:rPr>
          <w:rFonts w:cs="Arial"/>
        </w:rPr>
        <w:t>competency of fellow employees to work in a safe way.</w:t>
      </w:r>
    </w:p>
    <w:p w:rsidR="00A0073C" w:rsidRDefault="00A0073C" w:rsidP="003E1757">
      <w:pPr>
        <w:pStyle w:val="ListParagraph"/>
        <w:ind w:left="360"/>
        <w:rPr>
          <w:rFonts w:cs="Arial"/>
        </w:rPr>
      </w:pPr>
    </w:p>
    <w:p w:rsidR="00A0073C" w:rsidRDefault="00A0073C" w:rsidP="003E1757">
      <w:pPr>
        <w:pStyle w:val="ListParagraph"/>
        <w:ind w:left="360"/>
        <w:rPr>
          <w:rFonts w:cs="Arial"/>
        </w:rPr>
      </w:pPr>
      <w:r>
        <w:rPr>
          <w:rFonts w:cs="Arial"/>
        </w:rPr>
        <w:t xml:space="preserve">There are also responsibilities for the employee which is captured within Section 7 of the HASAWA which </w:t>
      </w:r>
      <w:proofErr w:type="gramStart"/>
      <w:r>
        <w:rPr>
          <w:rFonts w:cs="Arial"/>
        </w:rPr>
        <w:t>‘requires  employees</w:t>
      </w:r>
      <w:proofErr w:type="gramEnd"/>
      <w:r>
        <w:rPr>
          <w:rFonts w:cs="Arial"/>
        </w:rPr>
        <w:t xml:space="preserve"> to take reasonable care for the health and safety of themselves and others’ and to engage with the employer to ensure that the health and safety requirements are met.</w:t>
      </w:r>
    </w:p>
    <w:p w:rsidR="00A0073C" w:rsidRDefault="00A0073C" w:rsidP="003E1757">
      <w:pPr>
        <w:pStyle w:val="ListParagraph"/>
        <w:ind w:left="360"/>
        <w:rPr>
          <w:rFonts w:cs="Arial"/>
        </w:rPr>
      </w:pPr>
    </w:p>
    <w:p w:rsidR="00A0073C" w:rsidRDefault="00A0073C" w:rsidP="003E1757">
      <w:pPr>
        <w:pStyle w:val="ListParagraph"/>
        <w:ind w:left="360"/>
        <w:rPr>
          <w:rFonts w:cs="Arial"/>
        </w:rPr>
      </w:pPr>
      <w:r>
        <w:rPr>
          <w:rFonts w:cs="Arial"/>
        </w:rPr>
        <w:t>An employer also has a duty of care to protect the health of their employees, especially in terms of trying to reduce the level of work-related stress, parti</w:t>
      </w:r>
      <w:r w:rsidR="009A562C">
        <w:rPr>
          <w:rFonts w:cs="Arial"/>
        </w:rPr>
        <w:t xml:space="preserve">cularly if this is foreseeable as failing to act is likely to lead to negligence should anything happen to the employee’s state of health as proven in the case of Sutherland v Hatton and other cases (2002) </w:t>
      </w:r>
      <w:r w:rsidR="006007E8">
        <w:rPr>
          <w:rFonts w:cs="Arial"/>
        </w:rPr>
        <w:t>, upheld, when it was overturned in the House of Lords (2004) as Barber, a teacher, had given his employer sufficient indication that he was struggling.  He was awarded over £101,000.</w:t>
      </w:r>
      <w:r w:rsidR="006610F5">
        <w:rPr>
          <w:rFonts w:cs="Arial"/>
        </w:rPr>
        <w:t xml:space="preserve"> (Barber v Somerset County Council [2004]</w:t>
      </w:r>
      <w:r w:rsidR="000E65A6">
        <w:rPr>
          <w:rFonts w:cs="Arial"/>
        </w:rPr>
        <w:t>, upheld)</w:t>
      </w:r>
      <w:r w:rsidR="00527D14">
        <w:rPr>
          <w:rFonts w:cs="Arial"/>
        </w:rPr>
        <w:t>.</w:t>
      </w:r>
    </w:p>
    <w:p w:rsidR="00527D14" w:rsidRDefault="00527D14" w:rsidP="003E1757">
      <w:pPr>
        <w:pStyle w:val="ListParagraph"/>
        <w:ind w:left="360"/>
        <w:rPr>
          <w:rFonts w:cs="Arial"/>
        </w:rPr>
      </w:pPr>
    </w:p>
    <w:p w:rsidR="00F748CA" w:rsidRDefault="00527D14" w:rsidP="00C65D09">
      <w:pPr>
        <w:pStyle w:val="ListParagraph"/>
        <w:ind w:left="360"/>
        <w:rPr>
          <w:rFonts w:cs="Arial"/>
        </w:rPr>
      </w:pPr>
      <w:r>
        <w:rPr>
          <w:rFonts w:cs="Arial"/>
        </w:rPr>
        <w:t>Breaches of HASAWA can result in criminal act</w:t>
      </w:r>
      <w:r w:rsidR="0099118F">
        <w:rPr>
          <w:rFonts w:cs="Arial"/>
        </w:rPr>
        <w:t>i</w:t>
      </w:r>
      <w:r>
        <w:rPr>
          <w:rFonts w:cs="Arial"/>
        </w:rPr>
        <w:t>on being taken which could lead to a fine or imprisonment</w:t>
      </w:r>
      <w:r w:rsidR="0099118F">
        <w:rPr>
          <w:rFonts w:cs="Arial"/>
        </w:rPr>
        <w:t xml:space="preserve"> with corporate manslaughter (introduced in 2008) being brought against individuals within management. </w:t>
      </w:r>
    </w:p>
    <w:p w:rsidR="00C65D09" w:rsidRDefault="00C65D09" w:rsidP="00C65D09">
      <w:pPr>
        <w:pStyle w:val="ListParagraph"/>
        <w:ind w:left="360"/>
        <w:rPr>
          <w:rFonts w:cs="Arial"/>
        </w:rPr>
      </w:pPr>
    </w:p>
    <w:p w:rsidR="00C65D09" w:rsidRDefault="00C65D09" w:rsidP="00C65D09">
      <w:pPr>
        <w:pStyle w:val="ListParagraph"/>
        <w:ind w:left="360"/>
        <w:rPr>
          <w:rFonts w:cs="Arial"/>
        </w:rPr>
      </w:pPr>
      <w:r>
        <w:rPr>
          <w:rFonts w:cs="Arial"/>
        </w:rPr>
        <w:t>Equality and Diversity</w:t>
      </w:r>
    </w:p>
    <w:p w:rsidR="006827CD" w:rsidRDefault="006827CD" w:rsidP="00C65D09">
      <w:pPr>
        <w:pStyle w:val="ListParagraph"/>
        <w:ind w:left="360"/>
        <w:rPr>
          <w:rFonts w:cs="Arial"/>
        </w:rPr>
      </w:pPr>
    </w:p>
    <w:p w:rsidR="006827CD" w:rsidRDefault="006827CD" w:rsidP="00C65D09">
      <w:pPr>
        <w:pStyle w:val="ListParagraph"/>
        <w:ind w:left="360"/>
        <w:rPr>
          <w:rFonts w:cs="Arial"/>
        </w:rPr>
      </w:pPr>
      <w:r>
        <w:rPr>
          <w:rFonts w:cs="Arial"/>
        </w:rPr>
        <w:t>The key legislation that supports equality and diversity in the workplace is the Equality Act 2010 which brought together 9 major pieces of legislation, such as the Sex Discrimination Act 1975 and the Race Relations Act 1976 and more than100 pieces of smaller legislation</w:t>
      </w:r>
      <w:r w:rsidR="00023551">
        <w:rPr>
          <w:rFonts w:cs="Arial"/>
        </w:rPr>
        <w:t xml:space="preserve"> which has made discrimination legislation much more straightforward than before.</w:t>
      </w:r>
    </w:p>
    <w:p w:rsidR="00023551" w:rsidRDefault="00023551" w:rsidP="00C65D09">
      <w:pPr>
        <w:pStyle w:val="ListParagraph"/>
        <w:ind w:left="360"/>
        <w:rPr>
          <w:rFonts w:cs="Arial"/>
        </w:rPr>
      </w:pPr>
    </w:p>
    <w:p w:rsidR="00023551" w:rsidRDefault="00023551" w:rsidP="00C65D09">
      <w:pPr>
        <w:pStyle w:val="ListParagraph"/>
        <w:ind w:left="360"/>
        <w:rPr>
          <w:rFonts w:cs="Arial"/>
        </w:rPr>
      </w:pPr>
      <w:r>
        <w:rPr>
          <w:rFonts w:cs="Arial"/>
        </w:rPr>
        <w:t xml:space="preserve">This Act provides protection for employees, workers, job applicants and former employees against discrimination from any of the 9 protected characteristics which have been listed in the Recruitment section of this paper. </w:t>
      </w:r>
    </w:p>
    <w:p w:rsidR="00F2661C" w:rsidRDefault="00F2661C" w:rsidP="00C65D09">
      <w:pPr>
        <w:pStyle w:val="ListParagraph"/>
        <w:ind w:left="360"/>
        <w:rPr>
          <w:rFonts w:cs="Arial"/>
        </w:rPr>
      </w:pPr>
    </w:p>
    <w:p w:rsidR="00F2661C" w:rsidRDefault="00F2661C" w:rsidP="00C65D09">
      <w:pPr>
        <w:pStyle w:val="ListParagraph"/>
        <w:ind w:left="360"/>
        <w:rPr>
          <w:rFonts w:cs="Arial"/>
        </w:rPr>
      </w:pPr>
      <w:r>
        <w:rPr>
          <w:rFonts w:cs="Arial"/>
        </w:rPr>
        <w:t xml:space="preserve">The types of discrimination was also outlined, however, this focused on the types likely to be encountered in the recruitment process.  The full </w:t>
      </w:r>
      <w:proofErr w:type="gramStart"/>
      <w:r>
        <w:rPr>
          <w:rFonts w:cs="Arial"/>
        </w:rPr>
        <w:t>list of types are</w:t>
      </w:r>
      <w:proofErr w:type="gramEnd"/>
      <w:r>
        <w:rPr>
          <w:rFonts w:cs="Arial"/>
        </w:rPr>
        <w:t xml:space="preserve"> therefore listed below:</w:t>
      </w:r>
    </w:p>
    <w:p w:rsidR="00F2661C" w:rsidRDefault="00F2661C" w:rsidP="00C65D09">
      <w:pPr>
        <w:pStyle w:val="ListParagraph"/>
        <w:ind w:left="360"/>
        <w:rPr>
          <w:rFonts w:cs="Arial"/>
        </w:rPr>
      </w:pPr>
    </w:p>
    <w:p w:rsidR="00F2661C" w:rsidRPr="00F2661C" w:rsidRDefault="00F2661C" w:rsidP="00F2661C">
      <w:pPr>
        <w:pStyle w:val="ListParagraph"/>
        <w:numPr>
          <w:ilvl w:val="0"/>
          <w:numId w:val="9"/>
        </w:numPr>
        <w:rPr>
          <w:rFonts w:cs="Arial"/>
        </w:rPr>
      </w:pPr>
      <w:r>
        <w:rPr>
          <w:rFonts w:cs="Arial"/>
        </w:rPr>
        <w:t>Direct discrimination – being treated less favourably than someone else</w:t>
      </w:r>
    </w:p>
    <w:p w:rsidR="00F2661C" w:rsidRPr="00F2661C" w:rsidRDefault="00F2661C" w:rsidP="00F2661C">
      <w:pPr>
        <w:pStyle w:val="ListParagraph"/>
        <w:numPr>
          <w:ilvl w:val="0"/>
          <w:numId w:val="9"/>
        </w:numPr>
        <w:rPr>
          <w:rFonts w:cs="Arial"/>
        </w:rPr>
      </w:pPr>
      <w:r>
        <w:rPr>
          <w:rFonts w:cs="Arial"/>
        </w:rPr>
        <w:t>Associative</w:t>
      </w:r>
      <w:r w:rsidR="00C23BC3">
        <w:rPr>
          <w:rFonts w:cs="Arial"/>
        </w:rPr>
        <w:t xml:space="preserve"> discrimination</w:t>
      </w:r>
      <w:r>
        <w:rPr>
          <w:rFonts w:cs="Arial"/>
        </w:rPr>
        <w:t xml:space="preserve"> – being treated less favourably because of the association with someone who has a protected characteristic</w:t>
      </w:r>
    </w:p>
    <w:p w:rsidR="00F2661C" w:rsidRDefault="00C23BC3" w:rsidP="00F2661C">
      <w:pPr>
        <w:pStyle w:val="ListParagraph"/>
        <w:numPr>
          <w:ilvl w:val="0"/>
          <w:numId w:val="9"/>
        </w:numPr>
        <w:rPr>
          <w:rFonts w:cs="Arial"/>
        </w:rPr>
      </w:pPr>
      <w:r>
        <w:rPr>
          <w:rFonts w:cs="Arial"/>
        </w:rPr>
        <w:t>Perceptive discrimination – being treated less favourably due to a perception that they have a protected characteristic</w:t>
      </w:r>
    </w:p>
    <w:p w:rsidR="00F2661C" w:rsidRDefault="00F2661C" w:rsidP="00F2661C">
      <w:pPr>
        <w:pStyle w:val="ListParagraph"/>
        <w:numPr>
          <w:ilvl w:val="0"/>
          <w:numId w:val="9"/>
        </w:numPr>
        <w:rPr>
          <w:rFonts w:cs="Arial"/>
        </w:rPr>
      </w:pPr>
      <w:r>
        <w:rPr>
          <w:rFonts w:cs="Arial"/>
        </w:rPr>
        <w:t>Indirect discrimination</w:t>
      </w:r>
      <w:r w:rsidR="00C23BC3">
        <w:rPr>
          <w:rFonts w:cs="Arial"/>
        </w:rPr>
        <w:t xml:space="preserve"> – a provision, criterion or practice (PCP) puts an individual/group at a disadvantage and cannot show proportionality to achieve a legitimate aim</w:t>
      </w:r>
    </w:p>
    <w:p w:rsidR="00F2661C" w:rsidRDefault="00F2661C" w:rsidP="00F2661C">
      <w:pPr>
        <w:pStyle w:val="ListParagraph"/>
        <w:numPr>
          <w:ilvl w:val="0"/>
          <w:numId w:val="9"/>
        </w:numPr>
        <w:rPr>
          <w:rFonts w:cs="Arial"/>
        </w:rPr>
      </w:pPr>
      <w:r>
        <w:rPr>
          <w:rFonts w:cs="Arial"/>
        </w:rPr>
        <w:lastRenderedPageBreak/>
        <w:t>Harassment</w:t>
      </w:r>
      <w:r w:rsidR="00C23BC3">
        <w:rPr>
          <w:rFonts w:cs="Arial"/>
        </w:rPr>
        <w:t xml:space="preserve"> – unwanted conducted related to a protected characteristic which violates the individual’s dignity or creates an unpleasant environment</w:t>
      </w:r>
    </w:p>
    <w:p w:rsidR="00F2661C" w:rsidRDefault="00F2661C" w:rsidP="00F2661C">
      <w:pPr>
        <w:pStyle w:val="ListParagraph"/>
        <w:numPr>
          <w:ilvl w:val="0"/>
          <w:numId w:val="9"/>
        </w:numPr>
        <w:rPr>
          <w:rFonts w:cs="Arial"/>
        </w:rPr>
      </w:pPr>
      <w:r>
        <w:rPr>
          <w:rFonts w:cs="Arial"/>
        </w:rPr>
        <w:t>Victimisation</w:t>
      </w:r>
      <w:r w:rsidR="00C23BC3">
        <w:rPr>
          <w:rFonts w:cs="Arial"/>
        </w:rPr>
        <w:t xml:space="preserve"> – being treated unfairly because you made a complaint or have thought you had made a complaint related to a protected characteristic</w:t>
      </w:r>
    </w:p>
    <w:p w:rsidR="00F2661C" w:rsidRDefault="00F2661C" w:rsidP="00F2661C">
      <w:pPr>
        <w:pStyle w:val="ListParagraph"/>
        <w:numPr>
          <w:ilvl w:val="0"/>
          <w:numId w:val="9"/>
        </w:numPr>
        <w:rPr>
          <w:rFonts w:cs="Arial"/>
        </w:rPr>
      </w:pPr>
      <w:r>
        <w:rPr>
          <w:rFonts w:cs="Arial"/>
        </w:rPr>
        <w:t>Discrimination arising from disability</w:t>
      </w:r>
      <w:r w:rsidR="007C063C">
        <w:rPr>
          <w:rFonts w:cs="Arial"/>
        </w:rPr>
        <w:t xml:space="preserve"> – being treated unfairly because of something that has occurred as a consequence of their disability</w:t>
      </w:r>
    </w:p>
    <w:p w:rsidR="00F2661C" w:rsidRDefault="00F2661C" w:rsidP="007C063C">
      <w:pPr>
        <w:pStyle w:val="ListParagraph"/>
        <w:numPr>
          <w:ilvl w:val="0"/>
          <w:numId w:val="9"/>
        </w:numPr>
        <w:rPr>
          <w:rFonts w:cs="Arial"/>
        </w:rPr>
      </w:pPr>
      <w:r>
        <w:rPr>
          <w:rFonts w:cs="Arial"/>
        </w:rPr>
        <w:t>Failure to make reasonable adjustments</w:t>
      </w:r>
      <w:r w:rsidR="007C063C">
        <w:rPr>
          <w:rFonts w:cs="Arial"/>
        </w:rPr>
        <w:t xml:space="preserve"> – where a PCP puts a disabled person at a distinct disadvantage</w:t>
      </w:r>
    </w:p>
    <w:p w:rsidR="007C063C" w:rsidRPr="007C063C" w:rsidRDefault="007C063C" w:rsidP="007C063C">
      <w:pPr>
        <w:pStyle w:val="ListParagraph"/>
        <w:ind w:left="1080"/>
        <w:rPr>
          <w:rFonts w:cs="Arial"/>
        </w:rPr>
      </w:pPr>
    </w:p>
    <w:p w:rsidR="00501466" w:rsidRDefault="00501466" w:rsidP="00C65D09">
      <w:pPr>
        <w:pStyle w:val="ListParagraph"/>
        <w:ind w:left="360"/>
        <w:rPr>
          <w:rFonts w:cs="Arial"/>
        </w:rPr>
      </w:pPr>
    </w:p>
    <w:p w:rsidR="00501466" w:rsidRDefault="00501466" w:rsidP="00C65D09">
      <w:pPr>
        <w:pStyle w:val="ListParagraph"/>
        <w:ind w:left="360"/>
        <w:rPr>
          <w:rFonts w:cs="Arial"/>
        </w:rPr>
      </w:pPr>
      <w:r>
        <w:rPr>
          <w:rFonts w:cs="Arial"/>
        </w:rPr>
        <w:t>Implied Duties</w:t>
      </w:r>
    </w:p>
    <w:p w:rsidR="00501466" w:rsidRDefault="00501466" w:rsidP="00C65D09">
      <w:pPr>
        <w:pStyle w:val="ListParagraph"/>
        <w:ind w:left="360"/>
        <w:rPr>
          <w:rFonts w:cs="Arial"/>
        </w:rPr>
      </w:pPr>
    </w:p>
    <w:p w:rsidR="00501466" w:rsidRDefault="00501466" w:rsidP="00C65D09">
      <w:pPr>
        <w:pStyle w:val="ListParagraph"/>
        <w:ind w:left="360"/>
        <w:rPr>
          <w:rFonts w:cs="Arial"/>
        </w:rPr>
      </w:pPr>
      <w:r>
        <w:rPr>
          <w:rFonts w:cs="Arial"/>
        </w:rPr>
        <w:t>The concept of implied duties in relation to the management of employees at work involves standards of practice that can be expected from any employer and include the most obvious of paying a wage, providing work and taking care when providing a reference to ensure all the information is correct.  This also includes taking reasonable care for the health and safety of employees</w:t>
      </w:r>
      <w:r w:rsidR="00384E89">
        <w:rPr>
          <w:rFonts w:cs="Arial"/>
        </w:rPr>
        <w:t>,</w:t>
      </w:r>
      <w:r>
        <w:rPr>
          <w:rFonts w:cs="Arial"/>
        </w:rPr>
        <w:t xml:space="preserve"> as</w:t>
      </w:r>
      <w:r w:rsidR="00384E89">
        <w:rPr>
          <w:rFonts w:cs="Arial"/>
        </w:rPr>
        <w:t xml:space="preserve"> previously</w:t>
      </w:r>
      <w:r>
        <w:rPr>
          <w:rFonts w:cs="Arial"/>
        </w:rPr>
        <w:t xml:space="preserve"> stated above</w:t>
      </w:r>
      <w:r w:rsidR="00384E89">
        <w:rPr>
          <w:rFonts w:cs="Arial"/>
        </w:rPr>
        <w:t xml:space="preserve">, and to take care to prevent damage to the relationship of trust and confidence between the employer and employee by respecting the privacy of the employee, and dealing with reports of bullying and grievances in an efficient manner.  </w:t>
      </w:r>
    </w:p>
    <w:p w:rsidR="00384E89" w:rsidRDefault="00384E89" w:rsidP="00C65D09">
      <w:pPr>
        <w:pStyle w:val="ListParagraph"/>
        <w:ind w:left="360"/>
        <w:rPr>
          <w:rFonts w:cs="Arial"/>
        </w:rPr>
      </w:pPr>
    </w:p>
    <w:p w:rsidR="00384E89" w:rsidRDefault="00384E89" w:rsidP="00C65D09">
      <w:pPr>
        <w:pStyle w:val="ListParagraph"/>
        <w:ind w:left="360"/>
        <w:rPr>
          <w:rFonts w:cs="Arial"/>
        </w:rPr>
      </w:pPr>
      <w:r>
        <w:rPr>
          <w:rFonts w:cs="Arial"/>
        </w:rPr>
        <w:t>There are also responsibilities on the employee, outside of the terms of their written contract, which the employer</w:t>
      </w:r>
      <w:r w:rsidR="009A0971">
        <w:rPr>
          <w:rFonts w:cs="Arial"/>
        </w:rPr>
        <w:t xml:space="preserve"> would expect from each employee</w:t>
      </w:r>
      <w:r>
        <w:rPr>
          <w:rFonts w:cs="Arial"/>
        </w:rPr>
        <w:t xml:space="preserve">.  These would include things such as obeying and co-operating with their employer whilst carrying out their duties to the best of their abilities with </w:t>
      </w:r>
      <w:r w:rsidR="009A0971">
        <w:rPr>
          <w:rFonts w:cs="Arial"/>
        </w:rPr>
        <w:t xml:space="preserve">care and attention and remaining loyal to the employer which helps to support the relationship of trust and confidence.  </w:t>
      </w:r>
      <w:r>
        <w:rPr>
          <w:rFonts w:cs="Arial"/>
        </w:rPr>
        <w:t xml:space="preserve"> </w:t>
      </w:r>
    </w:p>
    <w:p w:rsidR="004F6EAC" w:rsidRDefault="004F6EAC" w:rsidP="00C65D09">
      <w:pPr>
        <w:pStyle w:val="ListParagraph"/>
        <w:ind w:left="360"/>
        <w:rPr>
          <w:rFonts w:cs="Arial"/>
        </w:rPr>
      </w:pPr>
    </w:p>
    <w:p w:rsidR="0017588A" w:rsidRDefault="0017588A" w:rsidP="00C65D09">
      <w:pPr>
        <w:pStyle w:val="ListParagraph"/>
        <w:ind w:left="360"/>
        <w:rPr>
          <w:rFonts w:cs="Arial"/>
        </w:rPr>
      </w:pPr>
    </w:p>
    <w:p w:rsidR="004F6EAC" w:rsidRDefault="0017588A" w:rsidP="00C65D09">
      <w:pPr>
        <w:pStyle w:val="ListParagraph"/>
        <w:ind w:left="360"/>
        <w:rPr>
          <w:rFonts w:cs="Arial"/>
        </w:rPr>
      </w:pPr>
      <w:r>
        <w:rPr>
          <w:rFonts w:cs="Arial"/>
        </w:rPr>
        <w:t>Unfair Dismissal</w:t>
      </w:r>
    </w:p>
    <w:p w:rsidR="0017588A" w:rsidRDefault="0017588A" w:rsidP="00C65D09">
      <w:pPr>
        <w:pStyle w:val="ListParagraph"/>
        <w:ind w:left="360"/>
        <w:rPr>
          <w:rFonts w:cs="Arial"/>
        </w:rPr>
      </w:pPr>
    </w:p>
    <w:p w:rsidR="004E5D8A" w:rsidRDefault="004E5D8A" w:rsidP="00C65D09">
      <w:pPr>
        <w:pStyle w:val="ListParagraph"/>
        <w:ind w:left="360"/>
        <w:rPr>
          <w:rFonts w:cs="Arial"/>
        </w:rPr>
      </w:pPr>
      <w:r>
        <w:rPr>
          <w:rFonts w:cs="Arial"/>
        </w:rPr>
        <w:t>The Employment Rights Act 1996 Section 94 provides the protection for employees not to be unfairly dismissed.  Although there are potentially 5 reasons where an employee can be fairly dismissed (capability, conduct, redundancy, statutory ban and some other substantial reason) will look in greater detail at the following:</w:t>
      </w:r>
    </w:p>
    <w:p w:rsidR="004E5D8A" w:rsidRDefault="004E5D8A" w:rsidP="00C65D09">
      <w:pPr>
        <w:pStyle w:val="ListParagraph"/>
        <w:ind w:left="360"/>
        <w:rPr>
          <w:rFonts w:cs="Arial"/>
        </w:rPr>
      </w:pPr>
    </w:p>
    <w:p w:rsidR="0017588A" w:rsidRDefault="0017588A" w:rsidP="00C65D09">
      <w:pPr>
        <w:pStyle w:val="ListParagraph"/>
        <w:ind w:left="360"/>
        <w:rPr>
          <w:rFonts w:cs="Arial"/>
        </w:rPr>
      </w:pPr>
      <w:r>
        <w:rPr>
          <w:rFonts w:cs="Arial"/>
        </w:rPr>
        <w:t>Capability</w:t>
      </w:r>
    </w:p>
    <w:p w:rsidR="0017588A" w:rsidRDefault="0017588A" w:rsidP="00C65D09">
      <w:pPr>
        <w:pStyle w:val="ListParagraph"/>
        <w:ind w:left="360"/>
        <w:rPr>
          <w:rFonts w:cs="Arial"/>
        </w:rPr>
      </w:pPr>
    </w:p>
    <w:p w:rsidR="00E11754" w:rsidRDefault="00156EBE" w:rsidP="00C65D09">
      <w:pPr>
        <w:pStyle w:val="ListParagraph"/>
        <w:ind w:left="360"/>
        <w:rPr>
          <w:rFonts w:cs="Arial"/>
        </w:rPr>
      </w:pPr>
      <w:r>
        <w:rPr>
          <w:rFonts w:cs="Arial"/>
        </w:rPr>
        <w:t xml:space="preserve">Capability or qualification is described as ‘a skill, aptitude, health or any other physical or mental quality’ (Great Britain. </w:t>
      </w:r>
      <w:r>
        <w:rPr>
          <w:rFonts w:cs="Arial"/>
          <w:i/>
        </w:rPr>
        <w:t>The Employment Rights Act 1996)</w:t>
      </w:r>
      <w:r w:rsidR="00D35601">
        <w:rPr>
          <w:rFonts w:cs="Arial"/>
          <w:i/>
        </w:rPr>
        <w:t xml:space="preserve"> </w:t>
      </w:r>
      <w:r w:rsidR="00D35601">
        <w:rPr>
          <w:rFonts w:cs="Arial"/>
        </w:rPr>
        <w:t>Qualification</w:t>
      </w:r>
      <w:r w:rsidR="00E11754">
        <w:rPr>
          <w:rFonts w:cs="Arial"/>
        </w:rPr>
        <w:t>s</w:t>
      </w:r>
      <w:r w:rsidR="00D35601">
        <w:rPr>
          <w:rFonts w:cs="Arial"/>
        </w:rPr>
        <w:t xml:space="preserve"> are considered academic, technical or professional which are relevan</w:t>
      </w:r>
      <w:r w:rsidR="00E11754">
        <w:rPr>
          <w:rFonts w:cs="Arial"/>
        </w:rPr>
        <w:t xml:space="preserve">t to the post in which the individual is employed.  It is the employer’s responsibility to ensure the employee understands the requirement of the </w:t>
      </w:r>
      <w:proofErr w:type="gramStart"/>
      <w:r w:rsidR="00E11754">
        <w:rPr>
          <w:rFonts w:cs="Arial"/>
        </w:rPr>
        <w:t>job,</w:t>
      </w:r>
      <w:proofErr w:type="gramEnd"/>
      <w:r w:rsidR="00E11754">
        <w:rPr>
          <w:rFonts w:cs="Arial"/>
        </w:rPr>
        <w:t xml:space="preserve"> identifies any training needs and highlights the likely action required if the employee fails to meet the standard set.</w:t>
      </w:r>
    </w:p>
    <w:p w:rsidR="00E11754" w:rsidRDefault="00E11754" w:rsidP="00C65D09">
      <w:pPr>
        <w:pStyle w:val="ListParagraph"/>
        <w:ind w:left="360"/>
        <w:rPr>
          <w:rFonts w:cs="Arial"/>
        </w:rPr>
      </w:pPr>
    </w:p>
    <w:p w:rsidR="00E50F82" w:rsidRDefault="00E11754" w:rsidP="00C65D09">
      <w:pPr>
        <w:pStyle w:val="ListParagraph"/>
        <w:ind w:left="360"/>
        <w:rPr>
          <w:rFonts w:cs="Arial"/>
        </w:rPr>
      </w:pPr>
      <w:r>
        <w:rPr>
          <w:rFonts w:cs="Arial"/>
        </w:rPr>
        <w:t xml:space="preserve">If the employee fails to meet the standard, the employer has a responsibility to ensure the individual is provided with as much support as possible to bring them up to the level required before any disciplinary action is considered.  </w:t>
      </w:r>
    </w:p>
    <w:p w:rsidR="00E50F82" w:rsidRDefault="00E50F82" w:rsidP="00C65D09">
      <w:pPr>
        <w:pStyle w:val="ListParagraph"/>
        <w:ind w:left="360"/>
        <w:rPr>
          <w:rFonts w:cs="Arial"/>
        </w:rPr>
      </w:pPr>
    </w:p>
    <w:p w:rsidR="0017588A" w:rsidRDefault="00E50F82" w:rsidP="00C65D09">
      <w:pPr>
        <w:pStyle w:val="ListParagraph"/>
        <w:ind w:left="360"/>
        <w:rPr>
          <w:rFonts w:cs="Arial"/>
        </w:rPr>
      </w:pPr>
      <w:r>
        <w:rPr>
          <w:rFonts w:cs="Arial"/>
        </w:rPr>
        <w:t>If a question over capability arises due to ill health, consideration must be given to the nature of the illness, the length of absence and the likely impact that this would have on the organisation</w:t>
      </w:r>
      <w:r w:rsidR="000E65A6">
        <w:rPr>
          <w:rFonts w:cs="Arial"/>
        </w:rPr>
        <w:t>. Fortunately a number of factors have been provided following a case for dismissal on the grounds of long- term sickness (</w:t>
      </w:r>
      <w:r>
        <w:rPr>
          <w:rStyle w:val="Emphasis"/>
          <w:rFonts w:cs="Arial"/>
          <w:color w:val="000000"/>
          <w:bdr w:val="none" w:sz="0" w:space="0" w:color="auto" w:frame="1"/>
          <w:shd w:val="clear" w:color="auto" w:fill="FFFFFF"/>
        </w:rPr>
        <w:t>BS v Dunde</w:t>
      </w:r>
      <w:r w:rsidR="000E65A6">
        <w:rPr>
          <w:rStyle w:val="Emphasis"/>
          <w:rFonts w:cs="Arial"/>
          <w:color w:val="000000"/>
          <w:bdr w:val="none" w:sz="0" w:space="0" w:color="auto" w:frame="1"/>
          <w:shd w:val="clear" w:color="auto" w:fill="FFFFFF"/>
        </w:rPr>
        <w:t xml:space="preserve">e City Council [2013]. </w:t>
      </w:r>
      <w:r w:rsidR="000E65A6">
        <w:rPr>
          <w:rStyle w:val="Emphasis"/>
          <w:rFonts w:cs="Arial"/>
          <w:i w:val="0"/>
          <w:color w:val="000000"/>
          <w:bdr w:val="none" w:sz="0" w:space="0" w:color="auto" w:frame="1"/>
          <w:shd w:val="clear" w:color="auto" w:fill="FFFFFF"/>
        </w:rPr>
        <w:t>upheld</w:t>
      </w:r>
      <w:r w:rsidR="000E65A6">
        <w:rPr>
          <w:rStyle w:val="Emphasis"/>
          <w:rFonts w:cs="Arial"/>
          <w:color w:val="000000"/>
          <w:bdr w:val="none" w:sz="0" w:space="0" w:color="auto" w:frame="1"/>
          <w:shd w:val="clear" w:color="auto" w:fill="FFFFFF"/>
        </w:rPr>
        <w:t>)</w:t>
      </w:r>
      <w:r w:rsidR="00D35601">
        <w:rPr>
          <w:rFonts w:cs="Arial"/>
        </w:rPr>
        <w:t xml:space="preserve"> </w:t>
      </w:r>
      <w:r w:rsidR="000E65A6">
        <w:rPr>
          <w:rFonts w:cs="Arial"/>
        </w:rPr>
        <w:t>to ensure the dismissal is fair.  These are:</w:t>
      </w:r>
    </w:p>
    <w:p w:rsidR="000E65A6" w:rsidRDefault="000E65A6" w:rsidP="00C65D09">
      <w:pPr>
        <w:pStyle w:val="ListParagraph"/>
        <w:ind w:left="360"/>
        <w:rPr>
          <w:rFonts w:cs="Arial"/>
        </w:rPr>
      </w:pPr>
    </w:p>
    <w:p w:rsidR="000E65A6" w:rsidRDefault="000E65A6" w:rsidP="000E65A6">
      <w:pPr>
        <w:pStyle w:val="ListParagraph"/>
        <w:numPr>
          <w:ilvl w:val="0"/>
          <w:numId w:val="10"/>
        </w:numPr>
        <w:rPr>
          <w:rFonts w:cs="Arial"/>
        </w:rPr>
      </w:pPr>
      <w:r>
        <w:rPr>
          <w:rFonts w:cs="Arial"/>
        </w:rPr>
        <w:lastRenderedPageBreak/>
        <w:t>Would a reasonable employer have waited/ is able to wait longer before dismissal?</w:t>
      </w:r>
    </w:p>
    <w:p w:rsidR="000E65A6" w:rsidRDefault="000E65A6" w:rsidP="000E65A6">
      <w:pPr>
        <w:pStyle w:val="ListParagraph"/>
        <w:numPr>
          <w:ilvl w:val="0"/>
          <w:numId w:val="10"/>
        </w:numPr>
        <w:rPr>
          <w:rFonts w:cs="Arial"/>
        </w:rPr>
      </w:pPr>
      <w:r>
        <w:rPr>
          <w:rFonts w:cs="Arial"/>
        </w:rPr>
        <w:t>Has the employee been consul</w:t>
      </w:r>
      <w:r w:rsidR="003630C4">
        <w:rPr>
          <w:rFonts w:cs="Arial"/>
        </w:rPr>
        <w:t>ted and their views considered</w:t>
      </w:r>
      <w:r>
        <w:rPr>
          <w:rFonts w:cs="Arial"/>
        </w:rPr>
        <w:t>?</w:t>
      </w:r>
    </w:p>
    <w:p w:rsidR="000E65A6" w:rsidRDefault="003630C4" w:rsidP="000E65A6">
      <w:pPr>
        <w:pStyle w:val="ListParagraph"/>
        <w:numPr>
          <w:ilvl w:val="0"/>
          <w:numId w:val="10"/>
        </w:numPr>
        <w:rPr>
          <w:rFonts w:cs="Arial"/>
        </w:rPr>
      </w:pPr>
      <w:r>
        <w:rPr>
          <w:rFonts w:cs="Arial"/>
        </w:rPr>
        <w:t>Have the opinions been balanced with that of the medical practitioner and the medical condition sufficiently understood, especially in terms of prognosis?</w:t>
      </w:r>
    </w:p>
    <w:p w:rsidR="000E65A6" w:rsidRDefault="000E65A6" w:rsidP="00C65D09">
      <w:pPr>
        <w:pStyle w:val="ListParagraph"/>
        <w:ind w:left="360"/>
        <w:rPr>
          <w:rFonts w:cs="Arial"/>
        </w:rPr>
      </w:pPr>
    </w:p>
    <w:p w:rsidR="000E65A6" w:rsidRDefault="005363A8" w:rsidP="00C65D09">
      <w:pPr>
        <w:pStyle w:val="ListParagraph"/>
        <w:ind w:left="360"/>
        <w:rPr>
          <w:rFonts w:cs="Arial"/>
        </w:rPr>
      </w:pPr>
      <w:r>
        <w:rPr>
          <w:rFonts w:cs="Arial"/>
        </w:rPr>
        <w:t>Misconduct</w:t>
      </w:r>
    </w:p>
    <w:p w:rsidR="005363A8" w:rsidRDefault="005363A8" w:rsidP="00C65D09">
      <w:pPr>
        <w:pStyle w:val="ListParagraph"/>
        <w:ind w:left="360"/>
        <w:rPr>
          <w:rFonts w:cs="Arial"/>
        </w:rPr>
      </w:pPr>
    </w:p>
    <w:p w:rsidR="005363A8" w:rsidRDefault="005363A8" w:rsidP="00C65D09">
      <w:pPr>
        <w:pStyle w:val="ListParagraph"/>
        <w:ind w:left="360"/>
        <w:rPr>
          <w:rFonts w:cs="Arial"/>
        </w:rPr>
      </w:pPr>
      <w:r>
        <w:rPr>
          <w:rFonts w:cs="Arial"/>
        </w:rPr>
        <w:t xml:space="preserve">There are two levels to misconduct with gross misconduct being the most serious offence and will often include theft, assault, falsifying of documents and vandalism.  This requires no notice or warnings as the offences are so severe. </w:t>
      </w:r>
    </w:p>
    <w:p w:rsidR="005363A8" w:rsidRDefault="005363A8" w:rsidP="00C65D09">
      <w:pPr>
        <w:pStyle w:val="ListParagraph"/>
        <w:ind w:left="360"/>
        <w:rPr>
          <w:rFonts w:cs="Arial"/>
        </w:rPr>
      </w:pPr>
    </w:p>
    <w:p w:rsidR="005363A8" w:rsidRDefault="005363A8" w:rsidP="00C65D09">
      <w:pPr>
        <w:pStyle w:val="ListParagraph"/>
        <w:ind w:left="360"/>
        <w:rPr>
          <w:rFonts w:cs="Arial"/>
        </w:rPr>
      </w:pPr>
      <w:r>
        <w:rPr>
          <w:rFonts w:cs="Arial"/>
        </w:rPr>
        <w:t>Misconduct, however, is less serious and is usually dealt with by the way of warnings to allow for improvement in behaviour. This</w:t>
      </w:r>
      <w:r w:rsidR="00300F64">
        <w:rPr>
          <w:rFonts w:cs="Arial"/>
        </w:rPr>
        <w:t xml:space="preserve"> may include improper use of language, poor time-keeping or appearance. </w:t>
      </w:r>
    </w:p>
    <w:p w:rsidR="00300F64" w:rsidRDefault="00300F64" w:rsidP="00C65D09">
      <w:pPr>
        <w:pStyle w:val="ListParagraph"/>
        <w:ind w:left="360"/>
        <w:rPr>
          <w:rFonts w:cs="Arial"/>
        </w:rPr>
      </w:pPr>
    </w:p>
    <w:p w:rsidR="00300F64" w:rsidRDefault="00300F64" w:rsidP="00C65D09">
      <w:pPr>
        <w:pStyle w:val="ListParagraph"/>
        <w:ind w:left="360"/>
        <w:rPr>
          <w:rFonts w:cs="Arial"/>
        </w:rPr>
      </w:pPr>
      <w:r>
        <w:rPr>
          <w:rFonts w:cs="Arial"/>
        </w:rPr>
        <w:t>An employer has to demonstrate that</w:t>
      </w:r>
      <w:r w:rsidR="004946A0">
        <w:rPr>
          <w:rFonts w:cs="Arial"/>
        </w:rPr>
        <w:t xml:space="preserve"> it has acted reasonably in reaching the decision to dismiss,</w:t>
      </w:r>
      <w:r>
        <w:rPr>
          <w:rFonts w:cs="Arial"/>
        </w:rPr>
        <w:t xml:space="preserve"> which means they need a reasonable belief that the act of misconduct has occurred and a reasonable investigation has taken place, otherwise referred to as acting within the range of reasonable responses.</w:t>
      </w:r>
      <w:r w:rsidR="004946A0">
        <w:rPr>
          <w:rFonts w:cs="Arial"/>
        </w:rPr>
        <w:t xml:space="preserve">  This level is not the same as that of a criminal investigation.</w:t>
      </w:r>
    </w:p>
    <w:p w:rsidR="0016244C" w:rsidRDefault="0016244C" w:rsidP="00C65D09">
      <w:pPr>
        <w:pStyle w:val="ListParagraph"/>
        <w:ind w:left="360"/>
        <w:rPr>
          <w:rFonts w:cs="Arial"/>
        </w:rPr>
      </w:pPr>
    </w:p>
    <w:p w:rsidR="0016244C" w:rsidRPr="00D35601" w:rsidRDefault="0016244C" w:rsidP="00C65D09">
      <w:pPr>
        <w:pStyle w:val="ListParagraph"/>
        <w:ind w:left="360"/>
        <w:rPr>
          <w:rFonts w:cs="Arial"/>
        </w:rPr>
      </w:pPr>
      <w:r>
        <w:rPr>
          <w:rFonts w:cs="Arial"/>
        </w:rPr>
        <w:t xml:space="preserve">It is important to carry out all necessary investigations without delay to establish the facts in the case and to inform the employee of the problem in writing to allow them to prepare properly for </w:t>
      </w:r>
      <w:proofErr w:type="gramStart"/>
      <w:r>
        <w:rPr>
          <w:rFonts w:cs="Arial"/>
        </w:rPr>
        <w:t>an</w:t>
      </w:r>
      <w:proofErr w:type="gramEnd"/>
      <w:r>
        <w:rPr>
          <w:rFonts w:cs="Arial"/>
        </w:rPr>
        <w:t xml:space="preserve"> disciplinary meeting.  There is a statutory duty to allow the employee to be accompanied to any disciplinary meeting that could result in a warning or any other disciplinary action being taken.  There should also be the opportunity to appeal any decision made.</w:t>
      </w:r>
    </w:p>
    <w:p w:rsidR="00F748CA" w:rsidRDefault="00F748CA" w:rsidP="003E1757">
      <w:pPr>
        <w:pStyle w:val="ListParagraph"/>
        <w:ind w:left="360"/>
        <w:rPr>
          <w:rFonts w:cs="Arial"/>
        </w:rPr>
      </w:pPr>
    </w:p>
    <w:p w:rsidR="003C2588" w:rsidRDefault="003C2588" w:rsidP="003E1757">
      <w:pPr>
        <w:pStyle w:val="ListParagraph"/>
        <w:ind w:left="360"/>
        <w:rPr>
          <w:rFonts w:cs="Arial"/>
        </w:rPr>
      </w:pPr>
      <w:r>
        <w:rPr>
          <w:rFonts w:cs="Arial"/>
        </w:rPr>
        <w:t>Grievance</w:t>
      </w:r>
    </w:p>
    <w:p w:rsidR="003C2588" w:rsidRDefault="003C2588" w:rsidP="003E1757">
      <w:pPr>
        <w:pStyle w:val="ListParagraph"/>
        <w:ind w:left="360"/>
        <w:rPr>
          <w:rFonts w:cs="Arial"/>
        </w:rPr>
      </w:pPr>
    </w:p>
    <w:p w:rsidR="003C2588" w:rsidRDefault="00C55CB1" w:rsidP="003E1757">
      <w:pPr>
        <w:pStyle w:val="ListParagraph"/>
        <w:ind w:left="360"/>
        <w:rPr>
          <w:rFonts w:cs="Arial"/>
        </w:rPr>
      </w:pPr>
      <w:r>
        <w:rPr>
          <w:rFonts w:cs="Arial"/>
        </w:rPr>
        <w:t>There is no requirement for an employee to raise a grievance prior to making a cla</w:t>
      </w:r>
      <w:r w:rsidR="003724F7">
        <w:rPr>
          <w:rFonts w:cs="Arial"/>
        </w:rPr>
        <w:t>im with the Employment Tribunal, however, ‘disciplinary and grievance issues should always seek to be resolved in the workplace’ (ACAS, 2020).</w:t>
      </w:r>
    </w:p>
    <w:p w:rsidR="003724F7" w:rsidRDefault="003724F7" w:rsidP="003E1757">
      <w:pPr>
        <w:pStyle w:val="ListParagraph"/>
        <w:ind w:left="360"/>
        <w:rPr>
          <w:rFonts w:cs="Arial"/>
        </w:rPr>
      </w:pPr>
    </w:p>
    <w:p w:rsidR="003724F7" w:rsidRDefault="003724F7" w:rsidP="003E1757">
      <w:pPr>
        <w:pStyle w:val="ListParagraph"/>
        <w:ind w:left="360"/>
        <w:rPr>
          <w:rFonts w:cs="Arial"/>
        </w:rPr>
      </w:pPr>
      <w:r>
        <w:rPr>
          <w:rFonts w:cs="Arial"/>
        </w:rPr>
        <w:t xml:space="preserve">If a grievance is raised then </w:t>
      </w:r>
      <w:r w:rsidR="0016244C">
        <w:rPr>
          <w:rFonts w:cs="Arial"/>
        </w:rPr>
        <w:t xml:space="preserve">a meeting should be held to discuss the complaint and the resolutions that the employee may have.  The employee should be given the opportunity to be accompanied. </w:t>
      </w:r>
    </w:p>
    <w:p w:rsidR="003724F7" w:rsidRDefault="003724F7" w:rsidP="003E1757">
      <w:pPr>
        <w:pStyle w:val="ListParagraph"/>
        <w:ind w:left="360"/>
        <w:rPr>
          <w:rFonts w:cs="Arial"/>
        </w:rPr>
      </w:pPr>
    </w:p>
    <w:p w:rsidR="003724F7" w:rsidRDefault="003724F7" w:rsidP="003E1757">
      <w:pPr>
        <w:pStyle w:val="ListParagraph"/>
        <w:ind w:left="360"/>
        <w:rPr>
          <w:rFonts w:cs="Arial"/>
        </w:rPr>
      </w:pPr>
      <w:r>
        <w:rPr>
          <w:rFonts w:cs="Arial"/>
        </w:rPr>
        <w:t>It is important to carry out an</w:t>
      </w:r>
      <w:r w:rsidR="0016244C">
        <w:rPr>
          <w:rFonts w:cs="Arial"/>
        </w:rPr>
        <w:t>y</w:t>
      </w:r>
      <w:r>
        <w:rPr>
          <w:rFonts w:cs="Arial"/>
        </w:rPr>
        <w:t xml:space="preserve"> investigation </w:t>
      </w:r>
      <w:r w:rsidR="0016244C">
        <w:rPr>
          <w:rFonts w:cs="Arial"/>
        </w:rPr>
        <w:t xml:space="preserve">that is deemed appropriate </w:t>
      </w:r>
      <w:r>
        <w:rPr>
          <w:rFonts w:cs="Arial"/>
        </w:rPr>
        <w:t xml:space="preserve">as soon after the grievance has been made and should be carried out by an independent party.  </w:t>
      </w:r>
      <w:r w:rsidR="0016244C">
        <w:rPr>
          <w:rFonts w:cs="Arial"/>
        </w:rPr>
        <w:t xml:space="preserve">A decision should then be made on the appropriate course of action.  </w:t>
      </w:r>
    </w:p>
    <w:p w:rsidR="0016244C" w:rsidRDefault="0016244C" w:rsidP="003E1757">
      <w:pPr>
        <w:pStyle w:val="ListParagraph"/>
        <w:ind w:left="360"/>
        <w:rPr>
          <w:rFonts w:cs="Arial"/>
        </w:rPr>
      </w:pPr>
    </w:p>
    <w:p w:rsidR="0016244C" w:rsidRDefault="0016244C" w:rsidP="003E1757">
      <w:pPr>
        <w:pStyle w:val="ListParagraph"/>
        <w:ind w:left="360"/>
        <w:rPr>
          <w:rFonts w:cs="Arial"/>
        </w:rPr>
      </w:pPr>
      <w:r>
        <w:rPr>
          <w:rFonts w:cs="Arial"/>
        </w:rPr>
        <w:t xml:space="preserve">There should be an opportunity for the employee to take the grievance further if not resolved to their </w:t>
      </w:r>
      <w:proofErr w:type="gramStart"/>
      <w:r>
        <w:rPr>
          <w:rFonts w:cs="Arial"/>
        </w:rPr>
        <w:t>satisfaction  If</w:t>
      </w:r>
      <w:proofErr w:type="gramEnd"/>
      <w:r>
        <w:rPr>
          <w:rFonts w:cs="Arial"/>
        </w:rPr>
        <w:t xml:space="preserve"> the grievance forms part of a disciplinary process then this should be postponed until the grievance has been resolved.</w:t>
      </w:r>
    </w:p>
    <w:p w:rsidR="0016244C" w:rsidRDefault="0016244C" w:rsidP="003E1757">
      <w:pPr>
        <w:pStyle w:val="ListParagraph"/>
        <w:ind w:left="360"/>
        <w:rPr>
          <w:rFonts w:cs="Arial"/>
        </w:rPr>
      </w:pPr>
    </w:p>
    <w:p w:rsidR="0016244C" w:rsidRDefault="0016244C" w:rsidP="003E1757">
      <w:pPr>
        <w:pStyle w:val="ListParagraph"/>
        <w:ind w:left="360"/>
        <w:rPr>
          <w:rFonts w:cs="Arial"/>
        </w:rPr>
      </w:pPr>
    </w:p>
    <w:p w:rsidR="00300F64" w:rsidRDefault="00300F64" w:rsidP="003E1757">
      <w:pPr>
        <w:pStyle w:val="ListParagraph"/>
        <w:ind w:left="360"/>
        <w:rPr>
          <w:rFonts w:cs="Arial"/>
        </w:rPr>
      </w:pPr>
    </w:p>
    <w:p w:rsidR="00A66F12" w:rsidRPr="00C31FA6" w:rsidRDefault="00A66F12" w:rsidP="00C31FA6">
      <w:pPr>
        <w:rPr>
          <w:rFonts w:cs="Arial"/>
        </w:rPr>
      </w:pPr>
    </w:p>
    <w:p w:rsidR="00FF5FA3" w:rsidRPr="00113FFE" w:rsidRDefault="00FF5FA3" w:rsidP="00FF5FA3">
      <w:pPr>
        <w:pStyle w:val="ListParagraph"/>
        <w:ind w:left="360"/>
        <w:rPr>
          <w:rFonts w:cs="Arial"/>
        </w:rPr>
      </w:pPr>
    </w:p>
    <w:p w:rsidR="008D37D6" w:rsidRDefault="008D37D6" w:rsidP="00FF5FA3">
      <w:pPr>
        <w:pStyle w:val="ListParagraph"/>
        <w:ind w:left="0"/>
        <w:rPr>
          <w:rFonts w:cs="Arial"/>
        </w:rPr>
        <w:sectPr w:rsidR="008D37D6">
          <w:pgSz w:w="11906" w:h="16838"/>
          <w:pgMar w:top="1440" w:right="1440" w:bottom="1440" w:left="1440" w:header="708" w:footer="708" w:gutter="0"/>
          <w:cols w:space="708"/>
          <w:docGrid w:linePitch="360"/>
        </w:sectPr>
      </w:pPr>
    </w:p>
    <w:p w:rsidR="008D37D6" w:rsidRDefault="00C314DE" w:rsidP="00FF5FA3">
      <w:pPr>
        <w:pStyle w:val="ListParagraph"/>
        <w:ind w:left="0"/>
        <w:rPr>
          <w:rFonts w:cs="Arial"/>
        </w:rPr>
      </w:pPr>
      <w:hyperlink r:id="rId15" w:history="1">
        <w:r w:rsidR="008D37D6" w:rsidRPr="00C314DE">
          <w:rPr>
            <w:rStyle w:val="Hyperlink"/>
            <w:rFonts w:cs="Arial"/>
          </w:rPr>
          <w:t>Appendix A</w:t>
        </w:r>
      </w:hyperlink>
    </w:p>
    <w:p w:rsidR="008D37D6" w:rsidRDefault="008D37D6" w:rsidP="00FF5FA3">
      <w:pPr>
        <w:pStyle w:val="ListParagraph"/>
        <w:ind w:left="0"/>
        <w:rPr>
          <w:rFonts w:cs="Arial"/>
        </w:rPr>
      </w:pPr>
    </w:p>
    <w:p w:rsidR="00EE5094" w:rsidRDefault="00EE5094" w:rsidP="00FF5FA3">
      <w:pPr>
        <w:pStyle w:val="ListParagraph"/>
        <w:ind w:left="0"/>
        <w:rPr>
          <w:rFonts w:cs="Arial"/>
        </w:rPr>
      </w:pPr>
      <w:r>
        <w:rPr>
          <w:rFonts w:cs="Arial"/>
        </w:rPr>
        <w:t>Table containing details for Family Friendly Employment Rights</w:t>
      </w:r>
    </w:p>
    <w:p w:rsidR="008D37D6" w:rsidRDefault="008D37D6" w:rsidP="00FF5FA3">
      <w:pPr>
        <w:pStyle w:val="ListParagraph"/>
        <w:ind w:left="0"/>
        <w:rPr>
          <w:rFonts w:cs="Arial"/>
        </w:rPr>
      </w:pPr>
    </w:p>
    <w:tbl>
      <w:tblPr>
        <w:tblStyle w:val="TableGrid"/>
        <w:tblW w:w="9923" w:type="dxa"/>
        <w:tblInd w:w="-176" w:type="dxa"/>
        <w:tblLook w:val="04A0" w:firstRow="1" w:lastRow="0" w:firstColumn="1" w:lastColumn="0" w:noHBand="0" w:noVBand="1"/>
      </w:tblPr>
      <w:tblGrid>
        <w:gridCol w:w="1418"/>
        <w:gridCol w:w="1574"/>
        <w:gridCol w:w="1545"/>
        <w:gridCol w:w="1730"/>
        <w:gridCol w:w="1819"/>
        <w:gridCol w:w="1837"/>
      </w:tblGrid>
      <w:tr w:rsidR="008D37D6" w:rsidTr="008D37D6">
        <w:tc>
          <w:tcPr>
            <w:tcW w:w="1418" w:type="dxa"/>
          </w:tcPr>
          <w:p w:rsidR="008D37D6" w:rsidRDefault="008D37D6" w:rsidP="00326236">
            <w:pPr>
              <w:pStyle w:val="ListParagraph"/>
              <w:ind w:left="0"/>
              <w:rPr>
                <w:rFonts w:cs="Arial"/>
              </w:rPr>
            </w:pPr>
          </w:p>
        </w:tc>
        <w:tc>
          <w:tcPr>
            <w:tcW w:w="1574" w:type="dxa"/>
          </w:tcPr>
          <w:p w:rsidR="008D37D6" w:rsidRDefault="008D37D6" w:rsidP="00326236">
            <w:pPr>
              <w:pStyle w:val="ListParagraph"/>
              <w:ind w:left="0"/>
              <w:rPr>
                <w:rFonts w:cs="Arial"/>
              </w:rPr>
            </w:pPr>
            <w:r>
              <w:rPr>
                <w:rFonts w:cs="Arial"/>
              </w:rPr>
              <w:t>Leave</w:t>
            </w:r>
          </w:p>
        </w:tc>
        <w:tc>
          <w:tcPr>
            <w:tcW w:w="1545" w:type="dxa"/>
          </w:tcPr>
          <w:p w:rsidR="008D37D6" w:rsidRDefault="008D37D6" w:rsidP="00326236">
            <w:pPr>
              <w:pStyle w:val="ListParagraph"/>
              <w:ind w:left="0"/>
              <w:rPr>
                <w:rFonts w:cs="Arial"/>
              </w:rPr>
            </w:pPr>
            <w:r>
              <w:rPr>
                <w:rFonts w:cs="Arial"/>
              </w:rPr>
              <w:t>Length</w:t>
            </w:r>
          </w:p>
        </w:tc>
        <w:tc>
          <w:tcPr>
            <w:tcW w:w="3549" w:type="dxa"/>
            <w:gridSpan w:val="2"/>
          </w:tcPr>
          <w:p w:rsidR="008D37D6" w:rsidRDefault="008D37D6" w:rsidP="00326236">
            <w:pPr>
              <w:pStyle w:val="ListParagraph"/>
              <w:ind w:left="0"/>
              <w:jc w:val="center"/>
              <w:rPr>
                <w:rFonts w:cs="Arial"/>
              </w:rPr>
            </w:pPr>
            <w:r>
              <w:rPr>
                <w:rFonts w:cs="Arial"/>
              </w:rPr>
              <w:t>Conditions</w:t>
            </w:r>
          </w:p>
        </w:tc>
        <w:tc>
          <w:tcPr>
            <w:tcW w:w="1837" w:type="dxa"/>
          </w:tcPr>
          <w:p w:rsidR="008D37D6" w:rsidRDefault="008D37D6" w:rsidP="00326236">
            <w:pPr>
              <w:pStyle w:val="ListParagraph"/>
              <w:ind w:left="0"/>
              <w:rPr>
                <w:rFonts w:cs="Arial"/>
              </w:rPr>
            </w:pPr>
            <w:r>
              <w:rPr>
                <w:rFonts w:cs="Arial"/>
              </w:rPr>
              <w:t>Pay</w:t>
            </w:r>
          </w:p>
        </w:tc>
      </w:tr>
      <w:tr w:rsidR="008D37D6" w:rsidTr="008D37D6">
        <w:tc>
          <w:tcPr>
            <w:tcW w:w="1418" w:type="dxa"/>
          </w:tcPr>
          <w:p w:rsidR="008D37D6" w:rsidRDefault="008D37D6" w:rsidP="00326236">
            <w:pPr>
              <w:pStyle w:val="ListParagraph"/>
              <w:ind w:left="0"/>
              <w:rPr>
                <w:rFonts w:cs="Arial"/>
              </w:rPr>
            </w:pPr>
            <w:r>
              <w:rPr>
                <w:rFonts w:cs="Arial"/>
              </w:rPr>
              <w:t xml:space="preserve">Maternity </w:t>
            </w:r>
          </w:p>
        </w:tc>
        <w:tc>
          <w:tcPr>
            <w:tcW w:w="1574" w:type="dxa"/>
          </w:tcPr>
          <w:p w:rsidR="008D37D6" w:rsidRDefault="008D37D6" w:rsidP="00326236">
            <w:pPr>
              <w:pStyle w:val="ListParagraph"/>
              <w:ind w:left="0"/>
              <w:rPr>
                <w:rFonts w:cs="Arial"/>
              </w:rPr>
            </w:pPr>
            <w:r>
              <w:rPr>
                <w:rFonts w:cs="Arial"/>
              </w:rPr>
              <w:t>Compulsory Maternity Leave</w:t>
            </w:r>
          </w:p>
        </w:tc>
        <w:tc>
          <w:tcPr>
            <w:tcW w:w="1545" w:type="dxa"/>
          </w:tcPr>
          <w:p w:rsidR="008D37D6" w:rsidRDefault="008D37D6" w:rsidP="00326236">
            <w:pPr>
              <w:pStyle w:val="ListParagraph"/>
              <w:ind w:left="0"/>
              <w:rPr>
                <w:rFonts w:cs="Arial"/>
              </w:rPr>
            </w:pPr>
            <w:r>
              <w:rPr>
                <w:rFonts w:cs="Arial"/>
              </w:rPr>
              <w:t>2 weeks</w:t>
            </w:r>
          </w:p>
          <w:p w:rsidR="008D37D6" w:rsidRDefault="008D37D6" w:rsidP="00326236">
            <w:pPr>
              <w:pStyle w:val="ListParagraph"/>
              <w:ind w:left="0"/>
              <w:rPr>
                <w:rFonts w:cs="Arial"/>
              </w:rPr>
            </w:pPr>
            <w:r>
              <w:rPr>
                <w:rFonts w:cs="Arial"/>
              </w:rPr>
              <w:t>(forms part of OML)</w:t>
            </w:r>
          </w:p>
        </w:tc>
        <w:tc>
          <w:tcPr>
            <w:tcW w:w="1730" w:type="dxa"/>
          </w:tcPr>
          <w:p w:rsidR="008D37D6" w:rsidRDefault="008D37D6" w:rsidP="00326236">
            <w:pPr>
              <w:pStyle w:val="ListParagraph"/>
              <w:ind w:left="0"/>
              <w:rPr>
                <w:rFonts w:cs="Arial"/>
              </w:rPr>
            </w:pPr>
            <w:r>
              <w:rPr>
                <w:rFonts w:cs="Arial"/>
              </w:rPr>
              <w:t>Obligated to take the 2 weeks</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 xml:space="preserve">Able to attend anti-natal appointments on full pay </w:t>
            </w:r>
          </w:p>
        </w:tc>
        <w:tc>
          <w:tcPr>
            <w:tcW w:w="1819" w:type="dxa"/>
          </w:tcPr>
          <w:p w:rsidR="008D37D6" w:rsidRDefault="008D37D6" w:rsidP="00326236">
            <w:pPr>
              <w:pStyle w:val="ListParagraph"/>
              <w:ind w:left="0"/>
              <w:rPr>
                <w:rFonts w:cs="Arial"/>
              </w:rPr>
            </w:pPr>
            <w:r>
              <w:rPr>
                <w:rFonts w:cs="Arial"/>
              </w:rPr>
              <w:t>Must advise employer 15 weeks be</w:t>
            </w:r>
            <w:r w:rsidR="00EE5094">
              <w:rPr>
                <w:rFonts w:cs="Arial"/>
              </w:rPr>
              <w:t>fore Expected Week of Confinement</w:t>
            </w:r>
            <w:r>
              <w:rPr>
                <w:rFonts w:cs="Arial"/>
              </w:rPr>
              <w:t xml:space="preserve"> (EWC)</w:t>
            </w:r>
          </w:p>
          <w:p w:rsidR="008D37D6" w:rsidRDefault="008D37D6" w:rsidP="00326236">
            <w:pPr>
              <w:pStyle w:val="ListParagraph"/>
              <w:ind w:left="0"/>
              <w:rPr>
                <w:rFonts w:cs="Arial"/>
              </w:rPr>
            </w:pPr>
            <w:r>
              <w:rPr>
                <w:rFonts w:cs="Arial"/>
              </w:rPr>
              <w:t>Entitled to 10 ‘Keeping in Touch’ KIT days</w:t>
            </w:r>
          </w:p>
        </w:tc>
        <w:tc>
          <w:tcPr>
            <w:tcW w:w="1837" w:type="dxa"/>
          </w:tcPr>
          <w:p w:rsidR="008D37D6" w:rsidRDefault="008D37D6" w:rsidP="00326236">
            <w:pPr>
              <w:pStyle w:val="ListParagraph"/>
              <w:ind w:left="0"/>
              <w:rPr>
                <w:rFonts w:cs="Arial"/>
              </w:rPr>
            </w:pPr>
            <w:r>
              <w:rPr>
                <w:rFonts w:cs="Arial"/>
              </w:rPr>
              <w:t>Statutory Maternity Pay (SMP) is payable for 39 weeks (provided continuous service of 26 weeks)</w:t>
            </w:r>
          </w:p>
        </w:tc>
      </w:tr>
      <w:tr w:rsidR="008D37D6" w:rsidTr="008D37D6">
        <w:tc>
          <w:tcPr>
            <w:tcW w:w="1418" w:type="dxa"/>
          </w:tcPr>
          <w:p w:rsidR="008D37D6" w:rsidRDefault="008D37D6" w:rsidP="00326236">
            <w:pPr>
              <w:pStyle w:val="ListParagraph"/>
              <w:ind w:left="0"/>
              <w:rPr>
                <w:rFonts w:cs="Arial"/>
              </w:rPr>
            </w:pPr>
          </w:p>
        </w:tc>
        <w:tc>
          <w:tcPr>
            <w:tcW w:w="1574" w:type="dxa"/>
          </w:tcPr>
          <w:p w:rsidR="008D37D6" w:rsidRDefault="008D37D6" w:rsidP="00326236">
            <w:pPr>
              <w:pStyle w:val="ListParagraph"/>
              <w:ind w:left="0"/>
              <w:rPr>
                <w:rFonts w:cs="Arial"/>
              </w:rPr>
            </w:pPr>
            <w:r>
              <w:rPr>
                <w:rFonts w:cs="Arial"/>
              </w:rPr>
              <w:t>Ordinary Maternity Leave (OML)</w:t>
            </w:r>
          </w:p>
        </w:tc>
        <w:tc>
          <w:tcPr>
            <w:tcW w:w="1545" w:type="dxa"/>
          </w:tcPr>
          <w:p w:rsidR="008D37D6" w:rsidRDefault="008D37D6" w:rsidP="00326236">
            <w:pPr>
              <w:pStyle w:val="ListParagraph"/>
              <w:ind w:left="0"/>
              <w:rPr>
                <w:rFonts w:cs="Arial"/>
              </w:rPr>
            </w:pPr>
            <w:r>
              <w:rPr>
                <w:rFonts w:cs="Arial"/>
              </w:rPr>
              <w:t>26 weeks</w:t>
            </w:r>
          </w:p>
          <w:p w:rsidR="008D37D6" w:rsidRDefault="008D37D6" w:rsidP="00326236">
            <w:pPr>
              <w:pStyle w:val="ListParagraph"/>
              <w:ind w:left="0"/>
              <w:rPr>
                <w:rFonts w:cs="Arial"/>
              </w:rPr>
            </w:pPr>
          </w:p>
        </w:tc>
        <w:tc>
          <w:tcPr>
            <w:tcW w:w="1730" w:type="dxa"/>
          </w:tcPr>
          <w:p w:rsidR="008D37D6" w:rsidRDefault="008D37D6" w:rsidP="00326236">
            <w:pPr>
              <w:pStyle w:val="ListParagraph"/>
              <w:ind w:left="0"/>
              <w:rPr>
                <w:rFonts w:cs="Arial"/>
              </w:rPr>
            </w:pPr>
            <w:r>
              <w:rPr>
                <w:rFonts w:cs="Arial"/>
              </w:rPr>
              <w:t>Entitlement regardless to length of service</w:t>
            </w:r>
          </w:p>
        </w:tc>
        <w:tc>
          <w:tcPr>
            <w:tcW w:w="1819" w:type="dxa"/>
          </w:tcPr>
          <w:p w:rsidR="008D37D6" w:rsidRDefault="008D37D6" w:rsidP="00326236">
            <w:pPr>
              <w:pStyle w:val="ListParagraph"/>
              <w:ind w:left="0"/>
              <w:rPr>
                <w:rFonts w:cs="Arial"/>
              </w:rPr>
            </w:pPr>
            <w:r>
              <w:rPr>
                <w:rFonts w:cs="Arial"/>
              </w:rPr>
              <w:t>Cannot commence before the 11</w:t>
            </w:r>
            <w:r w:rsidRPr="00251CCC">
              <w:rPr>
                <w:rFonts w:cs="Arial"/>
                <w:vertAlign w:val="superscript"/>
              </w:rPr>
              <w:t>th</w:t>
            </w:r>
            <w:r>
              <w:rPr>
                <w:rFonts w:cs="Arial"/>
              </w:rPr>
              <w:t xml:space="preserve"> week of EWC</w:t>
            </w:r>
          </w:p>
        </w:tc>
        <w:tc>
          <w:tcPr>
            <w:tcW w:w="1837" w:type="dxa"/>
          </w:tcPr>
          <w:p w:rsidR="008D37D6" w:rsidRDefault="008D37D6" w:rsidP="00326236">
            <w:pPr>
              <w:pStyle w:val="ListParagraph"/>
              <w:ind w:left="0"/>
              <w:rPr>
                <w:rFonts w:cs="Arial"/>
              </w:rPr>
            </w:pPr>
            <w:r>
              <w:rPr>
                <w:rFonts w:cs="Arial"/>
              </w:rPr>
              <w:t>SMP is 90% of average weekly earnings for first 6 weeks</w:t>
            </w:r>
          </w:p>
        </w:tc>
      </w:tr>
      <w:tr w:rsidR="008D37D6" w:rsidTr="008D37D6">
        <w:tc>
          <w:tcPr>
            <w:tcW w:w="1418" w:type="dxa"/>
          </w:tcPr>
          <w:p w:rsidR="008D37D6" w:rsidRDefault="008D37D6" w:rsidP="00326236">
            <w:pPr>
              <w:pStyle w:val="ListParagraph"/>
              <w:ind w:left="0"/>
              <w:rPr>
                <w:rFonts w:cs="Arial"/>
              </w:rPr>
            </w:pPr>
          </w:p>
        </w:tc>
        <w:tc>
          <w:tcPr>
            <w:tcW w:w="1574" w:type="dxa"/>
          </w:tcPr>
          <w:p w:rsidR="008D37D6" w:rsidRDefault="008D37D6" w:rsidP="00326236">
            <w:pPr>
              <w:pStyle w:val="ListParagraph"/>
              <w:ind w:left="0"/>
              <w:rPr>
                <w:rFonts w:cs="Arial"/>
              </w:rPr>
            </w:pPr>
            <w:r>
              <w:rPr>
                <w:rFonts w:cs="Arial"/>
              </w:rPr>
              <w:t>Additional Maternity Leave (AML)</w:t>
            </w:r>
          </w:p>
        </w:tc>
        <w:tc>
          <w:tcPr>
            <w:tcW w:w="1545" w:type="dxa"/>
          </w:tcPr>
          <w:p w:rsidR="008D37D6" w:rsidRDefault="008D37D6" w:rsidP="00326236">
            <w:pPr>
              <w:pStyle w:val="ListParagraph"/>
              <w:ind w:left="0"/>
              <w:rPr>
                <w:rFonts w:cs="Arial"/>
              </w:rPr>
            </w:pPr>
            <w:r>
              <w:rPr>
                <w:rFonts w:cs="Arial"/>
              </w:rPr>
              <w:t>26 weeks</w:t>
            </w:r>
          </w:p>
        </w:tc>
        <w:tc>
          <w:tcPr>
            <w:tcW w:w="1730" w:type="dxa"/>
          </w:tcPr>
          <w:p w:rsidR="008D37D6" w:rsidRDefault="008D37D6" w:rsidP="00326236">
            <w:pPr>
              <w:pStyle w:val="ListParagraph"/>
              <w:ind w:left="0"/>
              <w:rPr>
                <w:rFonts w:cs="Arial"/>
              </w:rPr>
            </w:pPr>
            <w:r>
              <w:rPr>
                <w:rFonts w:cs="Arial"/>
              </w:rPr>
              <w:t>Maximum Maternity leave is 52 weeks</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Annual Leave continues to accrue</w:t>
            </w:r>
          </w:p>
        </w:tc>
        <w:tc>
          <w:tcPr>
            <w:tcW w:w="1819" w:type="dxa"/>
          </w:tcPr>
          <w:p w:rsidR="008D37D6" w:rsidRDefault="008D37D6" w:rsidP="00326236">
            <w:pPr>
              <w:pStyle w:val="ListParagraph"/>
              <w:ind w:left="0"/>
              <w:rPr>
                <w:rFonts w:cs="Arial"/>
              </w:rPr>
            </w:pPr>
            <w:r>
              <w:rPr>
                <w:rFonts w:cs="Arial"/>
              </w:rPr>
              <w:t>No notice is required to return if returning immediately after AML</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8 weeks’ notice if this differs</w:t>
            </w:r>
          </w:p>
        </w:tc>
        <w:tc>
          <w:tcPr>
            <w:tcW w:w="1837" w:type="dxa"/>
          </w:tcPr>
          <w:p w:rsidR="008D37D6" w:rsidRPr="00CB129F" w:rsidRDefault="008D37D6" w:rsidP="00326236">
            <w:pPr>
              <w:shd w:val="clear" w:color="auto" w:fill="FFFFFF"/>
              <w:spacing w:after="75"/>
              <w:rPr>
                <w:rFonts w:ascii="Arial" w:eastAsia="Times New Roman" w:hAnsi="Arial" w:cs="Arial"/>
                <w:color w:val="0B0C0C"/>
                <w:sz w:val="29"/>
                <w:szCs w:val="29"/>
                <w:lang w:eastAsia="en-GB"/>
              </w:rPr>
            </w:pPr>
            <w:r w:rsidRPr="00CB129F">
              <w:rPr>
                <w:rFonts w:ascii="Arial" w:hAnsi="Arial" w:cs="Arial"/>
              </w:rPr>
              <w:t xml:space="preserve">Then </w:t>
            </w:r>
            <w:r>
              <w:rPr>
                <w:rFonts w:ascii="Arial" w:hAnsi="Arial" w:cs="Arial"/>
              </w:rPr>
              <w:t>*</w:t>
            </w:r>
            <w:r w:rsidRPr="00CB129F">
              <w:rPr>
                <w:rFonts w:ascii="Arial" w:eastAsia="Times New Roman" w:hAnsi="Arial" w:cs="Arial"/>
                <w:color w:val="0B0C0C"/>
                <w:lang w:eastAsia="en-GB"/>
              </w:rPr>
              <w:t xml:space="preserve">£151.97 </w:t>
            </w:r>
            <w:r>
              <w:rPr>
                <w:rFonts w:ascii="Arial" w:eastAsia="Times New Roman" w:hAnsi="Arial" w:cs="Arial"/>
                <w:color w:val="0B0C0C"/>
                <w:lang w:eastAsia="en-GB"/>
              </w:rPr>
              <w:t xml:space="preserve">or 90% of the </w:t>
            </w:r>
            <w:r w:rsidRPr="00CB129F">
              <w:rPr>
                <w:rFonts w:ascii="Arial" w:eastAsia="Times New Roman" w:hAnsi="Arial" w:cs="Arial"/>
                <w:color w:val="0B0C0C"/>
                <w:lang w:eastAsia="en-GB"/>
              </w:rPr>
              <w:t>average weekly earnings (whichever is lower) for the next 33 weeks</w:t>
            </w:r>
          </w:p>
          <w:p w:rsidR="008D37D6" w:rsidRPr="00CB129F" w:rsidRDefault="008D37D6" w:rsidP="00326236">
            <w:pPr>
              <w:pStyle w:val="ListParagraph"/>
              <w:ind w:left="0"/>
              <w:rPr>
                <w:rFonts w:cs="Arial"/>
              </w:rPr>
            </w:pPr>
          </w:p>
        </w:tc>
      </w:tr>
      <w:tr w:rsidR="008D37D6" w:rsidTr="008D37D6">
        <w:tc>
          <w:tcPr>
            <w:tcW w:w="1418" w:type="dxa"/>
          </w:tcPr>
          <w:p w:rsidR="008D37D6" w:rsidRDefault="008D37D6" w:rsidP="00326236">
            <w:pPr>
              <w:pStyle w:val="ListParagraph"/>
              <w:ind w:left="0"/>
              <w:rPr>
                <w:rFonts w:cs="Arial"/>
              </w:rPr>
            </w:pPr>
            <w:r>
              <w:rPr>
                <w:rFonts w:cs="Arial"/>
              </w:rPr>
              <w:t>Paternity</w:t>
            </w:r>
          </w:p>
        </w:tc>
        <w:tc>
          <w:tcPr>
            <w:tcW w:w="1574" w:type="dxa"/>
          </w:tcPr>
          <w:p w:rsidR="008D37D6" w:rsidRDefault="008D37D6" w:rsidP="00326236">
            <w:pPr>
              <w:pStyle w:val="ListParagraph"/>
              <w:ind w:left="0"/>
              <w:rPr>
                <w:rFonts w:cs="Arial"/>
              </w:rPr>
            </w:pPr>
            <w:r>
              <w:rPr>
                <w:rFonts w:cs="Arial"/>
              </w:rPr>
              <w:t>Paternity Leave</w:t>
            </w:r>
          </w:p>
        </w:tc>
        <w:tc>
          <w:tcPr>
            <w:tcW w:w="1545" w:type="dxa"/>
          </w:tcPr>
          <w:p w:rsidR="008D37D6" w:rsidRDefault="008D37D6" w:rsidP="00326236">
            <w:pPr>
              <w:pStyle w:val="ListParagraph"/>
              <w:ind w:left="0"/>
              <w:rPr>
                <w:rFonts w:cs="Arial"/>
              </w:rPr>
            </w:pPr>
            <w:r>
              <w:rPr>
                <w:rFonts w:cs="Arial"/>
              </w:rPr>
              <w:t xml:space="preserve">2 weeks </w:t>
            </w:r>
          </w:p>
        </w:tc>
        <w:tc>
          <w:tcPr>
            <w:tcW w:w="1730" w:type="dxa"/>
          </w:tcPr>
          <w:p w:rsidR="008D37D6" w:rsidRDefault="008D37D6" w:rsidP="00326236">
            <w:pPr>
              <w:pStyle w:val="ListParagraph"/>
              <w:ind w:left="0"/>
              <w:rPr>
                <w:rFonts w:cs="Arial"/>
              </w:rPr>
            </w:pPr>
            <w:r>
              <w:rPr>
                <w:rFonts w:cs="Arial"/>
              </w:rPr>
              <w:t>Able to take 1 or 2 weeks</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Able to attend up to 2 anti-natal appointments on unpaid leave providing these do not exceed 6.5 hours</w:t>
            </w:r>
          </w:p>
        </w:tc>
        <w:tc>
          <w:tcPr>
            <w:tcW w:w="1819" w:type="dxa"/>
          </w:tcPr>
          <w:p w:rsidR="008D37D6" w:rsidRDefault="008D37D6" w:rsidP="00326236">
            <w:pPr>
              <w:pStyle w:val="ListParagraph"/>
              <w:ind w:left="0"/>
              <w:rPr>
                <w:rFonts w:cs="Arial"/>
              </w:rPr>
            </w:pPr>
            <w:r>
              <w:rPr>
                <w:rFonts w:cs="Arial"/>
              </w:rPr>
              <w:t>Father of the child and husband/partner of the child’s mother</w:t>
            </w:r>
          </w:p>
        </w:tc>
        <w:tc>
          <w:tcPr>
            <w:tcW w:w="1837" w:type="dxa"/>
          </w:tcPr>
          <w:p w:rsidR="008D37D6" w:rsidRDefault="008D37D6" w:rsidP="00326236">
            <w:pPr>
              <w:pStyle w:val="ListParagraph"/>
              <w:ind w:left="0"/>
              <w:rPr>
                <w:rFonts w:cs="Arial"/>
              </w:rPr>
            </w:pPr>
            <w:r>
              <w:rPr>
                <w:rFonts w:cs="Arial"/>
              </w:rPr>
              <w:t>Statutory Paternity Pay = £151.97 or 90% of the average weekly earnings (whichever is lower) for 2 weeks</w:t>
            </w:r>
          </w:p>
        </w:tc>
      </w:tr>
      <w:tr w:rsidR="008D37D6" w:rsidTr="008D37D6">
        <w:tc>
          <w:tcPr>
            <w:tcW w:w="1418" w:type="dxa"/>
          </w:tcPr>
          <w:p w:rsidR="008D37D6" w:rsidRDefault="008D37D6" w:rsidP="00326236">
            <w:pPr>
              <w:pStyle w:val="ListParagraph"/>
              <w:ind w:left="0"/>
              <w:rPr>
                <w:rFonts w:cs="Arial"/>
              </w:rPr>
            </w:pPr>
            <w:r>
              <w:rPr>
                <w:rFonts w:cs="Arial"/>
              </w:rPr>
              <w:t>Adoption</w:t>
            </w:r>
          </w:p>
        </w:tc>
        <w:tc>
          <w:tcPr>
            <w:tcW w:w="1574" w:type="dxa"/>
          </w:tcPr>
          <w:p w:rsidR="008D37D6" w:rsidRDefault="008D37D6" w:rsidP="00326236">
            <w:pPr>
              <w:pStyle w:val="ListParagraph"/>
              <w:ind w:left="0"/>
              <w:rPr>
                <w:rFonts w:cs="Arial"/>
              </w:rPr>
            </w:pPr>
            <w:r>
              <w:rPr>
                <w:rFonts w:cs="Arial"/>
              </w:rPr>
              <w:t>Ordinary Adoption Leave (OAL) – mirrors Maternity Leave</w:t>
            </w:r>
          </w:p>
        </w:tc>
        <w:tc>
          <w:tcPr>
            <w:tcW w:w="1545" w:type="dxa"/>
          </w:tcPr>
          <w:p w:rsidR="008D37D6" w:rsidRDefault="008D37D6" w:rsidP="00326236">
            <w:pPr>
              <w:pStyle w:val="ListParagraph"/>
              <w:ind w:left="0"/>
              <w:rPr>
                <w:rFonts w:cs="Arial"/>
              </w:rPr>
            </w:pPr>
            <w:r>
              <w:rPr>
                <w:rFonts w:cs="Arial"/>
              </w:rPr>
              <w:t>26 weeks</w:t>
            </w:r>
          </w:p>
        </w:tc>
        <w:tc>
          <w:tcPr>
            <w:tcW w:w="1730" w:type="dxa"/>
          </w:tcPr>
          <w:p w:rsidR="008D37D6" w:rsidRDefault="008D37D6" w:rsidP="00326236">
            <w:pPr>
              <w:pStyle w:val="ListParagraph"/>
              <w:ind w:left="0"/>
              <w:rPr>
                <w:rFonts w:cs="Arial"/>
              </w:rPr>
            </w:pPr>
            <w:r>
              <w:rPr>
                <w:rFonts w:cs="Arial"/>
              </w:rPr>
              <w:t>Either parent can opt to take the leave (but not both)</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Can be taken up to 14 days before placement but must be taken no later than the day of placement</w:t>
            </w:r>
          </w:p>
        </w:tc>
        <w:tc>
          <w:tcPr>
            <w:tcW w:w="1819" w:type="dxa"/>
          </w:tcPr>
          <w:p w:rsidR="008D37D6" w:rsidRDefault="008D37D6" w:rsidP="00326236">
            <w:pPr>
              <w:pStyle w:val="ListParagraph"/>
              <w:ind w:left="0"/>
              <w:rPr>
                <w:rFonts w:cs="Arial"/>
              </w:rPr>
            </w:pPr>
            <w:r>
              <w:rPr>
                <w:rFonts w:cs="Arial"/>
              </w:rPr>
              <w:t>No qualifying period</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5 appointments can be attended in relation to the adoption on full pay prior to this taking place by the parent taking OAL</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 xml:space="preserve">2 appointments can be attended by the parent </w:t>
            </w:r>
            <w:r>
              <w:rPr>
                <w:rFonts w:cs="Arial"/>
              </w:rPr>
              <w:lastRenderedPageBreak/>
              <w:t>not applying for OAL on unpaid leave</w:t>
            </w:r>
          </w:p>
        </w:tc>
        <w:tc>
          <w:tcPr>
            <w:tcW w:w="1837" w:type="dxa"/>
          </w:tcPr>
          <w:p w:rsidR="008D37D6" w:rsidRDefault="008D37D6" w:rsidP="00326236">
            <w:pPr>
              <w:pStyle w:val="ListParagraph"/>
              <w:ind w:left="0"/>
              <w:rPr>
                <w:rFonts w:cs="Arial"/>
              </w:rPr>
            </w:pPr>
            <w:r>
              <w:rPr>
                <w:rFonts w:cs="Arial"/>
              </w:rPr>
              <w:lastRenderedPageBreak/>
              <w:t>SMP is 90% of average weekly earnings for first 6 weeks</w:t>
            </w:r>
          </w:p>
          <w:p w:rsidR="008D37D6" w:rsidRDefault="008D37D6" w:rsidP="00326236">
            <w:pPr>
              <w:pStyle w:val="ListParagraph"/>
              <w:ind w:left="0"/>
              <w:rPr>
                <w:rFonts w:cs="Arial"/>
              </w:rPr>
            </w:pPr>
          </w:p>
          <w:p w:rsidR="008D37D6" w:rsidRPr="00CB129F" w:rsidRDefault="008D37D6" w:rsidP="00326236">
            <w:pPr>
              <w:shd w:val="clear" w:color="auto" w:fill="FFFFFF"/>
              <w:spacing w:after="75"/>
              <w:rPr>
                <w:rFonts w:ascii="Arial" w:eastAsia="Times New Roman" w:hAnsi="Arial" w:cs="Arial"/>
                <w:color w:val="0B0C0C"/>
                <w:sz w:val="29"/>
                <w:szCs w:val="29"/>
                <w:lang w:eastAsia="en-GB"/>
              </w:rPr>
            </w:pPr>
            <w:r w:rsidRPr="00CB129F">
              <w:rPr>
                <w:rFonts w:ascii="Arial" w:hAnsi="Arial" w:cs="Arial"/>
              </w:rPr>
              <w:t xml:space="preserve">Then </w:t>
            </w:r>
            <w:r w:rsidRPr="00CB129F">
              <w:rPr>
                <w:rFonts w:ascii="Arial" w:eastAsia="Times New Roman" w:hAnsi="Arial" w:cs="Arial"/>
                <w:color w:val="0B0C0C"/>
                <w:lang w:eastAsia="en-GB"/>
              </w:rPr>
              <w:t xml:space="preserve">£151.97 </w:t>
            </w:r>
            <w:r>
              <w:rPr>
                <w:rFonts w:ascii="Arial" w:eastAsia="Times New Roman" w:hAnsi="Arial" w:cs="Arial"/>
                <w:color w:val="0B0C0C"/>
                <w:lang w:eastAsia="en-GB"/>
              </w:rPr>
              <w:t xml:space="preserve">or 90% of the </w:t>
            </w:r>
            <w:r w:rsidRPr="00CB129F">
              <w:rPr>
                <w:rFonts w:ascii="Arial" w:eastAsia="Times New Roman" w:hAnsi="Arial" w:cs="Arial"/>
                <w:color w:val="0B0C0C"/>
                <w:lang w:eastAsia="en-GB"/>
              </w:rPr>
              <w:t>average weekly earnings (whichever is lower) for the next 33 weeks</w:t>
            </w:r>
          </w:p>
          <w:p w:rsidR="008D37D6" w:rsidRDefault="008D37D6" w:rsidP="00326236">
            <w:pPr>
              <w:pStyle w:val="ListParagraph"/>
              <w:ind w:left="0"/>
              <w:rPr>
                <w:rFonts w:cs="Arial"/>
              </w:rPr>
            </w:pPr>
          </w:p>
        </w:tc>
      </w:tr>
      <w:tr w:rsidR="008D37D6" w:rsidTr="008D37D6">
        <w:tc>
          <w:tcPr>
            <w:tcW w:w="1418" w:type="dxa"/>
          </w:tcPr>
          <w:p w:rsidR="008D37D6" w:rsidRDefault="008D37D6" w:rsidP="00326236">
            <w:pPr>
              <w:pStyle w:val="ListParagraph"/>
              <w:ind w:left="0"/>
              <w:rPr>
                <w:rFonts w:cs="Arial"/>
              </w:rPr>
            </w:pPr>
          </w:p>
        </w:tc>
        <w:tc>
          <w:tcPr>
            <w:tcW w:w="1574" w:type="dxa"/>
          </w:tcPr>
          <w:p w:rsidR="008D37D6" w:rsidRDefault="008D37D6" w:rsidP="00326236">
            <w:pPr>
              <w:pStyle w:val="ListParagraph"/>
              <w:ind w:left="0"/>
              <w:rPr>
                <w:rFonts w:cs="Arial"/>
              </w:rPr>
            </w:pPr>
            <w:r>
              <w:rPr>
                <w:rFonts w:cs="Arial"/>
              </w:rPr>
              <w:t>Additional Adoption Leave (AAL)</w:t>
            </w:r>
          </w:p>
        </w:tc>
        <w:tc>
          <w:tcPr>
            <w:tcW w:w="1545" w:type="dxa"/>
          </w:tcPr>
          <w:p w:rsidR="008D37D6" w:rsidRDefault="008D37D6" w:rsidP="00326236">
            <w:pPr>
              <w:pStyle w:val="ListParagraph"/>
              <w:ind w:left="0"/>
              <w:rPr>
                <w:rFonts w:cs="Arial"/>
              </w:rPr>
            </w:pPr>
            <w:r>
              <w:rPr>
                <w:rFonts w:cs="Arial"/>
              </w:rPr>
              <w:t>26 weeks</w:t>
            </w:r>
          </w:p>
        </w:tc>
        <w:tc>
          <w:tcPr>
            <w:tcW w:w="1730" w:type="dxa"/>
          </w:tcPr>
          <w:p w:rsidR="008D37D6" w:rsidRDefault="008D37D6" w:rsidP="00326236">
            <w:pPr>
              <w:pStyle w:val="ListParagraph"/>
              <w:ind w:left="0"/>
              <w:rPr>
                <w:rFonts w:cs="Arial"/>
              </w:rPr>
            </w:pPr>
          </w:p>
        </w:tc>
        <w:tc>
          <w:tcPr>
            <w:tcW w:w="1819" w:type="dxa"/>
          </w:tcPr>
          <w:p w:rsidR="008D37D6" w:rsidRDefault="008D37D6" w:rsidP="00326236">
            <w:pPr>
              <w:pStyle w:val="ListParagraph"/>
              <w:ind w:left="0"/>
              <w:rPr>
                <w:rFonts w:cs="Arial"/>
              </w:rPr>
            </w:pPr>
            <w:r>
              <w:rPr>
                <w:rFonts w:cs="Arial"/>
              </w:rPr>
              <w:t>Entitled to 10 KIT days</w:t>
            </w:r>
          </w:p>
        </w:tc>
        <w:tc>
          <w:tcPr>
            <w:tcW w:w="1837" w:type="dxa"/>
          </w:tcPr>
          <w:p w:rsidR="008D37D6" w:rsidRDefault="008D37D6" w:rsidP="00326236">
            <w:pPr>
              <w:pStyle w:val="ListParagraph"/>
              <w:ind w:left="0"/>
              <w:rPr>
                <w:rFonts w:cs="Arial"/>
              </w:rPr>
            </w:pPr>
          </w:p>
        </w:tc>
      </w:tr>
      <w:tr w:rsidR="008D37D6" w:rsidTr="008D37D6">
        <w:tc>
          <w:tcPr>
            <w:tcW w:w="1418" w:type="dxa"/>
          </w:tcPr>
          <w:p w:rsidR="008D37D6" w:rsidRDefault="008D37D6" w:rsidP="00326236">
            <w:pPr>
              <w:pStyle w:val="ListParagraph"/>
              <w:ind w:left="0"/>
              <w:rPr>
                <w:rFonts w:cs="Arial"/>
              </w:rPr>
            </w:pPr>
            <w:r>
              <w:rPr>
                <w:rFonts w:cs="Arial"/>
              </w:rPr>
              <w:t>Shared Parental Leave</w:t>
            </w:r>
          </w:p>
        </w:tc>
        <w:tc>
          <w:tcPr>
            <w:tcW w:w="1574" w:type="dxa"/>
          </w:tcPr>
          <w:p w:rsidR="008D37D6" w:rsidRDefault="008D37D6" w:rsidP="00326236">
            <w:pPr>
              <w:pStyle w:val="ListParagraph"/>
              <w:ind w:left="0"/>
              <w:rPr>
                <w:rFonts w:cs="Arial"/>
              </w:rPr>
            </w:pPr>
            <w:r>
              <w:rPr>
                <w:rFonts w:cs="Arial"/>
              </w:rPr>
              <w:t>Qualifying period of 26 weeks continuous service</w:t>
            </w:r>
          </w:p>
        </w:tc>
        <w:tc>
          <w:tcPr>
            <w:tcW w:w="1545" w:type="dxa"/>
          </w:tcPr>
          <w:p w:rsidR="008D37D6" w:rsidRDefault="008D37D6" w:rsidP="00326236">
            <w:pPr>
              <w:pStyle w:val="ListParagraph"/>
              <w:ind w:left="0"/>
              <w:rPr>
                <w:rFonts w:cs="Arial"/>
              </w:rPr>
            </w:pPr>
            <w:r>
              <w:rPr>
                <w:rFonts w:cs="Arial"/>
              </w:rPr>
              <w:t>Entitled to opt to share the SML with child’s parent to provide the care</w:t>
            </w:r>
          </w:p>
        </w:tc>
        <w:tc>
          <w:tcPr>
            <w:tcW w:w="1730" w:type="dxa"/>
          </w:tcPr>
          <w:p w:rsidR="008D37D6" w:rsidRDefault="008D37D6" w:rsidP="00326236">
            <w:pPr>
              <w:pStyle w:val="ListParagraph"/>
              <w:ind w:left="0"/>
              <w:rPr>
                <w:rFonts w:cs="Arial"/>
              </w:rPr>
            </w:pPr>
            <w:r>
              <w:rPr>
                <w:rFonts w:cs="Arial"/>
              </w:rPr>
              <w:t>Continuous leave is an entitlement</w:t>
            </w:r>
          </w:p>
          <w:p w:rsidR="008D37D6" w:rsidRDefault="008D37D6" w:rsidP="00326236">
            <w:pPr>
              <w:pStyle w:val="ListParagraph"/>
              <w:ind w:left="0"/>
              <w:rPr>
                <w:rFonts w:cs="Arial"/>
              </w:rPr>
            </w:pPr>
          </w:p>
          <w:p w:rsidR="008D37D6" w:rsidRDefault="008D37D6" w:rsidP="00326236">
            <w:pPr>
              <w:pStyle w:val="ListParagraph"/>
              <w:ind w:left="0"/>
              <w:rPr>
                <w:rFonts w:cs="Arial"/>
              </w:rPr>
            </w:pPr>
            <w:r>
              <w:rPr>
                <w:rFonts w:cs="Arial"/>
              </w:rPr>
              <w:t>Any breaks in leave would classify the leave as Discontinuous Leave.  This can be refused</w:t>
            </w:r>
          </w:p>
        </w:tc>
        <w:tc>
          <w:tcPr>
            <w:tcW w:w="1819" w:type="dxa"/>
          </w:tcPr>
          <w:p w:rsidR="008D37D6" w:rsidRDefault="008D37D6" w:rsidP="00326236">
            <w:pPr>
              <w:pStyle w:val="ListParagraph"/>
              <w:ind w:left="0"/>
              <w:rPr>
                <w:rFonts w:cs="Arial"/>
              </w:rPr>
            </w:pPr>
            <w:r>
              <w:rPr>
                <w:rFonts w:cs="Arial"/>
              </w:rPr>
              <w:t xml:space="preserve">20 split KIT days to be shared </w:t>
            </w:r>
          </w:p>
        </w:tc>
        <w:tc>
          <w:tcPr>
            <w:tcW w:w="1837" w:type="dxa"/>
          </w:tcPr>
          <w:p w:rsidR="008D37D6" w:rsidRDefault="008D37D6" w:rsidP="00326236">
            <w:pPr>
              <w:pStyle w:val="ListParagraph"/>
              <w:ind w:left="0"/>
              <w:rPr>
                <w:rFonts w:cs="Arial"/>
              </w:rPr>
            </w:pPr>
            <w:r>
              <w:rPr>
                <w:rFonts w:cs="Arial"/>
              </w:rPr>
              <w:t>Shared Parental Pay (</w:t>
            </w:r>
            <w:proofErr w:type="spellStart"/>
            <w:r>
              <w:rPr>
                <w:rFonts w:cs="Arial"/>
              </w:rPr>
              <w:t>ShPP</w:t>
            </w:r>
            <w:proofErr w:type="spellEnd"/>
            <w:r>
              <w:rPr>
                <w:rFonts w:cs="Arial"/>
              </w:rPr>
              <w:t>) is same as SMP but shared between the couple</w:t>
            </w:r>
          </w:p>
        </w:tc>
      </w:tr>
      <w:tr w:rsidR="008D37D6" w:rsidTr="008D37D6">
        <w:tc>
          <w:tcPr>
            <w:tcW w:w="1418" w:type="dxa"/>
          </w:tcPr>
          <w:p w:rsidR="008D37D6" w:rsidRDefault="008D37D6" w:rsidP="00326236">
            <w:pPr>
              <w:pStyle w:val="ListParagraph"/>
              <w:ind w:left="0"/>
              <w:rPr>
                <w:rFonts w:cs="Arial"/>
              </w:rPr>
            </w:pPr>
            <w:r>
              <w:rPr>
                <w:rFonts w:cs="Arial"/>
              </w:rPr>
              <w:t>Parental Leave</w:t>
            </w:r>
          </w:p>
        </w:tc>
        <w:tc>
          <w:tcPr>
            <w:tcW w:w="1574" w:type="dxa"/>
          </w:tcPr>
          <w:p w:rsidR="008D37D6" w:rsidRDefault="008D37D6" w:rsidP="00326236">
            <w:pPr>
              <w:pStyle w:val="ListParagraph"/>
              <w:ind w:left="0"/>
              <w:rPr>
                <w:rFonts w:cs="Arial"/>
              </w:rPr>
            </w:pPr>
            <w:r>
              <w:rPr>
                <w:rFonts w:cs="Arial"/>
              </w:rPr>
              <w:t xml:space="preserve">Qualifying period of 1 year’s continuous service </w:t>
            </w:r>
          </w:p>
          <w:p w:rsidR="008D37D6" w:rsidRDefault="008D37D6" w:rsidP="00326236">
            <w:pPr>
              <w:pStyle w:val="ListParagraph"/>
              <w:ind w:left="0"/>
              <w:rPr>
                <w:rFonts w:cs="Arial"/>
              </w:rPr>
            </w:pPr>
          </w:p>
        </w:tc>
        <w:tc>
          <w:tcPr>
            <w:tcW w:w="1545" w:type="dxa"/>
          </w:tcPr>
          <w:p w:rsidR="008D37D6" w:rsidRDefault="008D37D6" w:rsidP="00326236">
            <w:pPr>
              <w:pStyle w:val="ListParagraph"/>
              <w:ind w:left="0"/>
              <w:rPr>
                <w:rFonts w:cs="Arial"/>
              </w:rPr>
            </w:pPr>
            <w:r>
              <w:rPr>
                <w:rFonts w:cs="Arial"/>
              </w:rPr>
              <w:t xml:space="preserve">If period of leave required is 2 weeks or less, 4 weeks’ notice is required.  Any longer requires 8 </w:t>
            </w:r>
            <w:proofErr w:type="spellStart"/>
            <w:r>
              <w:rPr>
                <w:rFonts w:cs="Arial"/>
              </w:rPr>
              <w:t>weeks notice</w:t>
            </w:r>
            <w:proofErr w:type="spellEnd"/>
          </w:p>
        </w:tc>
        <w:tc>
          <w:tcPr>
            <w:tcW w:w="1730" w:type="dxa"/>
          </w:tcPr>
          <w:p w:rsidR="008D37D6" w:rsidRDefault="008D37D6" w:rsidP="00326236">
            <w:pPr>
              <w:pStyle w:val="ListParagraph"/>
              <w:ind w:left="0"/>
              <w:rPr>
                <w:rFonts w:cs="Arial"/>
              </w:rPr>
            </w:pPr>
            <w:r>
              <w:rPr>
                <w:rFonts w:cs="Arial"/>
              </w:rPr>
              <w:t>The leave has to be for the purpose of caring for a child</w:t>
            </w:r>
          </w:p>
        </w:tc>
        <w:tc>
          <w:tcPr>
            <w:tcW w:w="1819" w:type="dxa"/>
          </w:tcPr>
          <w:p w:rsidR="008D37D6" w:rsidRDefault="008D37D6" w:rsidP="00326236">
            <w:pPr>
              <w:pStyle w:val="ListParagraph"/>
              <w:ind w:left="0"/>
              <w:rPr>
                <w:rFonts w:cs="Arial"/>
              </w:rPr>
            </w:pPr>
            <w:r>
              <w:rPr>
                <w:rFonts w:cs="Arial"/>
              </w:rPr>
              <w:t>Up to 18 weeks’ leave can be taken per child – maximum 4 weeks in any one year</w:t>
            </w:r>
          </w:p>
          <w:p w:rsidR="008D37D6" w:rsidRDefault="008D37D6" w:rsidP="00326236">
            <w:pPr>
              <w:pStyle w:val="ListParagraph"/>
              <w:ind w:left="0"/>
              <w:rPr>
                <w:rFonts w:cs="Arial"/>
              </w:rPr>
            </w:pPr>
          </w:p>
        </w:tc>
        <w:tc>
          <w:tcPr>
            <w:tcW w:w="1837" w:type="dxa"/>
          </w:tcPr>
          <w:p w:rsidR="008D37D6" w:rsidRDefault="008D37D6" w:rsidP="00326236">
            <w:pPr>
              <w:pStyle w:val="ListParagraph"/>
              <w:ind w:left="0"/>
              <w:rPr>
                <w:rFonts w:cs="Arial"/>
              </w:rPr>
            </w:pPr>
            <w:r>
              <w:rPr>
                <w:rFonts w:cs="Arial"/>
              </w:rPr>
              <w:t>Unpaid</w:t>
            </w:r>
          </w:p>
        </w:tc>
      </w:tr>
      <w:tr w:rsidR="008D37D6" w:rsidTr="008D37D6">
        <w:tc>
          <w:tcPr>
            <w:tcW w:w="1418" w:type="dxa"/>
          </w:tcPr>
          <w:p w:rsidR="008D37D6" w:rsidRDefault="008D37D6" w:rsidP="00326236">
            <w:pPr>
              <w:pStyle w:val="ListParagraph"/>
              <w:ind w:left="0"/>
              <w:rPr>
                <w:rFonts w:cs="Arial"/>
              </w:rPr>
            </w:pPr>
            <w:r>
              <w:rPr>
                <w:rFonts w:cs="Arial"/>
              </w:rPr>
              <w:t>Time Off for Dependents</w:t>
            </w:r>
          </w:p>
        </w:tc>
        <w:tc>
          <w:tcPr>
            <w:tcW w:w="1574" w:type="dxa"/>
          </w:tcPr>
          <w:p w:rsidR="008D37D6" w:rsidRDefault="008D37D6" w:rsidP="00326236">
            <w:pPr>
              <w:pStyle w:val="ListParagraph"/>
              <w:ind w:left="0"/>
              <w:rPr>
                <w:rFonts w:cs="Arial"/>
              </w:rPr>
            </w:pPr>
            <w:r>
              <w:rPr>
                <w:rFonts w:cs="Arial"/>
              </w:rPr>
              <w:t xml:space="preserve">A dependent is classified as a </w:t>
            </w:r>
            <w:proofErr w:type="spellStart"/>
            <w:r>
              <w:rPr>
                <w:rFonts w:cs="Arial"/>
              </w:rPr>
              <w:t>wife,husband</w:t>
            </w:r>
            <w:proofErr w:type="spellEnd"/>
            <w:r>
              <w:rPr>
                <w:rFonts w:cs="Arial"/>
              </w:rPr>
              <w:t>, child, parent or someone residing in the same house</w:t>
            </w:r>
          </w:p>
        </w:tc>
        <w:tc>
          <w:tcPr>
            <w:tcW w:w="1545" w:type="dxa"/>
          </w:tcPr>
          <w:p w:rsidR="008D37D6" w:rsidRDefault="008D37D6" w:rsidP="00326236">
            <w:pPr>
              <w:pStyle w:val="ListParagraph"/>
              <w:ind w:left="0"/>
              <w:rPr>
                <w:rFonts w:cs="Arial"/>
              </w:rPr>
            </w:pPr>
            <w:r>
              <w:rPr>
                <w:rFonts w:cs="Arial"/>
              </w:rPr>
              <w:t>No notice required</w:t>
            </w:r>
          </w:p>
        </w:tc>
        <w:tc>
          <w:tcPr>
            <w:tcW w:w="1730" w:type="dxa"/>
          </w:tcPr>
          <w:p w:rsidR="008D37D6" w:rsidRDefault="008D37D6" w:rsidP="00326236">
            <w:pPr>
              <w:pStyle w:val="ListParagraph"/>
              <w:ind w:left="0"/>
              <w:rPr>
                <w:rFonts w:cs="Arial"/>
              </w:rPr>
            </w:pPr>
            <w:r>
              <w:rPr>
                <w:rFonts w:cs="Arial"/>
              </w:rPr>
              <w:t>To provide a reasonable amount of time to take action where necessary in relation to a dependent</w:t>
            </w:r>
          </w:p>
        </w:tc>
        <w:tc>
          <w:tcPr>
            <w:tcW w:w="1819" w:type="dxa"/>
          </w:tcPr>
          <w:p w:rsidR="008D37D6" w:rsidRDefault="008D37D6" w:rsidP="00326236">
            <w:pPr>
              <w:pStyle w:val="ListParagraph"/>
              <w:ind w:left="0"/>
              <w:rPr>
                <w:rFonts w:cs="Arial"/>
              </w:rPr>
            </w:pPr>
            <w:r>
              <w:rPr>
                <w:rFonts w:cs="Arial"/>
              </w:rPr>
              <w:t xml:space="preserve">An explanation for the nature of the leave is required as soon as practicable </w:t>
            </w:r>
          </w:p>
        </w:tc>
        <w:tc>
          <w:tcPr>
            <w:tcW w:w="1837" w:type="dxa"/>
          </w:tcPr>
          <w:p w:rsidR="008D37D6" w:rsidRDefault="008D37D6" w:rsidP="00326236">
            <w:pPr>
              <w:pStyle w:val="ListParagraph"/>
              <w:ind w:left="0"/>
              <w:rPr>
                <w:rFonts w:cs="Arial"/>
              </w:rPr>
            </w:pPr>
            <w:r>
              <w:rPr>
                <w:rFonts w:cs="Arial"/>
              </w:rPr>
              <w:t xml:space="preserve">Unpaid </w:t>
            </w:r>
          </w:p>
        </w:tc>
      </w:tr>
    </w:tbl>
    <w:p w:rsidR="008D37D6" w:rsidRDefault="008D37D6" w:rsidP="008D37D6">
      <w:pPr>
        <w:pStyle w:val="ListParagraph"/>
        <w:ind w:left="0"/>
        <w:rPr>
          <w:rFonts w:cs="Arial"/>
        </w:rPr>
      </w:pPr>
      <w:r>
        <w:rPr>
          <w:rFonts w:cs="Arial"/>
        </w:rPr>
        <w:t xml:space="preserve">  (Details of Maternity Pay were found at .Gov.uk)</w:t>
      </w:r>
    </w:p>
    <w:p w:rsidR="008D37D6" w:rsidRDefault="008D37D6" w:rsidP="00FF5FA3">
      <w:pPr>
        <w:pStyle w:val="ListParagraph"/>
        <w:ind w:left="0"/>
        <w:rPr>
          <w:rFonts w:cs="Arial"/>
        </w:rPr>
        <w:sectPr w:rsidR="008D37D6">
          <w:pgSz w:w="11906" w:h="16838"/>
          <w:pgMar w:top="1440" w:right="1440" w:bottom="1440" w:left="1440" w:header="708" w:footer="708" w:gutter="0"/>
          <w:cols w:space="708"/>
          <w:docGrid w:linePitch="360"/>
        </w:sectPr>
      </w:pPr>
    </w:p>
    <w:p w:rsidR="002C46D1" w:rsidRDefault="002C46D1" w:rsidP="00FF5FA3">
      <w:pPr>
        <w:pStyle w:val="ListParagraph"/>
        <w:ind w:left="0"/>
        <w:rPr>
          <w:rFonts w:cs="Arial"/>
        </w:rPr>
      </w:pPr>
    </w:p>
    <w:p w:rsidR="002C46D1" w:rsidRDefault="002C46D1" w:rsidP="00FF5FA3">
      <w:pPr>
        <w:pStyle w:val="ListParagraph"/>
        <w:ind w:left="0"/>
        <w:rPr>
          <w:rFonts w:cs="Arial"/>
        </w:rPr>
      </w:pPr>
    </w:p>
    <w:p w:rsidR="002C46D1" w:rsidRDefault="002C46D1" w:rsidP="00FF5FA3">
      <w:pPr>
        <w:pStyle w:val="ListParagraph"/>
        <w:ind w:left="0"/>
        <w:rPr>
          <w:rFonts w:cs="Arial"/>
        </w:rPr>
      </w:pPr>
      <w:r>
        <w:rPr>
          <w:rFonts w:cs="Arial"/>
        </w:rPr>
        <w:t>Reference List</w:t>
      </w:r>
    </w:p>
    <w:p w:rsidR="003724F7" w:rsidRDefault="003724F7" w:rsidP="00FF5FA3">
      <w:pPr>
        <w:pStyle w:val="ListParagraph"/>
        <w:ind w:left="0"/>
        <w:rPr>
          <w:rFonts w:cs="Arial"/>
        </w:rPr>
      </w:pPr>
    </w:p>
    <w:p w:rsidR="003724F7" w:rsidRDefault="003724F7" w:rsidP="00FF5FA3">
      <w:pPr>
        <w:pStyle w:val="ListParagraph"/>
        <w:ind w:left="0"/>
        <w:rPr>
          <w:rFonts w:cs="Arial"/>
        </w:rPr>
      </w:pPr>
      <w:r>
        <w:rPr>
          <w:rFonts w:cs="Arial"/>
        </w:rPr>
        <w:t xml:space="preserve">ACAS (2020) </w:t>
      </w:r>
      <w:r>
        <w:rPr>
          <w:rFonts w:cs="Arial"/>
          <w:i/>
        </w:rPr>
        <w:t xml:space="preserve">Discipline and Grievances at work, The ACAS Guide, </w:t>
      </w:r>
      <w:r>
        <w:rPr>
          <w:rFonts w:cs="Arial"/>
        </w:rPr>
        <w:t xml:space="preserve">July 2020 [Online] Available at:  </w:t>
      </w:r>
      <w:hyperlink r:id="rId16" w:history="1">
        <w:r>
          <w:rPr>
            <w:rStyle w:val="Hyperlink"/>
          </w:rPr>
          <w:t>Discipline and Grievances at work (acas.org.uk)</w:t>
        </w:r>
      </w:hyperlink>
      <w:r>
        <w:t xml:space="preserve"> (Accessed 19 April 2021)</w:t>
      </w:r>
    </w:p>
    <w:p w:rsidR="006265AD" w:rsidRDefault="006265AD" w:rsidP="00FF5FA3">
      <w:pPr>
        <w:pStyle w:val="ListParagraph"/>
        <w:ind w:left="0"/>
        <w:rPr>
          <w:rFonts w:cs="Arial"/>
        </w:rPr>
      </w:pPr>
    </w:p>
    <w:p w:rsidR="006610F5" w:rsidRDefault="006610F5" w:rsidP="00FF5FA3">
      <w:pPr>
        <w:pStyle w:val="ListParagraph"/>
        <w:ind w:left="0"/>
        <w:rPr>
          <w:rFonts w:cs="Arial"/>
        </w:rPr>
      </w:pPr>
      <w:r w:rsidRPr="006610F5">
        <w:rPr>
          <w:rFonts w:cs="Arial"/>
          <w:i/>
        </w:rPr>
        <w:t>Barber v Somerset County Council</w:t>
      </w:r>
      <w:r>
        <w:rPr>
          <w:rFonts w:cs="Arial"/>
        </w:rPr>
        <w:t xml:space="preserve"> [2004] UKHL13 [Online] Available at: </w:t>
      </w:r>
      <w:hyperlink r:id="rId17" w:history="1">
        <w:r>
          <w:rPr>
            <w:rStyle w:val="Hyperlink"/>
          </w:rPr>
          <w:t>House of Lords - Barber (Appellant) v. Somerset County Council (Respondents) (parliament.uk)</w:t>
        </w:r>
      </w:hyperlink>
      <w:r>
        <w:t xml:space="preserve"> (</w:t>
      </w:r>
      <w:proofErr w:type="spellStart"/>
      <w:r>
        <w:t>Accesed</w:t>
      </w:r>
      <w:proofErr w:type="spellEnd"/>
      <w:r>
        <w:t>: 18 April 2021)</w:t>
      </w:r>
    </w:p>
    <w:p w:rsidR="006610F5" w:rsidRDefault="006610F5" w:rsidP="00FF5FA3">
      <w:pPr>
        <w:pStyle w:val="ListParagraph"/>
        <w:ind w:left="0"/>
        <w:rPr>
          <w:rFonts w:cs="Arial"/>
        </w:rPr>
      </w:pPr>
    </w:p>
    <w:p w:rsidR="00E50F82" w:rsidRDefault="00E50F82" w:rsidP="00FF5FA3">
      <w:pPr>
        <w:pStyle w:val="ListParagraph"/>
        <w:ind w:left="0"/>
        <w:rPr>
          <w:rFonts w:cs="Arial"/>
        </w:rPr>
      </w:pPr>
      <w:r>
        <w:rPr>
          <w:rStyle w:val="Emphasis"/>
          <w:rFonts w:cs="Arial"/>
          <w:color w:val="000000"/>
          <w:bdr w:val="none" w:sz="0" w:space="0" w:color="auto" w:frame="1"/>
          <w:shd w:val="clear" w:color="auto" w:fill="FFFFFF"/>
        </w:rPr>
        <w:t xml:space="preserve">BS v Dundee City Council [2013] CSIH 91 </w:t>
      </w:r>
      <w:proofErr w:type="gramStart"/>
      <w:r>
        <w:rPr>
          <w:rStyle w:val="Emphasis"/>
          <w:rFonts w:cs="Arial"/>
          <w:color w:val="000000"/>
          <w:bdr w:val="none" w:sz="0" w:space="0" w:color="auto" w:frame="1"/>
          <w:shd w:val="clear" w:color="auto" w:fill="FFFFFF"/>
        </w:rPr>
        <w:t>CS</w:t>
      </w:r>
      <w:r>
        <w:rPr>
          <w:rFonts w:cs="Arial"/>
        </w:rPr>
        <w:t xml:space="preserve">  </w:t>
      </w:r>
      <w:r>
        <w:rPr>
          <w:rFonts w:cs="Arial"/>
        </w:rPr>
        <w:t>[</w:t>
      </w:r>
      <w:proofErr w:type="gramEnd"/>
      <w:r>
        <w:rPr>
          <w:rFonts w:cs="Arial"/>
        </w:rPr>
        <w:t xml:space="preserve">Online] Available at: </w:t>
      </w:r>
      <w:hyperlink r:id="rId18" w:history="1">
        <w:r>
          <w:rPr>
            <w:rStyle w:val="Hyperlink"/>
          </w:rPr>
          <w:t>Court of Session guidance on length of service in ill-health dismissals - Personnel Today</w:t>
        </w:r>
      </w:hyperlink>
      <w:r w:rsidR="000E65A6">
        <w:t xml:space="preserve"> (Accessed :19 April 2021)</w:t>
      </w:r>
    </w:p>
    <w:p w:rsidR="00E50F82" w:rsidRDefault="00E50F82" w:rsidP="00FF5FA3">
      <w:pPr>
        <w:pStyle w:val="ListParagraph"/>
        <w:ind w:left="0"/>
        <w:rPr>
          <w:rFonts w:cs="Arial"/>
        </w:rPr>
      </w:pPr>
    </w:p>
    <w:p w:rsidR="006265AD" w:rsidRPr="00730568" w:rsidRDefault="006265AD" w:rsidP="00FF5FA3">
      <w:pPr>
        <w:pStyle w:val="ListParagraph"/>
        <w:ind w:left="0"/>
        <w:rPr>
          <w:rFonts w:cs="Arial"/>
        </w:rPr>
      </w:pPr>
      <w:r w:rsidRPr="00730568">
        <w:rPr>
          <w:rFonts w:cs="Arial"/>
        </w:rPr>
        <w:t>Daniels</w:t>
      </w:r>
      <w:r w:rsidR="00514971" w:rsidRPr="00730568">
        <w:rPr>
          <w:rFonts w:cs="Arial"/>
        </w:rPr>
        <w:t>, K</w:t>
      </w:r>
      <w:r w:rsidRPr="00730568">
        <w:rPr>
          <w:rFonts w:cs="Arial"/>
        </w:rPr>
        <w:t xml:space="preserve"> (2019)</w:t>
      </w:r>
      <w:r w:rsidR="00B05DC4" w:rsidRPr="00730568">
        <w:rPr>
          <w:rFonts w:cs="Arial"/>
        </w:rPr>
        <w:t xml:space="preserve"> </w:t>
      </w:r>
      <w:r w:rsidR="00B05DC4" w:rsidRPr="00730568">
        <w:rPr>
          <w:rFonts w:cs="Arial"/>
          <w:i/>
        </w:rPr>
        <w:t xml:space="preserve">Introduction to Employment Law, </w:t>
      </w:r>
      <w:r w:rsidR="00B05DC4" w:rsidRPr="00730568">
        <w:rPr>
          <w:rFonts w:cs="Arial"/>
        </w:rPr>
        <w:t>5</w:t>
      </w:r>
      <w:r w:rsidR="00B05DC4" w:rsidRPr="00730568">
        <w:rPr>
          <w:rFonts w:cs="Arial"/>
          <w:vertAlign w:val="superscript"/>
        </w:rPr>
        <w:t>th</w:t>
      </w:r>
      <w:r w:rsidR="00B05DC4" w:rsidRPr="00730568">
        <w:rPr>
          <w:rFonts w:cs="Arial"/>
        </w:rPr>
        <w:t xml:space="preserve"> edition, London, </w:t>
      </w:r>
      <w:proofErr w:type="spellStart"/>
      <w:r w:rsidR="00B05DC4" w:rsidRPr="00730568">
        <w:rPr>
          <w:rFonts w:cs="Arial"/>
        </w:rPr>
        <w:t>Kogan</w:t>
      </w:r>
      <w:proofErr w:type="spellEnd"/>
      <w:r w:rsidR="00B05DC4" w:rsidRPr="00730568">
        <w:rPr>
          <w:rFonts w:cs="Arial"/>
        </w:rPr>
        <w:t xml:space="preserve"> Page Ltd, p1</w:t>
      </w:r>
    </w:p>
    <w:p w:rsidR="00CD2081" w:rsidRPr="00730568" w:rsidRDefault="00CD2081" w:rsidP="00FF5FA3">
      <w:pPr>
        <w:pStyle w:val="ListParagraph"/>
        <w:ind w:left="0"/>
        <w:rPr>
          <w:rFonts w:cs="Arial"/>
        </w:rPr>
      </w:pPr>
    </w:p>
    <w:p w:rsidR="00CD2081" w:rsidRDefault="00CD2081" w:rsidP="00FF5FA3">
      <w:pPr>
        <w:pStyle w:val="ListParagraph"/>
        <w:ind w:left="0"/>
        <w:rPr>
          <w:rFonts w:cs="Arial"/>
        </w:rPr>
      </w:pPr>
      <w:proofErr w:type="spellStart"/>
      <w:r w:rsidRPr="00730568">
        <w:rPr>
          <w:rFonts w:cs="Arial"/>
          <w:i/>
        </w:rPr>
        <w:t>Devonald</w:t>
      </w:r>
      <w:proofErr w:type="spellEnd"/>
      <w:r w:rsidRPr="00730568">
        <w:rPr>
          <w:rFonts w:cs="Arial"/>
          <w:i/>
        </w:rPr>
        <w:t xml:space="preserve"> v Rosser </w:t>
      </w:r>
      <w:r w:rsidRPr="00730568">
        <w:rPr>
          <w:rFonts w:cs="Arial"/>
        </w:rPr>
        <w:t>[1906], Daniels, K (2019) Introduction to Employment Law</w:t>
      </w:r>
    </w:p>
    <w:p w:rsidR="00C31FA6" w:rsidRDefault="00C31FA6" w:rsidP="00FF5FA3">
      <w:pPr>
        <w:pStyle w:val="ListParagraph"/>
        <w:ind w:left="0"/>
        <w:rPr>
          <w:rFonts w:cs="Arial"/>
        </w:rPr>
      </w:pPr>
    </w:p>
    <w:p w:rsidR="00C31FA6" w:rsidRPr="00730568" w:rsidRDefault="00C31FA6" w:rsidP="00FF5FA3">
      <w:pPr>
        <w:pStyle w:val="ListParagraph"/>
        <w:ind w:left="0"/>
        <w:rPr>
          <w:rFonts w:cs="Arial"/>
        </w:rPr>
      </w:pPr>
      <w:proofErr w:type="spellStart"/>
      <w:r w:rsidRPr="00730568">
        <w:rPr>
          <w:rFonts w:cs="Arial"/>
          <w:i/>
        </w:rPr>
        <w:t>Etam</w:t>
      </w:r>
      <w:proofErr w:type="spellEnd"/>
      <w:r w:rsidRPr="00730568">
        <w:rPr>
          <w:rFonts w:cs="Arial"/>
          <w:i/>
        </w:rPr>
        <w:t xml:space="preserve"> </w:t>
      </w:r>
      <w:proofErr w:type="spellStart"/>
      <w:r w:rsidRPr="00730568">
        <w:rPr>
          <w:rFonts w:cs="Arial"/>
          <w:i/>
        </w:rPr>
        <w:t>plc</w:t>
      </w:r>
      <w:proofErr w:type="spellEnd"/>
      <w:r w:rsidRPr="00730568">
        <w:rPr>
          <w:rFonts w:cs="Arial"/>
          <w:i/>
        </w:rPr>
        <w:t xml:space="preserve"> v Rowan </w:t>
      </w:r>
      <w:r w:rsidRPr="00730568">
        <w:rPr>
          <w:rFonts w:cs="Arial"/>
        </w:rPr>
        <w:t>[1989], Daniels, K</w:t>
      </w:r>
      <w:proofErr w:type="gramStart"/>
      <w:r w:rsidRPr="00730568">
        <w:rPr>
          <w:rFonts w:cs="Arial"/>
        </w:rPr>
        <w:t>.(</w:t>
      </w:r>
      <w:proofErr w:type="gramEnd"/>
      <w:r w:rsidRPr="00730568">
        <w:rPr>
          <w:rFonts w:cs="Arial"/>
        </w:rPr>
        <w:t>2019)  Introduction to Employment Law</w:t>
      </w:r>
    </w:p>
    <w:p w:rsidR="009A3CF1" w:rsidRPr="00730568" w:rsidRDefault="009A3CF1" w:rsidP="00FF5FA3">
      <w:pPr>
        <w:pStyle w:val="ListParagraph"/>
        <w:ind w:left="0"/>
        <w:rPr>
          <w:rFonts w:cs="Arial"/>
        </w:rPr>
      </w:pPr>
    </w:p>
    <w:p w:rsidR="009A3CF1" w:rsidRDefault="002558D5" w:rsidP="00FF5FA3">
      <w:pPr>
        <w:pStyle w:val="ListParagraph"/>
        <w:ind w:left="0"/>
        <w:rPr>
          <w:rFonts w:cs="Arial"/>
        </w:rPr>
      </w:pPr>
      <w:r w:rsidRPr="00730568">
        <w:rPr>
          <w:rFonts w:cs="Arial"/>
        </w:rPr>
        <w:t xml:space="preserve">Great Britain. </w:t>
      </w:r>
      <w:r w:rsidR="009A3CF1" w:rsidRPr="00730568">
        <w:rPr>
          <w:rFonts w:cs="Arial"/>
          <w:i/>
        </w:rPr>
        <w:t>Employment Rights Act 1996</w:t>
      </w:r>
      <w:r w:rsidRPr="00730568">
        <w:rPr>
          <w:rFonts w:cs="Arial"/>
        </w:rPr>
        <w:t>: Elizabeth II. Part XI Chapter II (1996)</w:t>
      </w:r>
      <w:r w:rsidR="009A3CF1" w:rsidRPr="00730568">
        <w:rPr>
          <w:rFonts w:cs="Arial"/>
        </w:rPr>
        <w:t xml:space="preserve"> </w:t>
      </w:r>
      <w:r w:rsidRPr="00730568">
        <w:rPr>
          <w:rFonts w:cs="Arial"/>
        </w:rPr>
        <w:t>[</w:t>
      </w:r>
      <w:r w:rsidR="009A3CF1" w:rsidRPr="00730568">
        <w:rPr>
          <w:rFonts w:cs="Arial"/>
        </w:rPr>
        <w:t>Online</w:t>
      </w:r>
      <w:r w:rsidRPr="00730568">
        <w:rPr>
          <w:rFonts w:cs="Arial"/>
        </w:rPr>
        <w:t xml:space="preserve">] Available </w:t>
      </w:r>
      <w:proofErr w:type="gramStart"/>
      <w:r w:rsidRPr="00730568">
        <w:rPr>
          <w:rFonts w:cs="Arial"/>
        </w:rPr>
        <w:t xml:space="preserve">at </w:t>
      </w:r>
      <w:r w:rsidR="009A3CF1" w:rsidRPr="00730568">
        <w:rPr>
          <w:rFonts w:cs="Arial"/>
        </w:rPr>
        <w:t>:</w:t>
      </w:r>
      <w:proofErr w:type="gramEnd"/>
      <w:r w:rsidR="009A3CF1" w:rsidRPr="00730568">
        <w:rPr>
          <w:rFonts w:cs="Arial"/>
        </w:rPr>
        <w:t xml:space="preserve">  </w:t>
      </w:r>
      <w:hyperlink r:id="rId19" w:history="1">
        <w:r w:rsidR="009A3CF1" w:rsidRPr="00730568">
          <w:rPr>
            <w:rStyle w:val="Hyperlink"/>
            <w:rFonts w:cs="Arial"/>
          </w:rPr>
          <w:t>Employment Rights Act 1996 (legislation.gov.uk)</w:t>
        </w:r>
      </w:hyperlink>
      <w:r w:rsidR="009A3CF1" w:rsidRPr="00730568">
        <w:rPr>
          <w:rFonts w:cs="Arial"/>
        </w:rPr>
        <w:t xml:space="preserve"> (Access</w:t>
      </w:r>
      <w:r w:rsidRPr="00730568">
        <w:rPr>
          <w:rFonts w:cs="Arial"/>
        </w:rPr>
        <w:t xml:space="preserve">ed 17 April </w:t>
      </w:r>
      <w:r w:rsidR="009A3CF1" w:rsidRPr="00730568">
        <w:rPr>
          <w:rFonts w:cs="Arial"/>
        </w:rPr>
        <w:t>2021)</w:t>
      </w:r>
    </w:p>
    <w:p w:rsidR="00156EBE" w:rsidRDefault="00156EBE" w:rsidP="00FF5FA3">
      <w:pPr>
        <w:pStyle w:val="ListParagraph"/>
        <w:ind w:left="0"/>
        <w:rPr>
          <w:rFonts w:cs="Arial"/>
        </w:rPr>
      </w:pPr>
    </w:p>
    <w:p w:rsidR="00156EBE" w:rsidRPr="00156EBE" w:rsidRDefault="00156EBE" w:rsidP="00FF5FA3">
      <w:pPr>
        <w:pStyle w:val="ListParagraph"/>
        <w:ind w:left="0"/>
        <w:rPr>
          <w:rFonts w:cs="Arial"/>
        </w:rPr>
      </w:pPr>
      <w:r>
        <w:rPr>
          <w:rFonts w:cs="Arial"/>
        </w:rPr>
        <w:t xml:space="preserve">Great Britain. </w:t>
      </w:r>
      <w:r>
        <w:rPr>
          <w:rFonts w:cs="Arial"/>
          <w:i/>
        </w:rPr>
        <w:t xml:space="preserve">Employment Rights Act 1996: </w:t>
      </w:r>
      <w:r>
        <w:rPr>
          <w:rFonts w:cs="Arial"/>
        </w:rPr>
        <w:t xml:space="preserve">Elizabeth II. Section 98 (1996) [Online] Available at:  </w:t>
      </w:r>
      <w:hyperlink r:id="rId20" w:history="1">
        <w:r>
          <w:rPr>
            <w:rStyle w:val="Hyperlink"/>
          </w:rPr>
          <w:t>Employment Rights Act 1996 (legislation.gov.uk)</w:t>
        </w:r>
      </w:hyperlink>
      <w:r>
        <w:t xml:space="preserve"> (Accessed 19 April 2021)</w:t>
      </w:r>
    </w:p>
    <w:p w:rsidR="00C441C9" w:rsidRDefault="00C441C9" w:rsidP="00FF5FA3">
      <w:pPr>
        <w:pStyle w:val="ListParagraph"/>
        <w:ind w:left="0"/>
        <w:rPr>
          <w:rFonts w:cs="Arial"/>
        </w:rPr>
      </w:pPr>
    </w:p>
    <w:p w:rsidR="00C441C9" w:rsidRDefault="00C441C9" w:rsidP="00FF5FA3">
      <w:pPr>
        <w:pStyle w:val="ListParagraph"/>
        <w:ind w:left="0"/>
      </w:pPr>
      <w:r>
        <w:rPr>
          <w:rFonts w:cs="Arial"/>
        </w:rPr>
        <w:t xml:space="preserve">Great Britain. </w:t>
      </w:r>
      <w:proofErr w:type="gramStart"/>
      <w:r>
        <w:rPr>
          <w:rFonts w:cs="Arial"/>
          <w:i/>
        </w:rPr>
        <w:t xml:space="preserve">The Collective Redundancies and Transfer of Undertakings (Protection of Employment) (Amendment) Regulations 2014: </w:t>
      </w:r>
      <w:r>
        <w:rPr>
          <w:rFonts w:cs="Arial"/>
        </w:rPr>
        <w:t>Elizabeth II.</w:t>
      </w:r>
      <w:proofErr w:type="gramEnd"/>
      <w:r>
        <w:rPr>
          <w:rFonts w:cs="Arial"/>
        </w:rPr>
        <w:t xml:space="preserve"> No 16, Regulation 4</w:t>
      </w:r>
      <w:r>
        <w:rPr>
          <w:rFonts w:cs="Arial"/>
          <w:i/>
        </w:rPr>
        <w:t xml:space="preserve"> </w:t>
      </w:r>
      <w:r>
        <w:rPr>
          <w:rFonts w:cs="Arial"/>
        </w:rPr>
        <w:t xml:space="preserve">[Online] Available at: </w:t>
      </w:r>
      <w:hyperlink r:id="rId21" w:history="1">
        <w:r>
          <w:rPr>
            <w:rStyle w:val="Hyperlink"/>
          </w:rPr>
          <w:t>The Collective Redundancies and Transfer of Undertakings (Protection of Employment) (Amendment) Regulations 2014 (legislation.gov.uk)</w:t>
        </w:r>
      </w:hyperlink>
      <w:r>
        <w:t xml:space="preserve"> (Accessed 17 April 2021)</w:t>
      </w:r>
    </w:p>
    <w:p w:rsidR="004F09EC" w:rsidRDefault="004F09EC" w:rsidP="00FF5FA3">
      <w:pPr>
        <w:pStyle w:val="ListParagraph"/>
        <w:ind w:left="0"/>
      </w:pPr>
    </w:p>
    <w:p w:rsidR="004F09EC" w:rsidRPr="004F09EC" w:rsidRDefault="004F09EC" w:rsidP="00FF5FA3">
      <w:pPr>
        <w:pStyle w:val="ListParagraph"/>
        <w:ind w:left="0"/>
        <w:rPr>
          <w:rFonts w:cs="Arial"/>
        </w:rPr>
      </w:pPr>
      <w:r>
        <w:t xml:space="preserve">Great Britain.  </w:t>
      </w:r>
      <w:r>
        <w:rPr>
          <w:i/>
        </w:rPr>
        <w:t xml:space="preserve">The National Minimum Wages Act 1998: </w:t>
      </w:r>
      <w:r>
        <w:t xml:space="preserve">Elizabeth II. Part 1 (1998) [Online] Available at: </w:t>
      </w:r>
      <w:hyperlink r:id="rId22" w:history="1">
        <w:r>
          <w:rPr>
            <w:rStyle w:val="Hyperlink"/>
          </w:rPr>
          <w:t>NMWM01030 - National Minimum Wage Manual - HMRC internal manual - GOV.UK (www.gov.uk)</w:t>
        </w:r>
      </w:hyperlink>
      <w:r>
        <w:t xml:space="preserve"> (Accessed 18 April 2021)</w:t>
      </w:r>
    </w:p>
    <w:p w:rsidR="00C31FA6" w:rsidRDefault="00C31FA6" w:rsidP="00FF5FA3">
      <w:pPr>
        <w:pStyle w:val="ListParagraph"/>
        <w:ind w:left="0"/>
        <w:rPr>
          <w:rFonts w:cs="Arial"/>
        </w:rPr>
      </w:pPr>
    </w:p>
    <w:p w:rsidR="00C31FA6" w:rsidRPr="00730568" w:rsidRDefault="00C31FA6" w:rsidP="00C31FA6">
      <w:pPr>
        <w:pStyle w:val="ListParagraph"/>
        <w:ind w:left="0"/>
        <w:rPr>
          <w:rFonts w:cs="Arial"/>
          <w:i/>
        </w:rPr>
      </w:pPr>
      <w:r w:rsidRPr="00C31FA6">
        <w:rPr>
          <w:i/>
        </w:rPr>
        <w:t>Maternity Pay and Leave</w:t>
      </w:r>
      <w:r>
        <w:rPr>
          <w:i/>
        </w:rPr>
        <w:t xml:space="preserve"> </w:t>
      </w:r>
      <w:r>
        <w:t xml:space="preserve">(2021) Available at: </w:t>
      </w:r>
      <w:hyperlink r:id="rId23" w:history="1">
        <w:r>
          <w:rPr>
            <w:rStyle w:val="Hyperlink"/>
          </w:rPr>
          <w:t>Maternity pay and leave: Pay - GOV.UK (www.gov.uk)</w:t>
        </w:r>
      </w:hyperlink>
      <w:r>
        <w:t xml:space="preserve"> (Accessed: 18 April 2021)</w:t>
      </w:r>
    </w:p>
    <w:p w:rsidR="00C31FA6" w:rsidRPr="00730568" w:rsidRDefault="00C31FA6" w:rsidP="00FF5FA3">
      <w:pPr>
        <w:pStyle w:val="ListParagraph"/>
        <w:ind w:left="0"/>
        <w:rPr>
          <w:rFonts w:cs="Arial"/>
        </w:rPr>
      </w:pPr>
    </w:p>
    <w:p w:rsidR="00AF6D51" w:rsidRPr="00730568" w:rsidRDefault="00AF6D51" w:rsidP="00FF5FA3">
      <w:pPr>
        <w:pStyle w:val="ListParagraph"/>
        <w:ind w:left="0"/>
        <w:rPr>
          <w:rFonts w:cs="Arial"/>
        </w:rPr>
      </w:pPr>
    </w:p>
    <w:p w:rsidR="00AF6D51" w:rsidRPr="00730568" w:rsidRDefault="00AF6D51" w:rsidP="00FF5FA3">
      <w:pPr>
        <w:pStyle w:val="ListParagraph"/>
        <w:ind w:left="0"/>
        <w:rPr>
          <w:rFonts w:cs="Arial"/>
        </w:rPr>
      </w:pPr>
      <w:r w:rsidRPr="00730568">
        <w:rPr>
          <w:rStyle w:val="Emphasis"/>
          <w:rFonts w:cs="Arial"/>
          <w:bCs/>
          <w:iCs w:val="0"/>
          <w:shd w:val="clear" w:color="auto" w:fill="FFFFFF"/>
        </w:rPr>
        <w:t>Ready Mixed Concrete</w:t>
      </w:r>
      <w:r w:rsidRPr="00730568">
        <w:rPr>
          <w:rFonts w:cs="Arial"/>
          <w:shd w:val="clear" w:color="auto" w:fill="FFFFFF"/>
        </w:rPr>
        <w:t> Ltd </w:t>
      </w:r>
      <w:r w:rsidRPr="00730568">
        <w:rPr>
          <w:rStyle w:val="Emphasis"/>
          <w:rFonts w:cs="Arial"/>
          <w:bCs/>
          <w:iCs w:val="0"/>
          <w:shd w:val="clear" w:color="auto" w:fill="FFFFFF"/>
        </w:rPr>
        <w:t>v Minister of Pensions</w:t>
      </w:r>
      <w:r w:rsidRPr="00730568">
        <w:rPr>
          <w:rFonts w:cs="Arial"/>
          <w:shd w:val="clear" w:color="auto" w:fill="FFFFFF"/>
        </w:rPr>
        <w:t xml:space="preserve"> [1968] 2 QB 497 </w:t>
      </w:r>
      <w:r w:rsidR="002558D5" w:rsidRPr="00730568">
        <w:rPr>
          <w:rFonts w:cs="Arial"/>
          <w:shd w:val="clear" w:color="auto" w:fill="FFFFFF"/>
        </w:rPr>
        <w:t>[</w:t>
      </w:r>
      <w:r w:rsidRPr="00730568">
        <w:rPr>
          <w:rFonts w:cs="Arial"/>
          <w:shd w:val="clear" w:color="auto" w:fill="FFFFFF"/>
        </w:rPr>
        <w:t>Online</w:t>
      </w:r>
      <w:r w:rsidR="002558D5" w:rsidRPr="00730568">
        <w:rPr>
          <w:rFonts w:cs="Arial"/>
          <w:shd w:val="clear" w:color="auto" w:fill="FFFFFF"/>
        </w:rPr>
        <w:t>] Available</w:t>
      </w:r>
      <w:r w:rsidRPr="00730568">
        <w:rPr>
          <w:rFonts w:cs="Arial"/>
          <w:shd w:val="clear" w:color="auto" w:fill="FFFFFF"/>
        </w:rPr>
        <w:t xml:space="preserve"> at</w:t>
      </w:r>
      <w:r w:rsidR="002558D5" w:rsidRPr="00730568">
        <w:rPr>
          <w:rFonts w:cs="Arial"/>
          <w:shd w:val="clear" w:color="auto" w:fill="FFFFFF"/>
        </w:rPr>
        <w:t>:</w:t>
      </w:r>
      <w:r w:rsidRPr="00730568">
        <w:rPr>
          <w:rFonts w:cs="Arial"/>
          <w:shd w:val="clear" w:color="auto" w:fill="FFFFFF"/>
        </w:rPr>
        <w:t xml:space="preserve"> </w:t>
      </w:r>
      <w:hyperlink r:id="rId24" w:history="1">
        <w:r w:rsidRPr="00730568">
          <w:rPr>
            <w:rStyle w:val="Hyperlink"/>
            <w:rFonts w:cs="Arial"/>
          </w:rPr>
          <w:t>Ready Mixed Concrete v Minister of Pensions (lawteacher.net)</w:t>
        </w:r>
      </w:hyperlink>
      <w:r w:rsidR="002558D5" w:rsidRPr="00730568">
        <w:rPr>
          <w:rStyle w:val="Hyperlink"/>
          <w:rFonts w:cs="Arial"/>
        </w:rPr>
        <w:t xml:space="preserve"> </w:t>
      </w:r>
      <w:r w:rsidR="00730568" w:rsidRPr="00730568">
        <w:rPr>
          <w:rStyle w:val="Hyperlink"/>
          <w:rFonts w:cs="Arial"/>
          <w:color w:val="auto"/>
          <w:u w:val="none"/>
        </w:rPr>
        <w:t>(Accessed 12 April 2021)</w:t>
      </w:r>
    </w:p>
    <w:p w:rsidR="00326DF9" w:rsidRPr="00730568" w:rsidRDefault="00326DF9" w:rsidP="00FF5FA3">
      <w:pPr>
        <w:pStyle w:val="ListParagraph"/>
        <w:ind w:left="0"/>
        <w:rPr>
          <w:rFonts w:cs="Arial"/>
          <w:i/>
        </w:rPr>
      </w:pPr>
    </w:p>
    <w:p w:rsidR="002C46D1" w:rsidRPr="00730568" w:rsidRDefault="00326DF9" w:rsidP="00FF5FA3">
      <w:pPr>
        <w:pStyle w:val="ListParagraph"/>
        <w:ind w:left="0"/>
        <w:rPr>
          <w:rFonts w:cs="Arial"/>
        </w:rPr>
      </w:pPr>
      <w:proofErr w:type="spellStart"/>
      <w:r w:rsidRPr="00730568">
        <w:rPr>
          <w:rFonts w:cs="Arial"/>
          <w:i/>
        </w:rPr>
        <w:t>Riniker</w:t>
      </w:r>
      <w:proofErr w:type="spellEnd"/>
      <w:r w:rsidRPr="00730568">
        <w:rPr>
          <w:rFonts w:cs="Arial"/>
          <w:i/>
        </w:rPr>
        <w:t xml:space="preserve"> v City and Islington College Corporation </w:t>
      </w:r>
      <w:r w:rsidRPr="00730568">
        <w:rPr>
          <w:rFonts w:cs="Arial"/>
        </w:rPr>
        <w:t xml:space="preserve">[2010] ET/0495/08/CEA, Daniels, K (2019), </w:t>
      </w:r>
      <w:proofErr w:type="spellStart"/>
      <w:r w:rsidRPr="00730568">
        <w:rPr>
          <w:rFonts w:cs="Arial"/>
        </w:rPr>
        <w:t>Introducton</w:t>
      </w:r>
      <w:proofErr w:type="spellEnd"/>
      <w:r w:rsidRPr="00730568">
        <w:rPr>
          <w:rFonts w:cs="Arial"/>
        </w:rPr>
        <w:t xml:space="preserve"> to Employment Law</w:t>
      </w:r>
    </w:p>
    <w:p w:rsidR="00326DF9" w:rsidRPr="00730568" w:rsidRDefault="00326DF9" w:rsidP="00FF5FA3">
      <w:pPr>
        <w:pStyle w:val="ListParagraph"/>
        <w:ind w:left="0"/>
        <w:rPr>
          <w:rFonts w:cs="Arial"/>
        </w:rPr>
      </w:pPr>
    </w:p>
    <w:p w:rsidR="002C46D1" w:rsidRPr="00730568" w:rsidRDefault="002C46D1" w:rsidP="002C46D1">
      <w:pPr>
        <w:rPr>
          <w:rFonts w:ascii="Arial" w:hAnsi="Arial" w:cs="Arial"/>
          <w:i/>
        </w:rPr>
      </w:pPr>
      <w:proofErr w:type="spellStart"/>
      <w:r w:rsidRPr="00730568">
        <w:rPr>
          <w:rFonts w:ascii="Arial" w:hAnsi="Arial" w:cs="Arial"/>
          <w:i/>
        </w:rPr>
        <w:t>Scannell</w:t>
      </w:r>
      <w:proofErr w:type="spellEnd"/>
      <w:r w:rsidRPr="00730568">
        <w:rPr>
          <w:rFonts w:ascii="Arial" w:hAnsi="Arial" w:cs="Arial"/>
          <w:i/>
        </w:rPr>
        <w:t xml:space="preserve"> V Ganymede Solutions Limited </w:t>
      </w:r>
      <w:r w:rsidRPr="00730568">
        <w:rPr>
          <w:rFonts w:ascii="Arial" w:hAnsi="Arial" w:cs="Arial"/>
        </w:rPr>
        <w:t xml:space="preserve">[2017] Cardiff, Case Number 1600562/2017 </w:t>
      </w:r>
      <w:r w:rsidR="00730568" w:rsidRPr="00730568">
        <w:rPr>
          <w:rFonts w:ascii="Arial" w:hAnsi="Arial" w:cs="Arial"/>
        </w:rPr>
        <w:t>[</w:t>
      </w:r>
      <w:r w:rsidRPr="00730568">
        <w:rPr>
          <w:rFonts w:ascii="Arial" w:hAnsi="Arial" w:cs="Arial"/>
        </w:rPr>
        <w:t>Online</w:t>
      </w:r>
      <w:r w:rsidR="00730568" w:rsidRPr="00730568">
        <w:rPr>
          <w:rFonts w:ascii="Arial" w:hAnsi="Arial" w:cs="Arial"/>
        </w:rPr>
        <w:t>] Available</w:t>
      </w:r>
      <w:r w:rsidRPr="00730568">
        <w:rPr>
          <w:rFonts w:ascii="Arial" w:hAnsi="Arial" w:cs="Arial"/>
        </w:rPr>
        <w:t xml:space="preserve"> at: </w:t>
      </w:r>
      <w:hyperlink w:history="1">
        <w:r w:rsidRPr="00730568">
          <w:rPr>
            <w:rStyle w:val="Hyperlink"/>
            <w:rFonts w:ascii="Arial" w:hAnsi="Arial" w:cs="Arial"/>
          </w:rPr>
          <w:t xml:space="preserve">www.gov.uk 1600562 17 </w:t>
        </w:r>
        <w:proofErr w:type="spellStart"/>
        <w:r w:rsidRPr="00730568">
          <w:rPr>
            <w:rStyle w:val="Hyperlink"/>
            <w:rFonts w:ascii="Arial" w:hAnsi="Arial" w:cs="Arial"/>
          </w:rPr>
          <w:t>Scannell</w:t>
        </w:r>
        <w:proofErr w:type="spellEnd"/>
        <w:r w:rsidRPr="00730568">
          <w:rPr>
            <w:rStyle w:val="Hyperlink"/>
            <w:rFonts w:ascii="Arial" w:hAnsi="Arial" w:cs="Arial"/>
          </w:rPr>
          <w:t xml:space="preserve"> v Ganymede Solutions _PH judgment_.docx (publishing.service.gov.uk)</w:t>
        </w:r>
      </w:hyperlink>
      <w:r w:rsidR="00730568" w:rsidRPr="00730568">
        <w:rPr>
          <w:rFonts w:ascii="Arial" w:hAnsi="Arial" w:cs="Arial"/>
        </w:rPr>
        <w:t xml:space="preserve"> (Accessed 10 April </w:t>
      </w:r>
      <w:r w:rsidRPr="00730568">
        <w:rPr>
          <w:rFonts w:ascii="Arial" w:hAnsi="Arial" w:cs="Arial"/>
        </w:rPr>
        <w:t>2021)</w:t>
      </w:r>
    </w:p>
    <w:p w:rsidR="002C46D1" w:rsidRDefault="00951F87" w:rsidP="00FF5FA3">
      <w:pPr>
        <w:pStyle w:val="ListParagraph"/>
        <w:ind w:left="0"/>
        <w:rPr>
          <w:rFonts w:cs="Arial"/>
        </w:rPr>
      </w:pPr>
      <w:proofErr w:type="spellStart"/>
      <w:r w:rsidRPr="00730568">
        <w:rPr>
          <w:rFonts w:cs="Arial"/>
          <w:i/>
        </w:rPr>
        <w:t>Uber</w:t>
      </w:r>
      <w:proofErr w:type="spellEnd"/>
      <w:r w:rsidRPr="00730568">
        <w:rPr>
          <w:rFonts w:cs="Arial"/>
          <w:i/>
        </w:rPr>
        <w:t xml:space="preserve"> BV and others v </w:t>
      </w:r>
      <w:proofErr w:type="spellStart"/>
      <w:r w:rsidRPr="00730568">
        <w:rPr>
          <w:rFonts w:cs="Arial"/>
          <w:i/>
        </w:rPr>
        <w:t>Aslam</w:t>
      </w:r>
      <w:proofErr w:type="spellEnd"/>
      <w:r w:rsidRPr="00730568">
        <w:rPr>
          <w:rFonts w:cs="Arial"/>
          <w:i/>
        </w:rPr>
        <w:t xml:space="preserve"> </w:t>
      </w:r>
      <w:r w:rsidRPr="00730568">
        <w:rPr>
          <w:rFonts w:cs="Arial"/>
        </w:rPr>
        <w:t xml:space="preserve">[2019] UKSC 2019/0029 </w:t>
      </w:r>
      <w:r w:rsidR="00730568" w:rsidRPr="00730568">
        <w:rPr>
          <w:rFonts w:cs="Arial"/>
        </w:rPr>
        <w:t>[</w:t>
      </w:r>
      <w:r w:rsidRPr="00730568">
        <w:rPr>
          <w:rFonts w:cs="Arial"/>
        </w:rPr>
        <w:t>Online</w:t>
      </w:r>
      <w:r w:rsidR="00730568" w:rsidRPr="00730568">
        <w:rPr>
          <w:rFonts w:cs="Arial"/>
        </w:rPr>
        <w:t>] Available at</w:t>
      </w:r>
      <w:r w:rsidRPr="00730568">
        <w:rPr>
          <w:rFonts w:cs="Arial"/>
        </w:rPr>
        <w:t xml:space="preserve">: </w:t>
      </w:r>
      <w:hyperlink r:id="rId25" w:history="1">
        <w:proofErr w:type="spellStart"/>
        <w:r w:rsidRPr="00730568">
          <w:rPr>
            <w:rStyle w:val="Hyperlink"/>
            <w:rFonts w:cs="Arial"/>
          </w:rPr>
          <w:t>Uber</w:t>
        </w:r>
        <w:proofErr w:type="spellEnd"/>
        <w:r w:rsidRPr="00730568">
          <w:rPr>
            <w:rStyle w:val="Hyperlink"/>
            <w:rFonts w:cs="Arial"/>
          </w:rPr>
          <w:t xml:space="preserve"> BV and others (Appellants) v </w:t>
        </w:r>
        <w:proofErr w:type="spellStart"/>
        <w:r w:rsidRPr="00730568">
          <w:rPr>
            <w:rStyle w:val="Hyperlink"/>
            <w:rFonts w:cs="Arial"/>
          </w:rPr>
          <w:t>Aslam</w:t>
        </w:r>
        <w:proofErr w:type="spellEnd"/>
        <w:r w:rsidRPr="00730568">
          <w:rPr>
            <w:rStyle w:val="Hyperlink"/>
            <w:rFonts w:cs="Arial"/>
          </w:rPr>
          <w:t xml:space="preserve"> and others (Respondents) - The Supreme Court</w:t>
        </w:r>
      </w:hyperlink>
      <w:r w:rsidR="00730568" w:rsidRPr="00730568">
        <w:rPr>
          <w:rFonts w:cs="Arial"/>
        </w:rPr>
        <w:t xml:space="preserve"> (Accessed 10 April </w:t>
      </w:r>
      <w:r w:rsidRPr="00730568">
        <w:rPr>
          <w:rFonts w:cs="Arial"/>
        </w:rPr>
        <w:t>2021)</w:t>
      </w:r>
    </w:p>
    <w:p w:rsidR="00C31FA6" w:rsidRDefault="00C31FA6" w:rsidP="00FF5FA3">
      <w:pPr>
        <w:pStyle w:val="ListParagraph"/>
        <w:ind w:left="0"/>
        <w:rPr>
          <w:rFonts w:cs="Arial"/>
        </w:rPr>
      </w:pPr>
    </w:p>
    <w:sectPr w:rsidR="00C31F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3F93" w:rsidRDefault="00813F93" w:rsidP="00FF5FA3">
      <w:pPr>
        <w:spacing w:after="0"/>
      </w:pPr>
      <w:r>
        <w:separator/>
      </w:r>
    </w:p>
  </w:endnote>
  <w:endnote w:type="continuationSeparator" w:id="0">
    <w:p w:rsidR="00813F93" w:rsidRDefault="00813F93" w:rsidP="00FF5FA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3F93" w:rsidRDefault="00813F93" w:rsidP="00FF5FA3">
      <w:pPr>
        <w:spacing w:after="0"/>
      </w:pPr>
      <w:r>
        <w:separator/>
      </w:r>
    </w:p>
  </w:footnote>
  <w:footnote w:type="continuationSeparator" w:id="0">
    <w:p w:rsidR="00813F93" w:rsidRDefault="00813F93" w:rsidP="00FF5FA3">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3B5FF0"/>
    <w:multiLevelType w:val="hybridMultilevel"/>
    <w:tmpl w:val="7F684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D8E2C20"/>
    <w:multiLevelType w:val="hybridMultilevel"/>
    <w:tmpl w:val="ECFE5C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10CC1D51"/>
    <w:multiLevelType w:val="hybridMultilevel"/>
    <w:tmpl w:val="AF3406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9AB3389"/>
    <w:multiLevelType w:val="hybridMultilevel"/>
    <w:tmpl w:val="90A478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4171571B"/>
    <w:multiLevelType w:val="hybridMultilevel"/>
    <w:tmpl w:val="D76268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50E641F5"/>
    <w:multiLevelType w:val="multilevel"/>
    <w:tmpl w:val="1BB67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61C35B1"/>
    <w:multiLevelType w:val="hybridMultilevel"/>
    <w:tmpl w:val="05F4B7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57D258C5"/>
    <w:multiLevelType w:val="hybridMultilevel"/>
    <w:tmpl w:val="3046599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64AF5865"/>
    <w:multiLevelType w:val="hybridMultilevel"/>
    <w:tmpl w:val="EBD049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nsid w:val="7A29492D"/>
    <w:multiLevelType w:val="hybridMultilevel"/>
    <w:tmpl w:val="FB2EB2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
  </w:num>
  <w:num w:numId="3">
    <w:abstractNumId w:val="8"/>
  </w:num>
  <w:num w:numId="4">
    <w:abstractNumId w:val="9"/>
  </w:num>
  <w:num w:numId="5">
    <w:abstractNumId w:val="4"/>
  </w:num>
  <w:num w:numId="6">
    <w:abstractNumId w:val="0"/>
  </w:num>
  <w:num w:numId="7">
    <w:abstractNumId w:val="6"/>
  </w:num>
  <w:num w:numId="8">
    <w:abstractNumId w:val="5"/>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5FA3"/>
    <w:rsid w:val="00015BA3"/>
    <w:rsid w:val="00023551"/>
    <w:rsid w:val="000508E7"/>
    <w:rsid w:val="0005140C"/>
    <w:rsid w:val="000541CC"/>
    <w:rsid w:val="00055AE4"/>
    <w:rsid w:val="00064656"/>
    <w:rsid w:val="00067002"/>
    <w:rsid w:val="000A7863"/>
    <w:rsid w:val="000B1739"/>
    <w:rsid w:val="000C3348"/>
    <w:rsid w:val="000C3702"/>
    <w:rsid w:val="000E65A6"/>
    <w:rsid w:val="00113C97"/>
    <w:rsid w:val="00113FFE"/>
    <w:rsid w:val="00121288"/>
    <w:rsid w:val="0013158A"/>
    <w:rsid w:val="00155155"/>
    <w:rsid w:val="00156EBE"/>
    <w:rsid w:val="0016244C"/>
    <w:rsid w:val="00163ED9"/>
    <w:rsid w:val="0017175A"/>
    <w:rsid w:val="0017588A"/>
    <w:rsid w:val="00190EC7"/>
    <w:rsid w:val="00194E9B"/>
    <w:rsid w:val="00197387"/>
    <w:rsid w:val="001A1C5B"/>
    <w:rsid w:val="001C50F8"/>
    <w:rsid w:val="001F346F"/>
    <w:rsid w:val="00230A5D"/>
    <w:rsid w:val="002321B6"/>
    <w:rsid w:val="00236CB3"/>
    <w:rsid w:val="00250867"/>
    <w:rsid w:val="00250F94"/>
    <w:rsid w:val="00251CCC"/>
    <w:rsid w:val="002558D5"/>
    <w:rsid w:val="0027238A"/>
    <w:rsid w:val="002865B4"/>
    <w:rsid w:val="002B267E"/>
    <w:rsid w:val="002C22D7"/>
    <w:rsid w:val="002C46D1"/>
    <w:rsid w:val="002F29FD"/>
    <w:rsid w:val="00300040"/>
    <w:rsid w:val="00300F64"/>
    <w:rsid w:val="003044E1"/>
    <w:rsid w:val="00317A56"/>
    <w:rsid w:val="003211F5"/>
    <w:rsid w:val="00326DF9"/>
    <w:rsid w:val="00337FEC"/>
    <w:rsid w:val="003415A0"/>
    <w:rsid w:val="003417E9"/>
    <w:rsid w:val="003423E6"/>
    <w:rsid w:val="00351DBE"/>
    <w:rsid w:val="003558AC"/>
    <w:rsid w:val="003577E4"/>
    <w:rsid w:val="003630C4"/>
    <w:rsid w:val="0036501A"/>
    <w:rsid w:val="003724F7"/>
    <w:rsid w:val="003734BE"/>
    <w:rsid w:val="00384E89"/>
    <w:rsid w:val="003A5468"/>
    <w:rsid w:val="003B6CF7"/>
    <w:rsid w:val="003C2588"/>
    <w:rsid w:val="003C6BAB"/>
    <w:rsid w:val="003D3CF8"/>
    <w:rsid w:val="003E1757"/>
    <w:rsid w:val="003E2307"/>
    <w:rsid w:val="003E2495"/>
    <w:rsid w:val="003E323A"/>
    <w:rsid w:val="003E7B3C"/>
    <w:rsid w:val="003F6B00"/>
    <w:rsid w:val="003F750A"/>
    <w:rsid w:val="0041237A"/>
    <w:rsid w:val="004135A2"/>
    <w:rsid w:val="0044241C"/>
    <w:rsid w:val="004479B4"/>
    <w:rsid w:val="00454A5A"/>
    <w:rsid w:val="00456017"/>
    <w:rsid w:val="0045635C"/>
    <w:rsid w:val="004946A0"/>
    <w:rsid w:val="004D0825"/>
    <w:rsid w:val="004E5D8A"/>
    <w:rsid w:val="004F09EC"/>
    <w:rsid w:val="004F6EAC"/>
    <w:rsid w:val="00500D3B"/>
    <w:rsid w:val="00501466"/>
    <w:rsid w:val="00510427"/>
    <w:rsid w:val="00512899"/>
    <w:rsid w:val="00514971"/>
    <w:rsid w:val="00527D14"/>
    <w:rsid w:val="005355DB"/>
    <w:rsid w:val="005363A8"/>
    <w:rsid w:val="00553F5E"/>
    <w:rsid w:val="00570052"/>
    <w:rsid w:val="00573EF4"/>
    <w:rsid w:val="005861A1"/>
    <w:rsid w:val="00586E97"/>
    <w:rsid w:val="005F068E"/>
    <w:rsid w:val="006007E8"/>
    <w:rsid w:val="00617CC3"/>
    <w:rsid w:val="006265AD"/>
    <w:rsid w:val="006610F5"/>
    <w:rsid w:val="006633E4"/>
    <w:rsid w:val="00671F81"/>
    <w:rsid w:val="006827CD"/>
    <w:rsid w:val="00683038"/>
    <w:rsid w:val="006A631B"/>
    <w:rsid w:val="006B458A"/>
    <w:rsid w:val="006D2482"/>
    <w:rsid w:val="006F16C3"/>
    <w:rsid w:val="00721021"/>
    <w:rsid w:val="007255A7"/>
    <w:rsid w:val="00730568"/>
    <w:rsid w:val="00736D5F"/>
    <w:rsid w:val="00755B8A"/>
    <w:rsid w:val="00777709"/>
    <w:rsid w:val="00790D4B"/>
    <w:rsid w:val="00791204"/>
    <w:rsid w:val="0079376C"/>
    <w:rsid w:val="007B060B"/>
    <w:rsid w:val="007B1AC0"/>
    <w:rsid w:val="007B4C0A"/>
    <w:rsid w:val="007C063C"/>
    <w:rsid w:val="007D7971"/>
    <w:rsid w:val="00805735"/>
    <w:rsid w:val="00813F93"/>
    <w:rsid w:val="00823272"/>
    <w:rsid w:val="00847F2B"/>
    <w:rsid w:val="00861475"/>
    <w:rsid w:val="008B59EF"/>
    <w:rsid w:val="008B694C"/>
    <w:rsid w:val="008C2419"/>
    <w:rsid w:val="008D37D6"/>
    <w:rsid w:val="008E052E"/>
    <w:rsid w:val="008E3109"/>
    <w:rsid w:val="008E331E"/>
    <w:rsid w:val="008E7FE6"/>
    <w:rsid w:val="008F6C66"/>
    <w:rsid w:val="0095114B"/>
    <w:rsid w:val="00951F87"/>
    <w:rsid w:val="009661C0"/>
    <w:rsid w:val="0099118F"/>
    <w:rsid w:val="009A0971"/>
    <w:rsid w:val="009A3CF1"/>
    <w:rsid w:val="009A4959"/>
    <w:rsid w:val="009A562C"/>
    <w:rsid w:val="009B1A3E"/>
    <w:rsid w:val="009D60C5"/>
    <w:rsid w:val="00A0073C"/>
    <w:rsid w:val="00A03CE0"/>
    <w:rsid w:val="00A21B77"/>
    <w:rsid w:val="00A306C7"/>
    <w:rsid w:val="00A41661"/>
    <w:rsid w:val="00A43EDB"/>
    <w:rsid w:val="00A51DBE"/>
    <w:rsid w:val="00A66F12"/>
    <w:rsid w:val="00A72E2E"/>
    <w:rsid w:val="00A80F0A"/>
    <w:rsid w:val="00A945F7"/>
    <w:rsid w:val="00AC59E5"/>
    <w:rsid w:val="00AE550E"/>
    <w:rsid w:val="00AF6D51"/>
    <w:rsid w:val="00B0337E"/>
    <w:rsid w:val="00B05DC4"/>
    <w:rsid w:val="00B276E1"/>
    <w:rsid w:val="00B63D15"/>
    <w:rsid w:val="00B846FC"/>
    <w:rsid w:val="00B85AFF"/>
    <w:rsid w:val="00B93A5C"/>
    <w:rsid w:val="00BA5A4E"/>
    <w:rsid w:val="00BB2AFC"/>
    <w:rsid w:val="00BD25E2"/>
    <w:rsid w:val="00C0278D"/>
    <w:rsid w:val="00C0349B"/>
    <w:rsid w:val="00C1764F"/>
    <w:rsid w:val="00C23BC3"/>
    <w:rsid w:val="00C314DE"/>
    <w:rsid w:val="00C31FA6"/>
    <w:rsid w:val="00C441C9"/>
    <w:rsid w:val="00C55CB1"/>
    <w:rsid w:val="00C65D09"/>
    <w:rsid w:val="00C66A9D"/>
    <w:rsid w:val="00C864E3"/>
    <w:rsid w:val="00CB129F"/>
    <w:rsid w:val="00CD2081"/>
    <w:rsid w:val="00CF31DB"/>
    <w:rsid w:val="00D1343C"/>
    <w:rsid w:val="00D2718A"/>
    <w:rsid w:val="00D32586"/>
    <w:rsid w:val="00D35601"/>
    <w:rsid w:val="00D57F3D"/>
    <w:rsid w:val="00D67A13"/>
    <w:rsid w:val="00D87A28"/>
    <w:rsid w:val="00D93FB2"/>
    <w:rsid w:val="00DA0B28"/>
    <w:rsid w:val="00DA3647"/>
    <w:rsid w:val="00DB1755"/>
    <w:rsid w:val="00DC36EB"/>
    <w:rsid w:val="00DC6954"/>
    <w:rsid w:val="00DD2A91"/>
    <w:rsid w:val="00E11754"/>
    <w:rsid w:val="00E3486E"/>
    <w:rsid w:val="00E50F82"/>
    <w:rsid w:val="00E5418A"/>
    <w:rsid w:val="00E5466A"/>
    <w:rsid w:val="00E649E7"/>
    <w:rsid w:val="00E708AE"/>
    <w:rsid w:val="00E86121"/>
    <w:rsid w:val="00E93B24"/>
    <w:rsid w:val="00EB6207"/>
    <w:rsid w:val="00EE5094"/>
    <w:rsid w:val="00EE6BD9"/>
    <w:rsid w:val="00EF24F2"/>
    <w:rsid w:val="00F004AC"/>
    <w:rsid w:val="00F2661C"/>
    <w:rsid w:val="00F35589"/>
    <w:rsid w:val="00F42BAF"/>
    <w:rsid w:val="00F55937"/>
    <w:rsid w:val="00F60D52"/>
    <w:rsid w:val="00F7004E"/>
    <w:rsid w:val="00F748CA"/>
    <w:rsid w:val="00F76ACE"/>
    <w:rsid w:val="00F865B1"/>
    <w:rsid w:val="00FA4709"/>
    <w:rsid w:val="00FF3EA5"/>
    <w:rsid w:val="00FF48DF"/>
    <w:rsid w:val="00FF4B7D"/>
    <w:rsid w:val="00FF5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FA3"/>
    <w:pPr>
      <w:spacing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5FA3"/>
    <w:pPr>
      <w:spacing w:after="0"/>
      <w:ind w:left="720"/>
      <w:contextualSpacing/>
    </w:pPr>
    <w:rPr>
      <w:rFonts w:ascii="Arial" w:hAnsi="Arial"/>
    </w:rPr>
  </w:style>
  <w:style w:type="paragraph" w:styleId="Header">
    <w:name w:val="header"/>
    <w:basedOn w:val="Normal"/>
    <w:link w:val="HeaderChar"/>
    <w:uiPriority w:val="99"/>
    <w:unhideWhenUsed/>
    <w:rsid w:val="00FF5FA3"/>
    <w:pPr>
      <w:tabs>
        <w:tab w:val="center" w:pos="4513"/>
        <w:tab w:val="right" w:pos="9026"/>
      </w:tabs>
      <w:spacing w:after="0"/>
    </w:pPr>
  </w:style>
  <w:style w:type="character" w:customStyle="1" w:styleId="HeaderChar">
    <w:name w:val="Header Char"/>
    <w:basedOn w:val="DefaultParagraphFont"/>
    <w:link w:val="Header"/>
    <w:uiPriority w:val="99"/>
    <w:rsid w:val="00FF5FA3"/>
    <w:rPr>
      <w:rFonts w:ascii="Calibri" w:eastAsia="Calibri" w:hAnsi="Calibri" w:cs="Times New Roman"/>
    </w:rPr>
  </w:style>
  <w:style w:type="paragraph" w:styleId="Footer">
    <w:name w:val="footer"/>
    <w:basedOn w:val="Normal"/>
    <w:link w:val="FooterChar"/>
    <w:uiPriority w:val="99"/>
    <w:unhideWhenUsed/>
    <w:rsid w:val="00FF5FA3"/>
    <w:pPr>
      <w:tabs>
        <w:tab w:val="center" w:pos="4513"/>
        <w:tab w:val="right" w:pos="9026"/>
      </w:tabs>
      <w:spacing w:after="0"/>
    </w:pPr>
  </w:style>
  <w:style w:type="character" w:customStyle="1" w:styleId="FooterChar">
    <w:name w:val="Footer Char"/>
    <w:basedOn w:val="DefaultParagraphFont"/>
    <w:link w:val="Footer"/>
    <w:uiPriority w:val="99"/>
    <w:rsid w:val="00FF5FA3"/>
    <w:rPr>
      <w:rFonts w:ascii="Calibri" w:eastAsia="Calibri" w:hAnsi="Calibri" w:cs="Times New Roman"/>
    </w:rPr>
  </w:style>
  <w:style w:type="paragraph" w:styleId="NoSpacing">
    <w:name w:val="No Spacing"/>
    <w:uiPriority w:val="1"/>
    <w:qFormat/>
    <w:rsid w:val="00791204"/>
    <w:pPr>
      <w:spacing w:after="0" w:line="240" w:lineRule="auto"/>
    </w:pPr>
    <w:rPr>
      <w:rFonts w:ascii="Calibri" w:eastAsia="Calibri" w:hAnsi="Calibri" w:cs="Times New Roman"/>
    </w:rPr>
  </w:style>
  <w:style w:type="paragraph" w:styleId="BalloonText">
    <w:name w:val="Balloon Text"/>
    <w:basedOn w:val="Normal"/>
    <w:link w:val="BalloonTextChar"/>
    <w:uiPriority w:val="99"/>
    <w:semiHidden/>
    <w:unhideWhenUsed/>
    <w:rsid w:val="00F76ACE"/>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ACE"/>
    <w:rPr>
      <w:rFonts w:ascii="Tahoma" w:eastAsia="Calibri" w:hAnsi="Tahoma" w:cs="Tahoma"/>
      <w:sz w:val="16"/>
      <w:szCs w:val="16"/>
    </w:rPr>
  </w:style>
  <w:style w:type="character" w:styleId="Hyperlink">
    <w:name w:val="Hyperlink"/>
    <w:basedOn w:val="DefaultParagraphFont"/>
    <w:uiPriority w:val="99"/>
    <w:unhideWhenUsed/>
    <w:rsid w:val="00A03CE0"/>
    <w:rPr>
      <w:color w:val="0000FF"/>
      <w:u w:val="single"/>
    </w:rPr>
  </w:style>
  <w:style w:type="character" w:styleId="Emphasis">
    <w:name w:val="Emphasis"/>
    <w:basedOn w:val="DefaultParagraphFont"/>
    <w:uiPriority w:val="20"/>
    <w:qFormat/>
    <w:rsid w:val="00AF6D51"/>
    <w:rPr>
      <w:i/>
      <w:iCs/>
    </w:rPr>
  </w:style>
  <w:style w:type="table" w:styleId="TableGrid">
    <w:name w:val="Table Grid"/>
    <w:basedOn w:val="TableNormal"/>
    <w:uiPriority w:val="59"/>
    <w:rsid w:val="00454A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847F2B"/>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FA3"/>
    <w:pPr>
      <w:spacing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5FA3"/>
    <w:pPr>
      <w:spacing w:after="0"/>
      <w:ind w:left="720"/>
      <w:contextualSpacing/>
    </w:pPr>
    <w:rPr>
      <w:rFonts w:ascii="Arial" w:hAnsi="Arial"/>
    </w:rPr>
  </w:style>
  <w:style w:type="paragraph" w:styleId="Header">
    <w:name w:val="header"/>
    <w:basedOn w:val="Normal"/>
    <w:link w:val="HeaderChar"/>
    <w:uiPriority w:val="99"/>
    <w:unhideWhenUsed/>
    <w:rsid w:val="00FF5FA3"/>
    <w:pPr>
      <w:tabs>
        <w:tab w:val="center" w:pos="4513"/>
        <w:tab w:val="right" w:pos="9026"/>
      </w:tabs>
      <w:spacing w:after="0"/>
    </w:pPr>
  </w:style>
  <w:style w:type="character" w:customStyle="1" w:styleId="HeaderChar">
    <w:name w:val="Header Char"/>
    <w:basedOn w:val="DefaultParagraphFont"/>
    <w:link w:val="Header"/>
    <w:uiPriority w:val="99"/>
    <w:rsid w:val="00FF5FA3"/>
    <w:rPr>
      <w:rFonts w:ascii="Calibri" w:eastAsia="Calibri" w:hAnsi="Calibri" w:cs="Times New Roman"/>
    </w:rPr>
  </w:style>
  <w:style w:type="paragraph" w:styleId="Footer">
    <w:name w:val="footer"/>
    <w:basedOn w:val="Normal"/>
    <w:link w:val="FooterChar"/>
    <w:uiPriority w:val="99"/>
    <w:unhideWhenUsed/>
    <w:rsid w:val="00FF5FA3"/>
    <w:pPr>
      <w:tabs>
        <w:tab w:val="center" w:pos="4513"/>
        <w:tab w:val="right" w:pos="9026"/>
      </w:tabs>
      <w:spacing w:after="0"/>
    </w:pPr>
  </w:style>
  <w:style w:type="character" w:customStyle="1" w:styleId="FooterChar">
    <w:name w:val="Footer Char"/>
    <w:basedOn w:val="DefaultParagraphFont"/>
    <w:link w:val="Footer"/>
    <w:uiPriority w:val="99"/>
    <w:rsid w:val="00FF5FA3"/>
    <w:rPr>
      <w:rFonts w:ascii="Calibri" w:eastAsia="Calibri" w:hAnsi="Calibri" w:cs="Times New Roman"/>
    </w:rPr>
  </w:style>
  <w:style w:type="paragraph" w:styleId="NoSpacing">
    <w:name w:val="No Spacing"/>
    <w:uiPriority w:val="1"/>
    <w:qFormat/>
    <w:rsid w:val="00791204"/>
    <w:pPr>
      <w:spacing w:after="0" w:line="240" w:lineRule="auto"/>
    </w:pPr>
    <w:rPr>
      <w:rFonts w:ascii="Calibri" w:eastAsia="Calibri" w:hAnsi="Calibri" w:cs="Times New Roman"/>
    </w:rPr>
  </w:style>
  <w:style w:type="paragraph" w:styleId="BalloonText">
    <w:name w:val="Balloon Text"/>
    <w:basedOn w:val="Normal"/>
    <w:link w:val="BalloonTextChar"/>
    <w:uiPriority w:val="99"/>
    <w:semiHidden/>
    <w:unhideWhenUsed/>
    <w:rsid w:val="00F76ACE"/>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ACE"/>
    <w:rPr>
      <w:rFonts w:ascii="Tahoma" w:eastAsia="Calibri" w:hAnsi="Tahoma" w:cs="Tahoma"/>
      <w:sz w:val="16"/>
      <w:szCs w:val="16"/>
    </w:rPr>
  </w:style>
  <w:style w:type="character" w:styleId="Hyperlink">
    <w:name w:val="Hyperlink"/>
    <w:basedOn w:val="DefaultParagraphFont"/>
    <w:uiPriority w:val="99"/>
    <w:unhideWhenUsed/>
    <w:rsid w:val="00A03CE0"/>
    <w:rPr>
      <w:color w:val="0000FF"/>
      <w:u w:val="single"/>
    </w:rPr>
  </w:style>
  <w:style w:type="character" w:styleId="Emphasis">
    <w:name w:val="Emphasis"/>
    <w:basedOn w:val="DefaultParagraphFont"/>
    <w:uiPriority w:val="20"/>
    <w:qFormat/>
    <w:rsid w:val="00AF6D51"/>
    <w:rPr>
      <w:i/>
      <w:iCs/>
    </w:rPr>
  </w:style>
  <w:style w:type="table" w:styleId="TableGrid">
    <w:name w:val="Table Grid"/>
    <w:basedOn w:val="TableNormal"/>
    <w:uiPriority w:val="59"/>
    <w:rsid w:val="00454A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847F2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0663018">
      <w:bodyDiv w:val="1"/>
      <w:marLeft w:val="0"/>
      <w:marRight w:val="0"/>
      <w:marTop w:val="0"/>
      <w:marBottom w:val="0"/>
      <w:divBdr>
        <w:top w:val="none" w:sz="0" w:space="0" w:color="auto"/>
        <w:left w:val="none" w:sz="0" w:space="0" w:color="auto"/>
        <w:bottom w:val="none" w:sz="0" w:space="0" w:color="auto"/>
        <w:right w:val="none" w:sz="0" w:space="0" w:color="auto"/>
      </w:divBdr>
    </w:div>
    <w:div w:id="1617567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hyperlink" Target="https://www.personneltoday.com/hr/court-session-guidance-length-service-ill-health-dismissal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egislation.gov.uk/uksi/2014/16/contents/made" TargetMode="Externa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publications.parliament.uk/pa/ld200304/ldjudgmt/jd040401/barber-1.htm" TargetMode="External"/><Relationship Id="rId25" Type="http://schemas.openxmlformats.org/officeDocument/2006/relationships/hyperlink" Target="https://www.supremecourt.uk/cases/uksc-2019-0029.html" TargetMode="External"/><Relationship Id="rId2" Type="http://schemas.openxmlformats.org/officeDocument/2006/relationships/numbering" Target="numbering.xml"/><Relationship Id="rId16" Type="http://schemas.openxmlformats.org/officeDocument/2006/relationships/hyperlink" Target="https://www.acas.org.uk/sites/default/files/2021-03/discipline-and-grievances-at-work-the-acas-guide.pdf" TargetMode="External"/><Relationship Id="rId20" Type="http://schemas.openxmlformats.org/officeDocument/2006/relationships/hyperlink" Target="https://www.legislation.gov.uk/ukpga/1996/18/section/9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openxmlformats.org/officeDocument/2006/relationships/hyperlink" Target="https://www.lawteacher.net/cases/ready-mixed-concrete-v-minister-of-pensions.php" TargetMode="External"/><Relationship Id="rId5" Type="http://schemas.openxmlformats.org/officeDocument/2006/relationships/settings" Target="settings.xml"/><Relationship Id="rId15" Type="http://schemas.openxmlformats.org/officeDocument/2006/relationships/hyperlink" Target="Assignment%20-%20Understanding%20Employment%20Law.docx" TargetMode="External"/><Relationship Id="rId23" Type="http://schemas.openxmlformats.org/officeDocument/2006/relationships/hyperlink" Target="https://www.gov.uk/maternity-pay-leave/pay" TargetMode="External"/><Relationship Id="rId10" Type="http://schemas.openxmlformats.org/officeDocument/2006/relationships/diagramLayout" Target="diagrams/layout1.xml"/><Relationship Id="rId19" Type="http://schemas.openxmlformats.org/officeDocument/2006/relationships/hyperlink" Target="https://www.legislation.gov.uk/ukpga/1996/18/contents" TargetMode="Externa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hyperlink" Target="Assignment%20-%20Understanding%20Employment%20Law.docx" TargetMode="External"/><Relationship Id="rId22" Type="http://schemas.openxmlformats.org/officeDocument/2006/relationships/hyperlink" Target="https://www.gov.uk/hmrc-internal-manuals/national-minimum-wage-manual/nmwm01030"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592B45-3C34-4FDA-B582-61162DAF8BED}" type="doc">
      <dgm:prSet loTypeId="urn:microsoft.com/office/officeart/2005/8/layout/pyramid1" loCatId="pyramid" qsTypeId="urn:microsoft.com/office/officeart/2005/8/quickstyle/simple1" qsCatId="simple" csTypeId="urn:microsoft.com/office/officeart/2005/8/colors/accent1_4" csCatId="accent1" phldr="1"/>
      <dgm:spPr/>
      <dgm:t>
        <a:bodyPr/>
        <a:lstStyle/>
        <a:p>
          <a:endParaRPr lang="en-GB"/>
        </a:p>
      </dgm:t>
    </dgm:pt>
    <dgm:pt modelId="{06CB65C8-D959-497E-9200-CECBA640F653}">
      <dgm:prSet phldrT="[Text]" custT="1"/>
      <dgm:spPr/>
      <dgm:t>
        <a:bodyPr/>
        <a:lstStyle/>
        <a:p>
          <a:r>
            <a:rPr lang="en-GB" sz="2000"/>
            <a:t>Court of Appeal</a:t>
          </a:r>
        </a:p>
      </dgm:t>
    </dgm:pt>
    <dgm:pt modelId="{07BACE71-8FF2-4540-A999-8B25E5A24D09}" type="parTrans" cxnId="{5E2AAEE1-600C-4D01-B879-C853B77536FB}">
      <dgm:prSet/>
      <dgm:spPr/>
      <dgm:t>
        <a:bodyPr/>
        <a:lstStyle/>
        <a:p>
          <a:endParaRPr lang="en-GB"/>
        </a:p>
      </dgm:t>
    </dgm:pt>
    <dgm:pt modelId="{345A43E9-9DF2-4021-A1DD-BEECE69C0DED}" type="sibTrans" cxnId="{5E2AAEE1-600C-4D01-B879-C853B77536FB}">
      <dgm:prSet/>
      <dgm:spPr/>
      <dgm:t>
        <a:bodyPr/>
        <a:lstStyle/>
        <a:p>
          <a:endParaRPr lang="en-GB"/>
        </a:p>
      </dgm:t>
    </dgm:pt>
    <dgm:pt modelId="{9ABD5533-2B51-42A2-ACBF-BEE930BA5995}">
      <dgm:prSet phldrT="[Text]" custT="1"/>
      <dgm:spPr/>
      <dgm:t>
        <a:bodyPr/>
        <a:lstStyle/>
        <a:p>
          <a:r>
            <a:rPr lang="en-GB" sz="2200"/>
            <a:t>Employment Appeal Tribunal</a:t>
          </a:r>
        </a:p>
      </dgm:t>
    </dgm:pt>
    <dgm:pt modelId="{57250C72-7AC6-453A-BAF5-E83D3FD9448B}" type="parTrans" cxnId="{90B1F309-4B70-4BBD-AC02-A12426453B3B}">
      <dgm:prSet/>
      <dgm:spPr/>
      <dgm:t>
        <a:bodyPr/>
        <a:lstStyle/>
        <a:p>
          <a:endParaRPr lang="en-GB"/>
        </a:p>
      </dgm:t>
    </dgm:pt>
    <dgm:pt modelId="{6CA73E7E-F325-4E68-8E32-131DD61E26CC}" type="sibTrans" cxnId="{90B1F309-4B70-4BBD-AC02-A12426453B3B}">
      <dgm:prSet/>
      <dgm:spPr/>
      <dgm:t>
        <a:bodyPr/>
        <a:lstStyle/>
        <a:p>
          <a:endParaRPr lang="en-GB"/>
        </a:p>
      </dgm:t>
    </dgm:pt>
    <dgm:pt modelId="{A3F55CC9-53DF-4BBB-BEB6-B8E5A7275D98}">
      <dgm:prSet phldrT="[Text]" custT="1"/>
      <dgm:spPr/>
      <dgm:t>
        <a:bodyPr/>
        <a:lstStyle/>
        <a:p>
          <a:r>
            <a:rPr lang="en-GB" sz="2400"/>
            <a:t>Employment Tribunal</a:t>
          </a:r>
        </a:p>
      </dgm:t>
    </dgm:pt>
    <dgm:pt modelId="{90A4BC6D-A46D-4267-9907-145A36E00F9A}" type="parTrans" cxnId="{68C1F2FF-9C80-4C8A-ADB4-FECBFEE9CB7B}">
      <dgm:prSet/>
      <dgm:spPr/>
      <dgm:t>
        <a:bodyPr/>
        <a:lstStyle/>
        <a:p>
          <a:endParaRPr lang="en-GB"/>
        </a:p>
      </dgm:t>
    </dgm:pt>
    <dgm:pt modelId="{B21BCF27-6BA9-4DB6-8AA9-B42E67A762F5}" type="sibTrans" cxnId="{68C1F2FF-9C80-4C8A-ADB4-FECBFEE9CB7B}">
      <dgm:prSet/>
      <dgm:spPr/>
      <dgm:t>
        <a:bodyPr/>
        <a:lstStyle/>
        <a:p>
          <a:endParaRPr lang="en-GB"/>
        </a:p>
      </dgm:t>
    </dgm:pt>
    <dgm:pt modelId="{2B4D316E-9555-44E8-A757-3F977266CCB7}">
      <dgm:prSet phldrT="[Text]" custT="1"/>
      <dgm:spPr/>
      <dgm:t>
        <a:bodyPr/>
        <a:lstStyle/>
        <a:p>
          <a:endParaRPr lang="en-GB" sz="1600"/>
        </a:p>
        <a:p>
          <a:endParaRPr lang="en-GB" sz="1600"/>
        </a:p>
        <a:p>
          <a:r>
            <a:rPr lang="en-GB" sz="1600"/>
            <a:t>Supreme </a:t>
          </a:r>
          <a:r>
            <a:rPr lang="en-GB" sz="1600" baseline="0"/>
            <a:t>Court</a:t>
          </a:r>
        </a:p>
      </dgm:t>
    </dgm:pt>
    <dgm:pt modelId="{3EC145EE-67E0-412B-B55C-9650ED85F679}" type="sibTrans" cxnId="{84D8AF79-80DA-435E-9343-81F250B6D1A6}">
      <dgm:prSet/>
      <dgm:spPr/>
      <dgm:t>
        <a:bodyPr/>
        <a:lstStyle/>
        <a:p>
          <a:endParaRPr lang="en-GB"/>
        </a:p>
      </dgm:t>
    </dgm:pt>
    <dgm:pt modelId="{077BC665-D272-4C24-B465-7D65B83A6BD5}" type="parTrans" cxnId="{84D8AF79-80DA-435E-9343-81F250B6D1A6}">
      <dgm:prSet/>
      <dgm:spPr/>
      <dgm:t>
        <a:bodyPr/>
        <a:lstStyle/>
        <a:p>
          <a:endParaRPr lang="en-GB"/>
        </a:p>
      </dgm:t>
    </dgm:pt>
    <dgm:pt modelId="{F892A4A0-9513-47BD-81CB-8DDC861DDBF7}" type="pres">
      <dgm:prSet presAssocID="{5F592B45-3C34-4FDA-B582-61162DAF8BED}" presName="Name0" presStyleCnt="0">
        <dgm:presLayoutVars>
          <dgm:dir/>
          <dgm:animLvl val="lvl"/>
          <dgm:resizeHandles val="exact"/>
        </dgm:presLayoutVars>
      </dgm:prSet>
      <dgm:spPr/>
      <dgm:t>
        <a:bodyPr/>
        <a:lstStyle/>
        <a:p>
          <a:endParaRPr lang="en-GB"/>
        </a:p>
      </dgm:t>
    </dgm:pt>
    <dgm:pt modelId="{8CAD49B3-C6EF-41A2-93BC-6F4FD14BE0B8}" type="pres">
      <dgm:prSet presAssocID="{2B4D316E-9555-44E8-A757-3F977266CCB7}" presName="Name8" presStyleCnt="0"/>
      <dgm:spPr/>
    </dgm:pt>
    <dgm:pt modelId="{E42C827A-0289-4699-B144-CC9465D14AA7}" type="pres">
      <dgm:prSet presAssocID="{2B4D316E-9555-44E8-A757-3F977266CCB7}" presName="level" presStyleLbl="node1" presStyleIdx="0" presStyleCnt="4" custScaleY="154731">
        <dgm:presLayoutVars>
          <dgm:chMax val="1"/>
          <dgm:bulletEnabled val="1"/>
        </dgm:presLayoutVars>
      </dgm:prSet>
      <dgm:spPr/>
      <dgm:t>
        <a:bodyPr/>
        <a:lstStyle/>
        <a:p>
          <a:endParaRPr lang="en-GB"/>
        </a:p>
      </dgm:t>
    </dgm:pt>
    <dgm:pt modelId="{06A8D8C8-C817-4A43-9D0E-B122CEEC5737}" type="pres">
      <dgm:prSet presAssocID="{2B4D316E-9555-44E8-A757-3F977266CCB7}" presName="levelTx" presStyleLbl="revTx" presStyleIdx="0" presStyleCnt="0">
        <dgm:presLayoutVars>
          <dgm:chMax val="1"/>
          <dgm:bulletEnabled val="1"/>
        </dgm:presLayoutVars>
      </dgm:prSet>
      <dgm:spPr/>
      <dgm:t>
        <a:bodyPr/>
        <a:lstStyle/>
        <a:p>
          <a:endParaRPr lang="en-GB"/>
        </a:p>
      </dgm:t>
    </dgm:pt>
    <dgm:pt modelId="{B2EC9FAC-B019-4980-9C6A-5F957929D4DF}" type="pres">
      <dgm:prSet presAssocID="{06CB65C8-D959-497E-9200-CECBA640F653}" presName="Name8" presStyleCnt="0"/>
      <dgm:spPr/>
    </dgm:pt>
    <dgm:pt modelId="{D04F1D8D-1AE5-46AE-8781-5FD8C717934E}" type="pres">
      <dgm:prSet presAssocID="{06CB65C8-D959-497E-9200-CECBA640F653}" presName="level" presStyleLbl="node1" presStyleIdx="1" presStyleCnt="4">
        <dgm:presLayoutVars>
          <dgm:chMax val="1"/>
          <dgm:bulletEnabled val="1"/>
        </dgm:presLayoutVars>
      </dgm:prSet>
      <dgm:spPr/>
      <dgm:t>
        <a:bodyPr/>
        <a:lstStyle/>
        <a:p>
          <a:endParaRPr lang="en-GB"/>
        </a:p>
      </dgm:t>
    </dgm:pt>
    <dgm:pt modelId="{88AF1B31-E802-4CF4-8703-64766D43E26A}" type="pres">
      <dgm:prSet presAssocID="{06CB65C8-D959-497E-9200-CECBA640F653}" presName="levelTx" presStyleLbl="revTx" presStyleIdx="0" presStyleCnt="0">
        <dgm:presLayoutVars>
          <dgm:chMax val="1"/>
          <dgm:bulletEnabled val="1"/>
        </dgm:presLayoutVars>
      </dgm:prSet>
      <dgm:spPr/>
      <dgm:t>
        <a:bodyPr/>
        <a:lstStyle/>
        <a:p>
          <a:endParaRPr lang="en-GB"/>
        </a:p>
      </dgm:t>
    </dgm:pt>
    <dgm:pt modelId="{6E699FDD-CFA0-4EA7-936D-E1DB609A2B82}" type="pres">
      <dgm:prSet presAssocID="{9ABD5533-2B51-42A2-ACBF-BEE930BA5995}" presName="Name8" presStyleCnt="0"/>
      <dgm:spPr/>
    </dgm:pt>
    <dgm:pt modelId="{CD902AFF-8BBB-43EA-9C4C-2DC4A5907056}" type="pres">
      <dgm:prSet presAssocID="{9ABD5533-2B51-42A2-ACBF-BEE930BA5995}" presName="level" presStyleLbl="node1" presStyleIdx="2" presStyleCnt="4" custScaleY="110000">
        <dgm:presLayoutVars>
          <dgm:chMax val="1"/>
          <dgm:bulletEnabled val="1"/>
        </dgm:presLayoutVars>
      </dgm:prSet>
      <dgm:spPr/>
      <dgm:t>
        <a:bodyPr/>
        <a:lstStyle/>
        <a:p>
          <a:endParaRPr lang="en-GB"/>
        </a:p>
      </dgm:t>
    </dgm:pt>
    <dgm:pt modelId="{6BB8D605-3532-464E-87DA-D7F9ACCB00C3}" type="pres">
      <dgm:prSet presAssocID="{9ABD5533-2B51-42A2-ACBF-BEE930BA5995}" presName="levelTx" presStyleLbl="revTx" presStyleIdx="0" presStyleCnt="0">
        <dgm:presLayoutVars>
          <dgm:chMax val="1"/>
          <dgm:bulletEnabled val="1"/>
        </dgm:presLayoutVars>
      </dgm:prSet>
      <dgm:spPr/>
      <dgm:t>
        <a:bodyPr/>
        <a:lstStyle/>
        <a:p>
          <a:endParaRPr lang="en-GB"/>
        </a:p>
      </dgm:t>
    </dgm:pt>
    <dgm:pt modelId="{8E1DDCB7-3AAA-400E-B523-7B922DCE5CEF}" type="pres">
      <dgm:prSet presAssocID="{A3F55CC9-53DF-4BBB-BEB6-B8E5A7275D98}" presName="Name8" presStyleCnt="0"/>
      <dgm:spPr/>
    </dgm:pt>
    <dgm:pt modelId="{D7D7EAB6-3A9F-405F-9977-FA4112EDF459}" type="pres">
      <dgm:prSet presAssocID="{A3F55CC9-53DF-4BBB-BEB6-B8E5A7275D98}" presName="level" presStyleLbl="node1" presStyleIdx="3" presStyleCnt="4">
        <dgm:presLayoutVars>
          <dgm:chMax val="1"/>
          <dgm:bulletEnabled val="1"/>
        </dgm:presLayoutVars>
      </dgm:prSet>
      <dgm:spPr/>
      <dgm:t>
        <a:bodyPr/>
        <a:lstStyle/>
        <a:p>
          <a:endParaRPr lang="en-GB"/>
        </a:p>
      </dgm:t>
    </dgm:pt>
    <dgm:pt modelId="{0469965B-6A42-4EEA-96AA-ABD4CBA91A35}" type="pres">
      <dgm:prSet presAssocID="{A3F55CC9-53DF-4BBB-BEB6-B8E5A7275D98}" presName="levelTx" presStyleLbl="revTx" presStyleIdx="0" presStyleCnt="0">
        <dgm:presLayoutVars>
          <dgm:chMax val="1"/>
          <dgm:bulletEnabled val="1"/>
        </dgm:presLayoutVars>
      </dgm:prSet>
      <dgm:spPr/>
      <dgm:t>
        <a:bodyPr/>
        <a:lstStyle/>
        <a:p>
          <a:endParaRPr lang="en-GB"/>
        </a:p>
      </dgm:t>
    </dgm:pt>
  </dgm:ptLst>
  <dgm:cxnLst>
    <dgm:cxn modelId="{003E525A-667C-4E63-951B-2D5E88CB6DD0}" type="presOf" srcId="{06CB65C8-D959-497E-9200-CECBA640F653}" destId="{88AF1B31-E802-4CF4-8703-64766D43E26A}" srcOrd="1" destOrd="0" presId="urn:microsoft.com/office/officeart/2005/8/layout/pyramid1"/>
    <dgm:cxn modelId="{A6B6985A-A7CD-4CE0-8E8F-C1A1632445A2}" type="presOf" srcId="{2B4D316E-9555-44E8-A757-3F977266CCB7}" destId="{E42C827A-0289-4699-B144-CC9465D14AA7}" srcOrd="0" destOrd="0" presId="urn:microsoft.com/office/officeart/2005/8/layout/pyramid1"/>
    <dgm:cxn modelId="{84D8AF79-80DA-435E-9343-81F250B6D1A6}" srcId="{5F592B45-3C34-4FDA-B582-61162DAF8BED}" destId="{2B4D316E-9555-44E8-A757-3F977266CCB7}" srcOrd="0" destOrd="0" parTransId="{077BC665-D272-4C24-B465-7D65B83A6BD5}" sibTransId="{3EC145EE-67E0-412B-B55C-9650ED85F679}"/>
    <dgm:cxn modelId="{68C1F2FF-9C80-4C8A-ADB4-FECBFEE9CB7B}" srcId="{5F592B45-3C34-4FDA-B582-61162DAF8BED}" destId="{A3F55CC9-53DF-4BBB-BEB6-B8E5A7275D98}" srcOrd="3" destOrd="0" parTransId="{90A4BC6D-A46D-4267-9907-145A36E00F9A}" sibTransId="{B21BCF27-6BA9-4DB6-8AA9-B42E67A762F5}"/>
    <dgm:cxn modelId="{7D76C06D-3616-4937-828E-15B3218AF33E}" type="presOf" srcId="{A3F55CC9-53DF-4BBB-BEB6-B8E5A7275D98}" destId="{0469965B-6A42-4EEA-96AA-ABD4CBA91A35}" srcOrd="1" destOrd="0" presId="urn:microsoft.com/office/officeart/2005/8/layout/pyramid1"/>
    <dgm:cxn modelId="{391A171A-2090-4D95-B4E0-64235EF54C26}" type="presOf" srcId="{9ABD5533-2B51-42A2-ACBF-BEE930BA5995}" destId="{CD902AFF-8BBB-43EA-9C4C-2DC4A5907056}" srcOrd="0" destOrd="0" presId="urn:microsoft.com/office/officeart/2005/8/layout/pyramid1"/>
    <dgm:cxn modelId="{5E2AAEE1-600C-4D01-B879-C853B77536FB}" srcId="{5F592B45-3C34-4FDA-B582-61162DAF8BED}" destId="{06CB65C8-D959-497E-9200-CECBA640F653}" srcOrd="1" destOrd="0" parTransId="{07BACE71-8FF2-4540-A999-8B25E5A24D09}" sibTransId="{345A43E9-9DF2-4021-A1DD-BEECE69C0DED}"/>
    <dgm:cxn modelId="{90B1F309-4B70-4BBD-AC02-A12426453B3B}" srcId="{5F592B45-3C34-4FDA-B582-61162DAF8BED}" destId="{9ABD5533-2B51-42A2-ACBF-BEE930BA5995}" srcOrd="2" destOrd="0" parTransId="{57250C72-7AC6-453A-BAF5-E83D3FD9448B}" sibTransId="{6CA73E7E-F325-4E68-8E32-131DD61E26CC}"/>
    <dgm:cxn modelId="{551FD844-27B0-412C-A788-11525CA60580}" type="presOf" srcId="{A3F55CC9-53DF-4BBB-BEB6-B8E5A7275D98}" destId="{D7D7EAB6-3A9F-405F-9977-FA4112EDF459}" srcOrd="0" destOrd="0" presId="urn:microsoft.com/office/officeart/2005/8/layout/pyramid1"/>
    <dgm:cxn modelId="{3F164C2C-38F3-4672-B186-2EB805ACE530}" type="presOf" srcId="{2B4D316E-9555-44E8-A757-3F977266CCB7}" destId="{06A8D8C8-C817-4A43-9D0E-B122CEEC5737}" srcOrd="1" destOrd="0" presId="urn:microsoft.com/office/officeart/2005/8/layout/pyramid1"/>
    <dgm:cxn modelId="{2C714E06-2362-4687-A2F1-DB59D380C3E2}" type="presOf" srcId="{06CB65C8-D959-497E-9200-CECBA640F653}" destId="{D04F1D8D-1AE5-46AE-8781-5FD8C717934E}" srcOrd="0" destOrd="0" presId="urn:microsoft.com/office/officeart/2005/8/layout/pyramid1"/>
    <dgm:cxn modelId="{276B78A0-8774-4AAD-BE1E-966FD5405095}" type="presOf" srcId="{9ABD5533-2B51-42A2-ACBF-BEE930BA5995}" destId="{6BB8D605-3532-464E-87DA-D7F9ACCB00C3}" srcOrd="1" destOrd="0" presId="urn:microsoft.com/office/officeart/2005/8/layout/pyramid1"/>
    <dgm:cxn modelId="{15D09EFA-B469-428A-8E45-D4094DDBFB65}" type="presOf" srcId="{5F592B45-3C34-4FDA-B582-61162DAF8BED}" destId="{F892A4A0-9513-47BD-81CB-8DDC861DDBF7}" srcOrd="0" destOrd="0" presId="urn:microsoft.com/office/officeart/2005/8/layout/pyramid1"/>
    <dgm:cxn modelId="{89BF05D2-948A-453A-84B3-6929E0014083}" type="presParOf" srcId="{F892A4A0-9513-47BD-81CB-8DDC861DDBF7}" destId="{8CAD49B3-C6EF-41A2-93BC-6F4FD14BE0B8}" srcOrd="0" destOrd="0" presId="urn:microsoft.com/office/officeart/2005/8/layout/pyramid1"/>
    <dgm:cxn modelId="{1A3DB2FF-357A-4611-A94A-03B84B11877F}" type="presParOf" srcId="{8CAD49B3-C6EF-41A2-93BC-6F4FD14BE0B8}" destId="{E42C827A-0289-4699-B144-CC9465D14AA7}" srcOrd="0" destOrd="0" presId="urn:microsoft.com/office/officeart/2005/8/layout/pyramid1"/>
    <dgm:cxn modelId="{27C29F2A-F04C-4E9E-BBA9-4ACD9D8B3EE3}" type="presParOf" srcId="{8CAD49B3-C6EF-41A2-93BC-6F4FD14BE0B8}" destId="{06A8D8C8-C817-4A43-9D0E-B122CEEC5737}" srcOrd="1" destOrd="0" presId="urn:microsoft.com/office/officeart/2005/8/layout/pyramid1"/>
    <dgm:cxn modelId="{1E896774-76B2-4A46-A206-B65A4CB3AEF2}" type="presParOf" srcId="{F892A4A0-9513-47BD-81CB-8DDC861DDBF7}" destId="{B2EC9FAC-B019-4980-9C6A-5F957929D4DF}" srcOrd="1" destOrd="0" presId="urn:microsoft.com/office/officeart/2005/8/layout/pyramid1"/>
    <dgm:cxn modelId="{EC31C44C-A6F5-4355-8E87-76B803065921}" type="presParOf" srcId="{B2EC9FAC-B019-4980-9C6A-5F957929D4DF}" destId="{D04F1D8D-1AE5-46AE-8781-5FD8C717934E}" srcOrd="0" destOrd="0" presId="urn:microsoft.com/office/officeart/2005/8/layout/pyramid1"/>
    <dgm:cxn modelId="{23E05B37-6A8D-4B73-8BA2-325BCC0A176E}" type="presParOf" srcId="{B2EC9FAC-B019-4980-9C6A-5F957929D4DF}" destId="{88AF1B31-E802-4CF4-8703-64766D43E26A}" srcOrd="1" destOrd="0" presId="urn:microsoft.com/office/officeart/2005/8/layout/pyramid1"/>
    <dgm:cxn modelId="{FA94B695-74A6-48D6-B9DD-3A0CA0FF8AF9}" type="presParOf" srcId="{F892A4A0-9513-47BD-81CB-8DDC861DDBF7}" destId="{6E699FDD-CFA0-4EA7-936D-E1DB609A2B82}" srcOrd="2" destOrd="0" presId="urn:microsoft.com/office/officeart/2005/8/layout/pyramid1"/>
    <dgm:cxn modelId="{58B08C96-DE37-4D44-9B8B-5835122F00E8}" type="presParOf" srcId="{6E699FDD-CFA0-4EA7-936D-E1DB609A2B82}" destId="{CD902AFF-8BBB-43EA-9C4C-2DC4A5907056}" srcOrd="0" destOrd="0" presId="urn:microsoft.com/office/officeart/2005/8/layout/pyramid1"/>
    <dgm:cxn modelId="{2CC1B5DF-0FF4-475C-878F-94EEC5B32159}" type="presParOf" srcId="{6E699FDD-CFA0-4EA7-936D-E1DB609A2B82}" destId="{6BB8D605-3532-464E-87DA-D7F9ACCB00C3}" srcOrd="1" destOrd="0" presId="urn:microsoft.com/office/officeart/2005/8/layout/pyramid1"/>
    <dgm:cxn modelId="{B940ADDC-D36D-43A7-811B-4828086B2A5C}" type="presParOf" srcId="{F892A4A0-9513-47BD-81CB-8DDC861DDBF7}" destId="{8E1DDCB7-3AAA-400E-B523-7B922DCE5CEF}" srcOrd="3" destOrd="0" presId="urn:microsoft.com/office/officeart/2005/8/layout/pyramid1"/>
    <dgm:cxn modelId="{2C58A654-6059-4051-9EDD-56B40B3F4D8C}" type="presParOf" srcId="{8E1DDCB7-3AAA-400E-B523-7B922DCE5CEF}" destId="{D7D7EAB6-3A9F-405F-9977-FA4112EDF459}" srcOrd="0" destOrd="0" presId="urn:microsoft.com/office/officeart/2005/8/layout/pyramid1"/>
    <dgm:cxn modelId="{D14A2326-64A1-4E4B-A63A-B16990580CE4}" type="presParOf" srcId="{8E1DDCB7-3AAA-400E-B523-7B922DCE5CEF}" destId="{0469965B-6A42-4EEA-96AA-ABD4CBA91A35}"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2C827A-0289-4699-B144-CC9465D14AA7}">
      <dsp:nvSpPr>
        <dsp:cNvPr id="0" name=""/>
        <dsp:cNvSpPr/>
      </dsp:nvSpPr>
      <dsp:spPr>
        <a:xfrm>
          <a:off x="1942409" y="0"/>
          <a:ext cx="1939038" cy="1409880"/>
        </a:xfrm>
        <a:prstGeom prst="trapezoid">
          <a:avLst>
            <a:gd name="adj" fmla="val 68766"/>
          </a:avLst>
        </a:prstGeom>
        <a:solidFill>
          <a:schemeClr val="accent1">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endParaRPr lang="en-GB" sz="1600" kern="1200"/>
        </a:p>
        <a:p>
          <a:pPr lvl="0" algn="ctr" defTabSz="711200">
            <a:lnSpc>
              <a:spcPct val="90000"/>
            </a:lnSpc>
            <a:spcBef>
              <a:spcPct val="0"/>
            </a:spcBef>
            <a:spcAft>
              <a:spcPct val="35000"/>
            </a:spcAft>
          </a:pPr>
          <a:endParaRPr lang="en-GB" sz="1600" kern="1200"/>
        </a:p>
        <a:p>
          <a:pPr lvl="0" algn="ctr" defTabSz="711200">
            <a:lnSpc>
              <a:spcPct val="90000"/>
            </a:lnSpc>
            <a:spcBef>
              <a:spcPct val="0"/>
            </a:spcBef>
            <a:spcAft>
              <a:spcPct val="35000"/>
            </a:spcAft>
          </a:pPr>
          <a:r>
            <a:rPr lang="en-GB" sz="1600" kern="1200"/>
            <a:t>Supreme </a:t>
          </a:r>
          <a:r>
            <a:rPr lang="en-GB" sz="1600" kern="1200" baseline="0"/>
            <a:t>Court</a:t>
          </a:r>
        </a:p>
      </dsp:txBody>
      <dsp:txXfrm>
        <a:off x="1942409" y="0"/>
        <a:ext cx="1939038" cy="1409880"/>
      </dsp:txXfrm>
    </dsp:sp>
    <dsp:sp modelId="{D04F1D8D-1AE5-46AE-8781-5FD8C717934E}">
      <dsp:nvSpPr>
        <dsp:cNvPr id="0" name=""/>
        <dsp:cNvSpPr/>
      </dsp:nvSpPr>
      <dsp:spPr>
        <a:xfrm>
          <a:off x="1315825" y="1409880"/>
          <a:ext cx="3192205" cy="911181"/>
        </a:xfrm>
        <a:prstGeom prst="trapezoid">
          <a:avLst>
            <a:gd name="adj" fmla="val 68766"/>
          </a:avLst>
        </a:prstGeom>
        <a:solidFill>
          <a:schemeClr val="accent1">
            <a:shade val="50000"/>
            <a:hueOff val="180719"/>
            <a:satOff val="-3780"/>
            <a:lumOff val="210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GB" sz="2000" kern="1200"/>
            <a:t>Court of Appeal</a:t>
          </a:r>
        </a:p>
      </dsp:txBody>
      <dsp:txXfrm>
        <a:off x="1874461" y="1409880"/>
        <a:ext cx="2074933" cy="911181"/>
      </dsp:txXfrm>
    </dsp:sp>
    <dsp:sp modelId="{CD902AFF-8BBB-43EA-9C4C-2DC4A5907056}">
      <dsp:nvSpPr>
        <dsp:cNvPr id="0" name=""/>
        <dsp:cNvSpPr/>
      </dsp:nvSpPr>
      <dsp:spPr>
        <a:xfrm>
          <a:off x="626583" y="2321061"/>
          <a:ext cx="4570689" cy="1002299"/>
        </a:xfrm>
        <a:prstGeom prst="trapezoid">
          <a:avLst>
            <a:gd name="adj" fmla="val 68766"/>
          </a:avLst>
        </a:prstGeom>
        <a:solidFill>
          <a:schemeClr val="accent1">
            <a:shade val="50000"/>
            <a:hueOff val="361437"/>
            <a:satOff val="-7560"/>
            <a:lumOff val="4206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lvl="0" algn="ctr" defTabSz="977900">
            <a:lnSpc>
              <a:spcPct val="90000"/>
            </a:lnSpc>
            <a:spcBef>
              <a:spcPct val="0"/>
            </a:spcBef>
            <a:spcAft>
              <a:spcPct val="35000"/>
            </a:spcAft>
          </a:pPr>
          <a:r>
            <a:rPr lang="en-GB" sz="2200" kern="1200"/>
            <a:t>Employment Appeal Tribunal</a:t>
          </a:r>
        </a:p>
      </dsp:txBody>
      <dsp:txXfrm>
        <a:off x="1426454" y="2321061"/>
        <a:ext cx="2970948" cy="1002299"/>
      </dsp:txXfrm>
    </dsp:sp>
    <dsp:sp modelId="{D7D7EAB6-3A9F-405F-9977-FA4112EDF459}">
      <dsp:nvSpPr>
        <dsp:cNvPr id="0" name=""/>
        <dsp:cNvSpPr/>
      </dsp:nvSpPr>
      <dsp:spPr>
        <a:xfrm>
          <a:off x="0" y="3323361"/>
          <a:ext cx="5823857" cy="911181"/>
        </a:xfrm>
        <a:prstGeom prst="trapezoid">
          <a:avLst>
            <a:gd name="adj" fmla="val 68766"/>
          </a:avLst>
        </a:prstGeom>
        <a:solidFill>
          <a:schemeClr val="accent1">
            <a:shade val="50000"/>
            <a:hueOff val="180719"/>
            <a:satOff val="-3780"/>
            <a:lumOff val="210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1066800">
            <a:lnSpc>
              <a:spcPct val="90000"/>
            </a:lnSpc>
            <a:spcBef>
              <a:spcPct val="0"/>
            </a:spcBef>
            <a:spcAft>
              <a:spcPct val="35000"/>
            </a:spcAft>
          </a:pPr>
          <a:r>
            <a:rPr lang="en-GB" sz="2400" kern="1200"/>
            <a:t>Employment Tribunal</a:t>
          </a:r>
        </a:p>
      </dsp:txBody>
      <dsp:txXfrm>
        <a:off x="1019174" y="3323361"/>
        <a:ext cx="3785507" cy="91118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F4F27D-3AC6-4057-9CA1-B4893FB58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65479</TotalTime>
  <Pages>14</Pages>
  <Words>5162</Words>
  <Characters>29428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138</cp:revision>
  <dcterms:created xsi:type="dcterms:W3CDTF">2021-02-14T11:09:00Z</dcterms:created>
  <dcterms:modified xsi:type="dcterms:W3CDTF">2021-04-19T19:29:00Z</dcterms:modified>
</cp:coreProperties>
</file>