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                         Digital skills and research methods</w:t>
      </w: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ab/>
        <w:tab/>
        <w:tab/>
        <w:tab/>
        <w:tab/>
        <w:t xml:space="preserve">      BMSW_4003</w:t>
      </w: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Author: Manuel-Vasile Obreja</w:t>
        <w:tab/>
      </w: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ab/>
        <w:tab/>
        <w:tab/>
        <w:tab/>
        <w:tab/>
        <w:tab/>
        <w:tab/>
      </w: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p>
    <w:p>
      <w:pPr>
        <w:tabs>
          <w:tab w:val="left" w:pos="450" w:leader="none"/>
        </w:tabs>
        <w:spacing w:before="0" w:after="0" w:line="240"/>
        <w:ind w:right="0" w:left="0" w:firstLine="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Introduction </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a world of extraordinary change in knowledge, technology and cultures that meet and intersect where competition is increasing, and knowledge is at the heart of development of specific pedagogical methods. Appeared thanks to technology and the explosion of the Internet, a new way of teaching remotely surfaced be it academic, professional or otherwise. Online education offers a multitude of new possibilities, in particular areas and sectors which may be limited by various constraints. In other words, it opens new paths to learning, in general it corresponds to the use of computer technology which helps learners to improve their performance and knowledge through the exchange of necessary information which allows complete user autonomy. Learning is therefore flexible and faster.</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e-Learning has grown and the first generations of students are already appearing having done all of their training in this way. </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main purpose of this learning is to organize teaching and facilitate the task for teachers and learners as well as facilitate finding, obtaining and the transmission of knowledge to understand and respond, to express oneself by giving opinions and encourage the learner to communicate with others. E-Learning is revolutionizing the pedagogy and increases the level of education in the world.</w:t>
      </w: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4"/>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Rationale of the Research </w:t>
      </w:r>
    </w:p>
    <w:p>
      <w:pPr>
        <w:spacing w:before="0" w:after="0" w:line="240"/>
        <w:ind w:right="0" w:left="720" w:firstLine="0"/>
        <w:jc w:val="left"/>
        <w:rPr>
          <w:rFonts w:ascii="Calibri" w:hAnsi="Calibri" w:cs="Calibri" w:eastAsia="Calibri"/>
          <w:color w:val="auto"/>
          <w:spacing w:val="0"/>
          <w:position w:val="0"/>
          <w:sz w:val="3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explosion of the Internet and its access to a greater number allows us to imagine today accessible training in multiple fields, whether from a academic point of view or as part of continuing education, the user can take advantage virtually of unlimited access to educational or fun materials and services that allow you to communicate with people from other countries and other cultures. In addition, the arrival of the multimedia computer and computer networks has opened the door to many learning opportunities. Their integration into the school environment allows to adapt the teaching to the needs of the students to move from the so-called traditional method learning activities that focus on them.</w:t>
      </w: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8"/>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Literature Review </w:t>
      </w:r>
      <w:r>
        <w:rPr>
          <w:rFonts w:ascii="Calibri" w:hAnsi="Calibri" w:cs="Calibri" w:eastAsia="Calibri"/>
          <w:color w:val="auto"/>
          <w:spacing w:val="0"/>
          <w:position w:val="0"/>
          <w:sz w:val="24"/>
          <w:shd w:fill="auto" w:val="clear"/>
        </w:rPr>
        <w:t xml:space="preserve">(Reviewing existing literatures related to Virtual Learning Environments) </w:t>
      </w:r>
    </w:p>
    <w:p>
      <w:pPr>
        <w:spacing w:before="0" w:after="0" w:line="240"/>
        <w:ind w:right="0" w:left="720" w:firstLine="0"/>
        <w:jc w:val="left"/>
        <w:rPr>
          <w:rFonts w:ascii="Calibri" w:hAnsi="Calibri" w:cs="Calibri" w:eastAsia="Calibri"/>
          <w:color w:val="auto"/>
          <w:spacing w:val="0"/>
          <w:position w:val="0"/>
          <w:sz w:val="3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 The European Union definition given on January 6, 2003 is: "e-Learning is the use of new multimedia technologies from the Internet to improve the quality of learning by facilitating on the one hand access to resources and services, on the other hand exchanges and collaboration at a distance ".</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 The definition of the SET2 Lab(1) is: “online learning focused on development of skills by the learner and structured by interactions with the tutor and peers ”.</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field in full explosion today, appeared in the early 2000s, the word enters the dictionary: "learning, training via the Internet”. This is one of the most important and promising areas of research. It translates by e-learning or e-training, the letter e is the abbreviation of the word electronic.</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It is "A learning mode requiring the use of multimedia and giving access to interactive training on the Internet »(2), it’s an educational approach that calls on information and communication technologies, more generally, the common sense of "e-Learning" has become "training on the Internet".</w:t>
      </w: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12"/>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Research Methods and Methodologies</w:t>
      </w:r>
    </w:p>
    <w:p>
      <w:pPr>
        <w:spacing w:before="0" w:after="0" w:line="240"/>
        <w:ind w:right="0" w:left="720" w:firstLine="0"/>
        <w:jc w:val="left"/>
        <w:rPr>
          <w:rFonts w:ascii="Calibri" w:hAnsi="Calibri" w:cs="Calibri" w:eastAsia="Calibri"/>
          <w:color w:val="auto"/>
          <w:spacing w:val="0"/>
          <w:position w:val="0"/>
          <w:sz w:val="3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We will discuss the methodology used to carry out this research. Two approaches have been chosen. The first approach was to collect qualitative data via a questionnaire. The second approach was to harvest quantitative data using an online survey. Indeed, as in many studies (Chmiel, Morin and Schneider, 2014, for example)(3) we will endeavour to collect the learners' experiences via a scale questionnaire.</w:t>
      </w: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16"/>
        </w:numPr>
        <w:spacing w:before="0" w:after="0" w:line="240"/>
        <w:ind w:right="0" w:left="108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Qualitative </w:t>
      </w:r>
    </w:p>
    <w:p>
      <w:pPr>
        <w:spacing w:before="0" w:after="0" w:line="240"/>
        <w:ind w:right="0" w:left="108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first scale questionnaire has been completed, which you will find the appendix in order to understand the learners' feedback. This questionnaire contains the following items: experience of learning, ease of learning with the device, need for the trainer, working independently, special difficulties, ease of use of the device, user-friendly device, useful device.</w:t>
      </w:r>
    </w:p>
    <w:p>
      <w:pPr>
        <w:spacing w:before="0" w:after="0" w:line="240"/>
        <w:ind w:right="0" w:left="0" w:firstLine="0"/>
        <w:jc w:val="left"/>
        <w:rPr>
          <w:rFonts w:ascii="Calibri" w:hAnsi="Calibri" w:cs="Calibri" w:eastAsia="Calibri"/>
          <w:color w:val="auto"/>
          <w:spacing w:val="0"/>
          <w:position w:val="0"/>
          <w:sz w:val="24"/>
          <w:shd w:fill="auto" w:val="clear"/>
        </w:rPr>
      </w:pPr>
    </w:p>
    <w:p>
      <w:pPr>
        <w:numPr>
          <w:ilvl w:val="0"/>
          <w:numId w:val="19"/>
        </w:numPr>
        <w:spacing w:before="0" w:after="0" w:line="240"/>
        <w:ind w:right="0" w:left="108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Quantitative</w:t>
      </w:r>
    </w:p>
    <w:p>
      <w:pPr>
        <w:spacing w:before="0" w:after="0" w:line="240"/>
        <w:ind w:right="0" w:left="72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During this activity, I followed the advice of McConnell (2003)(4) who specifies that when gathering information, it is necessary to be as objective as possible. Respondents should feel comfortable with those involved so that they do not bias the information provided in the processes related to the analysis.</w:t>
      </w:r>
    </w:p>
    <w:p>
      <w:pPr>
        <w:spacing w:before="0" w:after="0" w:line="240"/>
        <w:ind w:right="0" w:left="1080" w:firstLine="0"/>
        <w:jc w:val="left"/>
        <w:rPr>
          <w:rFonts w:ascii="Calibri" w:hAnsi="Calibri" w:cs="Calibri" w:eastAsia="Calibri"/>
          <w:color w:val="auto"/>
          <w:spacing w:val="0"/>
          <w:position w:val="0"/>
          <w:sz w:val="24"/>
          <w:shd w:fill="auto" w:val="clear"/>
        </w:rPr>
      </w:pPr>
    </w:p>
    <w:p>
      <w:pPr>
        <w:numPr>
          <w:ilvl w:val="0"/>
          <w:numId w:val="23"/>
        </w:numPr>
        <w:spacing w:before="0" w:after="0" w:line="240"/>
        <w:ind w:right="0" w:left="108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Sample and Sample Size  </w:t>
      </w:r>
    </w:p>
    <w:p>
      <w:pPr>
        <w:spacing w:before="0" w:after="0" w:line="240"/>
        <w:ind w:right="0" w:left="108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stated above, the questions relate to both the impact of the learning device used in terms of learning and the level of experience of its use by learners. So here we will first present the general results of our research in terms of learning and experience of the device. Then in order to observe more precisely the impact of the device we will compare them to the number of participants.</w:t>
      </w:r>
    </w:p>
    <w:p>
      <w:pPr>
        <w:spacing w:before="0" w:after="0" w:line="240"/>
        <w:ind w:right="0" w:left="1080" w:firstLine="0"/>
        <w:jc w:val="left"/>
        <w:rPr>
          <w:rFonts w:ascii="Calibri" w:hAnsi="Calibri" w:cs="Calibri" w:eastAsia="Calibri"/>
          <w:color w:val="auto"/>
          <w:spacing w:val="0"/>
          <w:position w:val="0"/>
          <w:sz w:val="24"/>
          <w:shd w:fill="auto" w:val="clear"/>
        </w:rPr>
      </w:pPr>
    </w:p>
    <w:p>
      <w:pPr>
        <w:numPr>
          <w:ilvl w:val="0"/>
          <w:numId w:val="27"/>
        </w:numPr>
        <w:spacing w:before="0" w:after="0" w:line="240"/>
        <w:ind w:right="0" w:left="108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Data Collection Tools (Consent form) </w:t>
      </w:r>
    </w:p>
    <w:p>
      <w:pPr>
        <w:spacing w:before="0" w:after="0" w:line="240"/>
        <w:ind w:right="0" w:left="72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collect the data, I used online survey. Each question had an answer choice. There are ten questions in total. Participants were not required to answer all questions. The survey site Freeonlinesurveys offered tools to analyze the results and thus draw conclusions.</w:t>
      </w:r>
    </w:p>
    <w:p>
      <w:pPr>
        <w:spacing w:before="0" w:after="0" w:line="240"/>
        <w:ind w:right="0" w:left="1080" w:firstLine="0"/>
        <w:jc w:val="left"/>
        <w:rPr>
          <w:rFonts w:ascii="Calibri" w:hAnsi="Calibri" w:cs="Calibri" w:eastAsia="Calibri"/>
          <w:color w:val="auto"/>
          <w:spacing w:val="0"/>
          <w:position w:val="0"/>
          <w:sz w:val="24"/>
          <w:shd w:fill="auto" w:val="clear"/>
        </w:rPr>
      </w:pPr>
    </w:p>
    <w:p>
      <w:pPr>
        <w:numPr>
          <w:ilvl w:val="0"/>
          <w:numId w:val="31"/>
        </w:numPr>
        <w:spacing w:before="0" w:after="0" w:line="240"/>
        <w:ind w:right="0" w:left="108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Ethical Considerations </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The advantages of an online survey are numerous: low cost, information gathering fast, immediate encoding, etc. However, the online survey has drawbacks. Some students do not read their e-mail and others are not comfortable with technology. Interest in the subject can also be an obstacle, training is not necessarily mandatory for all.</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numPr>
          <w:ilvl w:val="0"/>
          <w:numId w:val="33"/>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Analysis and Discussions</w:t>
      </w: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35"/>
        </w:numPr>
        <w:spacing w:before="0" w:after="0" w:line="240"/>
        <w:ind w:right="0" w:left="108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Use your design questionnaires</w:t>
      </w:r>
    </w:p>
    <w:p>
      <w:pPr>
        <w:spacing w:before="0" w:after="0" w:line="240"/>
        <w:ind w:right="0" w:left="1080" w:firstLine="0"/>
        <w:jc w:val="left"/>
        <w:rPr>
          <w:rFonts w:ascii="Calibri" w:hAnsi="Calibri" w:cs="Calibri" w:eastAsia="Calibri"/>
          <w:color w:val="auto"/>
          <w:spacing w:val="0"/>
          <w:position w:val="0"/>
          <w:sz w:val="22"/>
          <w:shd w:fill="auto" w:val="clear"/>
        </w:rPr>
      </w:pPr>
    </w:p>
    <w:p>
      <w:pPr>
        <w:numPr>
          <w:ilvl w:val="0"/>
          <w:numId w:val="37"/>
        </w:numPr>
        <w:spacing w:before="0" w:after="0" w:line="240"/>
        <w:ind w:right="0" w:left="108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Show all the collected data in the table in a format of 5 Likert scale (Strongly Agree, Agree, Do not know, Disagree &amp; Strongly Disagree)</w:t>
      </w:r>
    </w:p>
    <w:p>
      <w:pPr>
        <w:spacing w:before="0" w:after="0" w:line="240"/>
        <w:ind w:right="0" w:left="720" w:firstLine="0"/>
        <w:jc w:val="left"/>
        <w:rPr>
          <w:rFonts w:ascii="Calibri" w:hAnsi="Calibri" w:cs="Calibri" w:eastAsia="Calibri"/>
          <w:color w:val="auto"/>
          <w:spacing w:val="0"/>
          <w:position w:val="0"/>
          <w:sz w:val="22"/>
          <w:shd w:fill="auto" w:val="clear"/>
        </w:rPr>
      </w:pPr>
    </w:p>
    <w:p>
      <w:pPr>
        <w:spacing w:before="0" w:after="0" w:line="240"/>
        <w:ind w:right="0" w:left="1080" w:firstLine="0"/>
        <w:jc w:val="left"/>
        <w:rPr>
          <w:rFonts w:ascii="Calibri" w:hAnsi="Calibri" w:cs="Calibri" w:eastAsia="Calibri"/>
          <w:color w:val="auto"/>
          <w:spacing w:val="0"/>
          <w:position w:val="0"/>
          <w:sz w:val="22"/>
          <w:shd w:fill="auto" w:val="clear"/>
        </w:rPr>
      </w:pPr>
    </w:p>
    <w:p>
      <w:pPr>
        <w:numPr>
          <w:ilvl w:val="0"/>
          <w:numId w:val="40"/>
        </w:numPr>
        <w:spacing w:before="0" w:after="0" w:line="240"/>
        <w:ind w:right="0" w:left="108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Visualize your collected data by using Microsoft excel to create graphs/charts/diagrams </w:t>
      </w:r>
    </w:p>
    <w:p>
      <w:pPr>
        <w:spacing w:before="0" w:after="0" w:line="240"/>
        <w:ind w:right="0" w:left="1080" w:firstLine="0"/>
        <w:jc w:val="left"/>
        <w:rPr>
          <w:rFonts w:ascii="Calibri" w:hAnsi="Calibri" w:cs="Calibri" w:eastAsia="Calibri"/>
          <w:color w:val="auto"/>
          <w:spacing w:val="0"/>
          <w:position w:val="0"/>
          <w:sz w:val="22"/>
          <w:shd w:fill="auto" w:val="clear"/>
        </w:rPr>
      </w:pPr>
    </w:p>
    <w:p>
      <w:pPr>
        <w:numPr>
          <w:ilvl w:val="0"/>
          <w:numId w:val="42"/>
        </w:numPr>
        <w:spacing w:before="0" w:after="0" w:line="240"/>
        <w:ind w:right="0" w:left="108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Analyse and discuses those findings </w:t>
      </w:r>
    </w:p>
    <w:p>
      <w:pPr>
        <w:spacing w:before="0" w:after="0" w:line="240"/>
        <w:ind w:right="0" w:left="720" w:firstLine="0"/>
        <w:jc w:val="left"/>
        <w:rPr>
          <w:rFonts w:ascii="Calibri" w:hAnsi="Calibri" w:cs="Calibri" w:eastAsia="Calibri"/>
          <w:color w:val="auto"/>
          <w:spacing w:val="0"/>
          <w:position w:val="0"/>
          <w:sz w:val="22"/>
          <w:shd w:fill="auto" w:val="clear"/>
        </w:rPr>
      </w:pPr>
    </w:p>
    <w:p>
      <w:pPr>
        <w:spacing w:before="0" w:after="0" w:line="240"/>
        <w:ind w:right="0" w:left="1080" w:firstLine="0"/>
        <w:jc w:val="left"/>
        <w:rPr>
          <w:rFonts w:ascii="Calibri" w:hAnsi="Calibri" w:cs="Calibri" w:eastAsia="Calibri"/>
          <w:color w:val="auto"/>
          <w:spacing w:val="0"/>
          <w:position w:val="0"/>
          <w:sz w:val="22"/>
          <w:shd w:fill="auto" w:val="clear"/>
        </w:rPr>
      </w:pPr>
    </w:p>
    <w:p>
      <w:pPr>
        <w:numPr>
          <w:ilvl w:val="0"/>
          <w:numId w:val="45"/>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Limitations of the Research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 must be careful and not automatically apply the results to all. We do not have the opinion of those who did not participate, some of whom, for the reasons mentioned above. However, the survey results as well as the relevant comments from participants will lead us to make recommendations which will encourage the use of e-learning as a training method.</w:t>
      </w:r>
    </w:p>
    <w:p>
      <w:pPr>
        <w:spacing w:before="0" w:after="0" w:line="240"/>
        <w:ind w:right="0" w:left="0" w:firstLine="0"/>
        <w:jc w:val="left"/>
        <w:rPr>
          <w:rFonts w:ascii="Calibri" w:hAnsi="Calibri" w:cs="Calibri" w:eastAsia="Calibri"/>
          <w:color w:val="auto"/>
          <w:spacing w:val="0"/>
          <w:position w:val="0"/>
          <w:sz w:val="22"/>
          <w:shd w:fill="auto" w:val="clear"/>
        </w:rPr>
      </w:pPr>
    </w:p>
    <w:p>
      <w:pPr>
        <w:numPr>
          <w:ilvl w:val="0"/>
          <w:numId w:val="47"/>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Recommendations for future research</w:t>
      </w:r>
    </w:p>
    <w:p>
      <w:pPr>
        <w:spacing w:before="0" w:after="0" w:line="240"/>
        <w:ind w:right="0" w:left="720" w:firstLine="0"/>
        <w:jc w:val="left"/>
        <w:rPr>
          <w:rFonts w:ascii="Calibri" w:hAnsi="Calibri" w:cs="Calibri" w:eastAsia="Calibri"/>
          <w:color w:val="auto"/>
          <w:spacing w:val="0"/>
          <w:position w:val="0"/>
          <w:sz w:val="3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current limitation is real, and only certain developments will allow progress towards something more effective. The online survey allowed to identify certain points necessary for the successful implementation of a e-learning type training.</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Methodologically, a telephone survey would probably have been more effective. Email was therefore the means of reaching the most people without annoying them too much.</w:t>
      </w:r>
    </w:p>
    <w:p>
      <w:pPr>
        <w:spacing w:before="0" w:after="0" w:line="240"/>
        <w:ind w:right="0" w:left="0" w:firstLine="0"/>
        <w:jc w:val="left"/>
        <w:rPr>
          <w:rFonts w:ascii="Calibri" w:hAnsi="Calibri" w:cs="Calibri" w:eastAsia="Calibri"/>
          <w:color w:val="auto"/>
          <w:spacing w:val="0"/>
          <w:position w:val="0"/>
          <w:sz w:val="34"/>
          <w:shd w:fill="auto" w:val="clear"/>
        </w:rPr>
      </w:pPr>
    </w:p>
    <w:p>
      <w:pPr>
        <w:numPr>
          <w:ilvl w:val="0"/>
          <w:numId w:val="50"/>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Conclusions </w:t>
      </w:r>
    </w:p>
    <w:p>
      <w:pPr>
        <w:spacing w:before="0" w:after="0" w:line="240"/>
        <w:ind w:right="0" w:left="720" w:firstLine="0"/>
        <w:jc w:val="left"/>
        <w:rPr>
          <w:rFonts w:ascii="Calibri" w:hAnsi="Calibri" w:cs="Calibri" w:eastAsia="Calibri"/>
          <w:color w:val="auto"/>
          <w:spacing w:val="0"/>
          <w:position w:val="0"/>
          <w:sz w:val="3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As observed by Cook, Levinson and Garside (2010)(5), there is no difference in terms of learning gain between e-learning training and face to face, since the level of success in competitions has not increased. However, adding media improved learners' satisfaction while maintaining the level of learning. ICT can therefore be seen not as an alternative to face-to-face learning but rather as a strategy to revitalize face-to-face training (Berrouk and Jaillet, 2005)(6). </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Just like in a constructivist perspective, which is put into action by the learner, who is led to wonder throughout his learning about what he is doing / learning, about what he does / must do to withhold information, which helps them to better understand. In this context, the use of a e-learning device, shares with this approach, the fact of privileging the experience, the intentions and the cognitive strategies of the learner. From the trainer's point of view, this change results in a change of role. Trainers become mediators between knowledge and learners, learning facilitators, coaches, collaborators in the success of learners, promoters of development and creators of learning environments. They therefore have an important role to play in continuing to guarantee learning. This type of device therefore replaces the learner at the heart of his learning and thus supports the individualization of training.</w:t>
      </w: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54"/>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References </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1.Labset: laboratory to support education_ technology synergies</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2.Dictionnary</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 Sugar Chmiel, A., Morin, D., &amp; Schneider, D. (2014, June). Introducing Blended Learning into a Master Program in Nursing Sciences: A first Exploration of a Holistic Evaluation Framework. In EdMedia: World Conference on Educational Media and Technology (Vol. 2014, No. 1, pp. 384-389).</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 McCONNELL, J., How To Identify Your Organization’s Training Needs : A Practical</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Guide to Needs Analysis, New York, AMACOM, 2003.</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 Cook, D. A., Levinson, A. J., &amp; Garside, S. (2010). Time and learning efficiency in Internetbased learning: a systematic review and meta-analysis. Advances in Health Sciences Education, 15(5), 755-770.</w:t>
      </w:r>
    </w:p>
    <w:p>
      <w:pPr>
        <w:spacing w:before="0" w:after="0" w:line="240"/>
        <w:ind w:right="0" w:left="72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 Berrouk, S., &amp; Jaillet, A. (2005). ICT in a distance learning context: a strategy for revitalizing face-to-face training. International Journal of Technologies in University Pedagogy, 2 (2), 7-21.</w:t>
      </w:r>
    </w:p>
    <w:p>
      <w:pPr>
        <w:spacing w:before="0" w:after="0" w:line="240"/>
        <w:ind w:right="0" w:left="720" w:firstLine="0"/>
        <w:jc w:val="left"/>
        <w:rPr>
          <w:rFonts w:ascii="Calibri" w:hAnsi="Calibri" w:cs="Calibri" w:eastAsia="Calibri"/>
          <w:color w:val="auto"/>
          <w:spacing w:val="0"/>
          <w:position w:val="0"/>
          <w:sz w:val="24"/>
          <w:shd w:fill="auto" w:val="clear"/>
        </w:rPr>
      </w:pPr>
    </w:p>
    <w:p>
      <w:pPr>
        <w:spacing w:before="0" w:after="0" w:line="240"/>
        <w:ind w:right="0" w:left="720" w:firstLine="0"/>
        <w:jc w:val="left"/>
        <w:rPr>
          <w:rFonts w:ascii="Calibri" w:hAnsi="Calibri" w:cs="Calibri" w:eastAsia="Calibri"/>
          <w:color w:val="auto"/>
          <w:spacing w:val="0"/>
          <w:position w:val="0"/>
          <w:sz w:val="34"/>
          <w:shd w:fill="auto" w:val="clear"/>
        </w:rPr>
      </w:pPr>
    </w:p>
    <w:p>
      <w:pPr>
        <w:spacing w:before="0" w:after="0" w:line="240"/>
        <w:ind w:right="0" w:left="720" w:firstLine="0"/>
        <w:jc w:val="left"/>
        <w:rPr>
          <w:rFonts w:ascii="Calibri" w:hAnsi="Calibri" w:cs="Calibri" w:eastAsia="Calibri"/>
          <w:color w:val="auto"/>
          <w:spacing w:val="0"/>
          <w:position w:val="0"/>
          <w:sz w:val="34"/>
          <w:shd w:fill="auto" w:val="clear"/>
        </w:rPr>
      </w:pPr>
    </w:p>
    <w:p>
      <w:pPr>
        <w:numPr>
          <w:ilvl w:val="0"/>
          <w:numId w:val="56"/>
        </w:numPr>
        <w:spacing w:before="0" w:after="0" w:line="240"/>
        <w:ind w:right="0" w:left="720" w:hanging="36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Appendix </w:t>
      </w:r>
    </w:p>
    <w:p>
      <w:pPr>
        <w:spacing w:before="0" w:after="0" w:line="240"/>
        <w:ind w:right="0" w:left="360" w:firstLine="0"/>
        <w:jc w:val="left"/>
        <w:rPr>
          <w:rFonts w:ascii="Calibri" w:hAnsi="Calibri" w:cs="Calibri" w:eastAsia="Calibri"/>
          <w:color w:val="auto"/>
          <w:spacing w:val="0"/>
          <w:position w:val="0"/>
          <w:sz w:val="34"/>
          <w:shd w:fill="auto" w:val="clear"/>
        </w:rPr>
      </w:pPr>
    </w:p>
    <w:p>
      <w:pPr>
        <w:spacing w:before="0" w:after="0" w:line="240"/>
        <w:ind w:right="0" w:left="360" w:firstLine="0"/>
        <w:jc w:val="left"/>
        <w:rPr>
          <w:rFonts w:ascii="Calibri" w:hAnsi="Calibri" w:cs="Calibri" w:eastAsia="Calibri"/>
          <w:color w:val="auto"/>
          <w:spacing w:val="0"/>
          <w:position w:val="0"/>
          <w:sz w:val="34"/>
          <w:shd w:fill="auto" w:val="clear"/>
        </w:rPr>
      </w:pPr>
      <w:r>
        <w:rPr>
          <w:rFonts w:ascii="Calibri" w:hAnsi="Calibri" w:cs="Calibri" w:eastAsia="Calibri"/>
          <w:color w:val="auto"/>
          <w:spacing w:val="0"/>
          <w:position w:val="0"/>
          <w:sz w:val="34"/>
          <w:shd w:fill="auto" w:val="clear"/>
        </w:rPr>
        <w:t xml:space="preserve">Questionnaire:</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 You understand something better if</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you implement it</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you examine it in detail</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2. You're more of the type to</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understand each of the details of a subject without necessarily understanding its entirety.</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understand the general structure of a subject without necessarily understanding its smallest details.</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3. When you integrate new knowledge, it helps you</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speak of it.</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to think about it.</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4. If you were a teacher, you would prefer to teach a course</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dealing with facts and concrete situations.</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dealing with concepts and theories.</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ab/>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5. You prefer to get new information through</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photographs, images, diagrams, graphs, or diagrams.</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written directions or verbal information.</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6. Once you understand</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all parts, you understand the whole.</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the whole, you understand how the parts fit together</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7. It seems easier to you</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to learn concrete facts.</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to learn concepts.</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8. You like the teachers</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which have a lot of diagrams on the board.</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who spend a lot of time on explanations.</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9. You learn</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according to a sustained rhythm and a very regular cadence. ("If I study seriously, I</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will understand. ")</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with fits and starts. ("My mind will be confused for a long time, but it will click suddenly. ")</w:t>
      </w:r>
    </w:p>
    <w:p>
      <w:pPr>
        <w:spacing w:before="0" w:after="0" w:line="240"/>
        <w:ind w:right="0" w:left="360" w:firstLine="0"/>
        <w:jc w:val="left"/>
        <w:rPr>
          <w:rFonts w:ascii="Calibri" w:hAnsi="Calibri" w:cs="Calibri" w:eastAsia="Calibri"/>
          <w:color w:val="auto"/>
          <w:spacing w:val="0"/>
          <w:position w:val="0"/>
          <w:sz w:val="24"/>
          <w:shd w:fill="auto" w:val="clear"/>
        </w:rPr>
      </w:pP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10. You remember better</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what you see.</w:t>
      </w:r>
    </w:p>
    <w:p>
      <w:pPr>
        <w:spacing w:before="0" w:after="0" w:line="240"/>
        <w:ind w:right="0" w:left="36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 what you hear</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num w:numId="4">
    <w:abstractNumId w:val="102"/>
  </w:num>
  <w:num w:numId="8">
    <w:abstractNumId w:val="96"/>
  </w:num>
  <w:num w:numId="12">
    <w:abstractNumId w:val="90"/>
  </w:num>
  <w:num w:numId="16">
    <w:abstractNumId w:val="84"/>
  </w:num>
  <w:num w:numId="19">
    <w:abstractNumId w:val="78"/>
  </w:num>
  <w:num w:numId="23">
    <w:abstractNumId w:val="72"/>
  </w:num>
  <w:num w:numId="27">
    <w:abstractNumId w:val="66"/>
  </w:num>
  <w:num w:numId="31">
    <w:abstractNumId w:val="60"/>
  </w:num>
  <w:num w:numId="33">
    <w:abstractNumId w:val="54"/>
  </w:num>
  <w:num w:numId="35">
    <w:abstractNumId w:val="48"/>
  </w:num>
  <w:num w:numId="37">
    <w:abstractNumId w:val="42"/>
  </w:num>
  <w:num w:numId="40">
    <w:abstractNumId w:val="36"/>
  </w:num>
  <w:num w:numId="42">
    <w:abstractNumId w:val="30"/>
  </w:num>
  <w:num w:numId="45">
    <w:abstractNumId w:val="24"/>
  </w:num>
  <w:num w:numId="47">
    <w:abstractNumId w:val="18"/>
  </w:num>
  <w:num w:numId="50">
    <w:abstractNumId w:val="12"/>
  </w:num>
  <w:num w:numId="54">
    <w:abstractNumId w:val="6"/>
  </w:num>
  <w:num w:numId="5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