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62A5A0D" w:rsidP="762A5A0D" w:rsidRDefault="762A5A0D" w14:paraId="49078820" w14:textId="31949185">
      <w:pPr>
        <w:rPr>
          <w:rFonts w:ascii="Calibri" w:hAnsi="Calibri" w:eastAsia="Calibri" w:cs="Calibri"/>
          <w:b/>
          <w:bCs/>
          <w:color w:val="000000" w:themeColor="text1"/>
          <w:sz w:val="24"/>
          <w:szCs w:val="24"/>
        </w:rPr>
      </w:pPr>
      <w:r w:rsidRPr="34F2C5B4" w:rsidR="762A5A0D">
        <w:rPr>
          <w:rFonts w:ascii="Calibri" w:hAnsi="Calibri" w:eastAsia="Calibri" w:cs="Calibri"/>
          <w:b w:val="1"/>
          <w:bCs w:val="1"/>
          <w:color w:val="000000" w:themeColor="text1" w:themeTint="FF" w:themeShade="FF"/>
          <w:sz w:val="24"/>
          <w:szCs w:val="24"/>
        </w:rPr>
        <w:t>It may be argued that the principle of statutory interpretation diminishes the status of legislation as the primary source of law in the UK. Discuss.</w:t>
      </w:r>
    </w:p>
    <w:p w:rsidR="76FAA9CB" w:rsidP="762A5A0D" w:rsidRDefault="76FAA9CB" w14:paraId="59D423B8" w14:textId="5B6E8464">
      <w:r>
        <w:t xml:space="preserve">There are many distinct reasons that statutory interpretation was invented to help. Such as when the legislation fails to cover a specific point. This is where statutory interpretation is good. As the courts can use this to interpret and apply the relevant legislation. However, as the word suggests there is a certain amount of interpretation required in some cases where a statue is involved. As most of the time statues are simple and have straightforward meanings. This can make it hard to be relevant to a case without interpreting the statue </w:t>
      </w:r>
    </w:p>
    <w:p w:rsidR="762A5A0D" w:rsidP="762A5A0D" w:rsidRDefault="762A5A0D" w14:paraId="5E8EE5E7" w14:textId="758DA05B">
      <w:r>
        <w:t xml:space="preserve">In most cases the conclusions made by the court or judge will be based on existing law leading to predictable outcomes, However, in some cases the court may be faced with a new situation or statutes may be unclear in a plethora of ways. Statutory interpretation is used when the literal rule, golden rule or the mischief rule are needed to be used to interpret a statute. In court the judge is the person who decides which party wins in a civil case. However, except for a criminal case where a jury then decides whether a person is guilty or not and the judge is left to decide what the punishment will be depending on the relevant legislation or statutes. In cases such as this, the judge needs to refer to the statutes correctly to give the right punishment without being unfair or biased. To do this statutory interpretation is used. Statutory interpretation is also used when certain statutes are presented, and some sort of ambiguity is present. This results in some sort of interpretation needed to make it relevant to the specific case. </w:t>
      </w:r>
    </w:p>
    <w:p w:rsidR="762A5A0D" w:rsidP="762A5A0D" w:rsidRDefault="762A5A0D" w14:paraId="505837E5" w14:textId="6F5349A9">
      <w:r>
        <w:t xml:space="preserve">There are certain rules that underpin statutory interpretation. These rules help the judge interpret the statutes correctly and fairly. Without failing to give effect to the plain meaning of the statue as this would be inexpedient of a judge to do. So, these rules are there for the best interest of both parties during a civil and criminal trial. </w:t>
      </w:r>
    </w:p>
    <w:p w:rsidR="762A5A0D" w:rsidP="78BD0E57" w:rsidRDefault="762A5A0D" w14:paraId="527C7BA8" w14:textId="0050F076">
      <w:pPr>
        <w:pStyle w:val="Normal"/>
      </w:pPr>
      <w:r w:rsidR="762A5A0D">
        <w:rPr/>
        <w:t xml:space="preserve">The literal rule is the first rule looked at during statutory interpretation. The literal rule is quite straightforward. As it means that if there is an absence of ambiguity in the statute and </w:t>
      </w:r>
      <w:r w:rsidR="762A5A0D">
        <w:rPr/>
        <w:t>it is</w:t>
      </w:r>
      <w:r w:rsidR="762A5A0D">
        <w:rPr/>
        <w:t xml:space="preserve"> plain and simple to read that the words in the statute should be given and left with their literal meaning. In trials where this is the case the judges will often be seen using dictionaries to interpret the words correctly by their definition and to also keep their original meaning.  </w:t>
      </w:r>
      <w:r w:rsidRPr="78BD0E57" w:rsidR="78BD0E57">
        <w:rPr>
          <w:rFonts w:ascii="Arial" w:hAnsi="Arial" w:eastAsia="Arial" w:cs="Arial"/>
          <w:b w:val="0"/>
          <w:bCs w:val="0"/>
          <w:i w:val="0"/>
          <w:iCs w:val="0"/>
          <w:caps w:val="0"/>
          <w:smallCaps w:val="0"/>
          <w:noProof w:val="0"/>
          <w:color w:val="auto"/>
          <w:sz w:val="20"/>
          <w:szCs w:val="20"/>
          <w:lang w:val="en-US"/>
        </w:rPr>
        <w:t>Ali, A.Z., 2020. (Implications of Literal Rule and Purposive Rule).</w:t>
      </w:r>
      <w:r w:rsidR="78BD0E57">
        <w:rPr/>
        <w:t xml:space="preserve"> </w:t>
      </w:r>
      <w:r w:rsidR="762A5A0D">
        <w:rPr/>
        <w:t xml:space="preserve">There is an example of the literal rule being used in cases such as Lord </w:t>
      </w:r>
      <w:r w:rsidR="762A5A0D">
        <w:rPr/>
        <w:t>Diplock</w:t>
      </w:r>
      <w:r w:rsidR="762A5A0D">
        <w:rPr/>
        <w:t xml:space="preserve"> in </w:t>
      </w:r>
      <w:r w:rsidR="762A5A0D">
        <w:rPr/>
        <w:t>Duport</w:t>
      </w:r>
      <w:r w:rsidR="762A5A0D">
        <w:rPr/>
        <w:t xml:space="preserve"> Steels LTD V Sirs (1980). Where a case was taken as its literal meaning where reinforcement for the integrity of the abstention legal framework surrounding the industrial conflict at the time was needed. The problem that arose was ships from other countries were flying flags from another country to help </w:t>
      </w:r>
      <w:r w:rsidR="762A5A0D">
        <w:rPr/>
        <w:t>benefit</w:t>
      </w:r>
      <w:r w:rsidR="762A5A0D">
        <w:rPr/>
        <w:t xml:space="preserve"> them in some sort of way. The </w:t>
      </w:r>
      <w:r w:rsidR="762A5A0D">
        <w:rPr/>
        <w:t>Nawala</w:t>
      </w:r>
      <w:r w:rsidR="762A5A0D">
        <w:rPr/>
        <w:t xml:space="preserve"> was owned by the appellants, which were a Hong Kong based company. The ship was registered as British, but the beneficial owner was Swedish causing a rule break where </w:t>
      </w:r>
      <w:r w:rsidR="762A5A0D">
        <w:rPr/>
        <w:t>appropriate action</w:t>
      </w:r>
      <w:r w:rsidR="762A5A0D">
        <w:rPr/>
        <w:t xml:space="preserve"> would need to be taken if </w:t>
      </w:r>
      <w:r w:rsidR="762A5A0D">
        <w:rPr/>
        <w:t xml:space="preserve">the appellants did not act themselves. Resulting in the Court of Appeal mounting the vehicle but was then halted by the House of Lords. Simpson (1980, pp.327-336). Another case of the literal rule being used is in the case of Lord </w:t>
      </w:r>
      <w:r w:rsidR="762A5A0D">
        <w:rPr/>
        <w:t>Esher</w:t>
      </w:r>
      <w:r w:rsidR="762A5A0D">
        <w:rPr/>
        <w:t xml:space="preserve">, R v Judge of the city of London Courts. In this case they concluded that certain definitions of words should be taken for their literal meaning. This resulted in the City of London being excluded from the Land Transfer Act 1897 as by definition of a county. </w:t>
      </w:r>
      <w:r w:rsidR="762A5A0D">
        <w:rPr/>
        <w:t>Esher</w:t>
      </w:r>
      <w:r w:rsidR="762A5A0D">
        <w:rPr/>
        <w:t xml:space="preserve"> L (1897, pp.513). </w:t>
      </w:r>
    </w:p>
    <w:p w:rsidR="34F2C5B4" w:rsidP="34F2C5B4" w:rsidRDefault="34F2C5B4" w14:paraId="0CB0779E" w14:textId="424E1659">
      <w:pPr>
        <w:pStyle w:val="Normal"/>
      </w:pPr>
      <w:r w:rsidR="34F2C5B4">
        <w:rPr/>
        <w:t xml:space="preserve">Another rule followed by judges during statutory interpretation is the golden rule. These rules allow for the natural meaning of the word to be modified or changed to an alternative definition if the ordinary sense of the word leads to ambiguity or a clear absurdity. With this rule judges feel like it is the “common sense” approach as if the natural meaning has nothing to do with the case. Then common sense would suggest using an alternative meaning of the word to rectify that problem and allow words written in the statute to be relevant to the case. They also believe that while using this rule they are </w:t>
      </w:r>
      <w:r w:rsidR="34F2C5B4">
        <w:rPr/>
        <w:t>looking</w:t>
      </w:r>
      <w:r w:rsidR="34F2C5B4">
        <w:rPr/>
        <w:t xml:space="preserve"> to give full effect to Parliments intentions when created the statue. As Parliament cannot be seen to have come to an absurd result. The use of the golden rule was seen in the case of Allen (1872). Where a def</w:t>
      </w:r>
      <w:r w:rsidR="34F2C5B4">
        <w:rPr/>
        <w:t xml:space="preserve">endant was being charged with bigamy. As under the OAPA 1861 it is illegal to marry any other person than your spouse. If you have already been married. Rinaldo Iversen (2017). However, this caused a problem as second marriages would be void so to commit bigamy would be impossible. The problem lay in the way the statute was written. So, to continue with the case they had to use the golden rule to interpret “shall marry” into “shall go through a marriage ceremony with”. This avoided any ambiguity or apparent absurdity with the original way the statute was written. This resulted in the defendant's conviction being upheld. This in effect meant Allen couldn’t argue that his marriage to another woman was void as he could no longer refer to the absurdity in the statue. R v. Allen (1872, pp. 367).  </w:t>
      </w:r>
    </w:p>
    <w:p w:rsidR="34F2C5B4" w:rsidP="34F2C5B4" w:rsidRDefault="34F2C5B4" w14:paraId="39600033" w14:textId="6B4E4580">
      <w:pPr>
        <w:pStyle w:val="Normal"/>
      </w:pPr>
      <w:r w:rsidR="34F2C5B4">
        <w:rPr/>
        <w:t xml:space="preserve">There are two ways the judges will look at the golden rule before using it. These are the narrow application and the wider application. In the narrow application they will simply use the most sensible meaning of the word when there is more than one. The wider application is different as it is only used when the words in a statue lead to a repugnant situation. They then modify the words to solve the situation depending on the alternative definitions. They also tend to use the golden rule only when using the literal rule leads to absurdity as the words are too plain and straightforward. However, while using the golden rule to alter the statute. You mustn't take it further than to remove the absurdity as this would be extremely unprofessional and unfair. AS told by Lord Wensleydale in the Grey v Pearson case (1957). </w:t>
      </w:r>
      <w:proofErr w:type="spellStart"/>
      <w:r w:rsidR="34F2C5B4">
        <w:rPr/>
        <w:t>Dreidger</w:t>
      </w:r>
      <w:proofErr w:type="spellEnd"/>
      <w:r w:rsidR="34F2C5B4">
        <w:rPr/>
        <w:t xml:space="preserve"> et al (1981, pp.780).</w:t>
      </w:r>
    </w:p>
    <w:p w:rsidR="34F2C5B4" w:rsidP="34F2C5B4" w:rsidRDefault="34F2C5B4" w14:paraId="3580C2F7" w14:textId="4C082ECE">
      <w:pPr>
        <w:pStyle w:val="Normal"/>
      </w:pPr>
      <w:r w:rsidR="34F2C5B4">
        <w:rPr/>
        <w:t xml:space="preserve">The mischief rule is another way judges use statutory interpretation, and it dates to Heydon's case (1584).  It requires the judge to think and take into consideration what Parliament was trying to achieve during the time they enacted the legislation and statute. All ambiguity in this case will be interpreted in a way to ensure that they would achieve what parliament wanted when they created the legislation. Referring to </w:t>
      </w:r>
      <w:proofErr w:type="spellStart"/>
      <w:r w:rsidR="34F2C5B4">
        <w:rPr/>
        <w:t>Heydon’s</w:t>
      </w:r>
      <w:proofErr w:type="spellEnd"/>
      <w:r w:rsidR="34F2C5B4">
        <w:rPr/>
        <w:t xml:space="preserve"> case. The judges needed to answer what was the common law before the case? What was the defect that common law didn’t provide for? How did parliament resolve the law and why did parliament do this? Once these have been answered the judge will be </w:t>
      </w:r>
      <w:r w:rsidR="34F2C5B4">
        <w:rPr/>
        <w:t>able</w:t>
      </w:r>
      <w:r w:rsidR="34F2C5B4">
        <w:rPr/>
        <w:t xml:space="preserve"> to use the mischief rule and change certain parts of the statute to understand what parliament wanted to achieve. </w:t>
      </w:r>
    </w:p>
    <w:p w:rsidR="34F2C5B4" w:rsidP="34F2C5B4" w:rsidRDefault="34F2C5B4" w14:paraId="305D6933" w14:textId="4B43C192">
      <w:pPr>
        <w:pStyle w:val="Normal"/>
      </w:pPr>
      <w:r w:rsidR="34F2C5B4">
        <w:rPr/>
        <w:t xml:space="preserve">There is an instance where the mischief rule was used in the civil case of Gorris v Scott (1874). In which there was a claim against the defendant Scott. For failure to look after Gorris’ sheep. Scott had not penned the sheep in properly and they were lost at sea. The penning of sheep while on a boat was required by the Contagious Diseases (Animals act) 1869. De Chaumont (1875, pp.328). This claim failed as the mischief that the act intended to prevent was the spread of a contagious disease and not the loss of sheep overboard. The judge used the mischief rule to interpret the statute and therefore </w:t>
      </w:r>
      <w:r w:rsidR="34F2C5B4">
        <w:rPr/>
        <w:t>failed</w:t>
      </w:r>
      <w:r w:rsidR="34F2C5B4">
        <w:rPr/>
        <w:t xml:space="preserve"> the claim.</w:t>
      </w:r>
    </w:p>
    <w:p w:rsidR="762A5A0D" w:rsidP="762A5A0D" w:rsidRDefault="762A5A0D" w14:paraId="0292CF52" w14:textId="062D6B64">
      <w:r w:rsidR="34F2C5B4">
        <w:rPr/>
        <w:t xml:space="preserve">When making law It is hard to cover all bases and all different types of cases with one meaning of the word. So, it would be unfair to suggest that lawmakers should be clearer when creating statutes. However, they should keep them as updated as possible to allow statutory interpretation to be used as little as possible. As sometimes statutory interpretation can cause an unfair defence as a word may have a different meaning and still be relevant to a case. </w:t>
      </w:r>
      <w:proofErr w:type="spellStart"/>
      <w:r w:rsidR="34F2C5B4">
        <w:rPr/>
        <w:t>Popelier</w:t>
      </w:r>
      <w:proofErr w:type="spellEnd"/>
      <w:r w:rsidR="34F2C5B4">
        <w:rPr/>
        <w:t xml:space="preserve"> (2008, pp. 47-66). </w:t>
      </w:r>
    </w:p>
    <w:p w:rsidR="34F2C5B4" w:rsidP="34F2C5B4" w:rsidRDefault="34F2C5B4" w14:paraId="632ACE18" w14:textId="1931F084">
      <w:pPr>
        <w:pStyle w:val="Normal"/>
      </w:pPr>
      <w:r w:rsidR="78BD0E57">
        <w:rPr/>
        <w:t xml:space="preserve">I also do see how it can be thought that statutory interpretation is diminishing legislation as the dominant source of law in the Uk now. However, statutory interpretation allows for more open-ended arguments and can make the case go a lot easier. As legislation is strict and to the book. There are </w:t>
      </w:r>
      <w:r w:rsidR="78BD0E57">
        <w:rPr/>
        <w:t>few</w:t>
      </w:r>
      <w:r w:rsidR="78BD0E57">
        <w:rPr/>
        <w:t xml:space="preserve"> crimes that are committed in today's times that would fit the description of the legislation to the word. So having statutory interpretation as a more dominant source of law is a good thing.</w:t>
      </w:r>
      <w:r w:rsidRPr="78BD0E57" w:rsidR="78BD0E57">
        <w:rPr>
          <w:rFonts w:ascii="Calibri Light" w:hAnsi="Calibri Light" w:eastAsia="Calibri Light" w:cs="Calibri Light" w:asciiTheme="majorAscii" w:hAnsiTheme="majorAscii" w:eastAsiaTheme="majorAscii" w:cstheme="majorAscii"/>
          <w:color w:val="auto"/>
          <w:sz w:val="22"/>
          <w:szCs w:val="22"/>
        </w:rPr>
        <w:t xml:space="preserve"> </w:t>
      </w:r>
      <w:r w:rsidRPr="78BD0E57" w:rsidR="78BD0E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(Statutory Interpretation: A Collaboration between Democratic Legislatures and the Courts? n.d.)</w:t>
      </w:r>
    </w:p>
    <w:p w:rsidR="34F2C5B4" w:rsidP="78BD0E57" w:rsidRDefault="34F2C5B4" w14:paraId="33309E0F" w14:textId="18BCB6C5">
      <w:pPr/>
      <w:r>
        <w:br/>
      </w:r>
    </w:p>
    <w:p w:rsidR="34F2C5B4" w:rsidP="34F2C5B4" w:rsidRDefault="34F2C5B4" w14:paraId="5691C75E" w14:textId="28CFB874">
      <w:pPr>
        <w:pStyle w:val="Normal"/>
      </w:pPr>
    </w:p>
    <w:p w:rsidR="34F2C5B4" w:rsidP="34F2C5B4" w:rsidRDefault="34F2C5B4" w14:paraId="3934408B" w14:textId="25670F2F">
      <w:pPr>
        <w:pStyle w:val="Normal"/>
      </w:pPr>
    </w:p>
    <w:p w:rsidR="34F2C5B4" w:rsidP="78BD0E57" w:rsidRDefault="34F2C5B4" w14:paraId="22BA576C" w14:textId="7CFA695C">
      <w:pPr>
        <w:pStyle w:val="Normal"/>
        <w:rPr>
          <w:b w:val="1"/>
          <w:bCs w:val="1"/>
          <w:sz w:val="32"/>
          <w:szCs w:val="32"/>
          <w:u w:val="single"/>
        </w:rPr>
      </w:pPr>
      <w:r w:rsidRPr="78BD0E57" w:rsidR="78BD0E57">
        <w:rPr>
          <w:b w:val="1"/>
          <w:bCs w:val="1"/>
          <w:sz w:val="32"/>
          <w:szCs w:val="32"/>
          <w:u w:val="single"/>
        </w:rPr>
        <w:t>Bibliography</w:t>
      </w:r>
    </w:p>
    <w:p w:rsidR="34F2C5B4" w:rsidP="78BD0E57" w:rsidRDefault="34F2C5B4" w14:paraId="42824C7A" w14:textId="1CCD6F9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US"/>
        </w:rPr>
      </w:pPr>
      <w:r w:rsidRPr="78BD0E57" w:rsidR="78BD0E5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US"/>
        </w:rPr>
        <w:t xml:space="preserve">Ali, A.Z., 2020. Implications of Literal Rule and Purposive Rule. </w:t>
      </w:r>
      <w:r w:rsidRPr="78BD0E57" w:rsidR="78BD0E57">
        <w:rPr>
          <w:rFonts w:ascii="Calibri" w:hAnsi="Calibri" w:eastAsia="Calibri" w:cs="Calibri" w:asciiTheme="minorAscii" w:hAnsiTheme="minorAscii" w:eastAsiaTheme="minorAscii" w:cstheme="minorAscii"/>
          <w:b w:val="0"/>
          <w:bCs w:val="0"/>
          <w:i w:val="1"/>
          <w:iCs w:val="1"/>
          <w:caps w:val="0"/>
          <w:smallCaps w:val="0"/>
          <w:noProof w:val="0"/>
          <w:color w:val="auto"/>
          <w:sz w:val="20"/>
          <w:szCs w:val="20"/>
          <w:lang w:val="en-US"/>
        </w:rPr>
        <w:t>Available at SSRN 3786866</w:t>
      </w:r>
      <w:r w:rsidRPr="78BD0E57" w:rsidR="78BD0E5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US"/>
        </w:rPr>
        <w:t>.</w:t>
      </w:r>
    </w:p>
    <w:p w:rsidR="34F2C5B4" w:rsidP="78BD0E57" w:rsidRDefault="34F2C5B4" w14:paraId="1DB1C2D1" w14:textId="1F6162B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De Chaumont, F., 1875. The Contagious Diseases Acts.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British Medical Journal</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1</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(740), p.328.</w:t>
      </w:r>
    </w:p>
    <w:p w:rsidR="34F2C5B4" w:rsidP="78BD0E57" w:rsidRDefault="34F2C5B4" w14:paraId="159B3EA9" w14:textId="6C487B5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Driedger, E.A., 1981. Statutes: The Mischievous Literal Golden Rule.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Can. B. Rev.</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59</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p.780.</w:t>
      </w:r>
    </w:p>
    <w:p w:rsidR="34F2C5B4" w:rsidP="78BD0E57" w:rsidRDefault="34F2C5B4" w14:paraId="6CA17CD7" w14:textId="187B22B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Esher</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 The Law Journal [OCT. 23, 1897] pp.513</w:t>
      </w:r>
    </w:p>
    <w:p w:rsidR="34F2C5B4" w:rsidP="78BD0E57" w:rsidRDefault="34F2C5B4" w14:paraId="21ABB15F" w14:textId="711CAC6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Gaidulin, O.O., 2012. Interpretation Rules in Contract Laws of European Countries: Comparative Legal Analysis.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Jurid. Sci.</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p.28.</w:t>
      </w:r>
    </w:p>
    <w:p w:rsidR="34F2C5B4" w:rsidP="78BD0E57" w:rsidRDefault="34F2C5B4" w14:paraId="52BEB8F8" w14:textId="0AE5291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78BD0E57" w:rsidR="34F2C5B4">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t>Gorris v Scott</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78BD0E57" w:rsidR="34F2C5B4">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t>1874</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LR 9 </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Exch</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125.</w:t>
      </w:r>
    </w:p>
    <w:p w:rsidR="34F2C5B4" w:rsidP="78BD0E57" w:rsidRDefault="34F2C5B4" w14:paraId="3ED0EC3A" w14:textId="4AFF862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Popelier</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 2008. Five paradoxes on legal certainty and the lawmaker.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Legisprudence</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2</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(1), pp.47-66.</w:t>
      </w:r>
    </w:p>
    <w:p w:rsidR="34F2C5B4" w:rsidP="78BD0E57" w:rsidRDefault="34F2C5B4" w14:paraId="53895A5A" w14:textId="22393AE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R v. Allen</w:t>
      </w: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1 C.C.R. 367 (1872).</w:t>
      </w:r>
    </w:p>
    <w:p w:rsidR="34F2C5B4" w:rsidP="78BD0E57" w:rsidRDefault="34F2C5B4" w14:paraId="029FD9E0" w14:textId="5E6B98C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34F2C5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Rinaldo Iversen, M., 2017. The legal status of polygamy in England and Germany-a comparison-Domicile v. Nationality.</w:t>
      </w:r>
    </w:p>
    <w:p w:rsidR="762A5A0D" w:rsidP="78BD0E57" w:rsidRDefault="762A5A0D" w14:paraId="0F10F653" w14:textId="0354D104">
      <w:pPr>
        <w:rPr>
          <w:rFonts w:ascii="Calibri" w:hAnsi="Calibri" w:eastAsia="Calibri" w:cs="Calibri" w:asciiTheme="minorAscii" w:hAnsiTheme="minorAscii" w:eastAsiaTheme="minorAscii" w:cstheme="minorAscii"/>
          <w:color w:val="auto"/>
          <w:sz w:val="22"/>
          <w:szCs w:val="22"/>
        </w:rPr>
      </w:pPr>
      <w:r w:rsidRPr="78BD0E57" w:rsidR="762A5A0D">
        <w:rPr>
          <w:rFonts w:ascii="Calibri" w:hAnsi="Calibri" w:eastAsia="Calibri" w:cs="Calibri" w:asciiTheme="minorAscii" w:hAnsiTheme="minorAscii" w:eastAsiaTheme="minorAscii" w:cstheme="minorAscii"/>
          <w:color w:val="auto"/>
          <w:sz w:val="22"/>
          <w:szCs w:val="22"/>
        </w:rPr>
        <w:t xml:space="preserve">Simpson, R.C., 1980. NWL Ltd. v. Woods. </w:t>
      </w:r>
      <w:r w:rsidRPr="78BD0E57" w:rsidR="762A5A0D">
        <w:rPr>
          <w:rFonts w:ascii="Calibri" w:hAnsi="Calibri" w:eastAsia="Calibri" w:cs="Calibri" w:asciiTheme="minorAscii" w:hAnsiTheme="minorAscii" w:eastAsiaTheme="minorAscii" w:cstheme="minorAscii"/>
          <w:i w:val="1"/>
          <w:iCs w:val="1"/>
          <w:color w:val="auto"/>
          <w:sz w:val="22"/>
          <w:szCs w:val="22"/>
        </w:rPr>
        <w:t>The Modern Law Review</w:t>
      </w:r>
      <w:r w:rsidRPr="78BD0E57" w:rsidR="762A5A0D">
        <w:rPr>
          <w:rFonts w:ascii="Calibri" w:hAnsi="Calibri" w:eastAsia="Calibri" w:cs="Calibri" w:asciiTheme="minorAscii" w:hAnsiTheme="minorAscii" w:eastAsiaTheme="minorAscii" w:cstheme="minorAscii"/>
          <w:color w:val="auto"/>
          <w:sz w:val="22"/>
          <w:szCs w:val="22"/>
        </w:rPr>
        <w:t xml:space="preserve">, </w:t>
      </w:r>
      <w:r w:rsidRPr="78BD0E57" w:rsidR="762A5A0D">
        <w:rPr>
          <w:rFonts w:ascii="Calibri" w:hAnsi="Calibri" w:eastAsia="Calibri" w:cs="Calibri" w:asciiTheme="minorAscii" w:hAnsiTheme="minorAscii" w:eastAsiaTheme="minorAscii" w:cstheme="minorAscii"/>
          <w:i w:val="1"/>
          <w:iCs w:val="1"/>
          <w:color w:val="auto"/>
          <w:sz w:val="22"/>
          <w:szCs w:val="22"/>
        </w:rPr>
        <w:t>43</w:t>
      </w:r>
      <w:r w:rsidRPr="78BD0E57" w:rsidR="762A5A0D">
        <w:rPr>
          <w:rFonts w:ascii="Calibri" w:hAnsi="Calibri" w:eastAsia="Calibri" w:cs="Calibri" w:asciiTheme="minorAscii" w:hAnsiTheme="minorAscii" w:eastAsiaTheme="minorAscii" w:cstheme="minorAscii"/>
          <w:color w:val="auto"/>
          <w:sz w:val="22"/>
          <w:szCs w:val="22"/>
        </w:rPr>
        <w:t>(3), pp.327-336.</w:t>
      </w:r>
    </w:p>
    <w:p w:rsidR="78BD0E57" w:rsidP="78BD0E57" w:rsidRDefault="78BD0E57" w14:paraId="5F3AECF3" w14:textId="276EEBF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8BD0E57" w:rsidR="78BD0E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Statutory Interpretation: A Collaboration between Democratic Legislatures and the Courts? (n.d.). </w:t>
      </w:r>
    </w:p>
    <w:p w:rsidR="78BD0E57" w:rsidP="78BD0E57" w:rsidRDefault="78BD0E57" w14:paraId="32CC6FD8" w14:textId="4AC57E60">
      <w:pPr>
        <w:pStyle w:val="Normal"/>
        <w:rPr>
          <w:rFonts w:ascii="Calibri" w:hAnsi="Calibri" w:eastAsia="Calibri" w:cs="Calibri"/>
          <w:b w:val="0"/>
          <w:bCs w:val="0"/>
          <w:i w:val="0"/>
          <w:iCs w:val="0"/>
          <w:caps w:val="0"/>
          <w:smallCaps w:val="0"/>
          <w:noProof w:val="0"/>
          <w:color w:val="2C3E50"/>
          <w:sz w:val="27"/>
          <w:szCs w:val="27"/>
          <w:lang w:val="en-US"/>
        </w:rPr>
      </w:pPr>
    </w:p>
    <w:sectPr w:rsidR="762A5A0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225230368-831820165 169596430-1011141076 1716704110-2053102445 1191602537-1082521819 707905096-642101396 1066606205-612136650 1507075000-1533969508 1586423271-1972215899 1347958757-1867729321 1383889832-1264841040 212891550-875673478 43175762-1489577751 134783233-1720155760 362495657-1631929067 1822522583-410723003 538887127-1780102945"/>
  </int:OnDemandWorkflows>
  <int:IntelligenceSettings>
    <int:extLst>
      <oel:ext uri="74B372B9-2EFF-4315-9A3F-32BA87CA82B1">
        <int:Goals Version="1" Formality="0"/>
      </oel:ext>
    </int:extLst>
  </int:IntelligenceSettings>
  <int:Manifest>
    <int:ParagraphRange paragraphId="1586423271" textId="1862443702" start="3" length="15" invalidationStart="3" invalidationLength="15" id="WIzBaKs5"/>
    <int:ParagraphRange paragraphId="1586423271" textId="1996143520" start="3" length="15" invalidationStart="3" invalidationLength="15" id="f4NwJMLp"/>
    <int:ParagraphRange paragraphId="522567965" textId="1635009747" start="104" length="17" invalidationStart="104" invalidationLength="17" id="zlSp6pb1"/>
    <int:WordHash hashCode="2ucY9wP3D5JtQ1" id="uV92j24W"/>
    <int:WordHash hashCode="ZcHbc0Rgtitn16" id="8QqNHKrL"/>
    <int:WordHash hashCode="ZS+OuYY3QJaAVL" id="LynN2djI"/>
    <int:WordHash hashCode="R9C7yJZwdofJG0" id="iKzy9GR5"/>
    <int:WordHash hashCode="B+HnthqHM0KGBP" id="0TLy0Lnv"/>
    <int:WordHash hashCode="kPbUD83hLSdgnC" id="h4nraHzz"/>
    <int:WordHash hashCode="K6+VKXgqkDlz+i" id="mBN1vkck"/>
    <int:WordHash hashCode="byUVCEC4wFpZ10" id="aYQ3jBms"/>
    <int:WordHash hashCode="p6D0vmHuTyxsQC" id="9fwLUARY"/>
    <int:WordHash hashCode="WnP91SJqDXf7Yw" id="MnEkhodV"/>
  </int:Manifest>
  <int:Observations>
    <int:Content id="WIzBaKs5">
      <int:Rejection type="LegacyProofing"/>
    </int:Content>
    <int:Content id="f4NwJMLp">
      <int:Rejection type="LegacyProofing"/>
    </int:Content>
    <int:Content id="zlSp6pb1">
      <int:Rejection type="LegacyProofing"/>
    </int:Content>
    <int:Content id="uV92j24W">
      <int:Rejection type="LegacyProofing"/>
    </int:Content>
    <int:Content id="8QqNHKrL">
      <int:Rejection type="LegacyProofing"/>
    </int:Content>
    <int:Content id="LynN2djI">
      <int:Rejection type="AugLoop_Text_Critique"/>
    </int:Content>
    <int:Content id="iKzy9GR5">
      <int:Rejection type="LegacyProofing"/>
    </int:Content>
    <int:Content id="0TLy0Lnv">
      <int:Rejection type="LegacyProofing"/>
    </int:Content>
    <int:Content id="h4nraHzz">
      <int:Rejection type="LegacyProofing"/>
    </int:Content>
    <int:Content id="mBN1vkck">
      <int:Rejection type="LegacyProofing"/>
    </int:Content>
    <int:Content id="aYQ3jBms">
      <int:Rejection type="LegacyProofing"/>
    </int:Content>
    <int:Content id="9fwLUARY">
      <int:Rejection type="LegacyProofing"/>
    </int:Content>
    <int:Content id="MnEkhod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9D6302"/>
    <w:rsid w:val="00809998"/>
    <w:rsid w:val="00A87FE8"/>
    <w:rsid w:val="00DB2874"/>
    <w:rsid w:val="0125ECD2"/>
    <w:rsid w:val="021C69F9"/>
    <w:rsid w:val="02739EC9"/>
    <w:rsid w:val="038863E3"/>
    <w:rsid w:val="03A3B654"/>
    <w:rsid w:val="03B83A5A"/>
    <w:rsid w:val="04C743E8"/>
    <w:rsid w:val="053F86B5"/>
    <w:rsid w:val="05C5998A"/>
    <w:rsid w:val="05C5998A"/>
    <w:rsid w:val="06BB2D3A"/>
    <w:rsid w:val="073CE644"/>
    <w:rsid w:val="096689B4"/>
    <w:rsid w:val="0C6876D3"/>
    <w:rsid w:val="0CE2429F"/>
    <w:rsid w:val="0DAC27C8"/>
    <w:rsid w:val="0DCD3218"/>
    <w:rsid w:val="0DCD3218"/>
    <w:rsid w:val="0DF966B9"/>
    <w:rsid w:val="0E17C292"/>
    <w:rsid w:val="0E252A46"/>
    <w:rsid w:val="0F47F829"/>
    <w:rsid w:val="0F47F829"/>
    <w:rsid w:val="0F690279"/>
    <w:rsid w:val="0FF7445A"/>
    <w:rsid w:val="1019E361"/>
    <w:rsid w:val="10D86920"/>
    <w:rsid w:val="119314BB"/>
    <w:rsid w:val="126F9F12"/>
    <w:rsid w:val="13499A4A"/>
    <w:rsid w:val="13C0FF76"/>
    <w:rsid w:val="151BD2DC"/>
    <w:rsid w:val="155D9805"/>
    <w:rsid w:val="166685DE"/>
    <w:rsid w:val="16812599"/>
    <w:rsid w:val="16F96866"/>
    <w:rsid w:val="18BB77B3"/>
    <w:rsid w:val="1900F19D"/>
    <w:rsid w:val="1E200489"/>
    <w:rsid w:val="1E6572E0"/>
    <w:rsid w:val="1E6586F0"/>
    <w:rsid w:val="1ECAA2A8"/>
    <w:rsid w:val="1FBC82D0"/>
    <w:rsid w:val="1FBC82D0"/>
    <w:rsid w:val="21585331"/>
    <w:rsid w:val="21C92780"/>
    <w:rsid w:val="21EDAF47"/>
    <w:rsid w:val="22A67222"/>
    <w:rsid w:val="2559669D"/>
    <w:rsid w:val="2577C276"/>
    <w:rsid w:val="259D6302"/>
    <w:rsid w:val="25FB4255"/>
    <w:rsid w:val="2757443E"/>
    <w:rsid w:val="279712B6"/>
    <w:rsid w:val="2829266B"/>
    <w:rsid w:val="287184EE"/>
    <w:rsid w:val="2979654A"/>
    <w:rsid w:val="2979654A"/>
    <w:rsid w:val="29C4F6CC"/>
    <w:rsid w:val="2A589B4D"/>
    <w:rsid w:val="2A755964"/>
    <w:rsid w:val="2ACEB378"/>
    <w:rsid w:val="2ACEB378"/>
    <w:rsid w:val="2AE0025F"/>
    <w:rsid w:val="2B1535AB"/>
    <w:rsid w:val="2B8D805E"/>
    <w:rsid w:val="2C1129C5"/>
    <w:rsid w:val="2C5D63FC"/>
    <w:rsid w:val="2D073FB8"/>
    <w:rsid w:val="2EC52120"/>
    <w:rsid w:val="2F48CA87"/>
    <w:rsid w:val="3183B4CC"/>
    <w:rsid w:val="32806B49"/>
    <w:rsid w:val="34AD575D"/>
    <w:rsid w:val="34BB2425"/>
    <w:rsid w:val="34F2C5B4"/>
    <w:rsid w:val="35B80C0B"/>
    <w:rsid w:val="37052912"/>
    <w:rsid w:val="37A3FD3F"/>
    <w:rsid w:val="37B1DECA"/>
    <w:rsid w:val="37F2C4E7"/>
    <w:rsid w:val="3826897C"/>
    <w:rsid w:val="383FB1D9"/>
    <w:rsid w:val="38AF18AF"/>
    <w:rsid w:val="3A537590"/>
    <w:rsid w:val="3B686AC4"/>
    <w:rsid w:val="3B8E1B16"/>
    <w:rsid w:val="3C274D8F"/>
    <w:rsid w:val="3C7DDA17"/>
    <w:rsid w:val="3C7DDA17"/>
    <w:rsid w:val="3D043B25"/>
    <w:rsid w:val="3D8289D2"/>
    <w:rsid w:val="3E35B471"/>
    <w:rsid w:val="3EAC937B"/>
    <w:rsid w:val="404C4D70"/>
    <w:rsid w:val="406CEBA3"/>
    <w:rsid w:val="4108A03D"/>
    <w:rsid w:val="4108A03D"/>
    <w:rsid w:val="41A1C61C"/>
    <w:rsid w:val="42F7D6AD"/>
    <w:rsid w:val="434A228F"/>
    <w:rsid w:val="44D966DE"/>
    <w:rsid w:val="44E5F2F0"/>
    <w:rsid w:val="468C0C54"/>
    <w:rsid w:val="46A3AC1F"/>
    <w:rsid w:val="46E4F50E"/>
    <w:rsid w:val="46E4F50E"/>
    <w:rsid w:val="481107A0"/>
    <w:rsid w:val="48185585"/>
    <w:rsid w:val="49E06B2D"/>
    <w:rsid w:val="49F9F6C9"/>
    <w:rsid w:val="4DEEAA09"/>
    <w:rsid w:val="4EF17B2F"/>
    <w:rsid w:val="4F03FD23"/>
    <w:rsid w:val="4FC1D9A2"/>
    <w:rsid w:val="4FC1D9A2"/>
    <w:rsid w:val="50273FB9"/>
    <w:rsid w:val="508D4B90"/>
    <w:rsid w:val="51524A99"/>
    <w:rsid w:val="523B9DE5"/>
    <w:rsid w:val="524CC4AC"/>
    <w:rsid w:val="524CC4AC"/>
    <w:rsid w:val="537274B9"/>
    <w:rsid w:val="559BBF10"/>
    <w:rsid w:val="55D92E1B"/>
    <w:rsid w:val="56BEEE35"/>
    <w:rsid w:val="56EB432C"/>
    <w:rsid w:val="57393586"/>
    <w:rsid w:val="57393586"/>
    <w:rsid w:val="5901C600"/>
    <w:rsid w:val="59443421"/>
    <w:rsid w:val="5D8F7753"/>
    <w:rsid w:val="5E351BDC"/>
    <w:rsid w:val="5EB0D7BD"/>
    <w:rsid w:val="5FD0EC3D"/>
    <w:rsid w:val="5FD0EC3D"/>
    <w:rsid w:val="614AAB97"/>
    <w:rsid w:val="614AAB97"/>
    <w:rsid w:val="616144AB"/>
    <w:rsid w:val="616CBC9E"/>
    <w:rsid w:val="622FBB83"/>
    <w:rsid w:val="624308F9"/>
    <w:rsid w:val="62E67BF8"/>
    <w:rsid w:val="62FD150C"/>
    <w:rsid w:val="63088CFF"/>
    <w:rsid w:val="635DC2A6"/>
    <w:rsid w:val="635DC2A6"/>
    <w:rsid w:val="63C061BD"/>
    <w:rsid w:val="63C86109"/>
    <w:rsid w:val="6444473E"/>
    <w:rsid w:val="65419263"/>
    <w:rsid w:val="655C321E"/>
    <w:rsid w:val="664F2C76"/>
    <w:rsid w:val="66DD62C4"/>
    <w:rsid w:val="66F8027F"/>
    <w:rsid w:val="677BE800"/>
    <w:rsid w:val="677BE800"/>
    <w:rsid w:val="67B9ED1B"/>
    <w:rsid w:val="67B9ED1B"/>
    <w:rsid w:val="67C67510"/>
    <w:rsid w:val="67EAFCD7"/>
    <w:rsid w:val="6A2FA341"/>
    <w:rsid w:val="6A58BB22"/>
    <w:rsid w:val="6A6B9176"/>
    <w:rsid w:val="6AE74D57"/>
    <w:rsid w:val="6AFE15D2"/>
    <w:rsid w:val="6BE9EB3F"/>
    <w:rsid w:val="6CFD6509"/>
    <w:rsid w:val="6DA0E9D0"/>
    <w:rsid w:val="6E99356A"/>
    <w:rsid w:val="6FA5EDE9"/>
    <w:rsid w:val="6FA5EDE9"/>
    <w:rsid w:val="70335FB6"/>
    <w:rsid w:val="7115FABD"/>
    <w:rsid w:val="71851F87"/>
    <w:rsid w:val="71D0D62C"/>
    <w:rsid w:val="724AA1F8"/>
    <w:rsid w:val="72792050"/>
    <w:rsid w:val="73F94B5F"/>
    <w:rsid w:val="7414F0B1"/>
    <w:rsid w:val="748E89AC"/>
    <w:rsid w:val="75353707"/>
    <w:rsid w:val="75353707"/>
    <w:rsid w:val="758242BA"/>
    <w:rsid w:val="758242BA"/>
    <w:rsid w:val="75B0C112"/>
    <w:rsid w:val="75EA2200"/>
    <w:rsid w:val="762A5A0D"/>
    <w:rsid w:val="76FAA9CB"/>
    <w:rsid w:val="77435995"/>
    <w:rsid w:val="77C58CBE"/>
    <w:rsid w:val="77C58CBE"/>
    <w:rsid w:val="78BD0E57"/>
    <w:rsid w:val="7A0876C1"/>
    <w:rsid w:val="7A0876C1"/>
    <w:rsid w:val="7A55B3DD"/>
    <w:rsid w:val="7A65F953"/>
    <w:rsid w:val="7AEC364A"/>
    <w:rsid w:val="7CF3D1FC"/>
    <w:rsid w:val="7D3474CF"/>
    <w:rsid w:val="7D48F8D5"/>
    <w:rsid w:val="7E0718F5"/>
    <w:rsid w:val="7E30B1E0"/>
    <w:rsid w:val="7ED04530"/>
    <w:rsid w:val="7F3BFE06"/>
    <w:rsid w:val="7F3BF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D6302"/>
  <w15:chartTrackingRefBased/>
  <w15:docId w15:val="{05DEC607-DEC1-420B-BFCB-858DD930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microsoft.com/office/2019/09/relationships/intelligence" Target="intelligence.xml" Id="Rd1c380f285314d3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Patrick Grey (2104767)</dc:creator>
  <keywords/>
  <dc:description/>
  <lastModifiedBy>Patrick Grey (2104767)</lastModifiedBy>
  <revision>5</revision>
  <dcterms:created xsi:type="dcterms:W3CDTF">2022-05-01T19:41:00.0000000Z</dcterms:created>
  <dcterms:modified xsi:type="dcterms:W3CDTF">2022-05-03T21:52:58.8529362Z</dcterms:modified>
</coreProperties>
</file>