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752E7" w14:textId="40DBD35D" w:rsidR="008A27D2" w:rsidRDefault="008A27D2" w:rsidP="008A27D2">
      <w:r w:rsidRPr="009C1727">
        <w:rPr>
          <w:rFonts w:ascii="Times New Roman" w:eastAsia="Times New Roman" w:hAnsi="Times New Roman" w:cs="Times New Roman"/>
          <w:noProof/>
          <w:sz w:val="24"/>
          <w:szCs w:val="24"/>
          <w:highlight w:val="white"/>
          <w:lang w:val="en-US"/>
        </w:rPr>
        <w:drawing>
          <wp:inline distT="0" distB="0" distL="0" distR="0" wp14:anchorId="4C4876EB" wp14:editId="1306F0F0">
            <wp:extent cx="3101340" cy="1428750"/>
            <wp:effectExtent l="0" t="0" r="3810" b="0"/>
            <wp:docPr id="1" name="image1.png" descr="University of Wales Trinity Saint David ..."/>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
                    <pic:cNvPicPr preferRelativeResize="0"/>
                  </pic:nvPicPr>
                  <pic:blipFill>
                    <a:blip r:embed="rId5"/>
                    <a:srcRect/>
                    <a:stretch>
                      <a:fillRect/>
                    </a:stretch>
                  </pic:blipFill>
                  <pic:spPr>
                    <a:xfrm>
                      <a:off x="0" y="0"/>
                      <a:ext cx="3101340" cy="1428750"/>
                    </a:xfrm>
                    <a:prstGeom prst="rect">
                      <a:avLst/>
                    </a:prstGeom>
                    <a:ln/>
                  </pic:spPr>
                </pic:pic>
              </a:graphicData>
            </a:graphic>
          </wp:inline>
        </w:drawing>
      </w:r>
    </w:p>
    <w:p w14:paraId="17273065" w14:textId="77777777" w:rsidR="008A27D2" w:rsidRDefault="008A27D2" w:rsidP="008A27D2"/>
    <w:p w14:paraId="04FA30D6" w14:textId="77777777" w:rsidR="008A27D2" w:rsidRDefault="008A27D2" w:rsidP="008A27D2"/>
    <w:p w14:paraId="7F4EC6BD" w14:textId="77777777" w:rsidR="008A27D2" w:rsidRDefault="008A27D2" w:rsidP="008A27D2">
      <w:pPr>
        <w:spacing w:before="120"/>
        <w:rPr>
          <w:color w:val="404040" w:themeColor="text1" w:themeTint="BF"/>
          <w:sz w:val="36"/>
          <w:szCs w:val="36"/>
        </w:rPr>
      </w:pPr>
      <w:r w:rsidRPr="008A27D2">
        <w:rPr>
          <w:color w:val="404040" w:themeColor="text1" w:themeTint="BF"/>
          <w:sz w:val="36"/>
          <w:szCs w:val="36"/>
        </w:rPr>
        <w:t>Psychology in Health and Social Care</w:t>
      </w:r>
    </w:p>
    <w:p w14:paraId="614176A7" w14:textId="656E069A" w:rsidR="008A27D2" w:rsidRDefault="008A27D2" w:rsidP="008A27D2">
      <w:pPr>
        <w:spacing w:before="120"/>
        <w:rPr>
          <w:color w:val="404040" w:themeColor="text1" w:themeTint="BF"/>
          <w:sz w:val="36"/>
          <w:szCs w:val="36"/>
        </w:rPr>
      </w:pPr>
      <w:r>
        <w:rPr>
          <w:color w:val="404040" w:themeColor="text1" w:themeTint="BF"/>
          <w:sz w:val="36"/>
          <w:szCs w:val="36"/>
        </w:rPr>
        <w:t>Module Code: LCHS 40</w:t>
      </w:r>
      <w:r>
        <w:rPr>
          <w:color w:val="404040" w:themeColor="text1" w:themeTint="BF"/>
          <w:sz w:val="36"/>
          <w:szCs w:val="36"/>
        </w:rPr>
        <w:t>10</w:t>
      </w:r>
    </w:p>
    <w:p w14:paraId="2771CAB9" w14:textId="77777777" w:rsidR="008A27D2" w:rsidRDefault="008A27D2" w:rsidP="008A27D2">
      <w:pPr>
        <w:spacing w:before="120"/>
        <w:rPr>
          <w:color w:val="404040" w:themeColor="text1" w:themeTint="BF"/>
          <w:sz w:val="36"/>
          <w:szCs w:val="36"/>
        </w:rPr>
      </w:pPr>
      <w:r>
        <w:rPr>
          <w:color w:val="404040" w:themeColor="text1" w:themeTint="BF"/>
          <w:sz w:val="36"/>
          <w:szCs w:val="36"/>
        </w:rPr>
        <w:t>Student name: Svetlana Chebac</w:t>
      </w:r>
    </w:p>
    <w:p w14:paraId="537ADDD1" w14:textId="77777777" w:rsidR="008A27D2" w:rsidRDefault="008A27D2" w:rsidP="008A27D2">
      <w:pPr>
        <w:spacing w:before="120"/>
        <w:rPr>
          <w:color w:val="404040" w:themeColor="text1" w:themeTint="BF"/>
          <w:sz w:val="36"/>
          <w:szCs w:val="36"/>
        </w:rPr>
      </w:pPr>
      <w:r>
        <w:rPr>
          <w:color w:val="404040" w:themeColor="text1" w:themeTint="BF"/>
          <w:sz w:val="36"/>
          <w:szCs w:val="36"/>
        </w:rPr>
        <w:t>Student ID: 2429431</w:t>
      </w:r>
    </w:p>
    <w:p w14:paraId="2B9C8720" w14:textId="0C0A1647" w:rsidR="008A27D2" w:rsidRDefault="008A27D2" w:rsidP="008A27D2">
      <w:pPr>
        <w:spacing w:before="120"/>
        <w:rPr>
          <w:rFonts w:ascii="Arial" w:hAnsi="Arial" w:cs="Arial"/>
          <w:color w:val="404040" w:themeColor="text1" w:themeTint="BF"/>
          <w:sz w:val="36"/>
          <w:szCs w:val="36"/>
        </w:rPr>
      </w:pPr>
      <w:r>
        <w:rPr>
          <w:color w:val="404040" w:themeColor="text1" w:themeTint="BF"/>
          <w:sz w:val="36"/>
          <w:szCs w:val="36"/>
        </w:rPr>
        <w:t xml:space="preserve">Lecturer’s Name: </w:t>
      </w:r>
      <w:r>
        <w:rPr>
          <w:color w:val="404040" w:themeColor="text1" w:themeTint="BF"/>
          <w:sz w:val="36"/>
          <w:szCs w:val="36"/>
        </w:rPr>
        <w:t>Peace</w:t>
      </w:r>
      <w:r w:rsidRPr="008A27D2">
        <w:rPr>
          <w:color w:val="404040" w:themeColor="text1" w:themeTint="BF"/>
          <w:sz w:val="36"/>
          <w:szCs w:val="36"/>
        </w:rPr>
        <w:t xml:space="preserve"> </w:t>
      </w:r>
      <w:r w:rsidRPr="008A27D2">
        <w:rPr>
          <w:color w:val="404040" w:themeColor="text1" w:themeTint="BF"/>
          <w:sz w:val="36"/>
          <w:szCs w:val="36"/>
        </w:rPr>
        <w:t>Ukachukwu</w:t>
      </w:r>
    </w:p>
    <w:p w14:paraId="0D9BD556" w14:textId="77777777" w:rsidR="008A27D2" w:rsidRDefault="008A27D2" w:rsidP="008A27D2"/>
    <w:p w14:paraId="69BA1854" w14:textId="77777777" w:rsidR="008A27D2" w:rsidRDefault="008A27D2" w:rsidP="008A27D2"/>
    <w:p w14:paraId="0B53BFA3" w14:textId="77777777" w:rsidR="008A27D2" w:rsidRDefault="008A27D2" w:rsidP="008A27D2"/>
    <w:p w14:paraId="331C9B00" w14:textId="77777777" w:rsidR="008A27D2" w:rsidRDefault="008A27D2" w:rsidP="008A27D2"/>
    <w:p w14:paraId="3BD2F333" w14:textId="77777777" w:rsidR="008A27D2" w:rsidRDefault="008A27D2" w:rsidP="008A27D2"/>
    <w:p w14:paraId="00456D72" w14:textId="77777777" w:rsidR="008A27D2" w:rsidRDefault="008A27D2" w:rsidP="008A27D2"/>
    <w:p w14:paraId="29001848" w14:textId="77777777" w:rsidR="008A27D2" w:rsidRDefault="008A27D2" w:rsidP="008A27D2"/>
    <w:p w14:paraId="1F5E28FD" w14:textId="77777777" w:rsidR="008A27D2" w:rsidRDefault="008A27D2" w:rsidP="008A27D2"/>
    <w:p w14:paraId="7FDE3F0E" w14:textId="77777777" w:rsidR="008A27D2" w:rsidRDefault="008A27D2" w:rsidP="008A27D2"/>
    <w:p w14:paraId="280777BC" w14:textId="77777777" w:rsidR="008A27D2" w:rsidRDefault="008A27D2" w:rsidP="008A27D2"/>
    <w:p w14:paraId="4821DE12" w14:textId="77777777" w:rsidR="008A27D2" w:rsidRDefault="008A27D2" w:rsidP="008A27D2"/>
    <w:p w14:paraId="03236F22" w14:textId="77777777" w:rsidR="008A27D2" w:rsidRDefault="008A27D2" w:rsidP="008A27D2"/>
    <w:p w14:paraId="02853F7C" w14:textId="77777777" w:rsidR="008A27D2" w:rsidRDefault="008A27D2" w:rsidP="008A27D2"/>
    <w:p w14:paraId="72586E01" w14:textId="77777777" w:rsidR="008A27D2" w:rsidRDefault="008A27D2" w:rsidP="008A27D2"/>
    <w:p w14:paraId="66F70938" w14:textId="77777777" w:rsidR="00B938CD" w:rsidRDefault="00B938CD" w:rsidP="008A27D2"/>
    <w:p w14:paraId="0E435E14" w14:textId="77777777" w:rsidR="00B938CD" w:rsidRDefault="00B938CD" w:rsidP="008A27D2"/>
    <w:p w14:paraId="57EC87AA" w14:textId="77777777" w:rsidR="00B938CD" w:rsidRDefault="00B938CD" w:rsidP="008A27D2"/>
    <w:p w14:paraId="20F37240" w14:textId="497CE867" w:rsidR="008A27D2" w:rsidRPr="008A27D2" w:rsidRDefault="008A27D2" w:rsidP="008A27D2">
      <w:pPr>
        <w:rPr>
          <w:rFonts w:ascii="Arial" w:hAnsi="Arial" w:cs="Arial"/>
        </w:rPr>
      </w:pPr>
      <w:r w:rsidRPr="008A27D2">
        <w:rPr>
          <w:rFonts w:ascii="Arial" w:hAnsi="Arial" w:cs="Arial"/>
        </w:rPr>
        <w:t>Introduction</w:t>
      </w:r>
    </w:p>
    <w:p w14:paraId="3672BF4B" w14:textId="758C1615" w:rsidR="008A27D2" w:rsidRPr="008A27D2" w:rsidRDefault="008A27D2" w:rsidP="008A27D2">
      <w:pPr>
        <w:rPr>
          <w:rFonts w:ascii="Arial" w:hAnsi="Arial" w:cs="Arial"/>
        </w:rPr>
      </w:pPr>
      <w:r w:rsidRPr="008A27D2">
        <w:rPr>
          <w:rFonts w:ascii="Arial" w:hAnsi="Arial" w:cs="Arial"/>
        </w:rPr>
        <w:t xml:space="preserve">The global population is ageing, and a growing number of adults aged 65 and over are living with psychological health conditions, particularly dementia, depression, and anxiety. Within residential dementia care homes, health and social care professionals are required to support not only the physical needs of older adults but also their psychological wellbeing. Psychological theories and research offer valuable frameworks for understanding the emotional, cognitive, and behavioural changes associated with ageing and psychological ill health. This report provides guidance for health and social care professionals on how psychological theories can be used to support adults aged 65 and over who are experiencing psychological health conditions in a dementia care home setting. Two key theories are explored: Erikson’s Psychosocial Theory of Development and Cognitive Behavioural Theory (CBT). The report critically evaluates how these theories can be applied in practice, highlights challenges in implementation, </w:t>
      </w:r>
      <w:r w:rsidRPr="00336E06">
        <w:rPr>
          <w:rFonts w:ascii="Arial" w:hAnsi="Arial" w:cs="Arial"/>
        </w:rPr>
        <w:t xml:space="preserve"> </w:t>
      </w:r>
      <w:r w:rsidRPr="008A27D2">
        <w:rPr>
          <w:rFonts w:ascii="Arial" w:hAnsi="Arial" w:cs="Arial"/>
        </w:rPr>
        <w:t>and suggests strategies to overcome these challenges.</w:t>
      </w:r>
    </w:p>
    <w:p w14:paraId="6B216301" w14:textId="77777777" w:rsidR="008A27D2" w:rsidRPr="008A27D2" w:rsidRDefault="008A27D2" w:rsidP="008A27D2">
      <w:pPr>
        <w:rPr>
          <w:rFonts w:ascii="Arial" w:hAnsi="Arial" w:cs="Arial"/>
        </w:rPr>
      </w:pPr>
      <w:r w:rsidRPr="008A27D2">
        <w:rPr>
          <w:rFonts w:ascii="Arial" w:hAnsi="Arial" w:cs="Arial"/>
        </w:rPr>
        <w:t>Context: Dementia Care Homes</w:t>
      </w:r>
    </w:p>
    <w:p w14:paraId="7AE0177E" w14:textId="77777777" w:rsidR="008A27D2" w:rsidRPr="008A27D2" w:rsidRDefault="008A27D2" w:rsidP="008A27D2">
      <w:pPr>
        <w:rPr>
          <w:rFonts w:ascii="Arial" w:hAnsi="Arial" w:cs="Arial"/>
        </w:rPr>
      </w:pPr>
      <w:r w:rsidRPr="008A27D2">
        <w:rPr>
          <w:rFonts w:ascii="Arial" w:hAnsi="Arial" w:cs="Arial"/>
        </w:rPr>
        <w:t>Dementia care homes provide long-term residential support for older adults experiencing cognitive decline, memory loss, and associated psychological and behavioural symptoms. Residents often experience comorbid psychological conditions such as depression, anxiety, agitation, and loss of identity. The environment can be disorientating and emotionally challenging, particularly as individuals experience reduced independence and changes in social roles. Psychological theories are therefore essential in helping professionals understand residents’ emotional needs, adapt care approaches, and promote dignity, wellbeing, and quality of life.</w:t>
      </w:r>
    </w:p>
    <w:p w14:paraId="01F23FFA" w14:textId="77777777" w:rsidR="008A27D2" w:rsidRPr="008A27D2" w:rsidRDefault="008A27D2" w:rsidP="008A27D2">
      <w:pPr>
        <w:rPr>
          <w:rFonts w:ascii="Arial" w:hAnsi="Arial" w:cs="Arial"/>
        </w:rPr>
      </w:pPr>
      <w:r w:rsidRPr="008A27D2">
        <w:rPr>
          <w:rFonts w:ascii="Arial" w:hAnsi="Arial" w:cs="Arial"/>
        </w:rPr>
        <w:t>Theory One: Erikson’s Psychosocial Theory of Development</w:t>
      </w:r>
    </w:p>
    <w:p w14:paraId="458D0F65" w14:textId="77777777" w:rsidR="008A27D2" w:rsidRPr="008A27D2" w:rsidRDefault="008A27D2" w:rsidP="008A27D2">
      <w:pPr>
        <w:rPr>
          <w:rFonts w:ascii="Arial" w:hAnsi="Arial" w:cs="Arial"/>
        </w:rPr>
      </w:pPr>
      <w:r w:rsidRPr="008A27D2">
        <w:rPr>
          <w:rFonts w:ascii="Arial" w:hAnsi="Arial" w:cs="Arial"/>
        </w:rPr>
        <w:t>Overview of the Theory</w:t>
      </w:r>
    </w:p>
    <w:p w14:paraId="4F946AA9" w14:textId="77777777" w:rsidR="008A27D2" w:rsidRPr="008A27D2" w:rsidRDefault="008A27D2" w:rsidP="008A27D2">
      <w:pPr>
        <w:rPr>
          <w:rFonts w:ascii="Arial" w:hAnsi="Arial" w:cs="Arial"/>
        </w:rPr>
      </w:pPr>
      <w:r w:rsidRPr="008A27D2">
        <w:rPr>
          <w:rFonts w:ascii="Arial" w:hAnsi="Arial" w:cs="Arial"/>
        </w:rPr>
        <w:t>Erikson’s Psychosocial Theory of Development proposes that individuals progress through eight stages across the lifespan, each characterised by a psychosocial crisis that must be resolved for healthy development (Erikson, 1980). The final stage, relevant to adults aged 65 and over, is ‘Ego Integrity versus Despair’. In this stage, older adults reflect on their lives and evaluate whether they feel a sense of fulfilment and acceptance (ego integrity) or regret, bitterness, and dissatisfaction (despair).</w:t>
      </w:r>
    </w:p>
    <w:p w14:paraId="0BCCC57E" w14:textId="77777777" w:rsidR="008A27D2" w:rsidRPr="008A27D2" w:rsidRDefault="008A27D2" w:rsidP="008A27D2">
      <w:pPr>
        <w:rPr>
          <w:rFonts w:ascii="Arial" w:hAnsi="Arial" w:cs="Arial"/>
        </w:rPr>
      </w:pPr>
      <w:r w:rsidRPr="008A27D2">
        <w:rPr>
          <w:rFonts w:ascii="Arial" w:hAnsi="Arial" w:cs="Arial"/>
        </w:rPr>
        <w:t>Ego integrity is associated with feelings of meaning, wisdom, and acceptance of life and death. In contrast, despair may manifest as depression, anxiety, fear of death, and feelings of worthlessness. For older adults living in dementia care homes, cognitive decline and loss of independence can intensify feelings of despair, particularly if individuals struggle to make sense of their life experiences or feel that their identity is being eroded.</w:t>
      </w:r>
    </w:p>
    <w:p w14:paraId="49C11C0F" w14:textId="77777777" w:rsidR="008A27D2" w:rsidRPr="008A27D2" w:rsidRDefault="008A27D2" w:rsidP="008A27D2">
      <w:pPr>
        <w:rPr>
          <w:rFonts w:ascii="Arial" w:hAnsi="Arial" w:cs="Arial"/>
        </w:rPr>
      </w:pPr>
      <w:r w:rsidRPr="008A27D2">
        <w:rPr>
          <w:rFonts w:ascii="Arial" w:hAnsi="Arial" w:cs="Arial"/>
        </w:rPr>
        <w:t>Application to Adults Aged 65 and Over</w:t>
      </w:r>
    </w:p>
    <w:p w14:paraId="105E4883" w14:textId="77777777" w:rsidR="008A27D2" w:rsidRPr="008A27D2" w:rsidRDefault="008A27D2" w:rsidP="008A27D2">
      <w:pPr>
        <w:rPr>
          <w:rFonts w:ascii="Arial" w:hAnsi="Arial" w:cs="Arial"/>
        </w:rPr>
      </w:pPr>
      <w:r w:rsidRPr="008A27D2">
        <w:rPr>
          <w:rFonts w:ascii="Arial" w:hAnsi="Arial" w:cs="Arial"/>
        </w:rPr>
        <w:t>Erikson’s theory highlights the importance of life review, reminiscence, and identity preservation in later life. For adults aged 65 and over, particularly those with dementia, opportunities to reflect on meaningful life experiences can support ego integrity and psychological wellbeing. Research suggests that reminiscence therapy can reduce depressive symptoms and improve mood and self-esteem in older adults with dementia (Woods et al., 2018).</w:t>
      </w:r>
    </w:p>
    <w:p w14:paraId="0C1093FF" w14:textId="77777777" w:rsidR="008A27D2" w:rsidRPr="008A27D2" w:rsidRDefault="008A27D2" w:rsidP="008A27D2">
      <w:pPr>
        <w:rPr>
          <w:rFonts w:ascii="Arial" w:hAnsi="Arial" w:cs="Arial"/>
        </w:rPr>
      </w:pPr>
      <w:r w:rsidRPr="008A27D2">
        <w:rPr>
          <w:rFonts w:ascii="Arial" w:hAnsi="Arial" w:cs="Arial"/>
        </w:rPr>
        <w:lastRenderedPageBreak/>
        <w:t>Application in the Dementia Care Home Setting</w:t>
      </w:r>
    </w:p>
    <w:p w14:paraId="730A5F45" w14:textId="77777777" w:rsidR="008A27D2" w:rsidRPr="008A27D2" w:rsidRDefault="008A27D2" w:rsidP="008A27D2">
      <w:pPr>
        <w:rPr>
          <w:rFonts w:ascii="Arial" w:hAnsi="Arial" w:cs="Arial"/>
        </w:rPr>
      </w:pPr>
      <w:r w:rsidRPr="008A27D2">
        <w:rPr>
          <w:rFonts w:ascii="Arial" w:hAnsi="Arial" w:cs="Arial"/>
        </w:rPr>
        <w:t>Health and social care professionals can apply Erikson’s theory by incorporating life story work and reminiscence-based interventions into daily care. Practical examples include encouraging residents to share memories through photographs, music, or storytelling, and using personalised care plans that reflect individuals’ past roles, values, and achievements. For example, a resident who previously worked as a teacher may benefit from activities that involve reading or helping others, reinforcing their sense of identity and purpose.</w:t>
      </w:r>
    </w:p>
    <w:p w14:paraId="6FF5DEC3" w14:textId="77777777" w:rsidR="008A27D2" w:rsidRPr="008A27D2" w:rsidRDefault="008A27D2" w:rsidP="008A27D2">
      <w:pPr>
        <w:rPr>
          <w:rFonts w:ascii="Arial" w:hAnsi="Arial" w:cs="Arial"/>
        </w:rPr>
      </w:pPr>
      <w:r w:rsidRPr="008A27D2">
        <w:rPr>
          <w:rFonts w:ascii="Arial" w:hAnsi="Arial" w:cs="Arial"/>
        </w:rPr>
        <w:t>By supporting ego integrity, professionals can help reduce feelings of despair, agitation, and depression. This approach also aligns with person-centred care principles, which emphasise seeing the individual beyond their diagnosis (Kitwood, 1997).</w:t>
      </w:r>
    </w:p>
    <w:p w14:paraId="466FD30E" w14:textId="77777777" w:rsidR="008A27D2" w:rsidRPr="008A27D2" w:rsidRDefault="008A27D2" w:rsidP="008A27D2">
      <w:pPr>
        <w:rPr>
          <w:rFonts w:ascii="Arial" w:hAnsi="Arial" w:cs="Arial"/>
        </w:rPr>
      </w:pPr>
      <w:r w:rsidRPr="008A27D2">
        <w:rPr>
          <w:rFonts w:ascii="Arial" w:hAnsi="Arial" w:cs="Arial"/>
        </w:rPr>
        <w:t>Challenges and Strategies</w:t>
      </w:r>
    </w:p>
    <w:p w14:paraId="4B008F6F" w14:textId="77777777" w:rsidR="008A27D2" w:rsidRPr="008A27D2" w:rsidRDefault="008A27D2" w:rsidP="008A27D2">
      <w:pPr>
        <w:rPr>
          <w:rFonts w:ascii="Arial" w:hAnsi="Arial" w:cs="Arial"/>
        </w:rPr>
      </w:pPr>
      <w:r w:rsidRPr="008A27D2">
        <w:rPr>
          <w:rFonts w:ascii="Arial" w:hAnsi="Arial" w:cs="Arial"/>
        </w:rPr>
        <w:t>A key challenge in applying Erikson’s theory within dementia care homes is cognitive impairment. Advanced dementia may limit an individual’s ability to verbally reflect on past experiences. Time constraints and staffing pressures can also restrict opportunities for meaningful one-to-one interactions.</w:t>
      </w:r>
    </w:p>
    <w:p w14:paraId="6F8B7CDF" w14:textId="77777777" w:rsidR="008A27D2" w:rsidRPr="008A27D2" w:rsidRDefault="008A27D2" w:rsidP="008A27D2">
      <w:pPr>
        <w:rPr>
          <w:rFonts w:ascii="Arial" w:hAnsi="Arial" w:cs="Arial"/>
        </w:rPr>
      </w:pPr>
      <w:r w:rsidRPr="008A27D2">
        <w:rPr>
          <w:rFonts w:ascii="Arial" w:hAnsi="Arial" w:cs="Arial"/>
        </w:rPr>
        <w:t>To manage these challenges, professionals can use non-verbal reminiscence techniques, such as music therapy or sensory objects, which have been shown to evoke emotional memories even in advanced dementia (McDermott et al., 2014). Training staff in life story work and ensuring that personal histories are documented and shared across the care team can also support consistent application of this theory.</w:t>
      </w:r>
    </w:p>
    <w:p w14:paraId="55427843" w14:textId="77777777" w:rsidR="008A27D2" w:rsidRPr="008A27D2" w:rsidRDefault="008A27D2" w:rsidP="008A27D2">
      <w:pPr>
        <w:rPr>
          <w:rFonts w:ascii="Arial" w:hAnsi="Arial" w:cs="Arial"/>
        </w:rPr>
      </w:pPr>
      <w:r w:rsidRPr="008A27D2">
        <w:rPr>
          <w:rFonts w:ascii="Arial" w:hAnsi="Arial" w:cs="Arial"/>
        </w:rPr>
        <w:t>Theory Two: Cognitive Behavioural Theory (CBT)</w:t>
      </w:r>
    </w:p>
    <w:p w14:paraId="720C88EA" w14:textId="77777777" w:rsidR="008A27D2" w:rsidRPr="008A27D2" w:rsidRDefault="008A27D2" w:rsidP="008A27D2">
      <w:pPr>
        <w:rPr>
          <w:rFonts w:ascii="Arial" w:hAnsi="Arial" w:cs="Arial"/>
        </w:rPr>
      </w:pPr>
      <w:r w:rsidRPr="008A27D2">
        <w:rPr>
          <w:rFonts w:ascii="Arial" w:hAnsi="Arial" w:cs="Arial"/>
        </w:rPr>
        <w:t>Overview of the Theory</w:t>
      </w:r>
    </w:p>
    <w:p w14:paraId="65ED6C65" w14:textId="77777777" w:rsidR="008A27D2" w:rsidRPr="008A27D2" w:rsidRDefault="008A27D2" w:rsidP="008A27D2">
      <w:pPr>
        <w:rPr>
          <w:rFonts w:ascii="Arial" w:hAnsi="Arial" w:cs="Arial"/>
        </w:rPr>
      </w:pPr>
      <w:r w:rsidRPr="008A27D2">
        <w:rPr>
          <w:rFonts w:ascii="Arial" w:hAnsi="Arial" w:cs="Arial"/>
        </w:rPr>
        <w:t>Cognitive Behavioural Theory is based on the premise that thoughts, emotions, and behaviours are interconnected, and that maladaptive thinking patterns contribute to psychological distress (Beck, 1976). CBT aims to help individuals identify and challenge negative thoughts and develop more adaptive coping strategies. While traditionally used with working-age adults, CBT has been adapted for older adults and those with mild to moderate dementia.</w:t>
      </w:r>
    </w:p>
    <w:p w14:paraId="60645467" w14:textId="77777777" w:rsidR="008A27D2" w:rsidRPr="008A27D2" w:rsidRDefault="008A27D2" w:rsidP="008A27D2">
      <w:pPr>
        <w:rPr>
          <w:rFonts w:ascii="Arial" w:hAnsi="Arial" w:cs="Arial"/>
        </w:rPr>
      </w:pPr>
      <w:r w:rsidRPr="008A27D2">
        <w:rPr>
          <w:rFonts w:ascii="Arial" w:hAnsi="Arial" w:cs="Arial"/>
        </w:rPr>
        <w:t>Application to Adults Aged 65 and Over</w:t>
      </w:r>
    </w:p>
    <w:p w14:paraId="0406DAF9" w14:textId="77777777" w:rsidR="008A27D2" w:rsidRPr="008A27D2" w:rsidRDefault="008A27D2" w:rsidP="008A27D2">
      <w:pPr>
        <w:rPr>
          <w:rFonts w:ascii="Arial" w:hAnsi="Arial" w:cs="Arial"/>
        </w:rPr>
      </w:pPr>
      <w:r w:rsidRPr="008A27D2">
        <w:rPr>
          <w:rFonts w:ascii="Arial" w:hAnsi="Arial" w:cs="Arial"/>
        </w:rPr>
        <w:t>Older adults may experience negative automatic thoughts related to ageing, such as beliefs about being a burden, loss of usefulness, or fear of dependency. In dementia care homes, these thoughts may be reinforced by environmental factors such as loss of autonomy or limited social interaction. CBT can help address symptoms of depression and anxiety by supporting individuals to reframe unhelpful beliefs and engage in positive activities.</w:t>
      </w:r>
    </w:p>
    <w:p w14:paraId="160B36FC" w14:textId="77777777" w:rsidR="008A27D2" w:rsidRPr="008A27D2" w:rsidRDefault="008A27D2" w:rsidP="008A27D2">
      <w:pPr>
        <w:rPr>
          <w:rFonts w:ascii="Arial" w:hAnsi="Arial" w:cs="Arial"/>
        </w:rPr>
      </w:pPr>
      <w:r w:rsidRPr="008A27D2">
        <w:rPr>
          <w:rFonts w:ascii="Arial" w:hAnsi="Arial" w:cs="Arial"/>
        </w:rPr>
        <w:t>Research indicates that adapted CBT interventions can be effective in reducing depression and anxiety in older adults, including those with early-stage dementia (Stanley et al., 2014). Adaptations include simplified language, repetition, visual aids, and involvement of carers.</w:t>
      </w:r>
    </w:p>
    <w:p w14:paraId="474921AF" w14:textId="77777777" w:rsidR="008A27D2" w:rsidRPr="008A27D2" w:rsidRDefault="008A27D2" w:rsidP="008A27D2">
      <w:pPr>
        <w:rPr>
          <w:rFonts w:ascii="Arial" w:hAnsi="Arial" w:cs="Arial"/>
        </w:rPr>
      </w:pPr>
      <w:r w:rsidRPr="008A27D2">
        <w:rPr>
          <w:rFonts w:ascii="Arial" w:hAnsi="Arial" w:cs="Arial"/>
        </w:rPr>
        <w:t>Application in the Dementia Care Home Setting</w:t>
      </w:r>
    </w:p>
    <w:p w14:paraId="5B9E22FE" w14:textId="77777777" w:rsidR="008A27D2" w:rsidRPr="008A27D2" w:rsidRDefault="008A27D2" w:rsidP="008A27D2">
      <w:pPr>
        <w:rPr>
          <w:rFonts w:ascii="Arial" w:hAnsi="Arial" w:cs="Arial"/>
        </w:rPr>
      </w:pPr>
      <w:r w:rsidRPr="008A27D2">
        <w:rPr>
          <w:rFonts w:ascii="Arial" w:hAnsi="Arial" w:cs="Arial"/>
        </w:rPr>
        <w:t xml:space="preserve">In practice, CBT principles can be incorporated into everyday interactions rather than delivered as formal therapy sessions. For example, care staff can gently challenge negative statements made by residents, such as “I’m useless now,” by validating emotions while reinforcing remaining strengths and abilities. Behavioural activation, a key CBT technique, </w:t>
      </w:r>
      <w:r w:rsidRPr="008A27D2">
        <w:rPr>
          <w:rFonts w:ascii="Arial" w:hAnsi="Arial" w:cs="Arial"/>
        </w:rPr>
        <w:lastRenderedPageBreak/>
        <w:t>can be used to encourage engagement in meaningful activities, reducing withdrawal and low mood.</w:t>
      </w:r>
    </w:p>
    <w:p w14:paraId="5CB1641B" w14:textId="77777777" w:rsidR="008A27D2" w:rsidRPr="008A27D2" w:rsidRDefault="008A27D2" w:rsidP="008A27D2">
      <w:pPr>
        <w:rPr>
          <w:rFonts w:ascii="Arial" w:hAnsi="Arial" w:cs="Arial"/>
        </w:rPr>
      </w:pPr>
      <w:r w:rsidRPr="008A27D2">
        <w:rPr>
          <w:rFonts w:ascii="Arial" w:hAnsi="Arial" w:cs="Arial"/>
        </w:rPr>
        <w:t>Structured routines, achievable goals, and positive reinforcement can help residents experience a sense of accomplishment. For instance, supporting a resident to participate in a familiar daily task, such as folding laundry, can improve mood and reduce agitation.</w:t>
      </w:r>
    </w:p>
    <w:p w14:paraId="1C5A46FD" w14:textId="77777777" w:rsidR="008A27D2" w:rsidRPr="008A27D2" w:rsidRDefault="008A27D2" w:rsidP="008A27D2">
      <w:pPr>
        <w:rPr>
          <w:rFonts w:ascii="Arial" w:hAnsi="Arial" w:cs="Arial"/>
        </w:rPr>
      </w:pPr>
      <w:r w:rsidRPr="008A27D2">
        <w:rPr>
          <w:rFonts w:ascii="Arial" w:hAnsi="Arial" w:cs="Arial"/>
        </w:rPr>
        <w:t>Challenges and Strategies</w:t>
      </w:r>
    </w:p>
    <w:p w14:paraId="4E620FF5" w14:textId="77777777" w:rsidR="008A27D2" w:rsidRPr="008A27D2" w:rsidRDefault="008A27D2" w:rsidP="008A27D2">
      <w:pPr>
        <w:rPr>
          <w:rFonts w:ascii="Arial" w:hAnsi="Arial" w:cs="Arial"/>
        </w:rPr>
      </w:pPr>
      <w:r w:rsidRPr="008A27D2">
        <w:rPr>
          <w:rFonts w:ascii="Arial" w:hAnsi="Arial" w:cs="Arial"/>
        </w:rPr>
        <w:t>Applying CBT in dementia care homes presents challenges due to cognitive impairments, reduced insight, and communication difficulties. Some residents may struggle to engage in cognitive restructuring or retain new coping strategies.</w:t>
      </w:r>
    </w:p>
    <w:p w14:paraId="230AFEC0" w14:textId="77777777" w:rsidR="008A27D2" w:rsidRPr="008A27D2" w:rsidRDefault="008A27D2" w:rsidP="008A27D2">
      <w:pPr>
        <w:rPr>
          <w:rFonts w:ascii="Arial" w:hAnsi="Arial" w:cs="Arial"/>
        </w:rPr>
      </w:pPr>
      <w:r w:rsidRPr="008A27D2">
        <w:rPr>
          <w:rFonts w:ascii="Arial" w:hAnsi="Arial" w:cs="Arial"/>
        </w:rPr>
        <w:t>To address these challenges, professionals should focus more on behavioural components rather than complex cognitive work. Involving family members and multidisciplinary teams can reinforce strategies consistently. Training care staff in basic CBT-informed approaches can also enhance psychological support without requiring specialist therapists for all interventions.</w:t>
      </w:r>
    </w:p>
    <w:p w14:paraId="77DBCFEF" w14:textId="77777777" w:rsidR="008A27D2" w:rsidRPr="008A27D2" w:rsidRDefault="008A27D2" w:rsidP="008A27D2">
      <w:pPr>
        <w:rPr>
          <w:rFonts w:ascii="Arial" w:hAnsi="Arial" w:cs="Arial"/>
        </w:rPr>
      </w:pPr>
      <w:r w:rsidRPr="008A27D2">
        <w:rPr>
          <w:rFonts w:ascii="Arial" w:hAnsi="Arial" w:cs="Arial"/>
        </w:rPr>
        <w:t>Critical Evaluation of Theory Use in Practice</w:t>
      </w:r>
    </w:p>
    <w:p w14:paraId="46C4E8E7" w14:textId="77777777" w:rsidR="008A27D2" w:rsidRPr="008A27D2" w:rsidRDefault="008A27D2" w:rsidP="008A27D2">
      <w:pPr>
        <w:rPr>
          <w:rFonts w:ascii="Arial" w:hAnsi="Arial" w:cs="Arial"/>
        </w:rPr>
      </w:pPr>
      <w:r w:rsidRPr="008A27D2">
        <w:rPr>
          <w:rFonts w:ascii="Arial" w:hAnsi="Arial" w:cs="Arial"/>
        </w:rPr>
        <w:t>Both Erikson’s Psychosocial Theory and CBT offer valuable but distinct contributions to supporting older adults in dementia care homes. Erikson’s theory provides a developmental and emotional framework that emphasises meaning, identity, and life satisfaction, while CBT offers practical tools for addressing mood and behaviour. However, neither theory alone is sufficient. Erikson’s theory may lack specific guidance for managing acute psychological symptoms, while CBT may overlook broader existential concerns associated with ageing and dementia.</w:t>
      </w:r>
    </w:p>
    <w:p w14:paraId="0B27C11C" w14:textId="77777777" w:rsidR="008A27D2" w:rsidRPr="008A27D2" w:rsidRDefault="008A27D2" w:rsidP="008A27D2">
      <w:pPr>
        <w:rPr>
          <w:rFonts w:ascii="Arial" w:hAnsi="Arial" w:cs="Arial"/>
        </w:rPr>
      </w:pPr>
      <w:r w:rsidRPr="008A27D2">
        <w:rPr>
          <w:rFonts w:ascii="Arial" w:hAnsi="Arial" w:cs="Arial"/>
        </w:rPr>
        <w:t>An integrated approach, combining developmental understanding with evidence-based psychological interventions, is therefore recommended. Person-centred care acts as a unifying framework, ensuring that theoretical applications are tailored to individual needs, abilities, and preferences.</w:t>
      </w:r>
    </w:p>
    <w:p w14:paraId="0F2804D3" w14:textId="77777777" w:rsidR="008A27D2" w:rsidRPr="008A27D2" w:rsidRDefault="008A27D2" w:rsidP="008A27D2">
      <w:pPr>
        <w:rPr>
          <w:rFonts w:ascii="Arial" w:hAnsi="Arial" w:cs="Arial"/>
        </w:rPr>
      </w:pPr>
      <w:r w:rsidRPr="008A27D2">
        <w:rPr>
          <w:rFonts w:ascii="Arial" w:hAnsi="Arial" w:cs="Arial"/>
        </w:rPr>
        <w:t>Conclusion</w:t>
      </w:r>
    </w:p>
    <w:p w14:paraId="75778A4C" w14:textId="77777777" w:rsidR="00B938CD" w:rsidRPr="00B938CD" w:rsidRDefault="00B938CD" w:rsidP="00B938CD">
      <w:pPr>
        <w:rPr>
          <w:rFonts w:ascii="Arial" w:hAnsi="Arial" w:cs="Arial"/>
        </w:rPr>
      </w:pPr>
      <w:r w:rsidRPr="00B938CD">
        <w:rPr>
          <w:rFonts w:ascii="Arial" w:hAnsi="Arial" w:cs="Arial"/>
        </w:rPr>
        <w:t>Psychological theories and research play a crucial role in supporting adults aged 65 and over who are experiencing psychological health conditions in dementia care homes. As dementia affects not only cognitive functioning but also emotional wellbeing, identity, and behaviour, it is essential that health and social care professionals adopt approaches that are informed by psychological understanding rather than relying solely on task-focused care. This report has demonstrated that psychological theories can provide valuable frameworks for understanding the complex needs of older adults and for guiding compassionate, effective interventions.</w:t>
      </w:r>
    </w:p>
    <w:p w14:paraId="06016DC3" w14:textId="77777777" w:rsidR="00B938CD" w:rsidRPr="00B938CD" w:rsidRDefault="00B938CD" w:rsidP="00B938CD">
      <w:pPr>
        <w:rPr>
          <w:rFonts w:ascii="Arial" w:hAnsi="Arial" w:cs="Arial"/>
        </w:rPr>
      </w:pPr>
      <w:r w:rsidRPr="00B938CD">
        <w:rPr>
          <w:rFonts w:ascii="Arial" w:hAnsi="Arial" w:cs="Arial"/>
        </w:rPr>
        <w:t>Erikson’s Psychosocial Theory of Development highlights the importance of ego integrity in later life and emphasises how opportunities for life review, reminiscence, and identity preservation can support emotional wellbeing. In dementia care homes, where individuals may experience loss of independence and changes to their sense of self, applying this theory through person-centred care, life story work, and meaningful activities can help reduce feelings of despair, depression, and agitation. Although cognitive decline can present challenges, adapted approaches such as sensory reminiscence and the involvement of family members can ensure that residents continue to feel valued and understood.</w:t>
      </w:r>
    </w:p>
    <w:p w14:paraId="7FDC97E5" w14:textId="77777777" w:rsidR="00B938CD" w:rsidRPr="00B938CD" w:rsidRDefault="00B938CD" w:rsidP="00B938CD">
      <w:pPr>
        <w:rPr>
          <w:rFonts w:ascii="Arial" w:hAnsi="Arial" w:cs="Arial"/>
        </w:rPr>
      </w:pPr>
      <w:r w:rsidRPr="00B938CD">
        <w:rPr>
          <w:rFonts w:ascii="Arial" w:hAnsi="Arial" w:cs="Arial"/>
        </w:rPr>
        <w:lastRenderedPageBreak/>
        <w:t>Cognitive Behavioural Theory offers a complementary, practical approach to addressing common psychological health conditions such as depression and anxiety in older adults. While traditional CBT may need adaptation for individuals with dementia, its behavioural principles can be successfully integrated into everyday care practices. Encouraging positive activity, challenging negative self-beliefs in a supportive manner, and promoting achievable goals can significantly enhance mood, engagement, and quality of life. Training care staff in CBT-informed techniques can empower them to respond more effectively to emotional distress and behavioural challenges.</w:t>
      </w:r>
    </w:p>
    <w:p w14:paraId="4CBC2606" w14:textId="77777777" w:rsidR="00B938CD" w:rsidRPr="00B938CD" w:rsidRDefault="00B938CD" w:rsidP="00B938CD">
      <w:pPr>
        <w:rPr>
          <w:rFonts w:ascii="Arial" w:hAnsi="Arial" w:cs="Arial"/>
        </w:rPr>
      </w:pPr>
      <w:r w:rsidRPr="00B938CD">
        <w:rPr>
          <w:rFonts w:ascii="Arial" w:hAnsi="Arial" w:cs="Arial"/>
        </w:rPr>
        <w:t>Overall, the report demonstrates that no single theory can fully address the psychological needs of older adults in dementia care. Instead, an integrated approach that combines developmental understanding with evidence-based psychological interventions is most effective. By embedding psychological theory into daily practice, health and social care professionals can deliver holistic, dignified, and person-centred care that promotes psychological wellbeing, preserves identity, and enhances quality of life for adults aged 65 and over living in dementia care homes.</w:t>
      </w:r>
    </w:p>
    <w:p w14:paraId="4D1FB483" w14:textId="77777777" w:rsidR="008A27D2" w:rsidRPr="00336E06" w:rsidRDefault="008A27D2" w:rsidP="008A27D2">
      <w:pPr>
        <w:rPr>
          <w:rFonts w:ascii="Arial" w:hAnsi="Arial" w:cs="Arial"/>
        </w:rPr>
      </w:pPr>
    </w:p>
    <w:p w14:paraId="0CEB2E7F" w14:textId="77777777" w:rsidR="008A27D2" w:rsidRPr="00336E06" w:rsidRDefault="008A27D2" w:rsidP="008A27D2">
      <w:pPr>
        <w:rPr>
          <w:rFonts w:ascii="Arial" w:hAnsi="Arial" w:cs="Arial"/>
        </w:rPr>
      </w:pPr>
    </w:p>
    <w:p w14:paraId="40E83E47" w14:textId="77777777" w:rsidR="008A27D2" w:rsidRPr="00336E06" w:rsidRDefault="008A27D2" w:rsidP="008A27D2">
      <w:pPr>
        <w:rPr>
          <w:rFonts w:ascii="Arial" w:hAnsi="Arial" w:cs="Arial"/>
        </w:rPr>
      </w:pPr>
    </w:p>
    <w:p w14:paraId="1FA49525" w14:textId="77777777" w:rsidR="008A27D2" w:rsidRPr="00336E06" w:rsidRDefault="008A27D2" w:rsidP="008A27D2">
      <w:pPr>
        <w:rPr>
          <w:rFonts w:ascii="Arial" w:hAnsi="Arial" w:cs="Arial"/>
        </w:rPr>
      </w:pPr>
    </w:p>
    <w:p w14:paraId="2BABC721" w14:textId="77777777" w:rsidR="008A27D2" w:rsidRPr="00336E06" w:rsidRDefault="008A27D2" w:rsidP="008A27D2">
      <w:pPr>
        <w:rPr>
          <w:rFonts w:ascii="Arial" w:hAnsi="Arial" w:cs="Arial"/>
        </w:rPr>
      </w:pPr>
    </w:p>
    <w:p w14:paraId="29059AE6" w14:textId="77777777" w:rsidR="008A27D2" w:rsidRPr="00336E06" w:rsidRDefault="008A27D2" w:rsidP="008A27D2">
      <w:pPr>
        <w:rPr>
          <w:rFonts w:ascii="Arial" w:hAnsi="Arial" w:cs="Arial"/>
        </w:rPr>
      </w:pPr>
    </w:p>
    <w:p w14:paraId="12F05CAB" w14:textId="77777777" w:rsidR="00B938CD" w:rsidRDefault="00B938CD" w:rsidP="008A27D2">
      <w:pPr>
        <w:rPr>
          <w:rFonts w:ascii="Arial" w:hAnsi="Arial" w:cs="Arial"/>
        </w:rPr>
      </w:pPr>
    </w:p>
    <w:p w14:paraId="1FEC17E9" w14:textId="77777777" w:rsidR="00B938CD" w:rsidRDefault="00B938CD" w:rsidP="008A27D2">
      <w:pPr>
        <w:rPr>
          <w:rFonts w:ascii="Arial" w:hAnsi="Arial" w:cs="Arial"/>
        </w:rPr>
      </w:pPr>
    </w:p>
    <w:p w14:paraId="156F91D0" w14:textId="77777777" w:rsidR="00B938CD" w:rsidRDefault="00B938CD" w:rsidP="008A27D2">
      <w:pPr>
        <w:rPr>
          <w:rFonts w:ascii="Arial" w:hAnsi="Arial" w:cs="Arial"/>
        </w:rPr>
      </w:pPr>
    </w:p>
    <w:p w14:paraId="60679A2A" w14:textId="77777777" w:rsidR="00B938CD" w:rsidRDefault="00B938CD" w:rsidP="008A27D2">
      <w:pPr>
        <w:rPr>
          <w:rFonts w:ascii="Arial" w:hAnsi="Arial" w:cs="Arial"/>
        </w:rPr>
      </w:pPr>
    </w:p>
    <w:p w14:paraId="5D16E58B" w14:textId="77777777" w:rsidR="00B938CD" w:rsidRDefault="00B938CD" w:rsidP="008A27D2">
      <w:pPr>
        <w:rPr>
          <w:rFonts w:ascii="Arial" w:hAnsi="Arial" w:cs="Arial"/>
        </w:rPr>
      </w:pPr>
    </w:p>
    <w:p w14:paraId="53FD4C49" w14:textId="77777777" w:rsidR="00B938CD" w:rsidRDefault="00B938CD" w:rsidP="008A27D2">
      <w:pPr>
        <w:rPr>
          <w:rFonts w:ascii="Arial" w:hAnsi="Arial" w:cs="Arial"/>
        </w:rPr>
      </w:pPr>
    </w:p>
    <w:p w14:paraId="21D187EF" w14:textId="77777777" w:rsidR="00B938CD" w:rsidRDefault="00B938CD" w:rsidP="008A27D2">
      <w:pPr>
        <w:rPr>
          <w:rFonts w:ascii="Arial" w:hAnsi="Arial" w:cs="Arial"/>
        </w:rPr>
      </w:pPr>
    </w:p>
    <w:p w14:paraId="269DED39" w14:textId="77777777" w:rsidR="00B938CD" w:rsidRDefault="00B938CD" w:rsidP="008A27D2">
      <w:pPr>
        <w:rPr>
          <w:rFonts w:ascii="Arial" w:hAnsi="Arial" w:cs="Arial"/>
        </w:rPr>
      </w:pPr>
    </w:p>
    <w:p w14:paraId="5A9D8234" w14:textId="77777777" w:rsidR="00B938CD" w:rsidRDefault="00B938CD" w:rsidP="008A27D2">
      <w:pPr>
        <w:rPr>
          <w:rFonts w:ascii="Arial" w:hAnsi="Arial" w:cs="Arial"/>
        </w:rPr>
      </w:pPr>
    </w:p>
    <w:p w14:paraId="719C5B76" w14:textId="77777777" w:rsidR="00B938CD" w:rsidRDefault="00B938CD" w:rsidP="008A27D2">
      <w:pPr>
        <w:rPr>
          <w:rFonts w:ascii="Arial" w:hAnsi="Arial" w:cs="Arial"/>
        </w:rPr>
      </w:pPr>
    </w:p>
    <w:p w14:paraId="08FF62DD" w14:textId="77777777" w:rsidR="00B938CD" w:rsidRDefault="00B938CD" w:rsidP="008A27D2">
      <w:pPr>
        <w:rPr>
          <w:rFonts w:ascii="Arial" w:hAnsi="Arial" w:cs="Arial"/>
        </w:rPr>
      </w:pPr>
    </w:p>
    <w:p w14:paraId="7F48E550" w14:textId="77777777" w:rsidR="00B938CD" w:rsidRDefault="00B938CD" w:rsidP="008A27D2">
      <w:pPr>
        <w:rPr>
          <w:rFonts w:ascii="Arial" w:hAnsi="Arial" w:cs="Arial"/>
        </w:rPr>
      </w:pPr>
    </w:p>
    <w:p w14:paraId="458152F7" w14:textId="77777777" w:rsidR="00B938CD" w:rsidRDefault="00B938CD" w:rsidP="008A27D2">
      <w:pPr>
        <w:rPr>
          <w:rFonts w:ascii="Arial" w:hAnsi="Arial" w:cs="Arial"/>
        </w:rPr>
      </w:pPr>
    </w:p>
    <w:p w14:paraId="1B978F6E" w14:textId="77777777" w:rsidR="00B938CD" w:rsidRDefault="00B938CD" w:rsidP="008A27D2">
      <w:pPr>
        <w:rPr>
          <w:rFonts w:ascii="Arial" w:hAnsi="Arial" w:cs="Arial"/>
        </w:rPr>
      </w:pPr>
    </w:p>
    <w:p w14:paraId="0D51A5AD" w14:textId="77777777" w:rsidR="00B938CD" w:rsidRDefault="00B938CD" w:rsidP="008A27D2">
      <w:pPr>
        <w:rPr>
          <w:rFonts w:ascii="Arial" w:hAnsi="Arial" w:cs="Arial"/>
        </w:rPr>
      </w:pPr>
    </w:p>
    <w:p w14:paraId="0C0080FD" w14:textId="77777777" w:rsidR="00B938CD" w:rsidRDefault="00B938CD" w:rsidP="008A27D2">
      <w:pPr>
        <w:rPr>
          <w:rFonts w:ascii="Arial" w:hAnsi="Arial" w:cs="Arial"/>
        </w:rPr>
      </w:pPr>
    </w:p>
    <w:p w14:paraId="4D886FEB" w14:textId="77777777" w:rsidR="00B938CD" w:rsidRDefault="00B938CD" w:rsidP="008A27D2">
      <w:pPr>
        <w:rPr>
          <w:rFonts w:ascii="Arial" w:hAnsi="Arial" w:cs="Arial"/>
        </w:rPr>
      </w:pPr>
    </w:p>
    <w:p w14:paraId="080C69D6" w14:textId="77777777" w:rsidR="00B938CD" w:rsidRDefault="00B938CD" w:rsidP="008A27D2">
      <w:pPr>
        <w:rPr>
          <w:rFonts w:ascii="Arial" w:hAnsi="Arial" w:cs="Arial"/>
        </w:rPr>
      </w:pPr>
    </w:p>
    <w:p w14:paraId="7C072E09" w14:textId="5F44F9E0" w:rsidR="008A27D2" w:rsidRPr="008A27D2" w:rsidRDefault="008A27D2" w:rsidP="008A27D2">
      <w:pPr>
        <w:rPr>
          <w:rFonts w:ascii="Arial" w:hAnsi="Arial" w:cs="Arial"/>
        </w:rPr>
      </w:pPr>
      <w:r w:rsidRPr="008A27D2">
        <w:rPr>
          <w:rFonts w:ascii="Arial" w:hAnsi="Arial" w:cs="Arial"/>
        </w:rPr>
        <w:t>References</w:t>
      </w:r>
    </w:p>
    <w:p w14:paraId="1DDB2BA1" w14:textId="77777777" w:rsidR="008A27D2" w:rsidRPr="00336E06" w:rsidRDefault="008A27D2" w:rsidP="008A27D2">
      <w:pPr>
        <w:rPr>
          <w:rFonts w:ascii="Arial" w:hAnsi="Arial" w:cs="Arial"/>
        </w:rPr>
      </w:pPr>
      <w:r w:rsidRPr="00336E06">
        <w:rPr>
          <w:rFonts w:ascii="Arial" w:hAnsi="Arial" w:cs="Arial"/>
        </w:rPr>
        <w:t>Beck, A.T. (1976) Cognitive Therapy and the Emotional Disorders. New York: International Universities Press.</w:t>
      </w:r>
    </w:p>
    <w:p w14:paraId="1107A800" w14:textId="745FE4D8" w:rsidR="008A27D2" w:rsidRPr="008A27D2" w:rsidRDefault="008A27D2" w:rsidP="008A27D2">
      <w:pPr>
        <w:rPr>
          <w:rFonts w:ascii="Arial" w:hAnsi="Arial" w:cs="Arial"/>
        </w:rPr>
      </w:pPr>
      <w:r w:rsidRPr="008A27D2">
        <w:rPr>
          <w:rFonts w:ascii="Arial" w:hAnsi="Arial" w:cs="Arial"/>
        </w:rPr>
        <w:t>Erikson, E.H. (1980) Identity and the Life Cycle. New York: W.W. Norton.</w:t>
      </w:r>
    </w:p>
    <w:p w14:paraId="6DC4C4D7" w14:textId="77777777" w:rsidR="008A27D2" w:rsidRPr="008A27D2" w:rsidRDefault="008A27D2" w:rsidP="008A27D2">
      <w:pPr>
        <w:rPr>
          <w:rFonts w:ascii="Arial" w:hAnsi="Arial" w:cs="Arial"/>
        </w:rPr>
      </w:pPr>
      <w:r w:rsidRPr="008A27D2">
        <w:rPr>
          <w:rFonts w:ascii="Arial" w:hAnsi="Arial" w:cs="Arial"/>
        </w:rPr>
        <w:t>Kitwood, T. (1997) Dementia Reconsidered: The Person Comes First. Buckingham: Open University Press.</w:t>
      </w:r>
    </w:p>
    <w:p w14:paraId="30C058D4" w14:textId="77777777" w:rsidR="008A27D2" w:rsidRPr="008A27D2" w:rsidRDefault="008A27D2" w:rsidP="008A27D2">
      <w:pPr>
        <w:rPr>
          <w:rFonts w:ascii="Arial" w:hAnsi="Arial" w:cs="Arial"/>
        </w:rPr>
      </w:pPr>
      <w:r w:rsidRPr="008A27D2">
        <w:rPr>
          <w:rFonts w:ascii="Arial" w:hAnsi="Arial" w:cs="Arial"/>
        </w:rPr>
        <w:t>McDermott, O., Orrell, M. and Ridder, H.M. (2014) ‘The importance of music for people with dementia: The perspectives of people with dementia, family carers, staff and music therapists’, Aging &amp; Mental Health, 18(6), pp. 706–716.</w:t>
      </w:r>
    </w:p>
    <w:p w14:paraId="5E1C8612" w14:textId="77777777" w:rsidR="008A27D2" w:rsidRPr="008A27D2" w:rsidRDefault="008A27D2" w:rsidP="008A27D2">
      <w:pPr>
        <w:rPr>
          <w:rFonts w:ascii="Arial" w:hAnsi="Arial" w:cs="Arial"/>
        </w:rPr>
      </w:pPr>
      <w:r w:rsidRPr="008A27D2">
        <w:rPr>
          <w:rFonts w:ascii="Arial" w:hAnsi="Arial" w:cs="Arial"/>
        </w:rPr>
        <w:t>Stanley, M.A., et al. (2014) ‘Cognitive behavior therapy for generalized anxiety disorder among older adults in primary care’, JAMA, 301(14), pp. 1460–1467.</w:t>
      </w:r>
    </w:p>
    <w:p w14:paraId="07503E34" w14:textId="77777777" w:rsidR="008A27D2" w:rsidRPr="008A27D2" w:rsidRDefault="008A27D2" w:rsidP="008A27D2">
      <w:pPr>
        <w:rPr>
          <w:rFonts w:ascii="Arial" w:hAnsi="Arial" w:cs="Arial"/>
        </w:rPr>
      </w:pPr>
      <w:r w:rsidRPr="008A27D2">
        <w:rPr>
          <w:rFonts w:ascii="Arial" w:hAnsi="Arial" w:cs="Arial"/>
        </w:rPr>
        <w:t>Woods, B., et al. (2018) ‘Reminiscence therapy for dementia’, Cochrane Database of Systematic Reviews, 3, CD001120.</w:t>
      </w:r>
    </w:p>
    <w:p w14:paraId="0A3A1094" w14:textId="77777777" w:rsidR="005E742C" w:rsidRDefault="005E742C"/>
    <w:sectPr w:rsidR="005E74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D648A"/>
    <w:multiLevelType w:val="multilevel"/>
    <w:tmpl w:val="845C36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9916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80C"/>
    <w:rsid w:val="00336E06"/>
    <w:rsid w:val="005E742C"/>
    <w:rsid w:val="008A27D2"/>
    <w:rsid w:val="0099780C"/>
    <w:rsid w:val="00B938CD"/>
    <w:rsid w:val="00D36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1F05D"/>
  <w15:chartTrackingRefBased/>
  <w15:docId w15:val="{71611F17-D35F-4439-ABE0-1E64B6BDF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8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78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7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8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8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8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8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8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78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7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80C"/>
    <w:rPr>
      <w:rFonts w:eastAsiaTheme="majorEastAsia" w:cstheme="majorBidi"/>
      <w:color w:val="272727" w:themeColor="text1" w:themeTint="D8"/>
    </w:rPr>
  </w:style>
  <w:style w:type="paragraph" w:styleId="Title">
    <w:name w:val="Title"/>
    <w:basedOn w:val="Normal"/>
    <w:next w:val="Normal"/>
    <w:link w:val="TitleChar"/>
    <w:uiPriority w:val="10"/>
    <w:qFormat/>
    <w:rsid w:val="009978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8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8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80C"/>
    <w:pPr>
      <w:spacing w:before="160"/>
      <w:jc w:val="center"/>
    </w:pPr>
    <w:rPr>
      <w:i/>
      <w:iCs/>
      <w:color w:val="404040" w:themeColor="text1" w:themeTint="BF"/>
    </w:rPr>
  </w:style>
  <w:style w:type="character" w:customStyle="1" w:styleId="QuoteChar">
    <w:name w:val="Quote Char"/>
    <w:basedOn w:val="DefaultParagraphFont"/>
    <w:link w:val="Quote"/>
    <w:uiPriority w:val="29"/>
    <w:rsid w:val="0099780C"/>
    <w:rPr>
      <w:i/>
      <w:iCs/>
      <w:color w:val="404040" w:themeColor="text1" w:themeTint="BF"/>
    </w:rPr>
  </w:style>
  <w:style w:type="paragraph" w:styleId="ListParagraph">
    <w:name w:val="List Paragraph"/>
    <w:basedOn w:val="Normal"/>
    <w:uiPriority w:val="34"/>
    <w:qFormat/>
    <w:rsid w:val="0099780C"/>
    <w:pPr>
      <w:ind w:left="720"/>
      <w:contextualSpacing/>
    </w:pPr>
  </w:style>
  <w:style w:type="character" w:styleId="IntenseEmphasis">
    <w:name w:val="Intense Emphasis"/>
    <w:basedOn w:val="DefaultParagraphFont"/>
    <w:uiPriority w:val="21"/>
    <w:qFormat/>
    <w:rsid w:val="0099780C"/>
    <w:rPr>
      <w:i/>
      <w:iCs/>
      <w:color w:val="0F4761" w:themeColor="accent1" w:themeShade="BF"/>
    </w:rPr>
  </w:style>
  <w:style w:type="paragraph" w:styleId="IntenseQuote">
    <w:name w:val="Intense Quote"/>
    <w:basedOn w:val="Normal"/>
    <w:next w:val="Normal"/>
    <w:link w:val="IntenseQuoteChar"/>
    <w:uiPriority w:val="30"/>
    <w:qFormat/>
    <w:rsid w:val="00997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80C"/>
    <w:rPr>
      <w:i/>
      <w:iCs/>
      <w:color w:val="0F4761" w:themeColor="accent1" w:themeShade="BF"/>
    </w:rPr>
  </w:style>
  <w:style w:type="character" w:styleId="IntenseReference">
    <w:name w:val="Intense Reference"/>
    <w:basedOn w:val="DefaultParagraphFont"/>
    <w:uiPriority w:val="32"/>
    <w:qFormat/>
    <w:rsid w:val="009978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1785</Words>
  <Characters>10176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chebac svetlana</dc:creator>
  <cp:keywords/>
  <dc:description/>
  <cp:lastModifiedBy>chebac svetlana</cp:lastModifiedBy>
  <cp:revision>3</cp:revision>
  <dcterms:created xsi:type="dcterms:W3CDTF">2025-12-19T13:06:00Z</dcterms:created>
  <dcterms:modified xsi:type="dcterms:W3CDTF">2025-12-19T13:21:00Z</dcterms:modified>
</cp:coreProperties>
</file>