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B368B" w14:textId="77777777" w:rsidR="00E51EF8" w:rsidRPr="00E51EF8" w:rsidRDefault="00E51EF8" w:rsidP="00E51EF8">
      <w:pPr>
        <w:keepNext/>
        <w:keepLines/>
        <w:spacing w:before="240" w:after="0" w:line="240" w:lineRule="auto"/>
        <w:outlineLvl w:val="0"/>
        <w:rPr>
          <w:rFonts w:ascii="Times New Roman" w:eastAsiaTheme="majorEastAsia" w:hAnsi="Times New Roman" w:cs="Times New Roman"/>
          <w:color w:val="2F5496" w:themeColor="accent1" w:themeShade="BF"/>
          <w:kern w:val="0"/>
          <w:sz w:val="32"/>
          <w:szCs w:val="32"/>
          <w:lang w:eastAsia="en-GB"/>
          <w14:ligatures w14:val="none"/>
        </w:rPr>
      </w:pPr>
      <w:bookmarkStart w:id="0" w:name="_Hlk151239725"/>
      <w:r w:rsidRPr="00E51EF8">
        <w:rPr>
          <w:rFonts w:ascii="Times New Roman" w:eastAsiaTheme="majorEastAsia" w:hAnsi="Times New Roman" w:cs="Times New Roman"/>
          <w:color w:val="2F5496" w:themeColor="accent1" w:themeShade="BF"/>
          <w:kern w:val="0"/>
          <w:sz w:val="32"/>
          <w:szCs w:val="32"/>
          <w:lang w:eastAsia="en-GB"/>
          <w14:ligatures w14:val="none"/>
        </w:rPr>
        <w:t>Evidence-Based Practice Report: Section One</w:t>
      </w:r>
      <w:bookmarkEnd w:id="0"/>
    </w:p>
    <w:p w14:paraId="251844EB"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2F18BDB8"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For Section One, it has been requested to produce a report that will emphasise what Evidence-Based Practice is and its significance to practitioners in gaining understanding in their dealings within Human Resources (HR) people practices and organisational issues, mostly in the areas of critical thinking and decision-making. </w:t>
      </w:r>
    </w:p>
    <w:p w14:paraId="63330738"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37A8E535" w14:textId="77777777" w:rsidR="00E51EF8" w:rsidRPr="00E51EF8" w:rsidRDefault="00E51EF8" w:rsidP="00E51EF8">
      <w:pPr>
        <w:keepNext/>
        <w:keepLines/>
        <w:spacing w:before="40" w:after="0" w:line="240" w:lineRule="auto"/>
        <w:jc w:val="both"/>
        <w:outlineLvl w:val="1"/>
        <w:rPr>
          <w:rFonts w:ascii="Times New Roman" w:eastAsiaTheme="majorEastAsia" w:hAnsi="Times New Roman" w:cs="Times New Roman"/>
          <w:color w:val="2F5496" w:themeColor="accent1" w:themeShade="BF"/>
          <w:kern w:val="0"/>
          <w:sz w:val="26"/>
          <w:szCs w:val="26"/>
          <w:lang w:eastAsia="en-GB"/>
          <w14:ligatures w14:val="none"/>
        </w:rPr>
      </w:pPr>
      <w:r w:rsidRPr="00E51EF8">
        <w:rPr>
          <w:rFonts w:ascii="Times New Roman" w:eastAsiaTheme="majorEastAsia" w:hAnsi="Times New Roman" w:cs="Times New Roman"/>
          <w:color w:val="2F5496" w:themeColor="accent1" w:themeShade="BF"/>
          <w:kern w:val="0"/>
          <w:sz w:val="26"/>
          <w:szCs w:val="26"/>
          <w:lang w:eastAsia="en-GB"/>
          <w14:ligatures w14:val="none"/>
        </w:rPr>
        <w:t>AC1.1 Evidence-Based Practice (EBP)</w:t>
      </w:r>
    </w:p>
    <w:p w14:paraId="656DF160"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45D1E8E2"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Simply put, EBP is the process that employs best available evidence from multiple reliable sources to attain knowledge, inform rational judgement and ultimately produce unbiased and unsurpassed decision-making outcomes (</w:t>
      </w:r>
      <w:bookmarkStart w:id="1" w:name="_Hlk152508955"/>
      <w:r w:rsidRPr="00E51EF8">
        <w:rPr>
          <w:rFonts w:ascii="Times New Roman" w:eastAsia="Times New Roman" w:hAnsi="Times New Roman" w:cs="Times New Roman"/>
          <w:kern w:val="0"/>
          <w:sz w:val="24"/>
          <w:szCs w:val="24"/>
          <w:lang w:eastAsia="en-GB"/>
          <w14:ligatures w14:val="none"/>
        </w:rPr>
        <w:t>Barends, Rousseau and Briner, 2014</w:t>
      </w:r>
      <w:bookmarkEnd w:id="1"/>
      <w:r w:rsidRPr="00E51EF8">
        <w:rPr>
          <w:rFonts w:ascii="Times New Roman" w:eastAsia="Times New Roman" w:hAnsi="Times New Roman" w:cs="Times New Roman"/>
          <w:kern w:val="0"/>
          <w:sz w:val="24"/>
          <w:szCs w:val="24"/>
          <w:lang w:eastAsia="en-GB"/>
          <w14:ligatures w14:val="none"/>
        </w:rPr>
        <w:t xml:space="preserve">; Waite et al, 2021; Young, 2023). </w:t>
      </w:r>
    </w:p>
    <w:p w14:paraId="20E00D5B"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To increase the prospect of positive outcomes, HR practitioners should take a punitive approach to not trust their decision-making on instinct, what they know or fads, thus use the sources of evidence that can be found in </w:t>
      </w:r>
      <w:r w:rsidRPr="00E51EF8">
        <w:rPr>
          <w:rFonts w:ascii="Times New Roman" w:eastAsia="Times New Roman" w:hAnsi="Times New Roman" w:cs="Times New Roman"/>
          <w:i/>
          <w:iCs/>
          <w:kern w:val="0"/>
          <w:sz w:val="24"/>
          <w:szCs w:val="24"/>
          <w:lang w:eastAsia="en-GB"/>
          <w14:ligatures w14:val="none"/>
        </w:rPr>
        <w:t>scientific literature</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organisational data</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stakeholders’ concerns</w:t>
      </w:r>
      <w:r w:rsidRPr="00E51EF8">
        <w:rPr>
          <w:rFonts w:ascii="Times New Roman" w:eastAsia="Times New Roman" w:hAnsi="Times New Roman" w:cs="Times New Roman"/>
          <w:kern w:val="0"/>
          <w:sz w:val="24"/>
          <w:szCs w:val="24"/>
          <w:lang w:eastAsia="en-GB"/>
          <w14:ligatures w14:val="none"/>
        </w:rPr>
        <w:t xml:space="preserve"> and </w:t>
      </w:r>
      <w:r w:rsidRPr="00E51EF8">
        <w:rPr>
          <w:rFonts w:ascii="Times New Roman" w:eastAsia="Times New Roman" w:hAnsi="Times New Roman" w:cs="Times New Roman"/>
          <w:i/>
          <w:iCs/>
          <w:kern w:val="0"/>
          <w:sz w:val="24"/>
          <w:szCs w:val="24"/>
          <w:lang w:eastAsia="en-GB"/>
          <w14:ligatures w14:val="none"/>
        </w:rPr>
        <w:t>professional expertise / experiential</w:t>
      </w:r>
      <w:r w:rsidRPr="00E51EF8">
        <w:rPr>
          <w:rFonts w:ascii="Times New Roman" w:eastAsia="Times New Roman" w:hAnsi="Times New Roman" w:cs="Times New Roman"/>
          <w:kern w:val="0"/>
          <w:sz w:val="24"/>
          <w:szCs w:val="24"/>
          <w:lang w:eastAsia="en-GB"/>
          <w14:ligatures w14:val="none"/>
        </w:rPr>
        <w:t xml:space="preserve"> (Waite et al, 2021; Briner, 2019; Taylor and Woodhams, 2016).</w:t>
      </w:r>
    </w:p>
    <w:p w14:paraId="4E6D1B13"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14:ligatures w14:val="none"/>
        </w:rPr>
        <w:drawing>
          <wp:inline distT="0" distB="0" distL="0" distR="0" wp14:anchorId="6104A40D" wp14:editId="0A167C83">
            <wp:extent cx="5730732" cy="4915900"/>
            <wp:effectExtent l="0" t="0" r="3810" b="0"/>
            <wp:docPr id="1679758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40675" cy="4924429"/>
                    </a:xfrm>
                    <a:prstGeom prst="rect">
                      <a:avLst/>
                    </a:prstGeom>
                    <a:noFill/>
                    <a:ln>
                      <a:noFill/>
                    </a:ln>
                  </pic:spPr>
                </pic:pic>
              </a:graphicData>
            </a:graphic>
          </wp:inline>
        </w:drawing>
      </w:r>
      <w:r w:rsidRPr="00E51EF8">
        <w:rPr>
          <w:rFonts w:ascii="Times New Roman" w:eastAsia="Times New Roman" w:hAnsi="Times New Roman" w:cs="Times New Roman"/>
          <w:kern w:val="0"/>
          <w:sz w:val="24"/>
          <w:szCs w:val="24"/>
          <w:lang w:eastAsia="en-GB"/>
          <w14:ligatures w14:val="none"/>
        </w:rPr>
        <w:t>These four sources should be used in tandem with the systematic six-step evaluation process: ‘</w:t>
      </w:r>
      <w:r w:rsidRPr="00E51EF8">
        <w:rPr>
          <w:rFonts w:ascii="Times New Roman" w:eastAsia="Times New Roman" w:hAnsi="Times New Roman" w:cs="Times New Roman"/>
          <w:i/>
          <w:iCs/>
          <w:kern w:val="0"/>
          <w:sz w:val="24"/>
          <w:szCs w:val="24"/>
          <w:lang w:eastAsia="en-GB"/>
          <w14:ligatures w14:val="none"/>
        </w:rPr>
        <w:t>Ask</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Acquire</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Appraise</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Aggregate</w:t>
      </w: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i/>
          <w:iCs/>
          <w:kern w:val="0"/>
          <w:sz w:val="24"/>
          <w:szCs w:val="24"/>
          <w:lang w:eastAsia="en-GB"/>
          <w14:ligatures w14:val="none"/>
        </w:rPr>
        <w:t>Apply</w:t>
      </w:r>
      <w:r w:rsidRPr="00E51EF8">
        <w:rPr>
          <w:rFonts w:ascii="Times New Roman" w:eastAsia="Times New Roman" w:hAnsi="Times New Roman" w:cs="Times New Roman"/>
          <w:kern w:val="0"/>
          <w:sz w:val="24"/>
          <w:szCs w:val="24"/>
          <w:lang w:eastAsia="en-GB"/>
          <w14:ligatures w14:val="none"/>
        </w:rPr>
        <w:t xml:space="preserve"> and </w:t>
      </w:r>
      <w:r w:rsidRPr="00E51EF8">
        <w:rPr>
          <w:rFonts w:ascii="Times New Roman" w:eastAsia="Times New Roman" w:hAnsi="Times New Roman" w:cs="Times New Roman"/>
          <w:i/>
          <w:iCs/>
          <w:kern w:val="0"/>
          <w:sz w:val="24"/>
          <w:szCs w:val="24"/>
          <w:lang w:eastAsia="en-GB"/>
          <w14:ligatures w14:val="none"/>
        </w:rPr>
        <w:t>Assess’</w:t>
      </w:r>
      <w:r w:rsidRPr="00E51EF8">
        <w:rPr>
          <w:rFonts w:ascii="Times New Roman" w:eastAsia="Times New Roman" w:hAnsi="Times New Roman" w:cs="Times New Roman"/>
          <w:kern w:val="0"/>
          <w:sz w:val="24"/>
          <w:szCs w:val="24"/>
          <w:lang w:eastAsia="en-GB"/>
          <w14:ligatures w14:val="none"/>
        </w:rPr>
        <w:t xml:space="preserve"> to combine and reinforce the evidence basis for decision-making </w:t>
      </w:r>
      <w:bookmarkStart w:id="2" w:name="_Hlk152537700"/>
      <w:r w:rsidRPr="00E51EF8">
        <w:rPr>
          <w:rFonts w:ascii="Times New Roman" w:eastAsia="Times New Roman" w:hAnsi="Times New Roman" w:cs="Times New Roman"/>
          <w:kern w:val="0"/>
          <w:sz w:val="24"/>
          <w:szCs w:val="24"/>
          <w:lang w:eastAsia="en-GB"/>
          <w14:ligatures w14:val="none"/>
        </w:rPr>
        <w:t>(Waite et al, 2021; Briner, 2019)</w:t>
      </w:r>
      <w:bookmarkEnd w:id="2"/>
      <w:r w:rsidRPr="00E51EF8">
        <w:rPr>
          <w:rFonts w:ascii="Times New Roman" w:eastAsia="Times New Roman" w:hAnsi="Times New Roman" w:cs="Times New Roman"/>
          <w:kern w:val="0"/>
          <w:sz w:val="24"/>
          <w:szCs w:val="24"/>
          <w:lang w:eastAsia="en-GB"/>
          <w14:ligatures w14:val="none"/>
        </w:rPr>
        <w:t xml:space="preserve">.  The ultimate aim for using the </w:t>
      </w:r>
      <w:r w:rsidRPr="00E51EF8">
        <w:rPr>
          <w:rFonts w:ascii="Times New Roman" w:eastAsia="Times New Roman" w:hAnsi="Times New Roman" w:cs="Times New Roman"/>
          <w:kern w:val="0"/>
          <w:sz w:val="24"/>
          <w:szCs w:val="24"/>
          <w:lang w:eastAsia="en-GB"/>
          <w14:ligatures w14:val="none"/>
        </w:rPr>
        <w:lastRenderedPageBreak/>
        <w:t xml:space="preserve">four aforementioned sources and Six Steps is to promote critical thinking, close the evidence gap and enable a more trustworthy, de-bias managerial decision-making for an effective EBP (Capezio and </w:t>
      </w:r>
      <w:proofErr w:type="spellStart"/>
      <w:r w:rsidRPr="00E51EF8">
        <w:rPr>
          <w:rFonts w:ascii="Times New Roman" w:eastAsia="Times New Roman" w:hAnsi="Times New Roman" w:cs="Times New Roman"/>
          <w:kern w:val="0"/>
          <w:sz w:val="24"/>
          <w:szCs w:val="24"/>
          <w:lang w:eastAsia="en-GB"/>
          <w14:ligatures w14:val="none"/>
        </w:rPr>
        <w:t>L’Espoir</w:t>
      </w:r>
      <w:proofErr w:type="spellEnd"/>
      <w:r w:rsidRPr="00E51EF8">
        <w:rPr>
          <w:rFonts w:ascii="Times New Roman" w:eastAsia="Times New Roman" w:hAnsi="Times New Roman" w:cs="Times New Roman"/>
          <w:kern w:val="0"/>
          <w:sz w:val="24"/>
          <w:szCs w:val="24"/>
          <w:lang w:eastAsia="en-GB"/>
          <w14:ligatures w14:val="none"/>
        </w:rPr>
        <w:t xml:space="preserve"> Decosta, 2023; Reid Elder and Nikodem, 2023). According to Pfeffer &amp; Sutton (2000) organisations that have the ability to identify the causes for the ‘knowing-doing gap’ and turn knowledge into actions would produce quantifiable outcomes. Moreover, for this to happen, HR practitioners should develop the skills and have the willingness to explore different avenues of data to inform decision-making and provide strong evidence foundation to main stakeholders (CIPD, 2017). </w:t>
      </w:r>
    </w:p>
    <w:p w14:paraId="4AB47886"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0880979B"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It is also proposed that practitioners follow suitable models for decision-making, one of them being the rational model. This model comprises a step-by-step procedure whereby facts and information are used to logically evaluate all alternatives before reaching a decision (</w:t>
      </w:r>
      <w:proofErr w:type="spellStart"/>
      <w:r w:rsidRPr="00E51EF8">
        <w:rPr>
          <w:rFonts w:ascii="Times New Roman" w:eastAsia="Times New Roman" w:hAnsi="Times New Roman" w:cs="Times New Roman"/>
          <w:kern w:val="0"/>
          <w:sz w:val="24"/>
          <w:szCs w:val="24"/>
          <w:lang w:eastAsia="en-GB"/>
          <w14:ligatures w14:val="none"/>
        </w:rPr>
        <w:t>Uzonwanne</w:t>
      </w:r>
      <w:proofErr w:type="spellEnd"/>
      <w:r w:rsidRPr="00E51EF8">
        <w:rPr>
          <w:rFonts w:ascii="Times New Roman" w:eastAsia="Times New Roman" w:hAnsi="Times New Roman" w:cs="Times New Roman"/>
          <w:kern w:val="0"/>
          <w:sz w:val="24"/>
          <w:szCs w:val="24"/>
          <w:lang w:eastAsia="en-GB"/>
          <w14:ligatures w14:val="none"/>
        </w:rPr>
        <w:t>, 2016).</w:t>
      </w:r>
    </w:p>
    <w:p w14:paraId="4844D080"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 </w:t>
      </w:r>
      <w:r w:rsidRPr="00E51EF8">
        <w:rPr>
          <w:rFonts w:ascii="Times New Roman" w:eastAsia="Times New Roman" w:hAnsi="Times New Roman" w:cs="Times New Roman"/>
          <w:noProof/>
          <w:kern w:val="0"/>
          <w:sz w:val="24"/>
          <w:szCs w:val="24"/>
          <w:lang w:eastAsia="en-GB"/>
        </w:rPr>
        <w:drawing>
          <wp:inline distT="0" distB="0" distL="0" distR="0" wp14:anchorId="1BB375C0" wp14:editId="4EB8F727">
            <wp:extent cx="5731510" cy="2776855"/>
            <wp:effectExtent l="0" t="0" r="2540" b="4445"/>
            <wp:docPr id="1475046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46530" name=""/>
                    <pic:cNvPicPr/>
                  </pic:nvPicPr>
                  <pic:blipFill>
                    <a:blip r:embed="rId5"/>
                    <a:stretch>
                      <a:fillRect/>
                    </a:stretch>
                  </pic:blipFill>
                  <pic:spPr>
                    <a:xfrm>
                      <a:off x="0" y="0"/>
                      <a:ext cx="5731510" cy="2776855"/>
                    </a:xfrm>
                    <a:prstGeom prst="rect">
                      <a:avLst/>
                    </a:prstGeom>
                  </pic:spPr>
                </pic:pic>
              </a:graphicData>
            </a:graphic>
          </wp:inline>
        </w:drawing>
      </w:r>
      <w:r w:rsidRPr="00E51EF8">
        <w:rPr>
          <w:rFonts w:ascii="Times New Roman" w:eastAsiaTheme="majorEastAsia" w:hAnsi="Times New Roman" w:cs="Times New Roman"/>
          <w:b/>
          <w:bCs/>
          <w:color w:val="1F3763" w:themeColor="accent1" w:themeShade="7F"/>
          <w:kern w:val="0"/>
          <w:sz w:val="24"/>
          <w:szCs w:val="24"/>
          <w:lang w:eastAsia="en-GB"/>
          <w14:ligatures w14:val="none"/>
        </w:rPr>
        <w:t>Figure 1: Rational Decision-Making Model (Kumar, 2022)</w:t>
      </w:r>
    </w:p>
    <w:p w14:paraId="12FFAB60"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755E326D"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The step-by-step rational model is advantageous when time allows for information gathering and when all individuals agree on the best alternative, thus becoming problematic to use when time is a constraint or / and where there are various objectives coming from several stakeholders (Kumar, 2022).</w:t>
      </w:r>
    </w:p>
    <w:p w14:paraId="39C17469"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4D9BC0E0"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Whilst EBP for best practice decision-making is becoming more prevalent within Management and HR settings and it is proving to be effective if the above information is taken into account (Briner, 2023), it is imperative to note its limitations. Firstly, evidence is not always perfect, hence the need to always start with a critical mindset. Secondly, there may be little or inadequate evidence availability (Barends, Rousseau and Briner, 2014). Lastly, there could be a combination of situational factors such as time constraints, limited budget for training and resources (Reid Elder and Nikodem, 2023). To conclude, although EBP can be a precaution against futile action, it is not a flawless solution. Hargreaves and Fullan (2012) argue that the evidence in itself could be blurred or outdated, thus it is imperative that HR practitioners use a ‘spirit of enquiry’ and systematic critical thinking approach to effectively evaluate when engaging with EBP for decision-making processes (Gill, 2018; Armstrong and Taylor, 2020). </w:t>
      </w:r>
    </w:p>
    <w:p w14:paraId="6B433E52" w14:textId="77777777" w:rsidR="00E51EF8" w:rsidRPr="00E51EF8" w:rsidRDefault="00E51EF8" w:rsidP="00E51EF8">
      <w:pPr>
        <w:spacing w:after="0" w:line="240" w:lineRule="auto"/>
        <w:jc w:val="both"/>
        <w:rPr>
          <w:rFonts w:ascii="Times New Roman" w:eastAsia="Times New Roman" w:hAnsi="Times New Roman" w:cs="Times New Roman"/>
          <w:b/>
          <w:bCs/>
          <w:color w:val="FF0000"/>
          <w:kern w:val="0"/>
          <w:sz w:val="24"/>
          <w:szCs w:val="24"/>
          <w:lang w:eastAsia="en-GB"/>
          <w14:ligatures w14:val="none"/>
        </w:rPr>
      </w:pPr>
      <w:r w:rsidRPr="00E51EF8">
        <w:rPr>
          <w:rFonts w:ascii="Times New Roman" w:eastAsia="Times New Roman" w:hAnsi="Times New Roman" w:cs="Times New Roman"/>
          <w:b/>
          <w:bCs/>
          <w:color w:val="FF0000"/>
          <w:kern w:val="0"/>
          <w:sz w:val="24"/>
          <w:szCs w:val="24"/>
          <w:lang w:eastAsia="en-GB"/>
          <w14:ligatures w14:val="none"/>
        </w:rPr>
        <w:t xml:space="preserve">Example: </w:t>
      </w:r>
    </w:p>
    <w:p w14:paraId="0DBAADAD"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4DA59040" w14:textId="77777777" w:rsidR="00E51EF8" w:rsidRPr="00E51EF8" w:rsidRDefault="00E51EF8" w:rsidP="00E51EF8">
      <w:pPr>
        <w:keepNext/>
        <w:keepLines/>
        <w:spacing w:before="40" w:after="0" w:line="240" w:lineRule="auto"/>
        <w:outlineLvl w:val="1"/>
        <w:rPr>
          <w:rFonts w:ascii="Times New Roman" w:eastAsiaTheme="majorEastAsia" w:hAnsi="Times New Roman" w:cs="Times New Roman"/>
          <w:color w:val="2F5496" w:themeColor="accent1" w:themeShade="BF"/>
          <w:kern w:val="0"/>
          <w:sz w:val="26"/>
          <w:szCs w:val="26"/>
          <w:lang w:eastAsia="en-GB"/>
          <w14:ligatures w14:val="none"/>
        </w:rPr>
      </w:pPr>
      <w:r w:rsidRPr="00E51EF8">
        <w:rPr>
          <w:rFonts w:ascii="Times New Roman" w:eastAsiaTheme="majorEastAsia" w:hAnsi="Times New Roman" w:cs="Times New Roman"/>
          <w:color w:val="2F5496" w:themeColor="accent1" w:themeShade="BF"/>
          <w:kern w:val="0"/>
          <w:sz w:val="26"/>
          <w:szCs w:val="26"/>
          <w:lang w:eastAsia="en-GB"/>
          <w14:ligatures w14:val="none"/>
        </w:rPr>
        <w:lastRenderedPageBreak/>
        <w:t>AC1.2 Evaluating Analysis Tools and Methods</w:t>
      </w:r>
    </w:p>
    <w:p w14:paraId="639BCF40"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6B6AA895"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There is a broad availability of analysis tools and methods that will aid detection of organisational issues, challenges and opportunities by looking at how both internal and external factors could impact on an organisation. Practitioners would identify and choose the most applicable ones to address a particular situation, thus bearing in mind that each of them will present strengths and weaknesses that could influence final outcomes.</w:t>
      </w:r>
    </w:p>
    <w:p w14:paraId="75D25044"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205E2F86"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14:ligatures w14:val="none"/>
        </w:rPr>
        <w:drawing>
          <wp:inline distT="0" distB="0" distL="0" distR="0" wp14:anchorId="28EE7A0C" wp14:editId="5FCCE0E5">
            <wp:extent cx="5730875" cy="7229475"/>
            <wp:effectExtent l="0" t="0" r="3175" b="0"/>
            <wp:docPr id="1965518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875" cy="7229475"/>
                    </a:xfrm>
                    <a:prstGeom prst="rect">
                      <a:avLst/>
                    </a:prstGeom>
                    <a:noFill/>
                    <a:ln>
                      <a:noFill/>
                    </a:ln>
                  </pic:spPr>
                </pic:pic>
              </a:graphicData>
            </a:graphic>
          </wp:inline>
        </w:drawing>
      </w:r>
    </w:p>
    <w:p w14:paraId="5851F408"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lastRenderedPageBreak/>
        <w:t xml:space="preserve">To decide on what analysis methods to use for decision-making, practitioners need to identify what type of data they want to gather: quantitative (measurable / numbers) or qualitative (cannot be measured, open to interpretation), thus it could be a combination of both. Therefore, making use of the most appropriate one is paramount (Corbin and Strauss, 2007). </w:t>
      </w:r>
    </w:p>
    <w:p w14:paraId="5B0BB444"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6B0F7AFA"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14:ligatures w14:val="none"/>
        </w:rPr>
        <w:drawing>
          <wp:inline distT="0" distB="0" distL="0" distR="0" wp14:anchorId="51DC966B" wp14:editId="16836FEC">
            <wp:extent cx="5731510" cy="6277610"/>
            <wp:effectExtent l="0" t="0" r="2540" b="0"/>
            <wp:docPr id="536846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277610"/>
                    </a:xfrm>
                    <a:prstGeom prst="rect">
                      <a:avLst/>
                    </a:prstGeom>
                    <a:noFill/>
                    <a:ln>
                      <a:noFill/>
                    </a:ln>
                  </pic:spPr>
                </pic:pic>
              </a:graphicData>
            </a:graphic>
          </wp:inline>
        </w:drawing>
      </w:r>
    </w:p>
    <w:p w14:paraId="4BEDC6B3"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7BECA0DB"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Regardless of what tools and methods would be used for analysis, it imperative to preserve the reliability of the findings in terms of evenness, trustworthiness and replicability (Nunan, 1999). </w:t>
      </w:r>
    </w:p>
    <w:p w14:paraId="3FE3FDF9"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28932295"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E51EF8">
        <w:rPr>
          <w:rFonts w:asciiTheme="majorHAnsi" w:eastAsiaTheme="majorEastAsia" w:hAnsiTheme="majorHAnsi" w:cstheme="majorBidi"/>
          <w:color w:val="2F5496" w:themeColor="accent1" w:themeShade="BF"/>
          <w:kern w:val="0"/>
          <w:sz w:val="26"/>
          <w:szCs w:val="26"/>
          <w:lang w:eastAsia="en-GB"/>
          <w14:ligatures w14:val="none"/>
        </w:rPr>
        <w:t>AC1.3 Principles of Critical Thinking</w:t>
      </w:r>
    </w:p>
    <w:p w14:paraId="2FA281E6"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085E313F"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As a key skill for practitioners, Critical Thinking (CT) requires to question and check validity of everything through sound thinking and objective reflection when it comes to other people’s </w:t>
      </w:r>
      <w:r w:rsidRPr="00E51EF8">
        <w:rPr>
          <w:rFonts w:ascii="Times New Roman" w:eastAsia="Times New Roman" w:hAnsi="Times New Roman" w:cs="Times New Roman"/>
          <w:kern w:val="0"/>
          <w:sz w:val="24"/>
          <w:szCs w:val="24"/>
          <w:lang w:eastAsia="en-GB"/>
          <w14:ligatures w14:val="none"/>
        </w:rPr>
        <w:lastRenderedPageBreak/>
        <w:t xml:space="preserve">ideas, as this will help them replace confusion with clarity, deal with complex issues and improve decision-making processes (Howlett and Coburn, 2019). </w:t>
      </w:r>
    </w:p>
    <w:p w14:paraId="2093E573"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Glaser (1941) stated that CT calls for ‘</w:t>
      </w:r>
      <w:r w:rsidRPr="00E51EF8">
        <w:rPr>
          <w:rFonts w:ascii="Times New Roman" w:eastAsia="Times New Roman" w:hAnsi="Times New Roman" w:cs="Times New Roman"/>
          <w:i/>
          <w:iCs/>
          <w:kern w:val="0"/>
          <w:sz w:val="24"/>
          <w:szCs w:val="24"/>
          <w:lang w:eastAsia="en-GB"/>
          <w14:ligatures w14:val="none"/>
        </w:rPr>
        <w:t>persistence’</w:t>
      </w:r>
      <w:r w:rsidRPr="00E51EF8">
        <w:rPr>
          <w:rFonts w:ascii="Times New Roman" w:eastAsia="Times New Roman" w:hAnsi="Times New Roman" w:cs="Times New Roman"/>
          <w:kern w:val="0"/>
          <w:sz w:val="24"/>
          <w:szCs w:val="24"/>
          <w:lang w:eastAsia="en-GB"/>
          <w14:ligatures w14:val="none"/>
        </w:rPr>
        <w:t xml:space="preserve"> to consider (and reconsider) a problem carefully, evaluate the ‘</w:t>
      </w:r>
      <w:r w:rsidRPr="00E51EF8">
        <w:rPr>
          <w:rFonts w:ascii="Times New Roman" w:eastAsia="Times New Roman" w:hAnsi="Times New Roman" w:cs="Times New Roman"/>
          <w:i/>
          <w:iCs/>
          <w:kern w:val="0"/>
          <w:sz w:val="24"/>
          <w:szCs w:val="24"/>
          <w:lang w:eastAsia="en-GB"/>
          <w14:ligatures w14:val="none"/>
        </w:rPr>
        <w:t>evidence’</w:t>
      </w:r>
      <w:r w:rsidRPr="00E51EF8">
        <w:rPr>
          <w:rFonts w:ascii="Times New Roman" w:eastAsia="Times New Roman" w:hAnsi="Times New Roman" w:cs="Times New Roman"/>
          <w:kern w:val="0"/>
          <w:sz w:val="24"/>
          <w:szCs w:val="24"/>
          <w:lang w:eastAsia="en-GB"/>
          <w14:ligatures w14:val="none"/>
        </w:rPr>
        <w:t xml:space="preserve"> and ‘</w:t>
      </w:r>
      <w:r w:rsidRPr="00E51EF8">
        <w:rPr>
          <w:rFonts w:ascii="Times New Roman" w:eastAsia="Times New Roman" w:hAnsi="Times New Roman" w:cs="Times New Roman"/>
          <w:i/>
          <w:iCs/>
          <w:kern w:val="0"/>
          <w:sz w:val="24"/>
          <w:szCs w:val="24"/>
          <w:lang w:eastAsia="en-GB"/>
          <w14:ligatures w14:val="none"/>
        </w:rPr>
        <w:t>implications’</w:t>
      </w:r>
      <w:r w:rsidRPr="00E51EF8">
        <w:rPr>
          <w:rFonts w:ascii="Times New Roman" w:eastAsia="Times New Roman" w:hAnsi="Times New Roman" w:cs="Times New Roman"/>
          <w:kern w:val="0"/>
          <w:sz w:val="24"/>
          <w:szCs w:val="24"/>
          <w:lang w:eastAsia="en-GB"/>
          <w14:ligatures w14:val="none"/>
        </w:rPr>
        <w:t xml:space="preserve"> for the conclusions to be suitable and rational.</w:t>
      </w:r>
    </w:p>
    <w:p w14:paraId="64D64305"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Furthermore, the importance of rational thinking and an argument that is well reasoned, start with an evaluation of how valid and relevant the evidence is, if it has a logical progression, if it contains any untrue premises or blemished reasoning (Cottrell, 2013). </w:t>
      </w:r>
    </w:p>
    <w:p w14:paraId="0AD5F348"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4CE2CA2D"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 valid criterion to evaluate the evidence (adapted from Cottrell, 2013 and LinkedIn, 2023c) through CT lenses could be to: </w:t>
      </w:r>
    </w:p>
    <w:p w14:paraId="337302F4"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5E4525FA"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14:ligatures w14:val="none"/>
        </w:rPr>
        <w:drawing>
          <wp:inline distT="0" distB="0" distL="0" distR="0" wp14:anchorId="4B697D89" wp14:editId="2901D194">
            <wp:extent cx="5731510" cy="2246630"/>
            <wp:effectExtent l="0" t="0" r="2540" b="0"/>
            <wp:docPr id="1801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46630"/>
                    </a:xfrm>
                    <a:prstGeom prst="rect">
                      <a:avLst/>
                    </a:prstGeom>
                    <a:noFill/>
                    <a:ln>
                      <a:noFill/>
                    </a:ln>
                  </pic:spPr>
                </pic:pic>
              </a:graphicData>
            </a:graphic>
          </wp:inline>
        </w:drawing>
      </w:r>
      <w:r w:rsidRPr="00E51EF8">
        <w:rPr>
          <w:rFonts w:ascii="Times New Roman" w:eastAsia="Times New Roman" w:hAnsi="Times New Roman" w:cs="Times New Roman"/>
          <w:kern w:val="0"/>
          <w:sz w:val="24"/>
          <w:szCs w:val="24"/>
          <w:lang w:eastAsia="en-GB"/>
          <w14:ligatures w14:val="none"/>
        </w:rPr>
        <w:t xml:space="preserve">Other important aspects to consider would be to identify and test out the conclusions found in the presented evidence. This would determine if CT is applied rigorously, or has reliance on one’s intuitions, feelings or prejudice. </w:t>
      </w:r>
    </w:p>
    <w:p w14:paraId="1DCED1C5"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As a prerequisite to EBP for questioning, although a natural attribute to the human mind, CT is not a fixed trait but rather a dynamic process that should be cultured through continuous intellectual development (Elder &amp; Paul, 2010) to enhance the ability to critique a particular opinion, method or system (Taylor and Woodhams, 2016). </w:t>
      </w:r>
    </w:p>
    <w:p w14:paraId="22524643"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495E4E0F"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E51EF8">
        <w:rPr>
          <w:rFonts w:asciiTheme="majorHAnsi" w:eastAsiaTheme="majorEastAsia" w:hAnsiTheme="majorHAnsi" w:cstheme="majorBidi"/>
          <w:color w:val="2F5496" w:themeColor="accent1" w:themeShade="BF"/>
          <w:kern w:val="0"/>
          <w:sz w:val="26"/>
          <w:szCs w:val="26"/>
          <w:lang w:eastAsia="en-GB"/>
          <w14:ligatures w14:val="none"/>
        </w:rPr>
        <w:t>AC1.4 Decision-Making Processes</w:t>
      </w:r>
    </w:p>
    <w:p w14:paraId="41E5677F"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18C04902"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In a world where change is the only constant, having the versatility to steer multifaceted challenges and implement sound Decision-Making Processes (DMPs) that are best fit, is a strong, essential skill for practitioners to ‘effective team management’ and ‘drive organisational change’ (Gavin, 2020). </w:t>
      </w:r>
    </w:p>
    <w:p w14:paraId="23BD8B59"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There are several methods that could be employed to achieve effective outcomes through DMPs. Examples would include De Bono Six Thinking Hats, Action Learning Approaches’, Best Fit, Future Facing and Problem-Outcome Frame. Below, three of them are being explained.</w:t>
      </w:r>
    </w:p>
    <w:p w14:paraId="3997A2F5"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tbl>
      <w:tblPr>
        <w:tblStyle w:val="TableGrid"/>
        <w:tblW w:w="0" w:type="auto"/>
        <w:tblLook w:val="04A0" w:firstRow="1" w:lastRow="0" w:firstColumn="1" w:lastColumn="0" w:noHBand="0" w:noVBand="1"/>
      </w:tblPr>
      <w:tblGrid>
        <w:gridCol w:w="1838"/>
        <w:gridCol w:w="7178"/>
      </w:tblGrid>
      <w:tr w:rsidR="00E51EF8" w:rsidRPr="00E51EF8" w14:paraId="4EAAF668" w14:textId="77777777" w:rsidTr="00206C70">
        <w:tc>
          <w:tcPr>
            <w:tcW w:w="1838" w:type="dxa"/>
          </w:tcPr>
          <w:p w14:paraId="095371BD"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Problem-Outcome Frame</w:t>
            </w:r>
          </w:p>
        </w:tc>
        <w:tc>
          <w:tcPr>
            <w:tcW w:w="7178" w:type="dxa"/>
          </w:tcPr>
          <w:p w14:paraId="613F263E" w14:textId="77777777" w:rsidR="00E51EF8" w:rsidRPr="00E51EF8" w:rsidRDefault="00E51EF8" w:rsidP="00E51EF8">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This process is used to identify different solutions to specific problems, where by framing will enable practitioners to ‘locate, perceive, identify and label’ the context of a problem (Goffman, 1974). Simply put, the process looks at a problem / issue from all angles, considers all available options and lastly, evaluates the advantages and disadvantages before making a decision (Harrin, 2023).</w:t>
            </w:r>
          </w:p>
        </w:tc>
      </w:tr>
      <w:tr w:rsidR="00E51EF8" w:rsidRPr="00E51EF8" w14:paraId="4CF921FF" w14:textId="77777777" w:rsidTr="00206C70">
        <w:tc>
          <w:tcPr>
            <w:tcW w:w="1838" w:type="dxa"/>
          </w:tcPr>
          <w:p w14:paraId="0FBBE47A"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lastRenderedPageBreak/>
              <w:t>De Bono Six Thinking Hats</w:t>
            </w:r>
          </w:p>
        </w:tc>
        <w:tc>
          <w:tcPr>
            <w:tcW w:w="7178" w:type="dxa"/>
          </w:tcPr>
          <w:p w14:paraId="3638D6FD"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Developed in 1985 by Edward De Bono, although simple, this method is a parallel thinking approach that increases productivity, by aiding HR Practitioners to focus and be mindfully involved, challenging them to use the ‘how to think’ not ‘what to think’ approach to DMPs by focusing on one issue at the time whilst permitting for alteration in thinking (Channell, 2021). </w:t>
            </w:r>
          </w:p>
          <w:p w14:paraId="3D9C8A5E"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The colours of the hats represent different styles of thinking:</w:t>
            </w:r>
          </w:p>
          <w:p w14:paraId="3975058D"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i/>
                <w:iCs/>
                <w:kern w:val="0"/>
                <w:sz w:val="24"/>
                <w:szCs w:val="24"/>
                <w:lang w:eastAsia="en-GB"/>
                <w14:ligatures w14:val="none"/>
              </w:rPr>
              <w:t>White Hat</w:t>
            </w:r>
            <w:r w:rsidRPr="00E51EF8">
              <w:rPr>
                <w:rFonts w:ascii="Times New Roman" w:eastAsia="Times New Roman" w:hAnsi="Times New Roman" w:cs="Times New Roman"/>
                <w:kern w:val="0"/>
                <w:sz w:val="24"/>
                <w:szCs w:val="24"/>
                <w:lang w:eastAsia="en-GB"/>
                <w14:ligatures w14:val="none"/>
              </w:rPr>
              <w:t xml:space="preserve">: Facts &amp; Figures, </w:t>
            </w:r>
            <w:r w:rsidRPr="00E51EF8">
              <w:rPr>
                <w:rFonts w:ascii="Times New Roman" w:eastAsia="Times New Roman" w:hAnsi="Times New Roman" w:cs="Times New Roman"/>
                <w:i/>
                <w:iCs/>
                <w:kern w:val="0"/>
                <w:sz w:val="24"/>
                <w:szCs w:val="24"/>
                <w:lang w:eastAsia="en-GB"/>
                <w14:ligatures w14:val="none"/>
              </w:rPr>
              <w:t>Black Hat</w:t>
            </w:r>
            <w:r w:rsidRPr="00E51EF8">
              <w:rPr>
                <w:rFonts w:ascii="Times New Roman" w:eastAsia="Times New Roman" w:hAnsi="Times New Roman" w:cs="Times New Roman"/>
                <w:kern w:val="0"/>
                <w:sz w:val="24"/>
                <w:szCs w:val="24"/>
                <w:lang w:eastAsia="en-GB"/>
                <w14:ligatures w14:val="none"/>
              </w:rPr>
              <w:t xml:space="preserve">: Judgement &amp; Caution; </w:t>
            </w:r>
            <w:r w:rsidRPr="00E51EF8">
              <w:rPr>
                <w:rFonts w:ascii="Times New Roman" w:eastAsia="Times New Roman" w:hAnsi="Times New Roman" w:cs="Times New Roman"/>
                <w:i/>
                <w:iCs/>
                <w:kern w:val="0"/>
                <w:sz w:val="24"/>
                <w:szCs w:val="24"/>
                <w:lang w:eastAsia="en-GB"/>
                <w14:ligatures w14:val="none"/>
              </w:rPr>
              <w:t>Red Hat</w:t>
            </w:r>
            <w:r w:rsidRPr="00E51EF8">
              <w:rPr>
                <w:rFonts w:ascii="Times New Roman" w:eastAsia="Times New Roman" w:hAnsi="Times New Roman" w:cs="Times New Roman"/>
                <w:kern w:val="0"/>
                <w:sz w:val="24"/>
                <w:szCs w:val="24"/>
                <w:lang w:eastAsia="en-GB"/>
                <w14:ligatures w14:val="none"/>
              </w:rPr>
              <w:t xml:space="preserve">: Intuition, Feelings &amp; Emotions; </w:t>
            </w:r>
            <w:r w:rsidRPr="00E51EF8">
              <w:rPr>
                <w:rFonts w:ascii="Times New Roman" w:eastAsia="Times New Roman" w:hAnsi="Times New Roman" w:cs="Times New Roman"/>
                <w:i/>
                <w:iCs/>
                <w:kern w:val="0"/>
                <w:sz w:val="24"/>
                <w:szCs w:val="24"/>
                <w:lang w:eastAsia="en-GB"/>
                <w14:ligatures w14:val="none"/>
              </w:rPr>
              <w:t>Green Hat</w:t>
            </w:r>
            <w:r w:rsidRPr="00E51EF8">
              <w:rPr>
                <w:rFonts w:ascii="Times New Roman" w:eastAsia="Times New Roman" w:hAnsi="Times New Roman" w:cs="Times New Roman"/>
                <w:kern w:val="0"/>
                <w:sz w:val="24"/>
                <w:szCs w:val="24"/>
                <w:lang w:eastAsia="en-GB"/>
                <w14:ligatures w14:val="none"/>
              </w:rPr>
              <w:t xml:space="preserve">: Creativity; </w:t>
            </w:r>
            <w:r w:rsidRPr="00E51EF8">
              <w:rPr>
                <w:rFonts w:ascii="Times New Roman" w:eastAsia="Times New Roman" w:hAnsi="Times New Roman" w:cs="Times New Roman"/>
                <w:i/>
                <w:iCs/>
                <w:kern w:val="0"/>
                <w:sz w:val="24"/>
                <w:szCs w:val="24"/>
                <w:lang w:eastAsia="en-GB"/>
                <w14:ligatures w14:val="none"/>
              </w:rPr>
              <w:t>Yellow Hat</w:t>
            </w:r>
            <w:r w:rsidRPr="00E51EF8">
              <w:rPr>
                <w:rFonts w:ascii="Times New Roman" w:eastAsia="Times New Roman" w:hAnsi="Times New Roman" w:cs="Times New Roman"/>
                <w:kern w:val="0"/>
                <w:sz w:val="24"/>
                <w:szCs w:val="24"/>
                <w:lang w:eastAsia="en-GB"/>
                <w14:ligatures w14:val="none"/>
              </w:rPr>
              <w:t xml:space="preserve">: Logical &amp; Positive; </w:t>
            </w:r>
            <w:r w:rsidRPr="00E51EF8">
              <w:rPr>
                <w:rFonts w:ascii="Times New Roman" w:eastAsia="Times New Roman" w:hAnsi="Times New Roman" w:cs="Times New Roman"/>
                <w:i/>
                <w:iCs/>
                <w:kern w:val="0"/>
                <w:sz w:val="24"/>
                <w:szCs w:val="24"/>
                <w:lang w:eastAsia="en-GB"/>
                <w14:ligatures w14:val="none"/>
              </w:rPr>
              <w:t>Blue Hat</w:t>
            </w:r>
            <w:r w:rsidRPr="00E51EF8">
              <w:rPr>
                <w:rFonts w:ascii="Times New Roman" w:eastAsia="Times New Roman" w:hAnsi="Times New Roman" w:cs="Times New Roman"/>
                <w:kern w:val="0"/>
                <w:sz w:val="24"/>
                <w:szCs w:val="24"/>
                <w:lang w:eastAsia="en-GB"/>
                <w14:ligatures w14:val="none"/>
              </w:rPr>
              <w:t>: Overview &amp; Process (Mulder, 2019).</w:t>
            </w:r>
          </w:p>
          <w:p w14:paraId="5962BE0D"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Besides the parallel thinking benefits of this approach, the different colours of Six Thinking Hats also ‘encourage full-spectrum thinking’ and ‘separate ego from performance’ (</w:t>
            </w:r>
            <w:proofErr w:type="spellStart"/>
            <w:r w:rsidRPr="00E51EF8">
              <w:rPr>
                <w:rFonts w:ascii="Times New Roman" w:eastAsia="Times New Roman" w:hAnsi="Times New Roman" w:cs="Times New Roman"/>
                <w:kern w:val="0"/>
                <w:sz w:val="24"/>
                <w:szCs w:val="24"/>
                <w:lang w:eastAsia="en-GB"/>
                <w14:ligatures w14:val="none"/>
              </w:rPr>
              <w:t>Goebe</w:t>
            </w:r>
            <w:proofErr w:type="spellEnd"/>
            <w:r w:rsidRPr="00E51EF8">
              <w:rPr>
                <w:rFonts w:ascii="Times New Roman" w:eastAsia="Times New Roman" w:hAnsi="Times New Roman" w:cs="Times New Roman"/>
                <w:kern w:val="0"/>
                <w:sz w:val="24"/>
                <w:szCs w:val="24"/>
                <w:lang w:eastAsia="en-GB"/>
                <w14:ligatures w14:val="none"/>
              </w:rPr>
              <w:t xml:space="preserve"> and Seabert, 2006).</w:t>
            </w:r>
          </w:p>
          <w:p w14:paraId="3C21CBAB"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By assigning each participant to a specific hat and rotating the hats throughout the discussion, the Six Thinking Hats method encourages a more balanced and comprehensive approach to problem-solving. It helps to suppress biases and groupthink, allowing for a broader range of perspectives to be considered (MindManager Blog, 2023).</w:t>
            </w:r>
          </w:p>
          <w:p w14:paraId="778F3BE1"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Overall, the Six Thinking Hats method is a valuable tool for HR practitioners who want to improve their decision-making and problem-solving skills. It can be used in a variety of settings, from team meetings and can help to foster more effective communication, collaboration, and innovation within the HR function.</w:t>
            </w:r>
          </w:p>
        </w:tc>
      </w:tr>
      <w:tr w:rsidR="00E51EF8" w:rsidRPr="00E51EF8" w14:paraId="76B402D0" w14:textId="77777777" w:rsidTr="00206C70">
        <w:tc>
          <w:tcPr>
            <w:tcW w:w="1838" w:type="dxa"/>
          </w:tcPr>
          <w:p w14:paraId="0C9A05D6"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Action Learning</w:t>
            </w:r>
          </w:p>
        </w:tc>
        <w:tc>
          <w:tcPr>
            <w:tcW w:w="7178" w:type="dxa"/>
          </w:tcPr>
          <w:p w14:paraId="0BDEA030" w14:textId="77777777" w:rsidR="00E51EF8" w:rsidRPr="00E51EF8" w:rsidRDefault="00E51EF8" w:rsidP="00E51EF8">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Action learning is a cyclical process that involves identifying a problem, forming a team, taking action, reflecting, and learning. It is a powerful tool for improving decision-making because it is focused on solving real problems, encourages collaboration, and promotes continuous learning (Serat, 2017; WIAL, 2023). </w:t>
            </w:r>
          </w:p>
        </w:tc>
      </w:tr>
    </w:tbl>
    <w:p w14:paraId="72DCDA4C"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1DAF95D0"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74131E4E"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bookmarkStart w:id="3" w:name="_Hlk153223270"/>
      <w:r w:rsidRPr="00E51EF8">
        <w:rPr>
          <w:rFonts w:asciiTheme="majorHAnsi" w:eastAsiaTheme="majorEastAsia" w:hAnsiTheme="majorHAnsi" w:cstheme="majorBidi"/>
          <w:color w:val="2F5496" w:themeColor="accent1" w:themeShade="BF"/>
          <w:kern w:val="0"/>
          <w:sz w:val="26"/>
          <w:szCs w:val="26"/>
          <w:lang w:eastAsia="en-GB"/>
          <w14:ligatures w14:val="none"/>
        </w:rPr>
        <w:t>AC1.5 Ethical Perspectives and their influence</w:t>
      </w:r>
    </w:p>
    <w:p w14:paraId="1C7E9D0F"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405C12B4"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According to Lawton (1998), ethical perspectives are ‘a set of principles and values that guide ethical behaviour’. Waite et al. (2021) further elaborate that EPs are ‘a framework for promoting ethical behaviour by always applying principles and values when making </w:t>
      </w:r>
      <w:proofErr w:type="gramStart"/>
      <w:r w:rsidRPr="00E51EF8">
        <w:rPr>
          <w:rFonts w:ascii="Times New Roman" w:eastAsia="Times New Roman" w:hAnsi="Times New Roman" w:cs="Times New Roman"/>
          <w:kern w:val="0"/>
          <w:sz w:val="24"/>
          <w:szCs w:val="24"/>
          <w:lang w:eastAsia="en-GB"/>
          <w14:ligatures w14:val="none"/>
        </w:rPr>
        <w:t>decisions’</w:t>
      </w:r>
      <w:proofErr w:type="gramEnd"/>
      <w:r w:rsidRPr="00E51EF8">
        <w:rPr>
          <w:rFonts w:ascii="Times New Roman" w:eastAsia="Times New Roman" w:hAnsi="Times New Roman" w:cs="Times New Roman"/>
          <w:kern w:val="0"/>
          <w:sz w:val="24"/>
          <w:szCs w:val="24"/>
          <w:lang w:eastAsia="en-GB"/>
          <w14:ligatures w14:val="none"/>
        </w:rPr>
        <w:t>. Armstrong (2012) emphasises that EPs encourage individuals to ‘do what is morally acceptable’ when navigating ethical dilemmas.</w:t>
      </w:r>
    </w:p>
    <w:p w14:paraId="27465D75"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517C11B7"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For the purpose of this task, three main EPs would be considered.</w:t>
      </w:r>
    </w:p>
    <w:p w14:paraId="1FC08CDF"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tbl>
      <w:tblPr>
        <w:tblStyle w:val="TableGrid"/>
        <w:tblW w:w="0" w:type="auto"/>
        <w:tblLook w:val="04A0" w:firstRow="1" w:lastRow="0" w:firstColumn="1" w:lastColumn="0" w:noHBand="0" w:noVBand="1"/>
      </w:tblPr>
      <w:tblGrid>
        <w:gridCol w:w="1550"/>
        <w:gridCol w:w="7466"/>
      </w:tblGrid>
      <w:tr w:rsidR="00E51EF8" w:rsidRPr="00E51EF8" w14:paraId="3B2A0F04" w14:textId="77777777" w:rsidTr="00206C70">
        <w:tc>
          <w:tcPr>
            <w:tcW w:w="1413" w:type="dxa"/>
          </w:tcPr>
          <w:p w14:paraId="38E9165D"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Utilitarianism</w:t>
            </w:r>
          </w:p>
          <w:p w14:paraId="610BAEF9"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tc>
        <w:tc>
          <w:tcPr>
            <w:tcW w:w="7603" w:type="dxa"/>
          </w:tcPr>
          <w:p w14:paraId="18446159"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A consequentialist ethical theory that holds that the morality of an action is determined solely by its consequences whereby, the right action is the one that produces the greatest good for the greatest number of people (Sinnott-Armstrong, 2003; Waite et al., 2021).</w:t>
            </w:r>
          </w:p>
          <w:p w14:paraId="12575379" w14:textId="77777777" w:rsidR="00E51EF8" w:rsidRPr="00E51EF8" w:rsidRDefault="00E51EF8" w:rsidP="00E51EF8">
            <w:pPr>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As an example, HR practitioners can use this EP to identify and implement initiatives that promote employee engagement and well-being, leading to a more productive and satisfied workforce (Russell and Weeks, 2019). Additionally, a company might consider offering flexible work arrangements, providing opportunities for professional development, or </w:t>
            </w:r>
            <w:r w:rsidRPr="00E51EF8">
              <w:rPr>
                <w:rFonts w:ascii="Times New Roman" w:eastAsia="Times New Roman" w:hAnsi="Times New Roman" w:cs="Times New Roman"/>
                <w:kern w:val="0"/>
                <w:sz w:val="24"/>
                <w:szCs w:val="24"/>
                <w:lang w:eastAsia="en-GB"/>
                <w14:ligatures w14:val="none"/>
              </w:rPr>
              <w:lastRenderedPageBreak/>
              <w:t>promoting a healthy work-life balance, evaluating the potential benefits of each initiative against the potential costs (McCartney, 2023).</w:t>
            </w:r>
          </w:p>
        </w:tc>
      </w:tr>
      <w:tr w:rsidR="00E51EF8" w:rsidRPr="00E51EF8" w14:paraId="5E1EFC90" w14:textId="77777777" w:rsidTr="00206C70">
        <w:tc>
          <w:tcPr>
            <w:tcW w:w="1413" w:type="dxa"/>
          </w:tcPr>
          <w:p w14:paraId="578EDFEC"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lastRenderedPageBreak/>
              <w:t>Deontology</w:t>
            </w:r>
          </w:p>
          <w:p w14:paraId="1F3147EA"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p w14:paraId="40A0940E"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tc>
        <w:tc>
          <w:tcPr>
            <w:tcW w:w="7603" w:type="dxa"/>
          </w:tcPr>
          <w:p w14:paraId="6B5CB1D4"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tc>
      </w:tr>
      <w:tr w:rsidR="00E51EF8" w:rsidRPr="00E51EF8" w14:paraId="260C352F" w14:textId="77777777" w:rsidTr="00206C70">
        <w:tc>
          <w:tcPr>
            <w:tcW w:w="1413" w:type="dxa"/>
          </w:tcPr>
          <w:p w14:paraId="65CC058A"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 xml:space="preserve">Teleology </w:t>
            </w:r>
          </w:p>
          <w:p w14:paraId="5EFD682E"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tc>
        <w:tc>
          <w:tcPr>
            <w:tcW w:w="7603" w:type="dxa"/>
          </w:tcPr>
          <w:p w14:paraId="3A929FE0" w14:textId="77777777" w:rsidR="00E51EF8" w:rsidRPr="00E51EF8" w:rsidRDefault="00E51EF8" w:rsidP="00E51EF8">
            <w:pPr>
              <w:rPr>
                <w:rFonts w:ascii="Times New Roman" w:eastAsia="Times New Roman" w:hAnsi="Times New Roman" w:cs="Times New Roman"/>
                <w:kern w:val="0"/>
                <w:sz w:val="24"/>
                <w:szCs w:val="24"/>
                <w:lang w:eastAsia="en-GB"/>
                <w14:ligatures w14:val="none"/>
              </w:rPr>
            </w:pPr>
          </w:p>
        </w:tc>
      </w:tr>
    </w:tbl>
    <w:p w14:paraId="3D6119A0"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5120E8E3" w14:textId="77777777" w:rsidR="00E51EF8" w:rsidRPr="00E51EF8" w:rsidRDefault="00E51EF8" w:rsidP="00E51EF8">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In conclusion, EPs play a crucial role in shaping ethical behaviour and promoting a more ethical society. They provide a framework for making informed decisions, fostering moral reasoning, and contributing to a more just and equitable world. By incorporating EPs into decision-making processes, HR practitioners can strive to make choices that are morally sound and beneficial to all (</w:t>
      </w:r>
      <w:proofErr w:type="spellStart"/>
      <w:r w:rsidRPr="00E51EF8">
        <w:rPr>
          <w:rFonts w:ascii="Times New Roman" w:eastAsia="Times New Roman" w:hAnsi="Times New Roman" w:cs="Times New Roman"/>
          <w:kern w:val="0"/>
          <w:sz w:val="24"/>
          <w:szCs w:val="24"/>
          <w:lang w:eastAsia="en-GB"/>
          <w14:ligatures w14:val="none"/>
        </w:rPr>
        <w:t>Ovenstone</w:t>
      </w:r>
      <w:proofErr w:type="spellEnd"/>
      <w:r w:rsidRPr="00E51EF8">
        <w:rPr>
          <w:rFonts w:ascii="Times New Roman" w:eastAsia="Times New Roman" w:hAnsi="Times New Roman" w:cs="Times New Roman"/>
          <w:kern w:val="0"/>
          <w:sz w:val="24"/>
          <w:szCs w:val="24"/>
          <w:lang w:eastAsia="en-GB"/>
          <w14:ligatures w14:val="none"/>
        </w:rPr>
        <w:t>, 2020).</w:t>
      </w:r>
    </w:p>
    <w:p w14:paraId="76933D87"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bookmarkEnd w:id="3"/>
    <w:p w14:paraId="09AC67EC" w14:textId="77777777" w:rsidR="00E51EF8" w:rsidRPr="00E51EF8" w:rsidRDefault="00E51EF8" w:rsidP="00E51EF8">
      <w:pPr>
        <w:spacing w:after="0" w:line="240" w:lineRule="auto"/>
        <w:rPr>
          <w:rFonts w:ascii="Times New Roman" w:eastAsia="Times New Roman" w:hAnsi="Times New Roman" w:cs="Times New Roman"/>
          <w:b/>
          <w:bCs/>
          <w:kern w:val="0"/>
          <w:sz w:val="24"/>
          <w:szCs w:val="24"/>
          <w:lang w:eastAsia="en-GB"/>
          <w14:ligatures w14:val="none"/>
        </w:rPr>
      </w:pPr>
    </w:p>
    <w:p w14:paraId="361B7039"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55AD09FB"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FF0000"/>
          <w:kern w:val="0"/>
          <w:sz w:val="26"/>
          <w:szCs w:val="26"/>
          <w:lang w:eastAsia="en-GB"/>
          <w14:ligatures w14:val="none"/>
        </w:rPr>
      </w:pPr>
      <w:r w:rsidRPr="00E51EF8">
        <w:rPr>
          <w:rFonts w:asciiTheme="majorHAnsi" w:eastAsiaTheme="majorEastAsia" w:hAnsiTheme="majorHAnsi" w:cstheme="majorBidi"/>
          <w:color w:val="0070C0"/>
          <w:kern w:val="0"/>
          <w:sz w:val="26"/>
          <w:szCs w:val="26"/>
          <w:lang w:eastAsia="en-GB"/>
          <w14:ligatures w14:val="none"/>
        </w:rPr>
        <w:t>AC3.1 Measuring Financial and Non-financial Performance</w:t>
      </w:r>
    </w:p>
    <w:p w14:paraId="6A64C2C4" w14:textId="77777777" w:rsidR="00E51EF8" w:rsidRPr="00E51EF8" w:rsidRDefault="00E51EF8" w:rsidP="00E51EF8">
      <w:pPr>
        <w:spacing w:after="0" w:line="240" w:lineRule="auto"/>
        <w:rPr>
          <w:rFonts w:ascii="Times New Roman" w:eastAsia="Times New Roman" w:hAnsi="Times New Roman" w:cs="Times New Roman"/>
          <w:b/>
          <w:bCs/>
          <w:kern w:val="0"/>
          <w:sz w:val="24"/>
          <w:szCs w:val="24"/>
          <w:lang w:eastAsia="en-GB"/>
          <w14:ligatures w14:val="none"/>
        </w:rPr>
      </w:pPr>
    </w:p>
    <w:p w14:paraId="3690B837"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bookmarkStart w:id="4" w:name="_Hlk153224807"/>
      <w:r w:rsidRPr="00E51EF8">
        <w:rPr>
          <w:rFonts w:asciiTheme="majorHAnsi" w:eastAsiaTheme="majorEastAsia" w:hAnsiTheme="majorHAnsi" w:cstheme="majorBidi"/>
          <w:color w:val="2F5496" w:themeColor="accent1" w:themeShade="BF"/>
          <w:kern w:val="0"/>
          <w:sz w:val="26"/>
          <w:szCs w:val="26"/>
          <w:lang w:eastAsia="en-GB"/>
          <w14:ligatures w14:val="none"/>
        </w:rPr>
        <w:t>AC3.2 People Practices: Adding Value and Measuring Impact</w:t>
      </w:r>
    </w:p>
    <w:bookmarkEnd w:id="4"/>
    <w:p w14:paraId="68F7D5BE"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06CFC9F8"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6C83F0CE" w14:textId="77777777" w:rsidR="00E51EF8" w:rsidRPr="00E51EF8" w:rsidRDefault="00E51EF8" w:rsidP="00E51EF8">
      <w:pPr>
        <w:keepNext/>
        <w:keepLines/>
        <w:spacing w:before="240" w:after="0" w:line="240" w:lineRule="auto"/>
        <w:outlineLvl w:val="0"/>
        <w:rPr>
          <w:rFonts w:asciiTheme="majorHAnsi" w:eastAsiaTheme="majorEastAsia" w:hAnsiTheme="majorHAnsi" w:cstheme="majorBidi"/>
          <w:color w:val="2F5496" w:themeColor="accent1" w:themeShade="BF"/>
          <w:kern w:val="0"/>
          <w:sz w:val="32"/>
          <w:szCs w:val="32"/>
          <w:lang w:eastAsia="en-GB"/>
          <w14:ligatures w14:val="none"/>
        </w:rPr>
      </w:pPr>
      <w:r w:rsidRPr="00E51EF8">
        <w:rPr>
          <w:rFonts w:asciiTheme="majorHAnsi" w:eastAsiaTheme="majorEastAsia" w:hAnsiTheme="majorHAnsi" w:cstheme="majorBidi"/>
          <w:color w:val="2F5496" w:themeColor="accent1" w:themeShade="BF"/>
          <w:kern w:val="0"/>
          <w:sz w:val="32"/>
          <w:szCs w:val="32"/>
          <w:lang w:eastAsia="en-GB"/>
          <w14:ligatures w14:val="none"/>
        </w:rPr>
        <w:t>Evidence-Based Practice Report: Section Two</w:t>
      </w:r>
    </w:p>
    <w:p w14:paraId="1CB9F424"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24D7D2BC"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kern w:val="0"/>
          <w:sz w:val="24"/>
          <w:szCs w:val="24"/>
          <w:lang w:eastAsia="en-GB"/>
          <w14:ligatures w14:val="none"/>
        </w:rPr>
        <w:t>Section Two of the report will address the analysis review of both quantitative and qualitative data provided, highlighting the key findings and the recommendations that can be made when evaluating potential solutions.</w:t>
      </w:r>
    </w:p>
    <w:p w14:paraId="06BC3EFB" w14:textId="77777777" w:rsidR="00E51EF8" w:rsidRPr="00E51EF8" w:rsidRDefault="00E51EF8" w:rsidP="00E51EF8">
      <w:pPr>
        <w:spacing w:after="0" w:line="240" w:lineRule="auto"/>
        <w:jc w:val="both"/>
        <w:rPr>
          <w:rFonts w:ascii="Times New Roman" w:eastAsia="Times New Roman" w:hAnsi="Times New Roman" w:cs="Times New Roman"/>
          <w:kern w:val="0"/>
          <w:sz w:val="24"/>
          <w:szCs w:val="24"/>
          <w:lang w:eastAsia="en-GB"/>
          <w14:ligatures w14:val="none"/>
        </w:rPr>
      </w:pPr>
    </w:p>
    <w:p w14:paraId="7EC8DE00"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E51EF8">
        <w:rPr>
          <w:rFonts w:asciiTheme="majorHAnsi" w:eastAsiaTheme="majorEastAsia" w:hAnsiTheme="majorHAnsi" w:cstheme="majorBidi"/>
          <w:color w:val="2F5496" w:themeColor="accent1" w:themeShade="BF"/>
          <w:kern w:val="0"/>
          <w:sz w:val="26"/>
          <w:szCs w:val="26"/>
          <w:lang w:eastAsia="en-GB"/>
          <w14:ligatures w14:val="none"/>
        </w:rPr>
        <w:t>AC2.1 Interpretation of analytical data</w:t>
      </w:r>
    </w:p>
    <w:p w14:paraId="7AF99664"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540B65D9"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r w:rsidRPr="00E51EF8">
        <w:rPr>
          <w:rFonts w:ascii="Times New Roman" w:eastAsia="Times New Roman" w:hAnsi="Times New Roman" w:cs="Times New Roman"/>
          <w:noProof/>
          <w:kern w:val="0"/>
          <w:sz w:val="24"/>
          <w:szCs w:val="24"/>
          <w:lang w:eastAsia="en-GB"/>
        </w:rPr>
        <w:drawing>
          <wp:inline distT="0" distB="0" distL="0" distR="0" wp14:anchorId="45D1E851" wp14:editId="20CA4531">
            <wp:extent cx="5746750" cy="2082800"/>
            <wp:effectExtent l="0" t="0" r="6350" b="12700"/>
            <wp:docPr id="103039674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4F28D9"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
    <w:p w14:paraId="7BDEDFB3"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r w:rsidRPr="00E51EF8">
        <w:rPr>
          <w:rFonts w:ascii="Times New Roman" w:eastAsia="Times New Roman" w:hAnsi="Times New Roman" w:cs="Times New Roman"/>
          <w:noProof/>
          <w:kern w:val="0"/>
          <w:sz w:val="24"/>
          <w:szCs w:val="24"/>
          <w:lang w:eastAsia="en-GB"/>
        </w:rPr>
        <w:lastRenderedPageBreak/>
        <w:drawing>
          <wp:inline distT="0" distB="0" distL="0" distR="0" wp14:anchorId="0ACD3382" wp14:editId="7D3DB95F">
            <wp:extent cx="6156308" cy="2743200"/>
            <wp:effectExtent l="0" t="0" r="16510" b="0"/>
            <wp:docPr id="1289559889" name="Chart 1">
              <a:extLst xmlns:a="http://schemas.openxmlformats.org/drawingml/2006/main">
                <a:ext uri="{FF2B5EF4-FFF2-40B4-BE49-F238E27FC236}">
                  <a16:creationId xmlns:a16="http://schemas.microsoft.com/office/drawing/2014/main" id="{A803D54D-E627-D41A-C825-2DE287F5A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38D22F"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roofErr w:type="spellStart"/>
      <w:r w:rsidRPr="00E51EF8">
        <w:rPr>
          <w:rFonts w:ascii="Times New Roman" w:eastAsia="Times New Roman" w:hAnsi="Times New Roman" w:cs="Times New Roman"/>
          <w:color w:val="FFFFFF" w:themeColor="background1"/>
          <w:kern w:val="0"/>
          <w:sz w:val="24"/>
          <w:szCs w:val="24"/>
          <w:lang w:eastAsia="en-GB"/>
          <w14:textFill>
            <w14:noFill/>
          </w14:textFill>
          <w14:ligatures w14:val="none"/>
        </w:rPr>
        <w:t>lkk</w:t>
      </w:r>
      <w:proofErr w:type="spellEnd"/>
    </w:p>
    <w:p w14:paraId="0EE42E2B"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r w:rsidRPr="00E51EF8">
        <w:rPr>
          <w:rFonts w:ascii="Times New Roman" w:eastAsia="Times New Roman" w:hAnsi="Times New Roman" w:cs="Times New Roman"/>
          <w:noProof/>
          <w:kern w:val="0"/>
          <w:sz w:val="24"/>
          <w:szCs w:val="24"/>
          <w:lang w:eastAsia="en-GB"/>
        </w:rPr>
        <w:drawing>
          <wp:inline distT="0" distB="0" distL="0" distR="0" wp14:anchorId="43FD65BA" wp14:editId="6B345FEB">
            <wp:extent cx="2844800" cy="1866900"/>
            <wp:effectExtent l="0" t="0" r="12700" b="0"/>
            <wp:docPr id="955047298" name="Chart 1">
              <a:extLst xmlns:a="http://schemas.openxmlformats.org/drawingml/2006/main">
                <a:ext uri="{FF2B5EF4-FFF2-40B4-BE49-F238E27FC236}">
                  <a16:creationId xmlns:a16="http://schemas.microsoft.com/office/drawing/2014/main" id="{4699E2C7-C6E6-E82E-4AFE-C4DAE84A60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E51EF8">
        <w:rPr>
          <w:rFonts w:ascii="Times New Roman" w:eastAsia="Times New Roman" w:hAnsi="Times New Roman" w:cs="Times New Roman"/>
          <w:color w:val="FFFFFF" w:themeColor="background1"/>
          <w:kern w:val="0"/>
          <w:sz w:val="24"/>
          <w:szCs w:val="24"/>
          <w:lang w:eastAsia="en-GB"/>
          <w14:textFill>
            <w14:noFill/>
          </w14:textFill>
          <w14:ligatures w14:val="none"/>
        </w:rPr>
        <w:t xml:space="preserve"> </w:t>
      </w:r>
    </w:p>
    <w:p w14:paraId="62CBD9F9"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
    <w:p w14:paraId="417601B2"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r w:rsidRPr="00E51EF8">
        <w:rPr>
          <w:rFonts w:ascii="Times New Roman" w:eastAsia="Times New Roman" w:hAnsi="Times New Roman" w:cs="Times New Roman"/>
          <w:noProof/>
          <w:kern w:val="0"/>
          <w:sz w:val="24"/>
          <w:szCs w:val="24"/>
          <w:lang w:eastAsia="en-GB"/>
        </w:rPr>
        <w:drawing>
          <wp:inline distT="0" distB="0" distL="0" distR="0" wp14:anchorId="5350A1EC" wp14:editId="5760B5C5">
            <wp:extent cx="6268774" cy="2743200"/>
            <wp:effectExtent l="0" t="0" r="17780" b="0"/>
            <wp:docPr id="849046358" name="Chart 1">
              <a:extLst xmlns:a="http://schemas.openxmlformats.org/drawingml/2006/main">
                <a:ext uri="{FF2B5EF4-FFF2-40B4-BE49-F238E27FC236}">
                  <a16:creationId xmlns:a16="http://schemas.microsoft.com/office/drawing/2014/main" id="{AB0A15E1-0DEB-CA93-66D9-5573EE7DE7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2BD424"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
    <w:p w14:paraId="1776580D"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r w:rsidRPr="00E51EF8">
        <w:rPr>
          <w:rFonts w:ascii="Times New Roman" w:eastAsia="Times New Roman" w:hAnsi="Times New Roman" w:cs="Times New Roman"/>
          <w:noProof/>
          <w:kern w:val="0"/>
          <w:sz w:val="24"/>
          <w:szCs w:val="24"/>
          <w:lang w:eastAsia="en-GB"/>
        </w:rPr>
        <w:lastRenderedPageBreak/>
        <w:drawing>
          <wp:inline distT="0" distB="0" distL="0" distR="0" wp14:anchorId="342A3B02" wp14:editId="5326798B">
            <wp:extent cx="2571750" cy="2743200"/>
            <wp:effectExtent l="0" t="0" r="0" b="0"/>
            <wp:docPr id="465757131" name="Chart 1">
              <a:extLst xmlns:a="http://schemas.openxmlformats.org/drawingml/2006/main">
                <a:ext uri="{FF2B5EF4-FFF2-40B4-BE49-F238E27FC236}">
                  <a16:creationId xmlns:a16="http://schemas.microsoft.com/office/drawing/2014/main" id="{E84D88EA-EE42-9653-7B6C-2715E45981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1C9E93"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
    <w:tbl>
      <w:tblPr>
        <w:tblW w:w="4253" w:type="dxa"/>
        <w:tblLook w:val="04A0" w:firstRow="1" w:lastRow="0" w:firstColumn="1" w:lastColumn="0" w:noHBand="0" w:noVBand="1"/>
      </w:tblPr>
      <w:tblGrid>
        <w:gridCol w:w="4253"/>
      </w:tblGrid>
      <w:tr w:rsidR="00E51EF8" w:rsidRPr="00E51EF8" w14:paraId="04DABB9D" w14:textId="77777777" w:rsidTr="00206C70">
        <w:trPr>
          <w:trHeight w:val="290"/>
        </w:trPr>
        <w:tc>
          <w:tcPr>
            <w:tcW w:w="4253" w:type="dxa"/>
            <w:tcBorders>
              <w:top w:val="nil"/>
              <w:left w:val="nil"/>
              <w:bottom w:val="nil"/>
              <w:right w:val="nil"/>
            </w:tcBorders>
            <w:shd w:val="clear" w:color="auto" w:fill="auto"/>
            <w:noWrap/>
            <w:vAlign w:val="bottom"/>
            <w:hideMark/>
          </w:tcPr>
          <w:p w14:paraId="0EFC3B8E" w14:textId="77777777" w:rsidR="00E51EF8" w:rsidRPr="00E51EF8" w:rsidRDefault="00E51EF8" w:rsidP="00E51EF8">
            <w:pPr>
              <w:spacing w:after="0" w:line="240" w:lineRule="auto"/>
              <w:rPr>
                <w:rFonts w:ascii="Calibri" w:eastAsia="Times New Roman" w:hAnsi="Calibri" w:cs="Calibri"/>
                <w:color w:val="000000"/>
                <w:kern w:val="0"/>
                <w:lang w:eastAsia="en-GB"/>
                <w14:ligatures w14:val="none"/>
              </w:rPr>
            </w:pPr>
            <w:r w:rsidRPr="00E51EF8">
              <w:rPr>
                <w:rFonts w:ascii="Calibri" w:eastAsia="Times New Roman" w:hAnsi="Calibri" w:cs="Calibri"/>
                <w:color w:val="000000"/>
                <w:kern w:val="0"/>
                <w:lang w:eastAsia="en-GB"/>
                <w14:ligatures w14:val="none"/>
              </w:rPr>
              <w:t xml:space="preserve">Overall Average Salary paid by the company: </w:t>
            </w:r>
          </w:p>
          <w:p w14:paraId="7D857B5E" w14:textId="77777777" w:rsidR="00E51EF8" w:rsidRPr="00E51EF8" w:rsidRDefault="00E51EF8" w:rsidP="00E51EF8">
            <w:pPr>
              <w:spacing w:after="0" w:line="240" w:lineRule="auto"/>
              <w:rPr>
                <w:rFonts w:ascii="Calibri" w:eastAsia="Times New Roman" w:hAnsi="Calibri" w:cs="Calibri"/>
                <w:color w:val="000000"/>
                <w:kern w:val="0"/>
                <w:lang w:eastAsia="en-GB"/>
                <w14:ligatures w14:val="none"/>
              </w:rPr>
            </w:pPr>
            <w:r w:rsidRPr="00E51EF8">
              <w:rPr>
                <w:rFonts w:ascii="Calibri" w:eastAsia="Times New Roman" w:hAnsi="Calibri" w:cs="Calibri"/>
                <w:color w:val="000000"/>
                <w:kern w:val="0"/>
                <w:lang w:eastAsia="en-GB"/>
                <w14:ligatures w14:val="none"/>
              </w:rPr>
              <w:t xml:space="preserve">£ 8,235,440 / 260 = </w:t>
            </w:r>
            <w:r w:rsidRPr="00E51EF8">
              <w:rPr>
                <w:rFonts w:ascii="Calibri" w:eastAsia="Times New Roman" w:hAnsi="Calibri" w:cs="Calibri"/>
                <w:b/>
                <w:bCs/>
                <w:color w:val="000000"/>
                <w:kern w:val="0"/>
                <w:lang w:eastAsia="en-GB"/>
                <w14:ligatures w14:val="none"/>
              </w:rPr>
              <w:t>£31,674.76</w:t>
            </w:r>
          </w:p>
        </w:tc>
      </w:tr>
    </w:tbl>
    <w:p w14:paraId="565C3041" w14:textId="77777777" w:rsidR="00E51EF8" w:rsidRPr="00E51EF8" w:rsidRDefault="00E51EF8" w:rsidP="00E51EF8">
      <w:pPr>
        <w:spacing w:after="0" w:line="240" w:lineRule="auto"/>
        <w:rPr>
          <w:rFonts w:ascii="Times New Roman" w:eastAsia="Times New Roman" w:hAnsi="Times New Roman" w:cs="Times New Roman"/>
          <w:color w:val="FFFFFF" w:themeColor="background1"/>
          <w:kern w:val="0"/>
          <w:sz w:val="24"/>
          <w:szCs w:val="24"/>
          <w:lang w:eastAsia="en-GB"/>
          <w14:textFill>
            <w14:noFill/>
          </w14:textFill>
          <w14:ligatures w14:val="none"/>
        </w:rPr>
      </w:pPr>
    </w:p>
    <w:p w14:paraId="29B40CA0"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E51EF8">
        <w:rPr>
          <w:rFonts w:asciiTheme="majorHAnsi" w:eastAsiaTheme="majorEastAsia" w:hAnsiTheme="majorHAnsi" w:cstheme="majorBidi"/>
          <w:color w:val="2F5496" w:themeColor="accent1" w:themeShade="BF"/>
          <w:kern w:val="0"/>
          <w:sz w:val="26"/>
          <w:szCs w:val="26"/>
          <w:lang w:eastAsia="en-GB"/>
          <w14:ligatures w14:val="none"/>
        </w:rPr>
        <w:t>AC2.2 Key Findings</w:t>
      </w:r>
    </w:p>
    <w:p w14:paraId="7B5515E3"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0A359569"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44B19F02"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rPr>
        <w:drawing>
          <wp:inline distT="0" distB="0" distL="0" distR="0" wp14:anchorId="06119DB8" wp14:editId="6CDC559C">
            <wp:extent cx="6468745" cy="3149600"/>
            <wp:effectExtent l="0" t="0" r="8255" b="0"/>
            <wp:docPr id="907179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79802" name=""/>
                    <pic:cNvPicPr/>
                  </pic:nvPicPr>
                  <pic:blipFill>
                    <a:blip r:embed="rId14"/>
                    <a:stretch>
                      <a:fillRect/>
                    </a:stretch>
                  </pic:blipFill>
                  <pic:spPr>
                    <a:xfrm>
                      <a:off x="0" y="0"/>
                      <a:ext cx="6469263" cy="3149852"/>
                    </a:xfrm>
                    <a:prstGeom prst="rect">
                      <a:avLst/>
                    </a:prstGeom>
                  </pic:spPr>
                </pic:pic>
              </a:graphicData>
            </a:graphic>
          </wp:inline>
        </w:drawing>
      </w:r>
    </w:p>
    <w:p w14:paraId="6D2DDC9A"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1374E7B9"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r w:rsidRPr="00E51EF8">
        <w:rPr>
          <w:rFonts w:ascii="Times New Roman" w:eastAsia="Times New Roman" w:hAnsi="Times New Roman" w:cs="Times New Roman"/>
          <w:noProof/>
          <w:kern w:val="0"/>
          <w:sz w:val="24"/>
          <w:szCs w:val="24"/>
          <w:lang w:eastAsia="en-GB"/>
          <w14:ligatures w14:val="none"/>
        </w:rPr>
        <w:lastRenderedPageBreak/>
        <w:drawing>
          <wp:inline distT="0" distB="0" distL="0" distR="0" wp14:anchorId="5BCD4399" wp14:editId="6CA71D38">
            <wp:extent cx="5731510" cy="6239510"/>
            <wp:effectExtent l="0" t="0" r="0" b="0"/>
            <wp:docPr id="17130832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239510"/>
                    </a:xfrm>
                    <a:prstGeom prst="rect">
                      <a:avLst/>
                    </a:prstGeom>
                    <a:noFill/>
                    <a:ln>
                      <a:noFill/>
                    </a:ln>
                  </pic:spPr>
                </pic:pic>
              </a:graphicData>
            </a:graphic>
          </wp:inline>
        </w:drawing>
      </w:r>
    </w:p>
    <w:p w14:paraId="06EA6DB7"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6A7FC039"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41FE3422" w14:textId="77777777" w:rsidR="00E51EF8" w:rsidRPr="00E51EF8" w:rsidRDefault="00E51EF8" w:rsidP="00E51EF8">
      <w:pPr>
        <w:spacing w:after="0" w:line="240" w:lineRule="auto"/>
        <w:rPr>
          <w:rFonts w:ascii="Times New Roman" w:eastAsia="Times New Roman" w:hAnsi="Times New Roman" w:cs="Times New Roman"/>
          <w:kern w:val="0"/>
          <w:sz w:val="24"/>
          <w:szCs w:val="24"/>
          <w:lang w:eastAsia="en-GB"/>
          <w14:ligatures w14:val="none"/>
        </w:rPr>
      </w:pPr>
    </w:p>
    <w:p w14:paraId="5022C5A1" w14:textId="77777777" w:rsidR="00E51EF8" w:rsidRPr="00E51EF8" w:rsidRDefault="00E51EF8" w:rsidP="00E51EF8">
      <w:pPr>
        <w:keepNext/>
        <w:keepLines/>
        <w:spacing w:before="40" w:after="0" w:line="24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E51EF8">
        <w:rPr>
          <w:rFonts w:asciiTheme="majorHAnsi" w:eastAsiaTheme="majorEastAsia" w:hAnsiTheme="majorHAnsi" w:cstheme="majorBidi"/>
          <w:color w:val="2F5496" w:themeColor="accent1" w:themeShade="BF"/>
          <w:kern w:val="0"/>
          <w:sz w:val="26"/>
          <w:szCs w:val="26"/>
          <w:lang w:eastAsia="en-GB"/>
          <w14:ligatures w14:val="none"/>
        </w:rPr>
        <w:t>AC2.3 Recommendations</w:t>
      </w:r>
    </w:p>
    <w:p w14:paraId="016B4C10" w14:textId="77777777" w:rsidR="00000000" w:rsidRDefault="00000000"/>
    <w:sectPr w:rsidR="00047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F8"/>
    <w:rsid w:val="007D6178"/>
    <w:rsid w:val="00D46F98"/>
    <w:rsid w:val="00D53866"/>
    <w:rsid w:val="00E51EF8"/>
    <w:rsid w:val="00E9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9D24"/>
  <w15:chartTrackingRefBased/>
  <w15:docId w15:val="{079227DF-8644-4441-B318-70762F60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1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chart" Target="charts/chart5.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chart" Target="charts/chart3.xml"/><Relationship Id="rId5" Type="http://schemas.openxmlformats.org/officeDocument/2006/relationships/image" Target="media/image2.png"/><Relationship Id="rId15" Type="http://schemas.openxmlformats.org/officeDocument/2006/relationships/image" Target="media/image7.emf"/><Relationship Id="rId10" Type="http://schemas.openxmlformats.org/officeDocument/2006/relationships/chart" Target="charts/chart2.xml"/><Relationship Id="rId4" Type="http://schemas.openxmlformats.org/officeDocument/2006/relationships/image" Target="media/image1.emf"/><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each gender by type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6A-421A-B573-D3557FFA57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86A-421A-B573-D3557FFA577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86A-421A-B573-D3557FFA577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Non-Binary</c:v>
                </c:pt>
                <c:pt idx="1">
                  <c:v>Male</c:v>
                </c:pt>
                <c:pt idx="2">
                  <c:v>Female</c:v>
                </c:pt>
              </c:strCache>
            </c:strRef>
          </c:cat>
          <c:val>
            <c:numRef>
              <c:f>Sheet1!$B$2:$B$4</c:f>
              <c:numCache>
                <c:formatCode>General</c:formatCode>
                <c:ptCount val="3"/>
                <c:pt idx="0">
                  <c:v>0.7</c:v>
                </c:pt>
                <c:pt idx="1">
                  <c:v>53.8</c:v>
                </c:pt>
                <c:pt idx="2">
                  <c:v>45.3</c:v>
                </c:pt>
              </c:numCache>
            </c:numRef>
          </c:val>
          <c:extLst>
            <c:ext xmlns:c16="http://schemas.microsoft.com/office/drawing/2014/chart" uri="{C3380CC4-5D6E-409C-BE32-E72D297353CC}">
              <c16:uniqueId val="{00000006-086A-421A-B573-D3557FFA577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as a percentage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807646302538741E-2"/>
          <c:y val="0.17171296296296296"/>
          <c:w val="0.91513061527341577"/>
          <c:h val="0.32921551472732574"/>
        </c:manualLayout>
      </c:layout>
      <c:barChart>
        <c:barDir val="col"/>
        <c:grouping val="clustered"/>
        <c:varyColors val="0"/>
        <c:ser>
          <c:idx val="0"/>
          <c:order val="0"/>
          <c:tx>
            <c:strRef>
              <c:f>Sheet1!$B$1</c:f>
              <c:strCache>
                <c:ptCount val="1"/>
                <c:pt idx="0">
                  <c:v>White Irish</c:v>
                </c:pt>
              </c:strCache>
            </c:strRef>
          </c:tx>
          <c:spPr>
            <a:solidFill>
              <a:schemeClr val="accent1"/>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Sheet1!$B$2:$B$19</c:f>
              <c:numCache>
                <c:formatCode>General</c:formatCode>
                <c:ptCount val="18"/>
                <c:pt idx="0" formatCode="0%">
                  <c:v>0.11</c:v>
                </c:pt>
                <c:pt idx="9" formatCode="0.00%">
                  <c:v>5.2999999999999999E-2</c:v>
                </c:pt>
              </c:numCache>
            </c:numRef>
          </c:val>
          <c:extLst>
            <c:ext xmlns:c16="http://schemas.microsoft.com/office/drawing/2014/chart" uri="{C3380CC4-5D6E-409C-BE32-E72D297353CC}">
              <c16:uniqueId val="{00000000-D6F1-4536-BC22-EF8A860D7FC9}"/>
            </c:ext>
          </c:extLst>
        </c:ser>
        <c:ser>
          <c:idx val="1"/>
          <c:order val="1"/>
          <c:tx>
            <c:strRef>
              <c:f>Sheet1!$C$1</c:f>
              <c:strCache>
                <c:ptCount val="1"/>
                <c:pt idx="0">
                  <c:v>White British</c:v>
                </c:pt>
              </c:strCache>
            </c:strRef>
          </c:tx>
          <c:spPr>
            <a:solidFill>
              <a:schemeClr val="accent2"/>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Sheet1!$C$2:$C$19</c:f>
              <c:numCache>
                <c:formatCode>0.00%</c:formatCode>
                <c:ptCount val="18"/>
                <c:pt idx="0" formatCode="0%">
                  <c:v>0.78</c:v>
                </c:pt>
                <c:pt idx="1">
                  <c:v>0.57099999999999995</c:v>
                </c:pt>
                <c:pt idx="2" formatCode="0%">
                  <c:v>0.8</c:v>
                </c:pt>
                <c:pt idx="3" formatCode="0%">
                  <c:v>0.8</c:v>
                </c:pt>
                <c:pt idx="4" formatCode="0%">
                  <c:v>1</c:v>
                </c:pt>
                <c:pt idx="5" formatCode="0%">
                  <c:v>0.8</c:v>
                </c:pt>
                <c:pt idx="6">
                  <c:v>0.66700000000000004</c:v>
                </c:pt>
                <c:pt idx="7">
                  <c:v>0.91700000000000004</c:v>
                </c:pt>
                <c:pt idx="8">
                  <c:v>0.88900000000000001</c:v>
                </c:pt>
                <c:pt idx="9">
                  <c:v>0.89400000000000002</c:v>
                </c:pt>
                <c:pt idx="10" formatCode="0%">
                  <c:v>0.89</c:v>
                </c:pt>
                <c:pt idx="11" formatCode="0%">
                  <c:v>1</c:v>
                </c:pt>
                <c:pt idx="12" formatCode="0%">
                  <c:v>1</c:v>
                </c:pt>
                <c:pt idx="13" formatCode="0%">
                  <c:v>0.91</c:v>
                </c:pt>
                <c:pt idx="14" formatCode="0%">
                  <c:v>0.99</c:v>
                </c:pt>
                <c:pt idx="15" formatCode="0%">
                  <c:v>0.83</c:v>
                </c:pt>
                <c:pt idx="16" formatCode="0%">
                  <c:v>0.91</c:v>
                </c:pt>
                <c:pt idx="17" formatCode="0%">
                  <c:v>0.82</c:v>
                </c:pt>
              </c:numCache>
            </c:numRef>
          </c:val>
          <c:extLst>
            <c:ext xmlns:c16="http://schemas.microsoft.com/office/drawing/2014/chart" uri="{C3380CC4-5D6E-409C-BE32-E72D297353CC}">
              <c16:uniqueId val="{00000001-D6F1-4536-BC22-EF8A860D7FC9}"/>
            </c:ext>
          </c:extLst>
        </c:ser>
        <c:ser>
          <c:idx val="2"/>
          <c:order val="2"/>
          <c:tx>
            <c:strRef>
              <c:f>Sheet1!$D$1</c:f>
              <c:strCache>
                <c:ptCount val="1"/>
                <c:pt idx="0">
                  <c:v>White Other</c:v>
                </c:pt>
              </c:strCache>
            </c:strRef>
          </c:tx>
          <c:spPr>
            <a:solidFill>
              <a:schemeClr val="accent3"/>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Sheet1!$D$2:$D$19</c:f>
              <c:numCache>
                <c:formatCode>General</c:formatCode>
                <c:ptCount val="18"/>
                <c:pt idx="0" formatCode="0%">
                  <c:v>0.11</c:v>
                </c:pt>
                <c:pt idx="7" formatCode="0.00%">
                  <c:v>8.3000000000000004E-2</c:v>
                </c:pt>
                <c:pt idx="9" formatCode="0.00%">
                  <c:v>5.2999999999999999E-2</c:v>
                </c:pt>
                <c:pt idx="17" formatCode="0%">
                  <c:v>0.18</c:v>
                </c:pt>
              </c:numCache>
            </c:numRef>
          </c:val>
          <c:extLst>
            <c:ext xmlns:c16="http://schemas.microsoft.com/office/drawing/2014/chart" uri="{C3380CC4-5D6E-409C-BE32-E72D297353CC}">
              <c16:uniqueId val="{00000002-D6F1-4536-BC22-EF8A860D7FC9}"/>
            </c:ext>
          </c:extLst>
        </c:ser>
        <c:ser>
          <c:idx val="3"/>
          <c:order val="3"/>
          <c:tx>
            <c:strRef>
              <c:f>Sheet1!$E$1</c:f>
              <c:strCache>
                <c:ptCount val="1"/>
                <c:pt idx="0">
                  <c:v>Indian</c:v>
                </c:pt>
              </c:strCache>
            </c:strRef>
          </c:tx>
          <c:spPr>
            <a:solidFill>
              <a:schemeClr val="accent4"/>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Sheet1!$E$2:$E$19</c:f>
              <c:numCache>
                <c:formatCode>0.00%</c:formatCode>
                <c:ptCount val="18"/>
                <c:pt idx="1">
                  <c:v>0.14299999999999999</c:v>
                </c:pt>
                <c:pt idx="3" formatCode="0%">
                  <c:v>0.2</c:v>
                </c:pt>
                <c:pt idx="5" formatCode="0%">
                  <c:v>0.1</c:v>
                </c:pt>
                <c:pt idx="6">
                  <c:v>0.33300000000000002</c:v>
                </c:pt>
              </c:numCache>
            </c:numRef>
          </c:val>
          <c:extLst>
            <c:ext xmlns:c16="http://schemas.microsoft.com/office/drawing/2014/chart" uri="{C3380CC4-5D6E-409C-BE32-E72D297353CC}">
              <c16:uniqueId val="{00000003-D6F1-4536-BC22-EF8A860D7FC9}"/>
            </c:ext>
          </c:extLst>
        </c:ser>
        <c:ser>
          <c:idx val="4"/>
          <c:order val="4"/>
          <c:tx>
            <c:strRef>
              <c:f>Sheet1!$F$1</c:f>
              <c:strCache>
                <c:ptCount val="1"/>
                <c:pt idx="0">
                  <c:v>Mixed Other</c:v>
                </c:pt>
              </c:strCache>
            </c:strRef>
          </c:tx>
          <c:spPr>
            <a:solidFill>
              <a:schemeClr val="accent5"/>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Sheet1!$F$2:$F$19</c:f>
              <c:numCache>
                <c:formatCode>0.00%</c:formatCode>
                <c:ptCount val="18"/>
                <c:pt idx="1">
                  <c:v>0.14299999999999999</c:v>
                </c:pt>
              </c:numCache>
            </c:numRef>
          </c:val>
          <c:extLst>
            <c:ext xmlns:c16="http://schemas.microsoft.com/office/drawing/2014/chart" uri="{C3380CC4-5D6E-409C-BE32-E72D297353CC}">
              <c16:uniqueId val="{00000004-D6F1-4536-BC22-EF8A860D7FC9}"/>
            </c:ext>
          </c:extLst>
        </c:ser>
        <c:ser>
          <c:idx val="5"/>
          <c:order val="5"/>
          <c:tx>
            <c:strRef>
              <c:f>Sheet1!$G$1</c:f>
              <c:strCache>
                <c:ptCount val="1"/>
                <c:pt idx="0">
                  <c:v>Pakistani</c:v>
                </c:pt>
              </c:strCache>
            </c:strRef>
          </c:tx>
          <c:spPr>
            <a:solidFill>
              <a:schemeClr val="accent6"/>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Sheet1!$G$2:$G$19</c:f>
              <c:numCache>
                <c:formatCode>General</c:formatCode>
                <c:ptCount val="18"/>
                <c:pt idx="2" formatCode="0.00%">
                  <c:v>0.1333</c:v>
                </c:pt>
                <c:pt idx="14" formatCode="0%">
                  <c:v>0.01</c:v>
                </c:pt>
                <c:pt idx="15" formatCode="0%">
                  <c:v>0.17</c:v>
                </c:pt>
              </c:numCache>
            </c:numRef>
          </c:val>
          <c:extLst>
            <c:ext xmlns:c16="http://schemas.microsoft.com/office/drawing/2014/chart" uri="{C3380CC4-5D6E-409C-BE32-E72D297353CC}">
              <c16:uniqueId val="{00000005-D6F1-4536-BC22-EF8A860D7FC9}"/>
            </c:ext>
          </c:extLst>
        </c:ser>
        <c:ser>
          <c:idx val="6"/>
          <c:order val="6"/>
          <c:tx>
            <c:strRef>
              <c:f>Sheet1!$H$1</c:f>
              <c:strCache>
                <c:ptCount val="1"/>
                <c:pt idx="0">
                  <c:v>Chinese</c:v>
                </c:pt>
              </c:strCache>
            </c:strRef>
          </c:tx>
          <c:spPr>
            <a:solidFill>
              <a:schemeClr val="accent1">
                <a:lumMod val="60000"/>
              </a:schemeClr>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Sheet1!$H$2:$H$19</c:f>
              <c:numCache>
                <c:formatCode>General</c:formatCode>
                <c:ptCount val="18"/>
                <c:pt idx="2" formatCode="0.00%">
                  <c:v>6.6699999999999995E-2</c:v>
                </c:pt>
                <c:pt idx="13" formatCode="0%">
                  <c:v>0.09</c:v>
                </c:pt>
              </c:numCache>
            </c:numRef>
          </c:val>
          <c:extLst>
            <c:ext xmlns:c16="http://schemas.microsoft.com/office/drawing/2014/chart" uri="{C3380CC4-5D6E-409C-BE32-E72D297353CC}">
              <c16:uniqueId val="{00000006-D6F1-4536-BC22-EF8A860D7FC9}"/>
            </c:ext>
          </c:extLst>
        </c:ser>
        <c:ser>
          <c:idx val="7"/>
          <c:order val="7"/>
          <c:tx>
            <c:strRef>
              <c:f>Sheet1!$I$1</c:f>
              <c:strCache>
                <c:ptCount val="1"/>
                <c:pt idx="0">
                  <c:v>Black Other</c:v>
                </c:pt>
              </c:strCache>
            </c:strRef>
          </c:tx>
          <c:spPr>
            <a:solidFill>
              <a:schemeClr val="accent2">
                <a:lumMod val="60000"/>
              </a:schemeClr>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Sheet1!$I$2:$I$19</c:f>
              <c:numCache>
                <c:formatCode>General</c:formatCode>
                <c:ptCount val="18"/>
                <c:pt idx="5" formatCode="0%">
                  <c:v>0.1</c:v>
                </c:pt>
                <c:pt idx="10" formatCode="0%">
                  <c:v>0.11</c:v>
                </c:pt>
              </c:numCache>
            </c:numRef>
          </c:val>
          <c:extLst>
            <c:ext xmlns:c16="http://schemas.microsoft.com/office/drawing/2014/chart" uri="{C3380CC4-5D6E-409C-BE32-E72D297353CC}">
              <c16:uniqueId val="{00000007-D6F1-4536-BC22-EF8A860D7FC9}"/>
            </c:ext>
          </c:extLst>
        </c:ser>
        <c:ser>
          <c:idx val="8"/>
          <c:order val="8"/>
          <c:tx>
            <c:strRef>
              <c:f>Sheet1!$J$1</c:f>
              <c:strCache>
                <c:ptCount val="1"/>
                <c:pt idx="0">
                  <c:v>Asian</c:v>
                </c:pt>
              </c:strCache>
            </c:strRef>
          </c:tx>
          <c:spPr>
            <a:solidFill>
              <a:schemeClr val="accent3">
                <a:lumMod val="60000"/>
              </a:schemeClr>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Sheet1!$J$2:$J$19</c:f>
              <c:numCache>
                <c:formatCode>General</c:formatCode>
                <c:ptCount val="18"/>
                <c:pt idx="8" formatCode="0.00%">
                  <c:v>5.5500000000000001E-2</c:v>
                </c:pt>
              </c:numCache>
            </c:numRef>
          </c:val>
          <c:extLst>
            <c:ext xmlns:c16="http://schemas.microsoft.com/office/drawing/2014/chart" uri="{C3380CC4-5D6E-409C-BE32-E72D297353CC}">
              <c16:uniqueId val="{00000008-D6F1-4536-BC22-EF8A860D7FC9}"/>
            </c:ext>
          </c:extLst>
        </c:ser>
        <c:ser>
          <c:idx val="9"/>
          <c:order val="9"/>
          <c:tx>
            <c:strRef>
              <c:f>Sheet1!$K$1</c:f>
              <c:strCache>
                <c:ptCount val="1"/>
                <c:pt idx="0">
                  <c:v>W&amp;B Caribbean</c:v>
                </c:pt>
              </c:strCache>
            </c:strRef>
          </c:tx>
          <c:spPr>
            <a:solidFill>
              <a:schemeClr val="accent4">
                <a:lumMod val="60000"/>
              </a:schemeClr>
            </a:solidFill>
            <a:ln>
              <a:noFill/>
            </a:ln>
            <a:effectLst/>
          </c:spPr>
          <c:invertIfNegative val="0"/>
          <c:cat>
            <c:strRef>
              <c:f>Sheet1!$A$2:$A$19</c:f>
              <c:strCache>
                <c:ptCount val="18"/>
                <c:pt idx="0">
                  <c:v>Business Service</c:v>
                </c:pt>
                <c:pt idx="1">
                  <c:v>Community E&amp;P</c:v>
                </c:pt>
                <c:pt idx="2">
                  <c:v>Customer Service</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Sheet1!$K$2:$K$19</c:f>
              <c:numCache>
                <c:formatCode>General</c:formatCode>
                <c:ptCount val="18"/>
                <c:pt idx="8" formatCode="0.00%">
                  <c:v>5.5500000000000001E-2</c:v>
                </c:pt>
                <c:pt idx="16" formatCode="0%">
                  <c:v>0.09</c:v>
                </c:pt>
              </c:numCache>
            </c:numRef>
          </c:val>
          <c:extLst>
            <c:ext xmlns:c16="http://schemas.microsoft.com/office/drawing/2014/chart" uri="{C3380CC4-5D6E-409C-BE32-E72D297353CC}">
              <c16:uniqueId val="{00000009-D6F1-4536-BC22-EF8A860D7FC9}"/>
            </c:ext>
          </c:extLst>
        </c:ser>
        <c:dLbls>
          <c:showLegendKey val="0"/>
          <c:showVal val="0"/>
          <c:showCatName val="0"/>
          <c:showSerName val="0"/>
          <c:showPercent val="0"/>
          <c:showBubbleSize val="0"/>
        </c:dLbls>
        <c:gapWidth val="219"/>
        <c:axId val="372052712"/>
        <c:axId val="385858704"/>
      </c:barChart>
      <c:catAx>
        <c:axId val="372052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858704"/>
        <c:crosses val="autoZero"/>
        <c:auto val="1"/>
        <c:lblAlgn val="ctr"/>
        <c:lblOffset val="100"/>
        <c:noMultiLvlLbl val="0"/>
      </c:catAx>
      <c:valAx>
        <c:axId val="3858587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05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Disability as a Whole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368-4C7E-8BAC-7426D8E05440}"/>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368-4C7E-8BAC-7426D8E0544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Sheet3!$A$1:$A$3</c:f>
              <c:strCache>
                <c:ptCount val="2"/>
                <c:pt idx="0">
                  <c:v>Disabled</c:v>
                </c:pt>
                <c:pt idx="1">
                  <c:v>Not Disabled </c:v>
                </c:pt>
              </c:strCache>
              <c:extLst/>
            </c:strRef>
          </c:cat>
          <c:val>
            <c:numRef>
              <c:f>Sheet3!$B$1:$B$3</c:f>
              <c:numCache>
                <c:formatCode>General</c:formatCode>
                <c:ptCount val="2"/>
                <c:pt idx="0">
                  <c:v>21</c:v>
                </c:pt>
                <c:pt idx="1">
                  <c:v>239</c:v>
                </c:pt>
              </c:numCache>
              <c:extLst/>
            </c:numRef>
          </c:val>
          <c:extLst>
            <c:ext xmlns:c16="http://schemas.microsoft.com/office/drawing/2014/chart" uri="{C3380CC4-5D6E-409C-BE32-E72D297353CC}">
              <c16:uniqueId val="{00000004-7368-4C7E-8BAC-7426D8E05440}"/>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6-7368-4C7E-8BAC-7426D8E05440}"/>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8-7368-4C7E-8BAC-7426D8E0544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Sheet3!$A$1:$A$3</c15:sqref>
                        </c15:formulaRef>
                      </c:ext>
                    </c:extLst>
                    <c:strCache>
                      <c:ptCount val="2"/>
                      <c:pt idx="0">
                        <c:v>Disabled</c:v>
                      </c:pt>
                      <c:pt idx="1">
                        <c:v>Not Disabled </c:v>
                      </c:pt>
                    </c:strCache>
                  </c:strRef>
                </c:cat>
                <c:val>
                  <c:numRef>
                    <c:extLst>
                      <c:ext uri="{02D57815-91ED-43cb-92C2-25804820EDAC}">
                        <c15:formulaRef>
                          <c15:sqref>Sheet3!$C$1:$C$3</c15:sqref>
                        </c15:formulaRef>
                      </c:ext>
                    </c:extLst>
                    <c:numCache>
                      <c:formatCode>0%</c:formatCode>
                      <c:ptCount val="2"/>
                      <c:pt idx="0">
                        <c:v>0.08</c:v>
                      </c:pt>
                      <c:pt idx="1">
                        <c:v>0.92</c:v>
                      </c:pt>
                    </c:numCache>
                  </c:numRef>
                </c:val>
                <c:extLst>
                  <c:ext xmlns:c16="http://schemas.microsoft.com/office/drawing/2014/chart" uri="{C3380CC4-5D6E-409C-BE32-E72D297353CC}">
                    <c16:uniqueId val="{00000009-7368-4C7E-8BAC-7426D8E05440}"/>
                  </c:ext>
                </c:extLst>
              </c15:ser>
            </c15:filteredPieSeries>
          </c:ext>
        </c:extLst>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normalizeH="0" baseline="0">
                <a:ln>
                  <a:noFill/>
                </a:ln>
                <a:solidFill>
                  <a:schemeClr val="dk1"/>
                </a:solidFill>
                <a:latin typeface="+mj-lt"/>
                <a:ea typeface="+mj-ea"/>
                <a:cs typeface="+mj-cs"/>
              </a:defRPr>
            </a:pPr>
            <a:r>
              <a:rPr lang="en-GB"/>
              <a:t>Disability Percentage By</a:t>
            </a:r>
            <a:r>
              <a:rPr lang="en-GB" baseline="0"/>
              <a:t> Teams</a:t>
            </a:r>
            <a:endParaRPr lang="en-GB"/>
          </a:p>
        </c:rich>
      </c:tx>
      <c:overlay val="0"/>
      <c:spPr>
        <a:noFill/>
        <a:ln>
          <a:noFill/>
        </a:ln>
        <a:effectLst/>
      </c:spPr>
      <c:txPr>
        <a:bodyPr rot="0" spcFirstLastPara="1" vertOverflow="ellipsis" vert="horz" wrap="square" anchor="ctr" anchorCtr="1"/>
        <a:lstStyle/>
        <a:p>
          <a:pPr>
            <a:defRPr sz="1600" b="1" i="0" u="none" strike="noStrike" kern="1200" spc="0" normalizeH="0" baseline="0">
              <a:ln>
                <a:noFill/>
              </a:ln>
              <a:solidFill>
                <a:schemeClr val="dk1"/>
              </a:solidFill>
              <a:latin typeface="+mj-lt"/>
              <a:ea typeface="+mj-ea"/>
              <a:cs typeface="+mj-cs"/>
            </a:defRPr>
          </a:pPr>
          <a:endParaRPr lang="en-US"/>
        </a:p>
      </c:txPr>
    </c:title>
    <c:autoTitleDeleted val="0"/>
    <c:plotArea>
      <c:layout/>
      <c:barChart>
        <c:barDir val="bar"/>
        <c:grouping val="clustered"/>
        <c:varyColors val="0"/>
        <c:ser>
          <c:idx val="0"/>
          <c:order val="0"/>
          <c:spPr>
            <a:gradFill>
              <a:gsLst>
                <a:gs pos="100000">
                  <a:schemeClr val="accent1">
                    <a:lumMod val="60000"/>
                    <a:lumOff val="40000"/>
                  </a:schemeClr>
                </a:gs>
                <a:gs pos="0">
                  <a:schemeClr val="accent1"/>
                </a:gs>
              </a:gsLst>
              <a:lin ang="5400000" scaled="0"/>
            </a:gradFill>
            <a:ln w="19050">
              <a:solidFill>
                <a:schemeClr val="lt1"/>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Sheet2!$A$2:$A$12</c:f>
              <c:strCache>
                <c:ptCount val="11"/>
                <c:pt idx="0">
                  <c:v>Community E&amp;P</c:v>
                </c:pt>
                <c:pt idx="1">
                  <c:v>Customer Service</c:v>
                </c:pt>
                <c:pt idx="2">
                  <c:v>Finance</c:v>
                </c:pt>
                <c:pt idx="3">
                  <c:v>Green Spaces</c:v>
                </c:pt>
                <c:pt idx="4">
                  <c:v>Housing</c:v>
                </c:pt>
                <c:pt idx="5">
                  <c:v>Income team</c:v>
                </c:pt>
                <c:pt idx="6">
                  <c:v>IT</c:v>
                </c:pt>
                <c:pt idx="7">
                  <c:v>Lettings</c:v>
                </c:pt>
                <c:pt idx="8">
                  <c:v>People Services</c:v>
                </c:pt>
                <c:pt idx="9">
                  <c:v>Property Team</c:v>
                </c:pt>
                <c:pt idx="10">
                  <c:v>Tenancy Team</c:v>
                </c:pt>
              </c:strCache>
            </c:strRef>
          </c:cat>
          <c:val>
            <c:numRef>
              <c:f>Sheet2!$B$2:$B$12</c:f>
              <c:numCache>
                <c:formatCode>0%</c:formatCode>
                <c:ptCount val="11"/>
                <c:pt idx="0">
                  <c:v>0.14000000000000001</c:v>
                </c:pt>
                <c:pt idx="1">
                  <c:v>0.2</c:v>
                </c:pt>
                <c:pt idx="2">
                  <c:v>0.2</c:v>
                </c:pt>
                <c:pt idx="3" formatCode="0.00%">
                  <c:v>8.3000000000000004E-2</c:v>
                </c:pt>
                <c:pt idx="4">
                  <c:v>0.11</c:v>
                </c:pt>
                <c:pt idx="5" formatCode="0.00%">
                  <c:v>5.2999999999999999E-2</c:v>
                </c:pt>
                <c:pt idx="6">
                  <c:v>0.22</c:v>
                </c:pt>
                <c:pt idx="7">
                  <c:v>0.1</c:v>
                </c:pt>
                <c:pt idx="8">
                  <c:v>0.18</c:v>
                </c:pt>
                <c:pt idx="9">
                  <c:v>0.05</c:v>
                </c:pt>
                <c:pt idx="10">
                  <c:v>0.09</c:v>
                </c:pt>
              </c:numCache>
            </c:numRef>
          </c:val>
          <c:extLst>
            <c:ext xmlns:c16="http://schemas.microsoft.com/office/drawing/2014/chart" uri="{C3380CC4-5D6E-409C-BE32-E72D297353CC}">
              <c16:uniqueId val="{00000000-B1B2-4E8A-8C35-2D756B61EE67}"/>
            </c:ext>
          </c:extLst>
        </c:ser>
        <c:dLbls>
          <c:showLegendKey val="0"/>
          <c:showVal val="0"/>
          <c:showCatName val="0"/>
          <c:showSerName val="0"/>
          <c:showPercent val="0"/>
          <c:showBubbleSize val="0"/>
        </c:dLbls>
        <c:gapWidth val="150"/>
        <c:axId val="385787440"/>
        <c:axId val="385788496"/>
      </c:barChart>
      <c:valAx>
        <c:axId val="385788496"/>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dk1"/>
                </a:solidFill>
                <a:latin typeface="+mn-lt"/>
                <a:ea typeface="+mn-ea"/>
                <a:cs typeface="+mn-cs"/>
              </a:defRPr>
            </a:pPr>
            <a:endParaRPr lang="en-US"/>
          </a:p>
        </c:txPr>
        <c:crossAx val="385787440"/>
        <c:crosses val="autoZero"/>
        <c:crossBetween val="between"/>
      </c:valAx>
      <c:catAx>
        <c:axId val="385787440"/>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ln>
                  <a:noFill/>
                </a:ln>
                <a:solidFill>
                  <a:schemeClr val="dk1"/>
                </a:solidFill>
                <a:latin typeface="+mn-lt"/>
                <a:ea typeface="+mn-ea"/>
                <a:cs typeface="+mn-cs"/>
              </a:defRPr>
            </a:pPr>
            <a:endParaRPr lang="en-US"/>
          </a:p>
        </c:txPr>
        <c:crossAx val="385788496"/>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ln>
            <a:noFill/>
          </a:ln>
          <a:solidFill>
            <a:schemeClr val="dk1"/>
          </a:solidFill>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Salary difference across genders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Sheet4!$B$1</c:f>
              <c:strCache>
                <c:ptCount val="1"/>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Sheet4!$A$2:$A$4</c:f>
              <c:strCache>
                <c:ptCount val="3"/>
                <c:pt idx="0">
                  <c:v>Non-Binary</c:v>
                </c:pt>
                <c:pt idx="1">
                  <c:v>Female </c:v>
                </c:pt>
                <c:pt idx="2">
                  <c:v>Male</c:v>
                </c:pt>
              </c:strCache>
            </c:strRef>
          </c:cat>
          <c:val>
            <c:numRef>
              <c:f>Sheet4!$B$2:$B$4</c:f>
              <c:numCache>
                <c:formatCode>"£"#,##0.00_);[Red]\("£"#,##0.00\)</c:formatCode>
                <c:ptCount val="3"/>
                <c:pt idx="0" formatCode="&quot;£&quot;#,##0_);[Red]\(&quot;£&quot;#,##0\)">
                  <c:v>19500</c:v>
                </c:pt>
                <c:pt idx="1">
                  <c:v>31900.29</c:v>
                </c:pt>
                <c:pt idx="2">
                  <c:v>31812.17</c:v>
                </c:pt>
              </c:numCache>
            </c:numRef>
          </c:val>
          <c:extLst>
            <c:ext xmlns:c16="http://schemas.microsoft.com/office/drawing/2014/chart" uri="{C3380CC4-5D6E-409C-BE32-E72D297353CC}">
              <c16:uniqueId val="{00000000-F2D7-4432-B908-BC053A04EF88}"/>
            </c:ext>
          </c:extLst>
        </c:ser>
        <c:dLbls>
          <c:dLblPos val="inEnd"/>
          <c:showLegendKey val="0"/>
          <c:showVal val="1"/>
          <c:showCatName val="0"/>
          <c:showSerName val="0"/>
          <c:showPercent val="0"/>
          <c:showBubbleSize val="0"/>
        </c:dLbls>
        <c:gapWidth val="41"/>
        <c:axId val="385858000"/>
        <c:axId val="385858352"/>
      </c:barChart>
      <c:catAx>
        <c:axId val="3858580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385858352"/>
        <c:crosses val="autoZero"/>
        <c:auto val="1"/>
        <c:lblAlgn val="ctr"/>
        <c:lblOffset val="100"/>
        <c:noMultiLvlLbl val="0"/>
      </c:catAx>
      <c:valAx>
        <c:axId val="385858352"/>
        <c:scaling>
          <c:orientation val="minMax"/>
        </c:scaling>
        <c:delete val="1"/>
        <c:axPos val="l"/>
        <c:numFmt formatCode="&quot;£&quot;#,##0_);[Red]\(&quot;£&quot;#,##0\)" sourceLinked="1"/>
        <c:majorTickMark val="none"/>
        <c:minorTickMark val="none"/>
        <c:tickLblPos val="nextTo"/>
        <c:crossAx val="38585800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TotalTime>
  <Pages>10</Pages>
  <Words>1717</Words>
  <Characters>9790</Characters>
  <Application>Microsoft Office Word</Application>
  <DocSecurity>0</DocSecurity>
  <Lines>81</Lines>
  <Paragraphs>22</Paragraphs>
  <ScaleCrop>false</ScaleCrop>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1</cp:revision>
  <dcterms:created xsi:type="dcterms:W3CDTF">2023-12-11T22:46:00Z</dcterms:created>
  <dcterms:modified xsi:type="dcterms:W3CDTF">2023-12-11T22:53:00Z</dcterms:modified>
</cp:coreProperties>
</file>