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0905F" w14:textId="52363B92" w:rsidR="00EC5A85" w:rsidRPr="00602921" w:rsidRDefault="00602921">
      <w:pPr>
        <w:rPr>
          <w:b/>
          <w:bCs/>
        </w:rPr>
      </w:pPr>
      <w:r w:rsidRPr="00602921">
        <w:rPr>
          <w:b/>
          <w:bCs/>
        </w:rPr>
        <w:t>Discussion paper: The problems of experiencing heritage in a planning and development context</w:t>
      </w:r>
    </w:p>
    <w:p w14:paraId="78DE74B7" w14:textId="1208B024" w:rsidR="00417C77" w:rsidRPr="00417C77" w:rsidRDefault="00417C77">
      <w:pPr>
        <w:rPr>
          <w:u w:val="single"/>
        </w:rPr>
      </w:pPr>
      <w:r w:rsidRPr="00417C77">
        <w:rPr>
          <w:u w:val="single"/>
        </w:rPr>
        <w:t>Introduction and summary</w:t>
      </w:r>
    </w:p>
    <w:p w14:paraId="69E50E00" w14:textId="62EC4918" w:rsidR="00714594" w:rsidRDefault="00955343">
      <w:r>
        <w:t xml:space="preserve">This paper </w:t>
      </w:r>
      <w:r w:rsidR="00CC2376">
        <w:t xml:space="preserve">is part of a broader research project, which </w:t>
      </w:r>
      <w:r>
        <w:t xml:space="preserve">aims to </w:t>
      </w:r>
      <w:r w:rsidR="00463DF7" w:rsidRPr="00463DF7">
        <w:t>understand how “heritage assets” are experienced</w:t>
      </w:r>
      <w:r w:rsidR="00ED4454">
        <w:t xml:space="preserve"> in order</w:t>
      </w:r>
      <w:r w:rsidR="00463DF7" w:rsidRPr="00463DF7">
        <w:t xml:space="preserve"> to clarify, challenge and improve how the historic environment is assessed in </w:t>
      </w:r>
      <w:r w:rsidR="00EF11CF">
        <w:t>a planning a</w:t>
      </w:r>
      <w:r w:rsidR="00ED4454">
        <w:t>nd</w:t>
      </w:r>
      <w:r w:rsidR="00EF11CF">
        <w:t xml:space="preserve"> development context in the UK, and </w:t>
      </w:r>
      <w:r w:rsidR="003765F6">
        <w:t xml:space="preserve">to </w:t>
      </w:r>
      <w:r w:rsidR="00EF11CF">
        <w:t>improve</w:t>
      </w:r>
      <w:r w:rsidR="00463DF7" w:rsidRPr="00463DF7">
        <w:t xml:space="preserve"> </w:t>
      </w:r>
      <w:r w:rsidR="00FE54FD">
        <w:t xml:space="preserve">how </w:t>
      </w:r>
      <w:r w:rsidR="00463DF7" w:rsidRPr="00463DF7">
        <w:t xml:space="preserve">heritage policies </w:t>
      </w:r>
      <w:r w:rsidR="00261913">
        <w:t xml:space="preserve">and laws </w:t>
      </w:r>
      <w:r w:rsidR="00463DF7" w:rsidRPr="00463DF7">
        <w:t>are applied by decision-makers</w:t>
      </w:r>
      <w:r w:rsidR="00FB4112">
        <w:t xml:space="preserve"> in that context</w:t>
      </w:r>
      <w:r w:rsidR="00463DF7" w:rsidRPr="00463DF7">
        <w:t>.</w:t>
      </w:r>
      <w:r w:rsidR="00222CB2">
        <w:rPr>
          <w:rStyle w:val="FootnoteReference"/>
        </w:rPr>
        <w:footnoteReference w:id="1"/>
      </w:r>
      <w:r w:rsidR="0054615C">
        <w:t xml:space="preserve"> </w:t>
      </w:r>
      <w:r w:rsidR="006B5C5A">
        <w:t>Heritage asset (“historic asset”</w:t>
      </w:r>
      <w:r w:rsidR="006B5C5A" w:rsidRPr="009122EA">
        <w:t xml:space="preserve"> </w:t>
      </w:r>
      <w:r w:rsidR="006B5C5A">
        <w:t xml:space="preserve">in Wales and Scotland) is the term used in planning policies across the UK to refer to buildings, archaeological sites, objects, and places considered to have a level of heritage interest which merits some form of protection from impacts or consideration before they are affected by development activities. In addition to protecting physical buildings and remains, heritage policies </w:t>
      </w:r>
      <w:r w:rsidR="008F6678">
        <w:t>(</w:t>
      </w:r>
      <w:r w:rsidR="006B5C5A">
        <w:t>and in the case of listed buildings</w:t>
      </w:r>
      <w:r w:rsidR="00DC7B44">
        <w:t>,</w:t>
      </w:r>
      <w:r w:rsidR="006B5C5A">
        <w:t xml:space="preserve"> laws</w:t>
      </w:r>
      <w:r w:rsidR="008F6678">
        <w:t>)</w:t>
      </w:r>
      <w:r w:rsidR="006B5C5A">
        <w:t xml:space="preserve"> in the UK also protect the setting of heritage assets and require that this is given weight in planning decisions. In the case of listed buildings, the weight afforded to their protection is high.</w:t>
      </w:r>
      <w:r w:rsidR="006B5C5A">
        <w:rPr>
          <w:rStyle w:val="FootnoteReference"/>
        </w:rPr>
        <w:footnoteReference w:id="2"/>
      </w:r>
      <w:r w:rsidR="006B5C5A">
        <w:t xml:space="preserve"> The setting of heritage assets is </w:t>
      </w:r>
      <w:r w:rsidR="00AA4B5A">
        <w:t xml:space="preserve">therefore </w:t>
      </w:r>
      <w:r w:rsidR="006B5C5A">
        <w:t>a key concept in planning policy and law, with wide</w:t>
      </w:r>
      <w:r w:rsidR="00EB658A">
        <w:t>-</w:t>
      </w:r>
      <w:r w:rsidR="006B5C5A">
        <w:t>ranging real-world implications, and the key aspect of the setting of a heritage asset is one’s experience of it.</w:t>
      </w:r>
      <w:r w:rsidR="00EA535D">
        <w:t xml:space="preserve"> </w:t>
      </w:r>
    </w:p>
    <w:p w14:paraId="128CF570" w14:textId="46EED705" w:rsidR="00E2176C" w:rsidRDefault="0054615C" w:rsidP="00E160E3">
      <w:pPr>
        <w:rPr>
          <w:u w:val="single"/>
        </w:rPr>
      </w:pPr>
      <w:r>
        <w:t xml:space="preserve">The overall research project </w:t>
      </w:r>
      <w:r w:rsidR="00AB7947">
        <w:t>will</w:t>
      </w:r>
      <w:r w:rsidR="002B1872">
        <w:t xml:space="preserve"> </w:t>
      </w:r>
      <w:r w:rsidR="00BB391F">
        <w:t xml:space="preserve">therefore </w:t>
      </w:r>
      <w:r>
        <w:t xml:space="preserve">entail </w:t>
      </w:r>
      <w:r w:rsidR="0073057F">
        <w:t xml:space="preserve">a phenomenological study of people’s experience of </w:t>
      </w:r>
      <w:r w:rsidR="00517127">
        <w:t>heritage assets, informed by an analysis of the heritage policy and legal context</w:t>
      </w:r>
      <w:r w:rsidR="001C277E">
        <w:t xml:space="preserve"> in the UK</w:t>
      </w:r>
      <w:r w:rsidR="00517127">
        <w:t xml:space="preserve">, </w:t>
      </w:r>
      <w:r w:rsidR="00A07B36">
        <w:t xml:space="preserve">and </w:t>
      </w:r>
      <w:r w:rsidR="00517127">
        <w:t xml:space="preserve">by philosophical </w:t>
      </w:r>
      <w:r w:rsidR="00967723">
        <w:t xml:space="preserve">and neurological </w:t>
      </w:r>
      <w:r w:rsidR="00517127">
        <w:t>work on the nature of human experience.</w:t>
      </w:r>
      <w:r w:rsidR="00797CDF">
        <w:t xml:space="preserve"> </w:t>
      </w:r>
      <w:r w:rsidR="00623A53">
        <w:t>T</w:t>
      </w:r>
      <w:r w:rsidR="00797CDF">
        <w:t xml:space="preserve">he overall project will provide important clarifications, which </w:t>
      </w:r>
      <w:r w:rsidR="00623A53">
        <w:t>will</w:t>
      </w:r>
      <w:r w:rsidR="00797CDF">
        <w:t xml:space="preserve"> affect how setting is </w:t>
      </w:r>
      <w:r w:rsidR="00A2340E">
        <w:t>assessed and weighed in decision-making.</w:t>
      </w:r>
      <w:r w:rsidR="0006399B">
        <w:t xml:space="preserve"> </w:t>
      </w:r>
      <w:r w:rsidR="0000101B">
        <w:t xml:space="preserve">The purpose of this </w:t>
      </w:r>
      <w:r w:rsidR="00B8370F">
        <w:t xml:space="preserve">discussion </w:t>
      </w:r>
      <w:r w:rsidR="0000101B">
        <w:t xml:space="preserve">paper is to explore </w:t>
      </w:r>
      <w:r w:rsidR="00D124B5">
        <w:t xml:space="preserve">whether there are elements </w:t>
      </w:r>
      <w:r w:rsidR="00AF08A5">
        <w:t>in</w:t>
      </w:r>
      <w:r w:rsidR="00D124B5">
        <w:t xml:space="preserve"> the structure of </w:t>
      </w:r>
      <w:r w:rsidR="00B76122">
        <w:t>human</w:t>
      </w:r>
      <w:r w:rsidR="00D124B5">
        <w:t xml:space="preserve"> experience that should form part of </w:t>
      </w:r>
      <w:r w:rsidR="00FA5D85">
        <w:t>the research design of the overall project.</w:t>
      </w:r>
      <w:r w:rsidR="001F422E">
        <w:t xml:space="preserve"> </w:t>
      </w:r>
      <w:r w:rsidR="007B532A">
        <w:t xml:space="preserve">The paper will start by </w:t>
      </w:r>
      <w:r w:rsidR="00805D44">
        <w:t>reviewing</w:t>
      </w:r>
      <w:r w:rsidR="007B532A">
        <w:t xml:space="preserve"> the definition</w:t>
      </w:r>
      <w:r w:rsidR="00805D44">
        <w:t>s</w:t>
      </w:r>
      <w:r w:rsidR="007B532A">
        <w:t xml:space="preserve"> of setting in </w:t>
      </w:r>
      <w:r w:rsidR="00805D44">
        <w:t>the policy and legal framework in the UK</w:t>
      </w:r>
      <w:r w:rsidR="00207494">
        <w:t xml:space="preserve">. This will be followed by a review of philosophical and practical issues with </w:t>
      </w:r>
      <w:r w:rsidR="00C020F1">
        <w:t>how setting is assessed in the UK, and a discussion of why current research on the experience of heritage ass</w:t>
      </w:r>
      <w:r w:rsidR="00A67D15">
        <w:t>ets</w:t>
      </w:r>
      <w:r w:rsidR="003520A6">
        <w:t xml:space="preserve"> is not adequate to inform the issues highlighted. </w:t>
      </w:r>
      <w:r w:rsidR="007C1553">
        <w:t>The paper will conclude with a discussion o</w:t>
      </w:r>
      <w:r w:rsidR="0084369A">
        <w:t xml:space="preserve">f potential distinctions in human experience which </w:t>
      </w:r>
      <w:r w:rsidR="00666512">
        <w:t xml:space="preserve">could contribute to </w:t>
      </w:r>
      <w:r w:rsidR="00317628">
        <w:t>the overall research design for the project.</w:t>
      </w:r>
    </w:p>
    <w:p w14:paraId="355630B4" w14:textId="68C617D3" w:rsidR="00317628" w:rsidRPr="00317628" w:rsidRDefault="00317628">
      <w:pPr>
        <w:rPr>
          <w:u w:val="single"/>
        </w:rPr>
      </w:pPr>
      <w:r w:rsidRPr="00317628">
        <w:rPr>
          <w:u w:val="single"/>
        </w:rPr>
        <w:lastRenderedPageBreak/>
        <w:t>Defining setting</w:t>
      </w:r>
    </w:p>
    <w:p w14:paraId="5EC651A2" w14:textId="259EE264" w:rsidR="00602921" w:rsidRPr="00EC5A85" w:rsidRDefault="00317628">
      <w:r>
        <w:t xml:space="preserve">Setting refers to an area </w:t>
      </w:r>
      <w:r w:rsidR="006F4C57">
        <w:t>around a heritage asset in which the asset can be experienced</w:t>
      </w:r>
      <w:r w:rsidR="006818E0">
        <w:t xml:space="preserve">, for example </w:t>
      </w:r>
      <w:r w:rsidR="008A4292">
        <w:t>a</w:t>
      </w:r>
      <w:r w:rsidR="006818E0">
        <w:t xml:space="preserve"> churchyard provides an experience of </w:t>
      </w:r>
      <w:r w:rsidR="008A4292">
        <w:t>a</w:t>
      </w:r>
      <w:r w:rsidR="006818E0">
        <w:t xml:space="preserve"> church building</w:t>
      </w:r>
      <w:r w:rsidR="002B7B18">
        <w:t xml:space="preserve"> which is not afforded elsewhere. </w:t>
      </w:r>
      <w:r w:rsidR="009A7019">
        <w:t>All four nations in the UK have different but similar definitions for setting (emphasis added):</w:t>
      </w:r>
    </w:p>
    <w:p w14:paraId="412AF425" w14:textId="77777777" w:rsidR="0056770D" w:rsidRDefault="008378FF" w:rsidP="00B62BA5">
      <w:r>
        <w:t>England:</w:t>
      </w:r>
      <w:r w:rsidR="00B62BA5">
        <w:t xml:space="preserve"> </w:t>
      </w:r>
    </w:p>
    <w:p w14:paraId="18FF738D" w14:textId="43787601" w:rsidR="008378FF" w:rsidRPr="004F574C" w:rsidRDefault="00B62BA5" w:rsidP="004F574C">
      <w:pPr>
        <w:ind w:left="720"/>
        <w:rPr>
          <w:i/>
          <w:iCs/>
        </w:rPr>
      </w:pPr>
      <w:r w:rsidRPr="004F574C">
        <w:rPr>
          <w:i/>
          <w:iCs/>
        </w:rPr>
        <w:t xml:space="preserve">The </w:t>
      </w:r>
      <w:r w:rsidRPr="004F574C">
        <w:rPr>
          <w:b/>
          <w:bCs/>
          <w:i/>
          <w:iCs/>
        </w:rPr>
        <w:t>surroundings</w:t>
      </w:r>
      <w:r w:rsidRPr="004F574C">
        <w:rPr>
          <w:i/>
          <w:iCs/>
        </w:rPr>
        <w:t xml:space="preserve"> in which a heritage asset is </w:t>
      </w:r>
      <w:r w:rsidRPr="004F574C">
        <w:rPr>
          <w:b/>
          <w:bCs/>
          <w:i/>
          <w:iCs/>
        </w:rPr>
        <w:t>experienced</w:t>
      </w:r>
      <w:r w:rsidRPr="004F574C">
        <w:rPr>
          <w:i/>
          <w:iCs/>
        </w:rPr>
        <w:t>. Its extent is not fixed and may</w:t>
      </w:r>
      <w:r w:rsidR="0029471D" w:rsidRPr="004F574C">
        <w:rPr>
          <w:i/>
          <w:iCs/>
        </w:rPr>
        <w:t xml:space="preserve"> </w:t>
      </w:r>
      <w:r w:rsidRPr="004F574C">
        <w:rPr>
          <w:i/>
          <w:iCs/>
        </w:rPr>
        <w:t>change as the asset and its surroundings</w:t>
      </w:r>
      <w:r w:rsidR="0029471D" w:rsidRPr="004F574C">
        <w:rPr>
          <w:i/>
          <w:iCs/>
        </w:rPr>
        <w:t xml:space="preserve"> </w:t>
      </w:r>
      <w:r w:rsidRPr="004F574C">
        <w:rPr>
          <w:i/>
          <w:iCs/>
        </w:rPr>
        <w:t>evolve. Elements of a setting may make</w:t>
      </w:r>
      <w:r w:rsidR="0029471D" w:rsidRPr="004F574C">
        <w:rPr>
          <w:i/>
          <w:iCs/>
        </w:rPr>
        <w:t xml:space="preserve"> </w:t>
      </w:r>
      <w:r w:rsidRPr="004F574C">
        <w:rPr>
          <w:i/>
          <w:iCs/>
        </w:rPr>
        <w:t>a positive or negative contribution to the</w:t>
      </w:r>
      <w:r w:rsidR="0029471D" w:rsidRPr="004F574C">
        <w:rPr>
          <w:i/>
          <w:iCs/>
        </w:rPr>
        <w:t xml:space="preserve"> </w:t>
      </w:r>
      <w:r w:rsidRPr="004F574C">
        <w:rPr>
          <w:i/>
          <w:iCs/>
        </w:rPr>
        <w:t>significance of an asset, may affect the ability</w:t>
      </w:r>
      <w:r w:rsidR="0029471D" w:rsidRPr="004F574C">
        <w:rPr>
          <w:i/>
          <w:iCs/>
        </w:rPr>
        <w:t xml:space="preserve"> </w:t>
      </w:r>
      <w:r w:rsidRPr="004F574C">
        <w:rPr>
          <w:i/>
          <w:iCs/>
        </w:rPr>
        <w:t>to appreciate that significance or may be</w:t>
      </w:r>
      <w:r w:rsidR="0029471D" w:rsidRPr="004F574C">
        <w:rPr>
          <w:i/>
          <w:iCs/>
        </w:rPr>
        <w:t xml:space="preserve"> </w:t>
      </w:r>
      <w:r w:rsidRPr="004F574C">
        <w:rPr>
          <w:i/>
          <w:iCs/>
        </w:rPr>
        <w:t>neutral</w:t>
      </w:r>
      <w:r w:rsidR="0029471D" w:rsidRPr="004F574C">
        <w:rPr>
          <w:i/>
          <w:iCs/>
        </w:rPr>
        <w:t>.</w:t>
      </w:r>
      <w:r w:rsidR="0080673F" w:rsidRPr="004F574C">
        <w:rPr>
          <w:rStyle w:val="FootnoteReference"/>
          <w:i/>
          <w:iCs/>
        </w:rPr>
        <w:footnoteReference w:id="3"/>
      </w:r>
    </w:p>
    <w:p w14:paraId="7F53DFEC" w14:textId="00D0101A" w:rsidR="00860B07" w:rsidRDefault="00860B07" w:rsidP="00B62BA5">
      <w:r>
        <w:t>Northern Ireland:</w:t>
      </w:r>
    </w:p>
    <w:p w14:paraId="49066626" w14:textId="6E5F2AEC" w:rsidR="00860B07" w:rsidRPr="004F574C" w:rsidRDefault="000F714C" w:rsidP="004F574C">
      <w:pPr>
        <w:ind w:left="720"/>
        <w:rPr>
          <w:i/>
          <w:iCs/>
        </w:rPr>
      </w:pPr>
      <w:r w:rsidRPr="004F574C">
        <w:rPr>
          <w:i/>
          <w:iCs/>
        </w:rPr>
        <w:t xml:space="preserve">The term ‘setting’ applies to the </w:t>
      </w:r>
      <w:r w:rsidRPr="004F574C">
        <w:rPr>
          <w:b/>
          <w:bCs/>
          <w:i/>
          <w:iCs/>
        </w:rPr>
        <w:t>physical space</w:t>
      </w:r>
      <w:r w:rsidRPr="004F574C">
        <w:rPr>
          <w:i/>
          <w:iCs/>
        </w:rPr>
        <w:t xml:space="preserve"> that is part of – and contributes to – the significance and distinctive character</w:t>
      </w:r>
      <w:r w:rsidR="0020638D" w:rsidRPr="004F574C">
        <w:rPr>
          <w:i/>
          <w:iCs/>
        </w:rPr>
        <w:t xml:space="preserve"> </w:t>
      </w:r>
      <w:r w:rsidRPr="004F574C">
        <w:rPr>
          <w:i/>
          <w:iCs/>
        </w:rPr>
        <w:t>of a heritage asset, and through which</w:t>
      </w:r>
      <w:r w:rsidR="0020638D" w:rsidRPr="004F574C">
        <w:rPr>
          <w:i/>
          <w:iCs/>
        </w:rPr>
        <w:t xml:space="preserve"> </w:t>
      </w:r>
      <w:r w:rsidRPr="004F574C">
        <w:rPr>
          <w:i/>
          <w:iCs/>
        </w:rPr>
        <w:t xml:space="preserve">the asset may be </w:t>
      </w:r>
      <w:r w:rsidRPr="004F574C">
        <w:rPr>
          <w:b/>
          <w:bCs/>
          <w:i/>
          <w:iCs/>
        </w:rPr>
        <w:t>seen</w:t>
      </w:r>
      <w:r w:rsidRPr="004F574C">
        <w:rPr>
          <w:i/>
          <w:iCs/>
        </w:rPr>
        <w:t xml:space="preserve">, </w:t>
      </w:r>
      <w:r w:rsidRPr="004F574C">
        <w:rPr>
          <w:b/>
          <w:bCs/>
          <w:i/>
          <w:iCs/>
        </w:rPr>
        <w:t>experienced</w:t>
      </w:r>
      <w:r w:rsidRPr="004F574C">
        <w:rPr>
          <w:i/>
          <w:iCs/>
        </w:rPr>
        <w:t>,</w:t>
      </w:r>
      <w:r w:rsidR="0020638D" w:rsidRPr="004F574C">
        <w:rPr>
          <w:i/>
          <w:iCs/>
        </w:rPr>
        <w:t xml:space="preserve"> </w:t>
      </w:r>
      <w:r w:rsidRPr="004F574C">
        <w:rPr>
          <w:b/>
          <w:bCs/>
          <w:i/>
          <w:iCs/>
        </w:rPr>
        <w:t>understood</w:t>
      </w:r>
      <w:r w:rsidRPr="004F574C">
        <w:rPr>
          <w:i/>
          <w:iCs/>
        </w:rPr>
        <w:t xml:space="preserve"> and </w:t>
      </w:r>
      <w:r w:rsidRPr="004F574C">
        <w:rPr>
          <w:b/>
          <w:bCs/>
          <w:i/>
          <w:iCs/>
        </w:rPr>
        <w:t>enjoyed</w:t>
      </w:r>
      <w:r w:rsidRPr="004F574C">
        <w:rPr>
          <w:i/>
          <w:iCs/>
        </w:rPr>
        <w:t>.</w:t>
      </w:r>
      <w:r w:rsidR="0020638D" w:rsidRPr="004F574C">
        <w:rPr>
          <w:rStyle w:val="FootnoteReference"/>
          <w:i/>
          <w:iCs/>
        </w:rPr>
        <w:footnoteReference w:id="4"/>
      </w:r>
    </w:p>
    <w:p w14:paraId="26546326" w14:textId="72AEF3DE" w:rsidR="00196A97" w:rsidRDefault="00196A97" w:rsidP="00B62BA5">
      <w:r>
        <w:t>Scotland:</w:t>
      </w:r>
    </w:p>
    <w:p w14:paraId="3CCE72FA" w14:textId="3BE9CFCB" w:rsidR="00196A97" w:rsidRPr="004F574C" w:rsidRDefault="008C21A0" w:rsidP="004F574C">
      <w:pPr>
        <w:ind w:left="720"/>
        <w:rPr>
          <w:i/>
          <w:iCs/>
        </w:rPr>
      </w:pPr>
      <w:r w:rsidRPr="004F574C">
        <w:rPr>
          <w:i/>
          <w:iCs/>
        </w:rPr>
        <w:t xml:space="preserve">‘Setting’ is the way the </w:t>
      </w:r>
      <w:r w:rsidRPr="004F574C">
        <w:rPr>
          <w:b/>
          <w:bCs/>
          <w:i/>
          <w:iCs/>
        </w:rPr>
        <w:t>surroundings</w:t>
      </w:r>
      <w:r w:rsidRPr="004F574C">
        <w:rPr>
          <w:i/>
          <w:iCs/>
        </w:rPr>
        <w:t xml:space="preserve"> of a historic asset or place contribute to how it is </w:t>
      </w:r>
      <w:r w:rsidRPr="004F574C">
        <w:rPr>
          <w:b/>
          <w:bCs/>
          <w:i/>
          <w:iCs/>
        </w:rPr>
        <w:t>understood</w:t>
      </w:r>
      <w:r w:rsidRPr="004F574C">
        <w:rPr>
          <w:i/>
          <w:iCs/>
        </w:rPr>
        <w:t xml:space="preserve">, </w:t>
      </w:r>
      <w:r w:rsidRPr="004F574C">
        <w:rPr>
          <w:b/>
          <w:bCs/>
          <w:i/>
          <w:iCs/>
        </w:rPr>
        <w:t>appreciated</w:t>
      </w:r>
      <w:r w:rsidRPr="004F574C">
        <w:rPr>
          <w:i/>
          <w:iCs/>
        </w:rPr>
        <w:t xml:space="preserve"> and </w:t>
      </w:r>
      <w:r w:rsidRPr="004F574C">
        <w:rPr>
          <w:b/>
          <w:bCs/>
          <w:i/>
          <w:iCs/>
        </w:rPr>
        <w:t>experienced</w:t>
      </w:r>
      <w:r w:rsidRPr="004F574C">
        <w:rPr>
          <w:i/>
          <w:iCs/>
        </w:rPr>
        <w:t>.</w:t>
      </w:r>
      <w:r w:rsidR="00291888" w:rsidRPr="004F574C">
        <w:rPr>
          <w:rStyle w:val="FootnoteReference"/>
          <w:i/>
          <w:iCs/>
        </w:rPr>
        <w:footnoteReference w:id="5"/>
      </w:r>
    </w:p>
    <w:p w14:paraId="5BC7377C" w14:textId="77777777" w:rsidR="00860B07" w:rsidRDefault="00860B07" w:rsidP="00B62BA5">
      <w:r>
        <w:t>Wales:</w:t>
      </w:r>
    </w:p>
    <w:p w14:paraId="04A87DF8" w14:textId="3C13A95D" w:rsidR="00860B07" w:rsidRPr="004F574C" w:rsidRDefault="00860B07" w:rsidP="004F574C">
      <w:pPr>
        <w:ind w:left="720"/>
        <w:rPr>
          <w:i/>
          <w:iCs/>
        </w:rPr>
      </w:pPr>
      <w:r w:rsidRPr="004F574C">
        <w:rPr>
          <w:i/>
          <w:iCs/>
        </w:rPr>
        <w:t xml:space="preserve">The setting of an historic asset includes the </w:t>
      </w:r>
      <w:r w:rsidRPr="004F574C">
        <w:rPr>
          <w:b/>
          <w:bCs/>
          <w:i/>
          <w:iCs/>
        </w:rPr>
        <w:t>surroundings</w:t>
      </w:r>
      <w:r w:rsidRPr="004F574C">
        <w:rPr>
          <w:i/>
          <w:iCs/>
        </w:rPr>
        <w:t xml:space="preserve"> in which it is </w:t>
      </w:r>
      <w:r w:rsidRPr="004F574C">
        <w:rPr>
          <w:b/>
          <w:bCs/>
          <w:i/>
          <w:iCs/>
        </w:rPr>
        <w:t>understood</w:t>
      </w:r>
      <w:r w:rsidRPr="004F574C">
        <w:rPr>
          <w:i/>
          <w:iCs/>
        </w:rPr>
        <w:t xml:space="preserve">, </w:t>
      </w:r>
      <w:r w:rsidRPr="004F574C">
        <w:rPr>
          <w:b/>
          <w:bCs/>
          <w:i/>
          <w:iCs/>
        </w:rPr>
        <w:t>experienced</w:t>
      </w:r>
      <w:r w:rsidRPr="004F574C">
        <w:rPr>
          <w:i/>
          <w:iCs/>
        </w:rPr>
        <w:t xml:space="preserve">, and </w:t>
      </w:r>
      <w:r w:rsidRPr="004F574C">
        <w:rPr>
          <w:b/>
          <w:bCs/>
          <w:i/>
          <w:iCs/>
        </w:rPr>
        <w:t>appreciated</w:t>
      </w:r>
      <w:r w:rsidRPr="004F574C">
        <w:rPr>
          <w:i/>
          <w:iCs/>
        </w:rPr>
        <w:t xml:space="preserve"> embracing present and past relationships to the surrounding landscape. Its extent is not fixed and may change as the asset and its surroundings evolve. Elements of a setting may make a positive or negative contribution to the significance of an asset, may affect the ability to appreciate that significance or may be neutral.</w:t>
      </w:r>
      <w:r w:rsidRPr="004F574C">
        <w:rPr>
          <w:rStyle w:val="FootnoteReference"/>
          <w:i/>
          <w:iCs/>
        </w:rPr>
        <w:footnoteReference w:id="6"/>
      </w:r>
    </w:p>
    <w:p w14:paraId="66F43441" w14:textId="17DA2D49" w:rsidR="00674470" w:rsidRDefault="00764073" w:rsidP="00834DDC">
      <w:r>
        <w:lastRenderedPageBreak/>
        <w:t>As can be seen from the</w:t>
      </w:r>
      <w:r w:rsidR="00BB7973">
        <w:t xml:space="preserve"> </w:t>
      </w:r>
      <w:r w:rsidR="003D15F9">
        <w:t xml:space="preserve">elements </w:t>
      </w:r>
      <w:r w:rsidR="00BB7973">
        <w:t>highlighted</w:t>
      </w:r>
      <w:r w:rsidR="00153AA7">
        <w:t xml:space="preserve">, all the definitions </w:t>
      </w:r>
      <w:r w:rsidR="000B27C1">
        <w:t>essentially describe setting as the experience provided of a</w:t>
      </w:r>
      <w:r w:rsidR="003D15F9">
        <w:t xml:space="preserve"> heritage </w:t>
      </w:r>
      <w:r w:rsidR="000B27C1">
        <w:t xml:space="preserve">asset by its </w:t>
      </w:r>
      <w:r w:rsidR="009F0C95">
        <w:t xml:space="preserve">surrounding environment. The key element is the </w:t>
      </w:r>
      <w:r w:rsidR="009F0C95" w:rsidRPr="00A5768D">
        <w:rPr>
          <w:i/>
          <w:iCs/>
        </w:rPr>
        <w:t>located experience</w:t>
      </w:r>
      <w:r w:rsidR="009F0C95">
        <w:t xml:space="preserve"> of the asset.</w:t>
      </w:r>
      <w:r w:rsidR="006807C1">
        <w:t xml:space="preserve"> Setting is</w:t>
      </w:r>
      <w:r w:rsidR="00D6352B">
        <w:t xml:space="preserve">, often by definition, </w:t>
      </w:r>
      <w:r w:rsidR="009D21A0">
        <w:t>recognised as contributing to the significance of heritage assets</w:t>
      </w:r>
      <w:r w:rsidR="00435E25">
        <w:t xml:space="preserve">, </w:t>
      </w:r>
      <w:r w:rsidR="0047507E">
        <w:t xml:space="preserve">and the mechanism by which it contributes </w:t>
      </w:r>
      <w:r w:rsidR="00C7715A">
        <w:t xml:space="preserve">is by containing physical elements associated with the heritage asset in question, or by providing an appreciation of the heritage </w:t>
      </w:r>
      <w:r w:rsidR="005E0D02">
        <w:t>significance of the asset.</w:t>
      </w:r>
      <w:r w:rsidR="005E0D02">
        <w:rPr>
          <w:rStyle w:val="FootnoteReference"/>
        </w:rPr>
        <w:footnoteReference w:id="7"/>
      </w:r>
      <w:r w:rsidR="00176755">
        <w:t xml:space="preserve"> </w:t>
      </w:r>
      <w:r w:rsidR="00F156D9">
        <w:t xml:space="preserve">This element of setting overlaps with </w:t>
      </w:r>
      <w:r w:rsidR="00A9794D">
        <w:t xml:space="preserve">key conceptions of </w:t>
      </w:r>
      <w:r w:rsidR="00657CEC">
        <w:t>intangible heritage, not as a traditional activity, but as the current</w:t>
      </w:r>
      <w:r w:rsidR="003F7F49">
        <w:t xml:space="preserve"> interaction with a heritage site</w:t>
      </w:r>
      <w:r w:rsidR="000A05CE">
        <w:t>, where “the tangible is experienced through the intangible”</w:t>
      </w:r>
      <w:r w:rsidR="00721229">
        <w:t>.</w:t>
      </w:r>
      <w:r w:rsidR="000A05CE">
        <w:rPr>
          <w:rStyle w:val="FootnoteReference"/>
        </w:rPr>
        <w:footnoteReference w:id="8"/>
      </w:r>
      <w:r w:rsidR="00721229">
        <w:t xml:space="preserve"> </w:t>
      </w:r>
    </w:p>
    <w:p w14:paraId="61F740E6" w14:textId="09873E33" w:rsidR="002C504F" w:rsidRPr="00A0082B" w:rsidRDefault="002C504F" w:rsidP="00834DDC">
      <w:pPr>
        <w:rPr>
          <w:u w:val="single"/>
        </w:rPr>
      </w:pPr>
      <w:r w:rsidRPr="00A0082B">
        <w:rPr>
          <w:u w:val="single"/>
        </w:rPr>
        <w:t>Problems</w:t>
      </w:r>
      <w:r w:rsidR="00A0082B" w:rsidRPr="00A0082B">
        <w:rPr>
          <w:u w:val="single"/>
        </w:rPr>
        <w:t xml:space="preserve"> with setting</w:t>
      </w:r>
    </w:p>
    <w:p w14:paraId="0ED522C0" w14:textId="22F2A75D" w:rsidR="00A0082B" w:rsidRDefault="00E65F0F" w:rsidP="00834DDC">
      <w:r>
        <w:t xml:space="preserve">In broad terms the definition of setting seems unproblematic. </w:t>
      </w:r>
      <w:r w:rsidR="00B1015F">
        <w:t xml:space="preserve">However, </w:t>
      </w:r>
      <w:r w:rsidR="008D2EDA">
        <w:t xml:space="preserve">the incorporation of one’s experience in the definition of setting, while perhaps necessary, means that </w:t>
      </w:r>
      <w:r w:rsidR="00BF4C91">
        <w:t xml:space="preserve">as a concept the setting of heritage assets includes within it a </w:t>
      </w:r>
      <w:r w:rsidR="00F13958">
        <w:t xml:space="preserve">contested and complex </w:t>
      </w:r>
      <w:r w:rsidR="00540AC3">
        <w:t>idea.</w:t>
      </w:r>
      <w:r w:rsidR="001752EA">
        <w:t xml:space="preserve"> </w:t>
      </w:r>
    </w:p>
    <w:p w14:paraId="2A435AA6" w14:textId="42986CD0" w:rsidR="00D02658" w:rsidRDefault="006324E5" w:rsidP="00834DDC">
      <w:r>
        <w:t>A review of philosophical inquiry into the nature of human experience reveal</w:t>
      </w:r>
      <w:r w:rsidR="00D658DA">
        <w:t>s</w:t>
      </w:r>
      <w:r>
        <w:t xml:space="preserve"> a </w:t>
      </w:r>
      <w:r w:rsidR="00426A54">
        <w:t xml:space="preserve">complex area of scholarship, where there is much disagreement about </w:t>
      </w:r>
      <w:r w:rsidR="005428EE">
        <w:t>whether we can experience the external world</w:t>
      </w:r>
      <w:r w:rsidR="00814AAC">
        <w:t xml:space="preserve">, whether what we sense is information from the external world or merely mental representations of an unknowable world, or </w:t>
      </w:r>
      <w:r w:rsidR="000B6EFC">
        <w:t>what the nature of the</w:t>
      </w:r>
      <w:r w:rsidR="00FD7BD8">
        <w:t xml:space="preserve"> things we experience are </w:t>
      </w:r>
      <w:r w:rsidR="00F85D52">
        <w:t>(</w:t>
      </w:r>
      <w:r w:rsidR="00F4245D">
        <w:t>a</w:t>
      </w:r>
      <w:r w:rsidR="00F85D52">
        <w:t>re they qualia?</w:t>
      </w:r>
      <w:r w:rsidR="00091AB2">
        <w:rPr>
          <w:rStyle w:val="FootnoteReference"/>
        </w:rPr>
        <w:footnoteReference w:id="9"/>
      </w:r>
      <w:r w:rsidR="00F85D52">
        <w:t xml:space="preserve"> Sense-data?</w:t>
      </w:r>
      <w:r w:rsidR="00DB1438">
        <w:rPr>
          <w:rStyle w:val="FootnoteReference"/>
        </w:rPr>
        <w:footnoteReference w:id="10"/>
      </w:r>
      <w:r w:rsidR="00F85D52">
        <w:t>).</w:t>
      </w:r>
      <w:r w:rsidR="001355D2">
        <w:t xml:space="preserve"> </w:t>
      </w:r>
      <w:r w:rsidR="00330161">
        <w:t>While t</w:t>
      </w:r>
      <w:r w:rsidR="006B0E0E">
        <w:t xml:space="preserve">here are few areas of complete agreement, </w:t>
      </w:r>
      <w:r w:rsidR="00332F49">
        <w:t>it</w:t>
      </w:r>
      <w:r w:rsidR="006E395B">
        <w:t xml:space="preserve"> is generally accepted that we observe </w:t>
      </w:r>
      <w:r w:rsidR="003D0A48">
        <w:t>an external</w:t>
      </w:r>
      <w:r w:rsidR="006E395B">
        <w:t xml:space="preserve"> world, but </w:t>
      </w:r>
      <w:r w:rsidR="00004CCA">
        <w:t xml:space="preserve">that </w:t>
      </w:r>
      <w:r w:rsidR="006E395B">
        <w:t xml:space="preserve">our experience is </w:t>
      </w:r>
      <w:r w:rsidR="00FA3216">
        <w:t>mediated by our understanding, ideas</w:t>
      </w:r>
      <w:r w:rsidR="00357148">
        <w:t>,</w:t>
      </w:r>
      <w:r w:rsidR="00FA3216">
        <w:t xml:space="preserve"> and other factors to degrees and in forms which are seldom agreed to in detail</w:t>
      </w:r>
      <w:r w:rsidR="00321715">
        <w:t>.</w:t>
      </w:r>
      <w:r w:rsidR="00321715">
        <w:rPr>
          <w:rStyle w:val="FootnoteReference"/>
        </w:rPr>
        <w:footnoteReference w:id="11"/>
      </w:r>
      <w:r w:rsidR="000B1677">
        <w:t xml:space="preserve"> </w:t>
      </w:r>
      <w:r w:rsidR="00A44CE2">
        <w:t>B</w:t>
      </w:r>
      <w:r w:rsidR="00D02658">
        <w:t>roadly</w:t>
      </w:r>
      <w:r w:rsidR="00A44CE2">
        <w:t xml:space="preserve"> speaking, </w:t>
      </w:r>
      <w:r w:rsidR="008B3761">
        <w:t>however</w:t>
      </w:r>
      <w:r w:rsidR="00A44CE2">
        <w:t>,</w:t>
      </w:r>
      <w:r w:rsidR="00D02658">
        <w:t xml:space="preserve"> there is agreement that the relationship we have with the external world, which seems to us to be straightforward, is in fact </w:t>
      </w:r>
      <w:r w:rsidR="00527BD7">
        <w:t>a complex process, entailing multiple factors and processes, many of which we are not aware of.</w:t>
      </w:r>
      <w:r w:rsidR="00F06089">
        <w:t xml:space="preserve"> </w:t>
      </w:r>
      <w:r w:rsidR="001B1C4E">
        <w:t>In his work exploring how the structure of the human brain affects our understa</w:t>
      </w:r>
      <w:r w:rsidR="0019014E">
        <w:t>nd</w:t>
      </w:r>
      <w:r w:rsidR="001B1C4E">
        <w:t xml:space="preserve">ing of the world around us, </w:t>
      </w:r>
      <w:r w:rsidR="00792CA1">
        <w:t xml:space="preserve">Iain </w:t>
      </w:r>
      <w:proofErr w:type="spellStart"/>
      <w:r w:rsidR="00F06089">
        <w:t>McGilchrist</w:t>
      </w:r>
      <w:proofErr w:type="spellEnd"/>
      <w:r w:rsidR="00F06089">
        <w:t xml:space="preserve"> </w:t>
      </w:r>
      <w:r w:rsidR="00EB038F">
        <w:lastRenderedPageBreak/>
        <w:t xml:space="preserve">lucidly </w:t>
      </w:r>
      <w:r w:rsidR="008C6FC3">
        <w:t xml:space="preserve">captures </w:t>
      </w:r>
      <w:r w:rsidR="001B1C4E">
        <w:t>th</w:t>
      </w:r>
      <w:r w:rsidR="000C471D">
        <w:t>is</w:t>
      </w:r>
      <w:r w:rsidR="003900B2">
        <w:t xml:space="preserve"> interrelationship between our perception and the world around us when discussing the </w:t>
      </w:r>
      <w:r w:rsidR="006C7A16">
        <w:t>attentive nature of our experience at a phenomenal level:</w:t>
      </w:r>
    </w:p>
    <w:p w14:paraId="26E1F5E0" w14:textId="2F42D29F" w:rsidR="006C7A16" w:rsidRPr="00F7649D" w:rsidRDefault="006C7A16" w:rsidP="00F7649D">
      <w:pPr>
        <w:ind w:left="720"/>
        <w:rPr>
          <w:i/>
          <w:iCs/>
        </w:rPr>
      </w:pPr>
      <w:r w:rsidRPr="00F7649D">
        <w:rPr>
          <w:i/>
          <w:iCs/>
        </w:rPr>
        <w:t>Our attention is responsive to the world. There are certain modes of attention which are naturally called forth by certain kinds of object. We pay a different sort of attention to a dying man</w:t>
      </w:r>
      <w:r w:rsidR="00904901" w:rsidRPr="00F7649D">
        <w:rPr>
          <w:i/>
          <w:iCs/>
        </w:rPr>
        <w:t xml:space="preserve"> from the sort of attention we’d pay to a sunset, or a carburettor. However, the process is reciprocal. It is not just that what we find determines the nature of the </w:t>
      </w:r>
      <w:r w:rsidR="0038432B" w:rsidRPr="00F7649D">
        <w:rPr>
          <w:i/>
          <w:iCs/>
        </w:rPr>
        <w:t>attention</w:t>
      </w:r>
      <w:r w:rsidR="00904901" w:rsidRPr="00F7649D">
        <w:rPr>
          <w:i/>
          <w:iCs/>
        </w:rPr>
        <w:t xml:space="preserve"> we accord to it, but that the attention we pay to anything a</w:t>
      </w:r>
      <w:r w:rsidR="0038432B" w:rsidRPr="00F7649D">
        <w:rPr>
          <w:i/>
          <w:iCs/>
        </w:rPr>
        <w:t>lso determines what it is that we find</w:t>
      </w:r>
      <w:r w:rsidR="00F7649D" w:rsidRPr="00F7649D">
        <w:rPr>
          <w:i/>
          <w:iCs/>
        </w:rPr>
        <w:t>.</w:t>
      </w:r>
      <w:r w:rsidR="00F7649D">
        <w:rPr>
          <w:rStyle w:val="FootnoteReference"/>
          <w:i/>
          <w:iCs/>
        </w:rPr>
        <w:footnoteReference w:id="12"/>
      </w:r>
    </w:p>
    <w:p w14:paraId="6003D29B" w14:textId="561DD205" w:rsidR="00F7649D" w:rsidRDefault="004908E8" w:rsidP="00834DDC">
      <w:r>
        <w:t xml:space="preserve">Given the complexity of </w:t>
      </w:r>
      <w:r w:rsidR="00F00239">
        <w:t>defining and understanding the structure of human experience it is surprising</w:t>
      </w:r>
      <w:r w:rsidR="00D90728">
        <w:t xml:space="preserve"> (</w:t>
      </w:r>
      <w:r w:rsidR="00F00239">
        <w:t>and perhaps unsurprising</w:t>
      </w:r>
      <w:r w:rsidR="00D90728">
        <w:t>)</w:t>
      </w:r>
      <w:r w:rsidR="00F00239">
        <w:t xml:space="preserve"> that none of the guidance documents produced by the UK Government</w:t>
      </w:r>
      <w:r w:rsidR="00E26F94">
        <w:t>’</w:t>
      </w:r>
      <w:r w:rsidR="00F00239">
        <w:t xml:space="preserve">s </w:t>
      </w:r>
      <w:r w:rsidR="00A548A2">
        <w:t xml:space="preserve">advisory heritage bodies quotes any research which seeks to </w:t>
      </w:r>
      <w:r w:rsidR="007773AB">
        <w:t xml:space="preserve">provide evidence or structure </w:t>
      </w:r>
      <w:r w:rsidR="0065367B">
        <w:t>which help to define what is meant by the term experiencing a heritage asset.</w:t>
      </w:r>
      <w:r w:rsidR="007773AB">
        <w:t xml:space="preserve"> </w:t>
      </w:r>
      <w:r w:rsidR="00F13975">
        <w:t xml:space="preserve">This lack of evidential and philosophical underpinning </w:t>
      </w:r>
      <w:r w:rsidR="0031049D">
        <w:t xml:space="preserve">has meant that there is confusion within the guidance about what elements constitute the experience of a heritage asset and how. For example, the Historic England guidance note on setting provides a list of </w:t>
      </w:r>
      <w:r w:rsidR="00130E81">
        <w:t xml:space="preserve">attributes under the headings “The asset’s </w:t>
      </w:r>
      <w:r w:rsidR="0031049D">
        <w:t>physical</w:t>
      </w:r>
      <w:r w:rsidR="00130E81">
        <w:t xml:space="preserve"> surroundings”</w:t>
      </w:r>
      <w:r w:rsidR="0031049D">
        <w:t xml:space="preserve"> and </w:t>
      </w:r>
      <w:r w:rsidR="00130E81">
        <w:t>“</w:t>
      </w:r>
      <w:r w:rsidR="0031049D">
        <w:t xml:space="preserve">experience </w:t>
      </w:r>
      <w:r w:rsidR="00130E81">
        <w:t xml:space="preserve">of the asset”. Under the experience heading it lists </w:t>
      </w:r>
      <w:r w:rsidR="00084335">
        <w:t>elements such as ‘landscape character’ alongside ‘views’ and ‘smells’</w:t>
      </w:r>
      <w:r w:rsidR="00333C2F">
        <w:t>.</w:t>
      </w:r>
      <w:r w:rsidR="00333C2F">
        <w:rPr>
          <w:rStyle w:val="FootnoteReference"/>
        </w:rPr>
        <w:footnoteReference w:id="13"/>
      </w:r>
      <w:r w:rsidR="0058130A">
        <w:t xml:space="preserve"> However, this is to conflate two distinct areas of our experience; </w:t>
      </w:r>
      <w:r w:rsidR="0058130A" w:rsidRPr="0058130A">
        <w:rPr>
          <w:i/>
          <w:iCs/>
        </w:rPr>
        <w:t>how</w:t>
      </w:r>
      <w:r w:rsidR="0058130A">
        <w:t xml:space="preserve"> we experience, as opposed to </w:t>
      </w:r>
      <w:r w:rsidR="0058130A" w:rsidRPr="0058130A">
        <w:rPr>
          <w:i/>
          <w:iCs/>
        </w:rPr>
        <w:t>what</w:t>
      </w:r>
      <w:r w:rsidR="0058130A">
        <w:t xml:space="preserve"> we experience. </w:t>
      </w:r>
      <w:r w:rsidR="00805EA5">
        <w:t xml:space="preserve">Irrespective of one’s philosophical position on the ontological status of our experiences, it is clear that we </w:t>
      </w:r>
      <w:r w:rsidR="00805EA5" w:rsidRPr="00EF6731">
        <w:rPr>
          <w:i/>
          <w:iCs/>
        </w:rPr>
        <w:t>think</w:t>
      </w:r>
      <w:r w:rsidR="00805EA5">
        <w:t xml:space="preserve"> that we </w:t>
      </w:r>
      <w:r w:rsidR="00E72E37">
        <w:t>see, feel, smell and hear</w:t>
      </w:r>
      <w:r w:rsidR="00D15715">
        <w:t xml:space="preserve"> the world around us</w:t>
      </w:r>
      <w:r w:rsidR="00E72E37">
        <w:t>. These senses are</w:t>
      </w:r>
      <w:r w:rsidR="00392791">
        <w:t xml:space="preserve"> examples of</w:t>
      </w:r>
      <w:r w:rsidR="00E72E37">
        <w:t xml:space="preserve"> </w:t>
      </w:r>
      <w:r w:rsidR="00AA523D">
        <w:rPr>
          <w:i/>
          <w:iCs/>
        </w:rPr>
        <w:t>how</w:t>
      </w:r>
      <w:r w:rsidR="00AA523D">
        <w:t xml:space="preserve"> we experience. </w:t>
      </w:r>
      <w:r w:rsidR="00D15715">
        <w:t xml:space="preserve">By contrast the </w:t>
      </w:r>
      <w:r w:rsidR="00AA523D">
        <w:t xml:space="preserve">character of a landscape is </w:t>
      </w:r>
      <w:r w:rsidR="00792ED6">
        <w:t xml:space="preserve">an example of </w:t>
      </w:r>
      <w:r w:rsidR="00792ED6" w:rsidRPr="00792ED6">
        <w:rPr>
          <w:i/>
          <w:iCs/>
        </w:rPr>
        <w:t>what</w:t>
      </w:r>
      <w:r w:rsidR="00792ED6">
        <w:t xml:space="preserve"> we experience</w:t>
      </w:r>
      <w:r w:rsidR="00392791">
        <w:t xml:space="preserve"> through our senses</w:t>
      </w:r>
      <w:r w:rsidR="00172882">
        <w:t>, mediated by our past experiences and cultural conditioning</w:t>
      </w:r>
      <w:r w:rsidR="00392791">
        <w:t>.</w:t>
      </w:r>
      <w:r w:rsidR="00411523">
        <w:t xml:space="preserve"> The list</w:t>
      </w:r>
      <w:r w:rsidR="002C62CE">
        <w:t xml:space="preserve"> lists several other </w:t>
      </w:r>
      <w:r w:rsidR="004D345F">
        <w:t xml:space="preserve">attributes, which are a mix of </w:t>
      </w:r>
      <w:r w:rsidR="00C01ED6">
        <w:t xml:space="preserve">the two categories of experience noted (the </w:t>
      </w:r>
      <w:r w:rsidR="00C01ED6" w:rsidRPr="00C01ED6">
        <w:rPr>
          <w:i/>
          <w:iCs/>
        </w:rPr>
        <w:t>how</w:t>
      </w:r>
      <w:r w:rsidR="00C01ED6">
        <w:t xml:space="preserve"> and </w:t>
      </w:r>
      <w:r w:rsidR="00C01ED6" w:rsidRPr="00C01ED6">
        <w:rPr>
          <w:i/>
          <w:iCs/>
        </w:rPr>
        <w:t>what</w:t>
      </w:r>
      <w:r w:rsidR="00C01ED6">
        <w:t xml:space="preserve">), with no analysis of how these interrelate, or could come together to inform an assessment of setting, and its relationship to the significance of a heritage asset. </w:t>
      </w:r>
      <w:r w:rsidR="0092593D">
        <w:t>The other guidance notes on setting have less proscriptive guidance on potential elements of experience, but nonetheless share many of the same issues, not least in failing to refer to any evidence or research.</w:t>
      </w:r>
    </w:p>
    <w:p w14:paraId="64799B3B" w14:textId="59BDD46B" w:rsidR="0092593D" w:rsidRDefault="00A25351" w:rsidP="00834DDC">
      <w:r>
        <w:t xml:space="preserve">The result of this lack of </w:t>
      </w:r>
      <w:r w:rsidR="00825C62">
        <w:t xml:space="preserve">evidential and philosophical underpinning in the guidance has resulted in </w:t>
      </w:r>
      <w:r w:rsidR="00D96F4A">
        <w:t>no small measure of confusion in the practice of assessment of heritage assets</w:t>
      </w:r>
      <w:r w:rsidR="00FE3921">
        <w:t>, with arguments about w</w:t>
      </w:r>
      <w:r w:rsidR="00B737D6">
        <w:t xml:space="preserve">hich elements </w:t>
      </w:r>
      <w:r w:rsidR="003F65E8">
        <w:t xml:space="preserve">of the experience are most important </w:t>
      </w:r>
      <w:r w:rsidR="00AA0DC7">
        <w:t xml:space="preserve">commonplace, based on nothing more than </w:t>
      </w:r>
      <w:r w:rsidR="00AA0DC7">
        <w:lastRenderedPageBreak/>
        <w:t>the opinion of the professionals involved.</w:t>
      </w:r>
      <w:r w:rsidR="00BC1615">
        <w:t xml:space="preserve"> </w:t>
      </w:r>
      <w:r w:rsidR="00A90FBA">
        <w:t>Often significant development schemes are refused planning consent due to a finding that there would be harm to a heritage asset due to a change to its setting</w:t>
      </w:r>
      <w:r w:rsidR="00B20214">
        <w:t>. Given the prevalence of heritage matters in planning applications in the UK,</w:t>
      </w:r>
      <w:r w:rsidR="009B0DA1">
        <w:rPr>
          <w:rStyle w:val="FootnoteReference"/>
        </w:rPr>
        <w:footnoteReference w:id="14"/>
      </w:r>
      <w:r w:rsidR="00B20214">
        <w:t xml:space="preserve"> </w:t>
      </w:r>
      <w:r w:rsidR="003256B6">
        <w:t>significant</w:t>
      </w:r>
      <w:r w:rsidR="00B20214">
        <w:t xml:space="preserve"> investment could be </w:t>
      </w:r>
      <w:r w:rsidR="003256B6">
        <w:t xml:space="preserve">scuppered </w:t>
      </w:r>
      <w:r w:rsidR="00641ED2">
        <w:t>because of</w:t>
      </w:r>
      <w:r w:rsidR="009465E4">
        <w:t xml:space="preserve"> this issue, and without adequate evidence it is not possible to assess with confidence whether these decisions have been justified, particularly in marginal cases.</w:t>
      </w:r>
    </w:p>
    <w:p w14:paraId="628AE3A3" w14:textId="2019457D" w:rsidR="002A52D7" w:rsidRPr="002A52D7" w:rsidRDefault="002A52D7" w:rsidP="00834DDC">
      <w:pPr>
        <w:rPr>
          <w:u w:val="single"/>
        </w:rPr>
      </w:pPr>
      <w:r w:rsidRPr="002A52D7">
        <w:rPr>
          <w:u w:val="single"/>
        </w:rPr>
        <w:t>Current research on the experience of heritage</w:t>
      </w:r>
    </w:p>
    <w:p w14:paraId="4C3A47AF" w14:textId="4E058EE7" w:rsidR="002A52D7" w:rsidRDefault="00733298" w:rsidP="00834DDC">
      <w:r>
        <w:t>Research has been undertaken on people’s experience of heritage sites. Many</w:t>
      </w:r>
      <w:r w:rsidR="005F7139">
        <w:t xml:space="preserve"> studies</w:t>
      </w:r>
      <w:r>
        <w:t xml:space="preserve"> are focussed on </w:t>
      </w:r>
      <w:r w:rsidR="00CC06E6">
        <w:t xml:space="preserve">assessing visitor experience and satisfaction at </w:t>
      </w:r>
      <w:r w:rsidR="007543B9" w:rsidRPr="00AB1AF3">
        <w:t>cultural tourism sites.</w:t>
      </w:r>
      <w:r w:rsidR="007543B9" w:rsidRPr="00AB1AF3">
        <w:rPr>
          <w:vertAlign w:val="superscript"/>
        </w:rPr>
        <w:footnoteReference w:id="15"/>
      </w:r>
      <w:r w:rsidR="00CC06E6">
        <w:t xml:space="preserve"> </w:t>
      </w:r>
      <w:proofErr w:type="spellStart"/>
      <w:r w:rsidR="005F7139">
        <w:t>Laurajane</w:t>
      </w:r>
      <w:proofErr w:type="spellEnd"/>
      <w:r w:rsidR="005F7139">
        <w:t xml:space="preserve"> </w:t>
      </w:r>
      <w:r w:rsidR="00CC06E6">
        <w:t xml:space="preserve">Smith undertook a qualitative </w:t>
      </w:r>
      <w:r w:rsidR="00CE5AB6">
        <w:t xml:space="preserve">study of visitors to </w:t>
      </w:r>
      <w:r w:rsidR="00075413">
        <w:t xml:space="preserve">historic houses, and </w:t>
      </w:r>
      <w:r w:rsidR="005C3E41">
        <w:t xml:space="preserve">how members of a community (Castleford) </w:t>
      </w:r>
      <w:r w:rsidR="003C5F42">
        <w:t>understood and used their heritage to give meaning and engender a sense of place</w:t>
      </w:r>
      <w:r w:rsidR="00B554F1">
        <w:t>.</w:t>
      </w:r>
      <w:r w:rsidR="00B554F1">
        <w:rPr>
          <w:rStyle w:val="FootnoteReference"/>
        </w:rPr>
        <w:footnoteReference w:id="16"/>
      </w:r>
      <w:r w:rsidR="0073651E">
        <w:t xml:space="preserve"> While these studies provide valuable insight</w:t>
      </w:r>
      <w:r w:rsidR="00AB5E50">
        <w:t>s</w:t>
      </w:r>
      <w:r w:rsidR="0073651E">
        <w:t xml:space="preserve"> into how people experience heritage, they </w:t>
      </w:r>
      <w:r w:rsidR="00E974B1">
        <w:t xml:space="preserve">do not address the questions needed to </w:t>
      </w:r>
      <w:r w:rsidR="005010B4">
        <w:t>clarify the issues highlighted above.</w:t>
      </w:r>
      <w:r w:rsidR="005A348C">
        <w:t xml:space="preserve"> The reason for this is that the practice of heritage within a planning and development context is distinct from </w:t>
      </w:r>
      <w:r w:rsidR="006B5E50">
        <w:t xml:space="preserve">other parts of the heritage industry, such as museums or other attractions. </w:t>
      </w:r>
      <w:r w:rsidR="00314471">
        <w:t xml:space="preserve">With </w:t>
      </w:r>
      <w:r w:rsidR="00CE203B">
        <w:t>“</w:t>
      </w:r>
      <w:r w:rsidR="003440BA">
        <w:t>destination</w:t>
      </w:r>
      <w:r w:rsidR="00A9196C">
        <w:t>”</w:t>
      </w:r>
      <w:r w:rsidR="003440BA">
        <w:t xml:space="preserve"> heritage sites questions </w:t>
      </w:r>
      <w:r w:rsidR="0085418B">
        <w:t xml:space="preserve">would cover accessibility, satisfaction, or </w:t>
      </w:r>
      <w:r w:rsidR="00116F48">
        <w:t xml:space="preserve">perhaps what learning or meaning was derived from the visit. Even in Smith’s studies, which are more </w:t>
      </w:r>
      <w:r w:rsidR="00F05088">
        <w:t>broadly focussed</w:t>
      </w:r>
      <w:r w:rsidR="00A91156">
        <w:t>, and are designed</w:t>
      </w:r>
      <w:r w:rsidR="00F05088">
        <w:t xml:space="preserve"> to test how heritage discourses </w:t>
      </w:r>
      <w:r w:rsidR="0065301E">
        <w:t>and activities interact with meaning</w:t>
      </w:r>
      <w:r w:rsidR="00A9196C">
        <w:t>-</w:t>
      </w:r>
      <w:r w:rsidR="0065301E">
        <w:t>making and the formation of cultural identity</w:t>
      </w:r>
      <w:r w:rsidR="0065301E">
        <w:rPr>
          <w:rStyle w:val="FootnoteReference"/>
        </w:rPr>
        <w:footnoteReference w:id="17"/>
      </w:r>
      <w:r w:rsidR="000134CB">
        <w:t>, do not directly address the questions at hand.</w:t>
      </w:r>
    </w:p>
    <w:p w14:paraId="3D9EFC65" w14:textId="07CBC44B" w:rsidR="00FB2C45" w:rsidRDefault="00D32824" w:rsidP="00834DDC">
      <w:r>
        <w:t>The reason for this is that a</w:t>
      </w:r>
      <w:r w:rsidR="00FB2C45">
        <w:t xml:space="preserve">t a policy and legal level, heritage practice in a planning context is not </w:t>
      </w:r>
      <w:r w:rsidR="004C45DD">
        <w:t xml:space="preserve">concerned with what </w:t>
      </w:r>
      <w:r w:rsidR="000276A9">
        <w:t>meaning making</w:t>
      </w:r>
      <w:r w:rsidR="004C45DD">
        <w:t xml:space="preserve"> may be taking place in a particular </w:t>
      </w:r>
      <w:r w:rsidR="00B307C5">
        <w:t xml:space="preserve">heritage </w:t>
      </w:r>
      <w:r w:rsidR="004C45DD">
        <w:t>location</w:t>
      </w:r>
      <w:r w:rsidR="00B307C5">
        <w:t>, although that can be important. I</w:t>
      </w:r>
      <w:r w:rsidR="00307524">
        <w:t xml:space="preserve">t is focussed on </w:t>
      </w:r>
      <w:r w:rsidR="00FE3A47">
        <w:t xml:space="preserve">understanding whether a change to the setting of a heritage asset would affect future appreciation of that asset, and </w:t>
      </w:r>
      <w:r w:rsidR="0088061A">
        <w:t xml:space="preserve">by extension its significance. </w:t>
      </w:r>
      <w:r w:rsidR="00FA2C63">
        <w:t>I</w:t>
      </w:r>
      <w:r w:rsidR="0088061A">
        <w:t>t is not enough to ask “what does this heritage mean to you” to inform this question. Additional questions are needed, such as “</w:t>
      </w:r>
      <w:r w:rsidR="0088061A" w:rsidRPr="00A869FE">
        <w:rPr>
          <w:i/>
          <w:iCs/>
        </w:rPr>
        <w:t>how</w:t>
      </w:r>
      <w:r w:rsidR="0088061A">
        <w:t xml:space="preserve"> are you experiencing this heritage asset?” and “</w:t>
      </w:r>
      <w:r w:rsidR="00EA5552" w:rsidRPr="00A869FE">
        <w:rPr>
          <w:i/>
          <w:iCs/>
        </w:rPr>
        <w:t>what</w:t>
      </w:r>
      <w:r w:rsidR="00EA5552">
        <w:t xml:space="preserve"> is it that you are experiencing</w:t>
      </w:r>
      <w:r w:rsidR="00FA2C63">
        <w:t xml:space="preserve"> of the heritage asset?</w:t>
      </w:r>
      <w:r w:rsidR="00EA5552">
        <w:t>”</w:t>
      </w:r>
      <w:r w:rsidR="00FA2C63">
        <w:t xml:space="preserve"> </w:t>
      </w:r>
      <w:r w:rsidR="003306DA">
        <w:t xml:space="preserve">Without answers to these </w:t>
      </w:r>
      <w:r w:rsidR="00B40597">
        <w:t>questions,</w:t>
      </w:r>
      <w:r w:rsidR="003306DA">
        <w:t xml:space="preserve"> it is not possible to </w:t>
      </w:r>
      <w:r w:rsidR="001967DC">
        <w:t>further understanding on how</w:t>
      </w:r>
      <w:r w:rsidR="003306DA">
        <w:t xml:space="preserve"> changing the context of a </w:t>
      </w:r>
      <w:r w:rsidR="001967DC">
        <w:t>heritage asset</w:t>
      </w:r>
      <w:r w:rsidR="003306DA">
        <w:t xml:space="preserve"> would affect appreciation </w:t>
      </w:r>
      <w:r w:rsidR="001967DC">
        <w:t>o</w:t>
      </w:r>
      <w:r w:rsidR="001E2515">
        <w:t>f</w:t>
      </w:r>
      <w:r w:rsidR="001967DC">
        <w:t xml:space="preserve"> its </w:t>
      </w:r>
      <w:r w:rsidR="001967DC">
        <w:lastRenderedPageBreak/>
        <w:t>significance</w:t>
      </w:r>
      <w:r w:rsidR="00BF00CC">
        <w:t xml:space="preserve">, or to shed light on which elements of the experience of heritage assets are most important to </w:t>
      </w:r>
      <w:r w:rsidR="00E34319">
        <w:t>their appreciation.</w:t>
      </w:r>
    </w:p>
    <w:p w14:paraId="49812851" w14:textId="16944B92" w:rsidR="00F24EE0" w:rsidRDefault="00E34319" w:rsidP="00834DDC">
      <w:r>
        <w:t>Another difference of</w:t>
      </w:r>
      <w:r w:rsidR="00D24829">
        <w:t xml:space="preserve"> how heritage</w:t>
      </w:r>
      <w:r w:rsidR="001E1715">
        <w:t xml:space="preserve"> practice </w:t>
      </w:r>
      <w:r w:rsidR="00D24829">
        <w:t xml:space="preserve">differs </w:t>
      </w:r>
      <w:r w:rsidR="001E1715">
        <w:t xml:space="preserve">in a planning and development context is that </w:t>
      </w:r>
      <w:r w:rsidR="00587C5D">
        <w:t xml:space="preserve">it must be strategically focussed, rather than </w:t>
      </w:r>
      <w:r w:rsidR="003E398C">
        <w:t>individually focussed. Therefore</w:t>
      </w:r>
      <w:r w:rsidR="00937440">
        <w:t>,</w:t>
      </w:r>
      <w:r w:rsidR="003E398C">
        <w:t xml:space="preserve"> the focus at a policy level is not on </w:t>
      </w:r>
      <w:r w:rsidR="00CC369E">
        <w:t xml:space="preserve">understanding what meaning a particular person, or even type of person may have </w:t>
      </w:r>
      <w:r w:rsidR="008F16D7">
        <w:t xml:space="preserve">of </w:t>
      </w:r>
      <w:r w:rsidR="00CC369E">
        <w:t xml:space="preserve">a </w:t>
      </w:r>
      <w:r w:rsidR="008F16D7">
        <w:t xml:space="preserve">specific </w:t>
      </w:r>
      <w:r w:rsidR="00CC369E">
        <w:t xml:space="preserve">heritage asset. Rather, the concern is on </w:t>
      </w:r>
      <w:r w:rsidR="00E44B19">
        <w:t xml:space="preserve">whether any person’s ability to experience and appreciate a heritage asset could be affected by a change to the setting of a heritage </w:t>
      </w:r>
      <w:r w:rsidR="00274F0F">
        <w:t>asset and</w:t>
      </w:r>
      <w:r w:rsidR="00E44B19">
        <w:t xml:space="preserve"> understanding the implications of this.</w:t>
      </w:r>
      <w:r w:rsidR="00274F0F">
        <w:t xml:space="preserve"> </w:t>
      </w:r>
      <w:r w:rsidR="00912BEC">
        <w:t xml:space="preserve">The question is therefore structural: are there structural elements to the experience which apply to all experience which need to be considered </w:t>
      </w:r>
      <w:r w:rsidR="00F24EE0">
        <w:t>in decision making?</w:t>
      </w:r>
      <w:r w:rsidR="003E0BD8">
        <w:t xml:space="preserve"> Current research cannot answer or speak to this question, which is why new research is needed.</w:t>
      </w:r>
    </w:p>
    <w:p w14:paraId="31B658DC" w14:textId="3C9760F5" w:rsidR="003E0BD8" w:rsidRPr="003E0BD8" w:rsidRDefault="003E0BD8" w:rsidP="00834DDC">
      <w:pPr>
        <w:rPr>
          <w:u w:val="single"/>
        </w:rPr>
      </w:pPr>
      <w:r w:rsidRPr="003E0BD8">
        <w:rPr>
          <w:u w:val="single"/>
        </w:rPr>
        <w:t>The way forward</w:t>
      </w:r>
    </w:p>
    <w:p w14:paraId="166F5FC3" w14:textId="0CA9C702" w:rsidR="003E0BD8" w:rsidRDefault="0002335F" w:rsidP="00834DDC">
      <w:r>
        <w:t>Now that it is clear that current heritage practice with regard to setting is lacking in evidence</w:t>
      </w:r>
      <w:r w:rsidR="00B6491F">
        <w:t xml:space="preserve"> and rigour</w:t>
      </w:r>
      <w:r>
        <w:t xml:space="preserve">, and that this </w:t>
      </w:r>
      <w:r w:rsidR="00154ED4">
        <w:t xml:space="preserve">is causing potentially poorly evidenced and unsound decisions which affect </w:t>
      </w:r>
      <w:r w:rsidR="00B6491F">
        <w:t>significan</w:t>
      </w:r>
      <w:r w:rsidR="00280085">
        <w:t>t</w:t>
      </w:r>
      <w:r w:rsidR="00B6491F">
        <w:t xml:space="preserve"> projects and investment, it is </w:t>
      </w:r>
      <w:r w:rsidR="00DD715B">
        <w:t xml:space="preserve">hoped that the need for clarity and further research is equally clear. The question now is, what manner of research is most appropriate to provide </w:t>
      </w:r>
      <w:r w:rsidR="00E36817">
        <w:t>adequate and robust evidence which can help to clarify this issue?</w:t>
      </w:r>
    </w:p>
    <w:p w14:paraId="0A609AE6" w14:textId="77777777" w:rsidR="00CD0184" w:rsidRDefault="00FD265D" w:rsidP="00834DDC">
      <w:r>
        <w:t xml:space="preserve">Given that the focus of the research would be to understand human experience of heritage assets, the research would need to </w:t>
      </w:r>
      <w:r w:rsidR="00546727">
        <w:t xml:space="preserve">consist of a qualitative study, which captures participant’s views, feelings and reflections for further analysis and assessment. </w:t>
      </w:r>
      <w:r w:rsidR="005718CD">
        <w:t>It is also important</w:t>
      </w:r>
      <w:r w:rsidR="00AE5073">
        <w:t xml:space="preserve">, for the study to capture a fair representation of people’s experience of heritage assets, that the study allows </w:t>
      </w:r>
      <w:r w:rsidR="0001672B">
        <w:t>freedom for participants to express spontaneously</w:t>
      </w:r>
      <w:r w:rsidR="00E77D2C">
        <w:t xml:space="preserve"> and fully</w:t>
      </w:r>
      <w:r w:rsidR="0001672B">
        <w:t xml:space="preserve"> their understanding of their experience</w:t>
      </w:r>
      <w:r w:rsidR="00E77D2C">
        <w:t>s</w:t>
      </w:r>
      <w:r w:rsidR="00CB1EA9">
        <w:t xml:space="preserve">, and it is important that the research team do not pre-judge or phrase questions in a way which would lead </w:t>
      </w:r>
      <w:r w:rsidR="00FB74FA">
        <w:t>participants in a particular direction which would not be aligned with their “natural” experience.</w:t>
      </w:r>
      <w:r w:rsidR="005F0D4C">
        <w:t xml:space="preserve"> </w:t>
      </w:r>
    </w:p>
    <w:p w14:paraId="36E2E0B1" w14:textId="428F313C" w:rsidR="00E36817" w:rsidRDefault="005F0D4C" w:rsidP="00834DDC">
      <w:r>
        <w:t xml:space="preserve">On this basis it is considered that a phenomenological study would be the best means by which to obtain this information. </w:t>
      </w:r>
      <w:r w:rsidR="00470BD5">
        <w:t xml:space="preserve">Phenomenological research </w:t>
      </w:r>
      <w:r w:rsidR="00B52193">
        <w:t>has been described as:</w:t>
      </w:r>
    </w:p>
    <w:p w14:paraId="6589F7E4" w14:textId="5FC23BBF" w:rsidR="009170CD" w:rsidRPr="00B52193" w:rsidRDefault="00302B9D" w:rsidP="00B52193">
      <w:pPr>
        <w:ind w:left="720"/>
        <w:rPr>
          <w:i/>
          <w:iCs/>
        </w:rPr>
      </w:pPr>
      <w:r w:rsidRPr="00B52193">
        <w:rPr>
          <w:i/>
          <w:iCs/>
        </w:rPr>
        <w:t xml:space="preserve">In simple terms, phenomenology can be defined as an approach to research that seeks to describe the essence of a phenomenon by exploring it from the perspective of those who </w:t>
      </w:r>
      <w:r w:rsidRPr="00B52193">
        <w:rPr>
          <w:i/>
          <w:iCs/>
        </w:rPr>
        <w:lastRenderedPageBreak/>
        <w:t>have experienced it. The goal of phenomenology is to describe the meaning of this experience—both in terms of what was experienced and how it was experienced</w:t>
      </w:r>
      <w:r w:rsidR="00B52193" w:rsidRPr="00B52193">
        <w:rPr>
          <w:i/>
          <w:iCs/>
        </w:rPr>
        <w:t>.</w:t>
      </w:r>
      <w:r w:rsidR="00C04A1C">
        <w:rPr>
          <w:rStyle w:val="FootnoteReference"/>
          <w:i/>
          <w:iCs/>
        </w:rPr>
        <w:footnoteReference w:id="18"/>
      </w:r>
    </w:p>
    <w:p w14:paraId="6E9698C2" w14:textId="3F5A3AA2" w:rsidR="005466B3" w:rsidRDefault="00621EFC" w:rsidP="00834DDC">
      <w:r>
        <w:t xml:space="preserve">By focussing on the lived experience of participants, a phenomenological study would allow the experience to be described </w:t>
      </w:r>
      <w:r w:rsidR="005466B3">
        <w:t xml:space="preserve">without </w:t>
      </w:r>
      <w:r w:rsidR="00B231B1">
        <w:t xml:space="preserve">needing to address contentious, ontological issues </w:t>
      </w:r>
      <w:r w:rsidR="00BF1A1F">
        <w:t>in current philosophical debates on the nature of human experience.</w:t>
      </w:r>
    </w:p>
    <w:p w14:paraId="21F3FA4C" w14:textId="09A26480" w:rsidR="00B52193" w:rsidRDefault="009D28CA" w:rsidP="00834DDC">
      <w:r>
        <w:t>However, the phenomenological study on its own will not be sufficient</w:t>
      </w:r>
      <w:r w:rsidR="00936168">
        <w:t xml:space="preserve"> and would need to be supported by </w:t>
      </w:r>
      <w:r w:rsidR="003F53E3">
        <w:t>a further analysis o</w:t>
      </w:r>
      <w:r w:rsidR="005A5727">
        <w:t xml:space="preserve">f the intention and </w:t>
      </w:r>
      <w:r w:rsidR="00E56350">
        <w:t xml:space="preserve">historic </w:t>
      </w:r>
      <w:r w:rsidR="005A5727">
        <w:t xml:space="preserve">development of heritage policies and laws, and on the </w:t>
      </w:r>
      <w:r w:rsidR="007131E1">
        <w:t>impact of their application on perceptions of heritage.</w:t>
      </w:r>
      <w:r w:rsidR="007E19AF">
        <w:t xml:space="preserve"> Philosophical and neurological theoretical </w:t>
      </w:r>
      <w:r w:rsidR="0079366C">
        <w:t xml:space="preserve">frameworks will also need to be refined to ensure the relevance of </w:t>
      </w:r>
      <w:r w:rsidR="003049C3">
        <w:t xml:space="preserve">highlighting the </w:t>
      </w:r>
      <w:r w:rsidR="003049C3" w:rsidRPr="003049C3">
        <w:rPr>
          <w:i/>
          <w:iCs/>
        </w:rPr>
        <w:t>how</w:t>
      </w:r>
      <w:r w:rsidR="003049C3">
        <w:t xml:space="preserve"> and </w:t>
      </w:r>
      <w:r w:rsidR="003049C3" w:rsidRPr="003049C3">
        <w:rPr>
          <w:i/>
          <w:iCs/>
        </w:rPr>
        <w:t>what</w:t>
      </w:r>
      <w:r w:rsidR="003049C3">
        <w:t xml:space="preserve"> of experience in the structure of experience</w:t>
      </w:r>
      <w:r w:rsidR="00E93E42">
        <w:t xml:space="preserve"> is justified</w:t>
      </w:r>
      <w:r w:rsidR="003049C3">
        <w:t xml:space="preserve">, and to </w:t>
      </w:r>
      <w:r w:rsidR="005423DF">
        <w:t>determine whether additional elements of the structure of experience need to be considered.</w:t>
      </w:r>
    </w:p>
    <w:p w14:paraId="091E117C" w14:textId="52D2933B" w:rsidR="005423DF" w:rsidRDefault="00AB7C0F" w:rsidP="00834DDC">
      <w:r>
        <w:t xml:space="preserve">The research design for the study would need to consider </w:t>
      </w:r>
      <w:r w:rsidR="00812542">
        <w:t>to what extent the theor</w:t>
      </w:r>
      <w:r w:rsidR="001413A2">
        <w:t xml:space="preserve">etical framework should be included within the questions asked. </w:t>
      </w:r>
      <w:r w:rsidR="00353E4E">
        <w:t>If we ask participants what they are experiencing and how, are we gaming the results?</w:t>
      </w:r>
    </w:p>
    <w:p w14:paraId="736715CC" w14:textId="4B520D50" w:rsidR="00353E4E" w:rsidRDefault="00353E4E" w:rsidP="00834DDC">
      <w:r>
        <w:t xml:space="preserve">Finally, the results would need to be </w:t>
      </w:r>
      <w:r w:rsidR="00D1777D">
        <w:t>analysed and their implications for current policy and practice explored and articulated.</w:t>
      </w:r>
    </w:p>
    <w:p w14:paraId="25D58E68" w14:textId="32C2C83A" w:rsidR="002365E3" w:rsidRPr="002365E3" w:rsidRDefault="002365E3" w:rsidP="00834DDC">
      <w:pPr>
        <w:rPr>
          <w:u w:val="single"/>
        </w:rPr>
      </w:pPr>
      <w:r w:rsidRPr="002365E3">
        <w:rPr>
          <w:u w:val="single"/>
        </w:rPr>
        <w:t>Discussion points</w:t>
      </w:r>
    </w:p>
    <w:p w14:paraId="05F8B04F" w14:textId="71AA0FF4" w:rsidR="006B2FBE" w:rsidRDefault="006B2FBE" w:rsidP="00834DDC">
      <w:r>
        <w:t>Comments are invited on:</w:t>
      </w:r>
    </w:p>
    <w:p w14:paraId="2432EB45" w14:textId="5A9D3F08" w:rsidR="006B2FBE" w:rsidRDefault="00BF623A" w:rsidP="006B2FBE">
      <w:pPr>
        <w:pStyle w:val="ListParagraph"/>
        <w:numPr>
          <w:ilvl w:val="0"/>
          <w:numId w:val="1"/>
        </w:numPr>
      </w:pPr>
      <w:r>
        <w:t>The analysis of setting and the issues arising.</w:t>
      </w:r>
    </w:p>
    <w:p w14:paraId="5D87FA15" w14:textId="2A8E65FD" w:rsidR="00193D14" w:rsidRDefault="00193D14" w:rsidP="006B2FBE">
      <w:pPr>
        <w:pStyle w:val="ListParagraph"/>
        <w:numPr>
          <w:ilvl w:val="0"/>
          <w:numId w:val="1"/>
        </w:numPr>
      </w:pPr>
      <w:r>
        <w:t xml:space="preserve">The </w:t>
      </w:r>
      <w:r w:rsidR="00984765">
        <w:t xml:space="preserve">assertion that existing research cannot adequately speak to the issues highlighted; </w:t>
      </w:r>
      <w:r w:rsidR="006156CE">
        <w:t>is this fair and is there research which has been overlooked?</w:t>
      </w:r>
    </w:p>
    <w:p w14:paraId="66E1B081" w14:textId="4A0C49BB" w:rsidR="00376BF8" w:rsidRDefault="00BF623A" w:rsidP="00376BF8">
      <w:pPr>
        <w:pStyle w:val="ListParagraph"/>
        <w:numPr>
          <w:ilvl w:val="0"/>
          <w:numId w:val="1"/>
        </w:numPr>
      </w:pPr>
      <w:r>
        <w:t xml:space="preserve">The appropriateness of using a phenomenological study as the main </w:t>
      </w:r>
      <w:r w:rsidR="00376BF8">
        <w:t>means of gathering information on the nature and structure of the experience of participants.</w:t>
      </w:r>
      <w:r w:rsidR="00A476BA">
        <w:t xml:space="preserve"> Are there research methods that have been overlooked?</w:t>
      </w:r>
    </w:p>
    <w:p w14:paraId="74F55C5F" w14:textId="2CFBD22D" w:rsidR="00376BF8" w:rsidRDefault="00870C45" w:rsidP="00376BF8">
      <w:pPr>
        <w:pStyle w:val="ListParagraph"/>
        <w:numPr>
          <w:ilvl w:val="0"/>
          <w:numId w:val="1"/>
        </w:numPr>
      </w:pPr>
      <w:r>
        <w:t xml:space="preserve">The distinction between the </w:t>
      </w:r>
      <w:r w:rsidRPr="00D66114">
        <w:rPr>
          <w:i/>
          <w:iCs/>
        </w:rPr>
        <w:t>how</w:t>
      </w:r>
      <w:r>
        <w:t xml:space="preserve"> and </w:t>
      </w:r>
      <w:r w:rsidRPr="00D66114">
        <w:rPr>
          <w:i/>
          <w:iCs/>
        </w:rPr>
        <w:t>what</w:t>
      </w:r>
      <w:r>
        <w:t xml:space="preserve"> of experience; does this </w:t>
      </w:r>
      <w:r w:rsidR="00D66114">
        <w:t>chime with your own experience?</w:t>
      </w:r>
    </w:p>
    <w:p w14:paraId="53BAD034" w14:textId="758817C8" w:rsidR="00D66114" w:rsidRDefault="00D15539" w:rsidP="00376BF8">
      <w:pPr>
        <w:pStyle w:val="ListParagraph"/>
        <w:numPr>
          <w:ilvl w:val="0"/>
          <w:numId w:val="1"/>
        </w:numPr>
      </w:pPr>
      <w:r>
        <w:t xml:space="preserve">The importance of a philosophical and neurological theoretical framework; </w:t>
      </w:r>
      <w:r w:rsidR="002365E3">
        <w:t>is this necessary?</w:t>
      </w:r>
    </w:p>
    <w:p w14:paraId="01055523" w14:textId="66CD1798" w:rsidR="002365E3" w:rsidRDefault="002365E3" w:rsidP="00376BF8">
      <w:pPr>
        <w:pStyle w:val="ListParagraph"/>
        <w:numPr>
          <w:ilvl w:val="0"/>
          <w:numId w:val="1"/>
        </w:numPr>
      </w:pPr>
      <w:r>
        <w:t>Any other aspect of the paper.</w:t>
      </w:r>
    </w:p>
    <w:p w14:paraId="195EEF40" w14:textId="77777777" w:rsidR="00857C10" w:rsidRDefault="002365E3" w:rsidP="00857C10">
      <w:pPr>
        <w:pStyle w:val="NormalWeb"/>
        <w:spacing w:before="0" w:beforeAutospacing="0" w:after="240" w:afterAutospacing="0" w:line="360" w:lineRule="auto"/>
        <w:jc w:val="center"/>
        <w:rPr>
          <w:rFonts w:ascii="Calibri" w:hAnsi="Calibri" w:cs="Calibri"/>
          <w:sz w:val="22"/>
          <w:szCs w:val="22"/>
        </w:rPr>
      </w:pPr>
      <w:r>
        <w:br w:type="page"/>
      </w:r>
      <w:r w:rsidR="00857C10">
        <w:rPr>
          <w:rFonts w:ascii="Calibri" w:hAnsi="Calibri" w:cs="Calibri"/>
          <w:sz w:val="22"/>
          <w:szCs w:val="22"/>
        </w:rPr>
        <w:lastRenderedPageBreak/>
        <w:t>Bibliography</w:t>
      </w:r>
    </w:p>
    <w:p w14:paraId="6A0D266A"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Ahmed, Marwa. “The Heritage Dimension of Planning Applications.” London: Historic England, 2018. https://historicengland.org.uk/research/current/planning-research/.</w:t>
      </w:r>
    </w:p>
    <w:p w14:paraId="1587AB3E"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Cadw</w:t>
      </w:r>
      <w:proofErr w:type="spellEnd"/>
      <w:r>
        <w:rPr>
          <w:rFonts w:ascii="Calibri" w:hAnsi="Calibri" w:cs="Calibri"/>
          <w:sz w:val="22"/>
          <w:szCs w:val="22"/>
        </w:rPr>
        <w:t xml:space="preserve">. </w:t>
      </w:r>
      <w:r>
        <w:rPr>
          <w:rFonts w:ascii="Calibri" w:hAnsi="Calibri" w:cs="Calibri"/>
          <w:i/>
          <w:iCs/>
          <w:sz w:val="22"/>
          <w:szCs w:val="22"/>
        </w:rPr>
        <w:t>Setting of Historic Assets in Wales</w:t>
      </w:r>
      <w:r>
        <w:rPr>
          <w:rFonts w:ascii="Calibri" w:hAnsi="Calibri" w:cs="Calibri"/>
          <w:sz w:val="22"/>
          <w:szCs w:val="22"/>
        </w:rPr>
        <w:t xml:space="preserve">. Parc </w:t>
      </w:r>
      <w:proofErr w:type="spellStart"/>
      <w:r>
        <w:rPr>
          <w:rFonts w:ascii="Calibri" w:hAnsi="Calibri" w:cs="Calibri"/>
          <w:sz w:val="22"/>
          <w:szCs w:val="22"/>
        </w:rPr>
        <w:t>Nantgarw</w:t>
      </w:r>
      <w:proofErr w:type="spellEnd"/>
      <w:r>
        <w:rPr>
          <w:rFonts w:ascii="Calibri" w:hAnsi="Calibri" w:cs="Calibri"/>
          <w:sz w:val="22"/>
          <w:szCs w:val="22"/>
        </w:rPr>
        <w:t>: Welsh Government, 2017. https://cadw.gov.wales/advice-support/placemaking/heritage-impact-assessment/setting-historic-assets.</w:t>
      </w:r>
    </w:p>
    <w:p w14:paraId="10C1313C"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Chen, Ching-Fu, and Fu-</w:t>
      </w:r>
      <w:proofErr w:type="spellStart"/>
      <w:r>
        <w:rPr>
          <w:rFonts w:ascii="Calibri" w:hAnsi="Calibri" w:cs="Calibri"/>
          <w:sz w:val="22"/>
          <w:szCs w:val="22"/>
        </w:rPr>
        <w:t>Shian</w:t>
      </w:r>
      <w:proofErr w:type="spellEnd"/>
      <w:r>
        <w:rPr>
          <w:rFonts w:ascii="Calibri" w:hAnsi="Calibri" w:cs="Calibri"/>
          <w:sz w:val="22"/>
          <w:szCs w:val="22"/>
        </w:rPr>
        <w:t xml:space="preserve"> Chen. “Experience Quality, Perceived Value, Satisfaction and </w:t>
      </w:r>
      <w:proofErr w:type="spellStart"/>
      <w:r>
        <w:rPr>
          <w:rFonts w:ascii="Calibri" w:hAnsi="Calibri" w:cs="Calibri"/>
          <w:sz w:val="22"/>
          <w:szCs w:val="22"/>
        </w:rPr>
        <w:t>Behavioral</w:t>
      </w:r>
      <w:proofErr w:type="spellEnd"/>
      <w:r>
        <w:rPr>
          <w:rFonts w:ascii="Calibri" w:hAnsi="Calibri" w:cs="Calibri"/>
          <w:sz w:val="22"/>
          <w:szCs w:val="22"/>
        </w:rPr>
        <w:t xml:space="preserve"> Intentions for Heritage Tourists.” </w:t>
      </w:r>
      <w:r>
        <w:rPr>
          <w:rFonts w:ascii="Calibri" w:hAnsi="Calibri" w:cs="Calibri"/>
          <w:i/>
          <w:iCs/>
          <w:sz w:val="22"/>
          <w:szCs w:val="22"/>
        </w:rPr>
        <w:t>Tourism Management</w:t>
      </w:r>
      <w:r>
        <w:rPr>
          <w:rFonts w:ascii="Calibri" w:hAnsi="Calibri" w:cs="Calibri"/>
          <w:sz w:val="22"/>
          <w:szCs w:val="22"/>
        </w:rPr>
        <w:t xml:space="preserve"> 31, no. 1 (February 2010): 29–35. https://doi.org/10.1016/j.tourman.2009.02.008.</w:t>
      </w:r>
    </w:p>
    <w:p w14:paraId="5E8A77C1"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Corsane</w:t>
      </w:r>
      <w:proofErr w:type="spellEnd"/>
      <w:r>
        <w:rPr>
          <w:rFonts w:ascii="Calibri" w:hAnsi="Calibri" w:cs="Calibri"/>
          <w:sz w:val="22"/>
          <w:szCs w:val="22"/>
        </w:rPr>
        <w:t xml:space="preserve">, Gerard. </w:t>
      </w:r>
      <w:r>
        <w:rPr>
          <w:rFonts w:ascii="Calibri" w:hAnsi="Calibri" w:cs="Calibri"/>
          <w:i/>
          <w:iCs/>
          <w:sz w:val="22"/>
          <w:szCs w:val="22"/>
        </w:rPr>
        <w:t>Heritage, Museums and Galleries : An Introductory Reader</w:t>
      </w:r>
      <w:r>
        <w:rPr>
          <w:rFonts w:ascii="Calibri" w:hAnsi="Calibri" w:cs="Calibri"/>
          <w:sz w:val="22"/>
          <w:szCs w:val="22"/>
        </w:rPr>
        <w:t>. London ; New York: Routledge, 2005.</w:t>
      </w:r>
    </w:p>
    <w:p w14:paraId="0121005B"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Crane, Tim, and Craig French. “The Problem of Perception.” In </w:t>
      </w:r>
      <w:r>
        <w:rPr>
          <w:rFonts w:ascii="Calibri" w:hAnsi="Calibri" w:cs="Calibri"/>
          <w:i/>
          <w:iCs/>
          <w:sz w:val="22"/>
          <w:szCs w:val="22"/>
        </w:rPr>
        <w:t xml:space="preserve">The Stanford </w:t>
      </w:r>
      <w:proofErr w:type="spellStart"/>
      <w:r>
        <w:rPr>
          <w:rFonts w:ascii="Calibri" w:hAnsi="Calibri" w:cs="Calibri"/>
          <w:i/>
          <w:iCs/>
          <w:sz w:val="22"/>
          <w:szCs w:val="22"/>
        </w:rPr>
        <w:t>Encyclopedia</w:t>
      </w:r>
      <w:proofErr w:type="spellEnd"/>
      <w:r>
        <w:rPr>
          <w:rFonts w:ascii="Calibri" w:hAnsi="Calibri" w:cs="Calibri"/>
          <w:i/>
          <w:iCs/>
          <w:sz w:val="22"/>
          <w:szCs w:val="22"/>
        </w:rPr>
        <w:t xml:space="preserve"> of Philosophy</w:t>
      </w:r>
      <w:r>
        <w:rPr>
          <w:rFonts w:ascii="Calibri" w:hAnsi="Calibri" w:cs="Calibri"/>
          <w:sz w:val="22"/>
          <w:szCs w:val="22"/>
        </w:rPr>
        <w:t xml:space="preserve">, edited by Edward N. </w:t>
      </w:r>
      <w:proofErr w:type="spellStart"/>
      <w:r>
        <w:rPr>
          <w:rFonts w:ascii="Calibri" w:hAnsi="Calibri" w:cs="Calibri"/>
          <w:sz w:val="22"/>
          <w:szCs w:val="22"/>
        </w:rPr>
        <w:t>Zalta</w:t>
      </w:r>
      <w:proofErr w:type="spellEnd"/>
      <w:r>
        <w:rPr>
          <w:rFonts w:ascii="Calibri" w:hAnsi="Calibri" w:cs="Calibri"/>
          <w:sz w:val="22"/>
          <w:szCs w:val="22"/>
        </w:rPr>
        <w:t>. Stanford, CA: The Metaphysics Research Lab, Philosophy Department, Stanford University, 2021. https://plato.stanford.edu/archives/fall2021/entries/perception-problem/.</w:t>
      </w:r>
    </w:p>
    <w:p w14:paraId="6A176358"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Guyer, Paul, and Rolf-Peter </w:t>
      </w:r>
      <w:proofErr w:type="spellStart"/>
      <w:r>
        <w:rPr>
          <w:rFonts w:ascii="Calibri" w:hAnsi="Calibri" w:cs="Calibri"/>
          <w:sz w:val="22"/>
          <w:szCs w:val="22"/>
        </w:rPr>
        <w:t>Horstmann</w:t>
      </w:r>
      <w:proofErr w:type="spellEnd"/>
      <w:r>
        <w:rPr>
          <w:rFonts w:ascii="Calibri" w:hAnsi="Calibri" w:cs="Calibri"/>
          <w:sz w:val="22"/>
          <w:szCs w:val="22"/>
        </w:rPr>
        <w:t xml:space="preserve">. “Idealism.” Edited by Edward N. </w:t>
      </w:r>
      <w:proofErr w:type="spellStart"/>
      <w:r>
        <w:rPr>
          <w:rFonts w:ascii="Calibri" w:hAnsi="Calibri" w:cs="Calibri"/>
          <w:sz w:val="22"/>
          <w:szCs w:val="22"/>
        </w:rPr>
        <w:t>Zalta</w:t>
      </w:r>
      <w:proofErr w:type="spellEnd"/>
      <w:r>
        <w:rPr>
          <w:rFonts w:ascii="Calibri" w:hAnsi="Calibri" w:cs="Calibri"/>
          <w:sz w:val="22"/>
          <w:szCs w:val="22"/>
        </w:rPr>
        <w:t xml:space="preserve">. </w:t>
      </w:r>
      <w:r>
        <w:rPr>
          <w:rFonts w:ascii="Calibri" w:hAnsi="Calibri" w:cs="Calibri"/>
          <w:i/>
          <w:iCs/>
          <w:sz w:val="22"/>
          <w:szCs w:val="22"/>
        </w:rPr>
        <w:t xml:space="preserve">The Stanford </w:t>
      </w:r>
      <w:proofErr w:type="spellStart"/>
      <w:r>
        <w:rPr>
          <w:rFonts w:ascii="Calibri" w:hAnsi="Calibri" w:cs="Calibri"/>
          <w:i/>
          <w:iCs/>
          <w:sz w:val="22"/>
          <w:szCs w:val="22"/>
        </w:rPr>
        <w:t>Encyclopedia</w:t>
      </w:r>
      <w:proofErr w:type="spellEnd"/>
      <w:r>
        <w:rPr>
          <w:rFonts w:ascii="Calibri" w:hAnsi="Calibri" w:cs="Calibri"/>
          <w:i/>
          <w:iCs/>
          <w:sz w:val="22"/>
          <w:szCs w:val="22"/>
        </w:rPr>
        <w:t xml:space="preserve"> of Philosophy</w:t>
      </w:r>
      <w:r>
        <w:rPr>
          <w:rFonts w:ascii="Calibri" w:hAnsi="Calibri" w:cs="Calibri"/>
          <w:sz w:val="22"/>
          <w:szCs w:val="22"/>
        </w:rPr>
        <w:t xml:space="preserve"> (Fall 2022 Edition) (August 30, 2015). https://plato.stanford.edu/archives/fall2022/entries/idealism/.</w:t>
      </w:r>
    </w:p>
    <w:p w14:paraId="1E4B2155"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Harkness, Nicholas. “The Pragmatics of Qualia in Practice.” </w:t>
      </w:r>
      <w:r>
        <w:rPr>
          <w:rFonts w:ascii="Calibri" w:hAnsi="Calibri" w:cs="Calibri"/>
          <w:i/>
          <w:iCs/>
          <w:sz w:val="22"/>
          <w:szCs w:val="22"/>
        </w:rPr>
        <w:t>Annual Review of Anthropology</w:t>
      </w:r>
      <w:r>
        <w:rPr>
          <w:rFonts w:ascii="Calibri" w:hAnsi="Calibri" w:cs="Calibri"/>
          <w:sz w:val="22"/>
          <w:szCs w:val="22"/>
        </w:rPr>
        <w:t xml:space="preserve"> 44, no. 1 (October 21, 2015): 573–89. https://doi.org/10.1146/annurev-anthro-102313-030032.</w:t>
      </w:r>
    </w:p>
    <w:p w14:paraId="434A6A35"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Hatfield, Gary. “Chapter 33: Perception and Sense-Data.” In </w:t>
      </w:r>
      <w:r>
        <w:rPr>
          <w:rFonts w:ascii="Calibri" w:hAnsi="Calibri" w:cs="Calibri"/>
          <w:i/>
          <w:iCs/>
          <w:sz w:val="22"/>
          <w:szCs w:val="22"/>
        </w:rPr>
        <w:t>Oxford Handbook of the History of Analytic Philosophy</w:t>
      </w:r>
      <w:r>
        <w:rPr>
          <w:rFonts w:ascii="Calibri" w:hAnsi="Calibri" w:cs="Calibri"/>
          <w:sz w:val="22"/>
          <w:szCs w:val="22"/>
        </w:rPr>
        <w:t xml:space="preserve">, edited by M. </w:t>
      </w:r>
      <w:proofErr w:type="spellStart"/>
      <w:r>
        <w:rPr>
          <w:rFonts w:ascii="Calibri" w:hAnsi="Calibri" w:cs="Calibri"/>
          <w:sz w:val="22"/>
          <w:szCs w:val="22"/>
        </w:rPr>
        <w:t>Beaney</w:t>
      </w:r>
      <w:proofErr w:type="spellEnd"/>
      <w:r>
        <w:rPr>
          <w:rFonts w:ascii="Calibri" w:hAnsi="Calibri" w:cs="Calibri"/>
          <w:sz w:val="22"/>
          <w:szCs w:val="22"/>
        </w:rPr>
        <w:t>. Oxford: Oxford University Press, 2013.</w:t>
      </w:r>
    </w:p>
    <w:p w14:paraId="18D9532A"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 “Sense Data.” In </w:t>
      </w:r>
      <w:r>
        <w:rPr>
          <w:rFonts w:ascii="Calibri" w:hAnsi="Calibri" w:cs="Calibri"/>
          <w:i/>
          <w:iCs/>
          <w:sz w:val="22"/>
          <w:szCs w:val="22"/>
        </w:rPr>
        <w:t xml:space="preserve">The Stanford </w:t>
      </w:r>
      <w:proofErr w:type="spellStart"/>
      <w:r>
        <w:rPr>
          <w:rFonts w:ascii="Calibri" w:hAnsi="Calibri" w:cs="Calibri"/>
          <w:i/>
          <w:iCs/>
          <w:sz w:val="22"/>
          <w:szCs w:val="22"/>
        </w:rPr>
        <w:t>Encyclopedia</w:t>
      </w:r>
      <w:proofErr w:type="spellEnd"/>
      <w:r>
        <w:rPr>
          <w:rFonts w:ascii="Calibri" w:hAnsi="Calibri" w:cs="Calibri"/>
          <w:i/>
          <w:iCs/>
          <w:sz w:val="22"/>
          <w:szCs w:val="22"/>
        </w:rPr>
        <w:t xml:space="preserve"> of Philosophy</w:t>
      </w:r>
      <w:r>
        <w:rPr>
          <w:rFonts w:ascii="Calibri" w:hAnsi="Calibri" w:cs="Calibri"/>
          <w:sz w:val="22"/>
          <w:szCs w:val="22"/>
        </w:rPr>
        <w:t xml:space="preserve">, edited by Edward N. </w:t>
      </w:r>
      <w:proofErr w:type="spellStart"/>
      <w:r>
        <w:rPr>
          <w:rFonts w:ascii="Calibri" w:hAnsi="Calibri" w:cs="Calibri"/>
          <w:sz w:val="22"/>
          <w:szCs w:val="22"/>
        </w:rPr>
        <w:t>Zalta</w:t>
      </w:r>
      <w:proofErr w:type="spellEnd"/>
      <w:r>
        <w:rPr>
          <w:rFonts w:ascii="Calibri" w:hAnsi="Calibri" w:cs="Calibri"/>
          <w:sz w:val="22"/>
          <w:szCs w:val="22"/>
        </w:rPr>
        <w:t>. Stanford, CA: The Metaphysics Research Lab, Philosophy Department, Stanford University, August 19, 2021. https://plato.stanford.edu/archives/fall2021/entries/sense-data/.</w:t>
      </w:r>
    </w:p>
    <w:p w14:paraId="645838EA"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Historic England. </w:t>
      </w:r>
      <w:r>
        <w:rPr>
          <w:rFonts w:ascii="Calibri" w:hAnsi="Calibri" w:cs="Calibri"/>
          <w:i/>
          <w:iCs/>
          <w:sz w:val="22"/>
          <w:szCs w:val="22"/>
        </w:rPr>
        <w:t>Historic Environment Good Practice Advice in Planning Note 3 – the Setting of Heritage Assets (Second Edition)</w:t>
      </w:r>
      <w:r>
        <w:rPr>
          <w:rFonts w:ascii="Calibri" w:hAnsi="Calibri" w:cs="Calibri"/>
          <w:sz w:val="22"/>
          <w:szCs w:val="22"/>
        </w:rPr>
        <w:t>. London: Historic England, 2017.</w:t>
      </w:r>
    </w:p>
    <w:p w14:paraId="278C4DDD"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Historic Environment Division. </w:t>
      </w:r>
      <w:r>
        <w:rPr>
          <w:rFonts w:ascii="Calibri" w:hAnsi="Calibri" w:cs="Calibri"/>
          <w:i/>
          <w:iCs/>
          <w:sz w:val="22"/>
          <w:szCs w:val="22"/>
        </w:rPr>
        <w:t>Guidance on Setting and the Historic Environment Historic Environment Division</w:t>
      </w:r>
      <w:r>
        <w:rPr>
          <w:rFonts w:ascii="Calibri" w:hAnsi="Calibri" w:cs="Calibri"/>
          <w:sz w:val="22"/>
          <w:szCs w:val="22"/>
        </w:rPr>
        <w:t>. Belfast: Department for Communities, 2018. https://www.communities-ni.gov.uk/publications/guidance-setting-and-historic-environment.</w:t>
      </w:r>
    </w:p>
    <w:p w14:paraId="4C93DD7E" w14:textId="1DD4D595"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Historic Environment Scotland. </w:t>
      </w:r>
      <w:r>
        <w:rPr>
          <w:rFonts w:ascii="Calibri" w:hAnsi="Calibri" w:cs="Calibri"/>
          <w:i/>
          <w:iCs/>
          <w:sz w:val="22"/>
          <w:szCs w:val="22"/>
        </w:rPr>
        <w:t>Managing Change in the Historic Environment: Setting</w:t>
      </w:r>
      <w:r>
        <w:rPr>
          <w:rFonts w:ascii="Calibri" w:hAnsi="Calibri" w:cs="Calibri"/>
          <w:sz w:val="22"/>
          <w:szCs w:val="22"/>
        </w:rPr>
        <w:t>. Edinburgh: Historic Environment Scotland, 2016. https://pub-prod-sdk.azurewebsites.net/api/file/3c15b3e9-b447-4b4e-801f-a67800be22c5.</w:t>
      </w:r>
    </w:p>
    <w:p w14:paraId="4931028B" w14:textId="77777777" w:rsidR="00A06E20" w:rsidRDefault="00A06E20" w:rsidP="00A06E2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lastRenderedPageBreak/>
        <w:t>Kay, Maurice, Jeremy Sullivan, and Anne Rafferty. Barnwell Manor Wind Energy Limited vs East Northamptonshire District Council (Court of Appeal Civil Division February 18, 2014).</w:t>
      </w:r>
    </w:p>
    <w:p w14:paraId="5FA50C2E"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Mcgilchrist</w:t>
      </w:r>
      <w:proofErr w:type="spellEnd"/>
      <w:r>
        <w:rPr>
          <w:rFonts w:ascii="Calibri" w:hAnsi="Calibri" w:cs="Calibri"/>
          <w:sz w:val="22"/>
          <w:szCs w:val="22"/>
        </w:rPr>
        <w:t xml:space="preserve">, Iain. </w:t>
      </w:r>
      <w:r>
        <w:rPr>
          <w:rFonts w:ascii="Calibri" w:hAnsi="Calibri" w:cs="Calibri"/>
          <w:i/>
          <w:iCs/>
          <w:sz w:val="22"/>
          <w:szCs w:val="22"/>
        </w:rPr>
        <w:t>MASTER and HIS EMISSARY : The Divided Brain and the Making of the Western World.</w:t>
      </w:r>
      <w:r>
        <w:rPr>
          <w:rFonts w:ascii="Calibri" w:hAnsi="Calibri" w:cs="Calibri"/>
          <w:sz w:val="22"/>
          <w:szCs w:val="22"/>
        </w:rPr>
        <w:t xml:space="preserve"> 2009. Reprint, Yale University Press, 2010.</w:t>
      </w:r>
    </w:p>
    <w:p w14:paraId="59D11FA5"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Munjeri</w:t>
      </w:r>
      <w:proofErr w:type="spellEnd"/>
      <w:r>
        <w:rPr>
          <w:rFonts w:ascii="Calibri" w:hAnsi="Calibri" w:cs="Calibri"/>
          <w:sz w:val="22"/>
          <w:szCs w:val="22"/>
        </w:rPr>
        <w:t xml:space="preserve">, Dawson. “Tangible and Intangible Heritage: From Difference to Convergence.” </w:t>
      </w:r>
      <w:r>
        <w:rPr>
          <w:rFonts w:ascii="Calibri" w:hAnsi="Calibri" w:cs="Calibri"/>
          <w:i/>
          <w:iCs/>
          <w:sz w:val="22"/>
          <w:szCs w:val="22"/>
        </w:rPr>
        <w:t>Museum International</w:t>
      </w:r>
      <w:r>
        <w:rPr>
          <w:rFonts w:ascii="Calibri" w:hAnsi="Calibri" w:cs="Calibri"/>
          <w:sz w:val="22"/>
          <w:szCs w:val="22"/>
        </w:rPr>
        <w:t xml:space="preserve"> 56, no. 1-2 (May 2004): 12–20. https://doi.org/10.1111/j.1350-0775.2004.00453.x.</w:t>
      </w:r>
    </w:p>
    <w:p w14:paraId="46B7DC1A"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Neubauer, Brian E., Catherine T. Witkop, and Lara </w:t>
      </w:r>
      <w:proofErr w:type="spellStart"/>
      <w:r>
        <w:rPr>
          <w:rFonts w:ascii="Calibri" w:hAnsi="Calibri" w:cs="Calibri"/>
          <w:sz w:val="22"/>
          <w:szCs w:val="22"/>
        </w:rPr>
        <w:t>Varpio</w:t>
      </w:r>
      <w:proofErr w:type="spellEnd"/>
      <w:r>
        <w:rPr>
          <w:rFonts w:ascii="Calibri" w:hAnsi="Calibri" w:cs="Calibri"/>
          <w:sz w:val="22"/>
          <w:szCs w:val="22"/>
        </w:rPr>
        <w:t xml:space="preserve">. “How Phenomenology Can Help Us Learn from the Experiences of Others.” </w:t>
      </w:r>
      <w:r>
        <w:rPr>
          <w:rFonts w:ascii="Calibri" w:hAnsi="Calibri" w:cs="Calibri"/>
          <w:i/>
          <w:iCs/>
          <w:sz w:val="22"/>
          <w:szCs w:val="22"/>
        </w:rPr>
        <w:t>Perspectives on Medical Education</w:t>
      </w:r>
      <w:r>
        <w:rPr>
          <w:rFonts w:ascii="Calibri" w:hAnsi="Calibri" w:cs="Calibri"/>
          <w:sz w:val="22"/>
          <w:szCs w:val="22"/>
        </w:rPr>
        <w:t xml:space="preserve"> 8, no. 2 (April 5, 2019): 90–97. https://doi.org/10.1007/s40037-019-0509-2.</w:t>
      </w:r>
    </w:p>
    <w:p w14:paraId="16839F26"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xml:space="preserve">Smith, </w:t>
      </w:r>
      <w:proofErr w:type="spellStart"/>
      <w:r>
        <w:rPr>
          <w:rFonts w:ascii="Calibri" w:hAnsi="Calibri" w:cs="Calibri"/>
          <w:sz w:val="22"/>
          <w:szCs w:val="22"/>
        </w:rPr>
        <w:t>Laurajane</w:t>
      </w:r>
      <w:proofErr w:type="spellEnd"/>
      <w:r>
        <w:rPr>
          <w:rFonts w:ascii="Calibri" w:hAnsi="Calibri" w:cs="Calibri"/>
          <w:sz w:val="22"/>
          <w:szCs w:val="22"/>
        </w:rPr>
        <w:t xml:space="preserve">. </w:t>
      </w:r>
      <w:r>
        <w:rPr>
          <w:rFonts w:ascii="Calibri" w:hAnsi="Calibri" w:cs="Calibri"/>
          <w:i/>
          <w:iCs/>
          <w:sz w:val="22"/>
          <w:szCs w:val="22"/>
        </w:rPr>
        <w:t>Uses of Heritage</w:t>
      </w:r>
      <w:r>
        <w:rPr>
          <w:rFonts w:ascii="Calibri" w:hAnsi="Calibri" w:cs="Calibri"/>
          <w:sz w:val="22"/>
          <w:szCs w:val="22"/>
        </w:rPr>
        <w:t>. London; New York, N.Y.: Routledge, 2006.</w:t>
      </w:r>
    </w:p>
    <w:p w14:paraId="527D3624"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Tye</w:t>
      </w:r>
      <w:proofErr w:type="spellEnd"/>
      <w:r>
        <w:rPr>
          <w:rFonts w:ascii="Calibri" w:hAnsi="Calibri" w:cs="Calibri"/>
          <w:sz w:val="22"/>
          <w:szCs w:val="22"/>
        </w:rPr>
        <w:t xml:space="preserve">, Michael. “Qualia.” </w:t>
      </w:r>
      <w:r>
        <w:rPr>
          <w:rFonts w:ascii="Calibri" w:hAnsi="Calibri" w:cs="Calibri"/>
          <w:i/>
          <w:iCs/>
          <w:sz w:val="22"/>
          <w:szCs w:val="22"/>
        </w:rPr>
        <w:t xml:space="preserve">Stanford </w:t>
      </w:r>
      <w:proofErr w:type="spellStart"/>
      <w:r>
        <w:rPr>
          <w:rFonts w:ascii="Calibri" w:hAnsi="Calibri" w:cs="Calibri"/>
          <w:i/>
          <w:iCs/>
          <w:sz w:val="22"/>
          <w:szCs w:val="22"/>
        </w:rPr>
        <w:t>Encyclopedia</w:t>
      </w:r>
      <w:proofErr w:type="spellEnd"/>
      <w:r>
        <w:rPr>
          <w:rFonts w:ascii="Calibri" w:hAnsi="Calibri" w:cs="Calibri"/>
          <w:i/>
          <w:iCs/>
          <w:sz w:val="22"/>
          <w:szCs w:val="22"/>
        </w:rPr>
        <w:t xml:space="preserve"> of Philosophy</w:t>
      </w:r>
      <w:r>
        <w:rPr>
          <w:rFonts w:ascii="Calibri" w:hAnsi="Calibri" w:cs="Calibri"/>
          <w:sz w:val="22"/>
          <w:szCs w:val="22"/>
        </w:rPr>
        <w:t xml:space="preserve"> (Fall 2021 Edition) (2021). https://plato.stanford.edu/archives/fall2021/entries/qualia/.</w:t>
      </w:r>
    </w:p>
    <w:p w14:paraId="2892EBE8"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Urry</w:t>
      </w:r>
      <w:proofErr w:type="spellEnd"/>
      <w:r>
        <w:rPr>
          <w:rFonts w:ascii="Calibri" w:hAnsi="Calibri" w:cs="Calibri"/>
          <w:sz w:val="22"/>
          <w:szCs w:val="22"/>
        </w:rPr>
        <w:t xml:space="preserve">, John. </w:t>
      </w:r>
      <w:r>
        <w:rPr>
          <w:rFonts w:ascii="Calibri" w:hAnsi="Calibri" w:cs="Calibri"/>
          <w:i/>
          <w:iCs/>
          <w:sz w:val="22"/>
          <w:szCs w:val="22"/>
        </w:rPr>
        <w:t>The Tourist Gaze</w:t>
      </w:r>
      <w:r>
        <w:rPr>
          <w:rFonts w:ascii="Calibri" w:hAnsi="Calibri" w:cs="Calibri"/>
          <w:sz w:val="22"/>
          <w:szCs w:val="22"/>
        </w:rPr>
        <w:t>. Second Edition. London: Sage, 2002.</w:t>
      </w:r>
    </w:p>
    <w:p w14:paraId="2770DB2E"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proofErr w:type="spellStart"/>
      <w:r>
        <w:rPr>
          <w:rFonts w:ascii="Calibri" w:hAnsi="Calibri" w:cs="Calibri"/>
          <w:sz w:val="22"/>
          <w:szCs w:val="22"/>
        </w:rPr>
        <w:t>Vagle</w:t>
      </w:r>
      <w:proofErr w:type="spellEnd"/>
      <w:r>
        <w:rPr>
          <w:rFonts w:ascii="Calibri" w:hAnsi="Calibri" w:cs="Calibri"/>
          <w:sz w:val="22"/>
          <w:szCs w:val="22"/>
        </w:rPr>
        <w:t xml:space="preserve">, Mark D. </w:t>
      </w:r>
      <w:r>
        <w:rPr>
          <w:rFonts w:ascii="Calibri" w:hAnsi="Calibri" w:cs="Calibri"/>
          <w:i/>
          <w:iCs/>
          <w:sz w:val="22"/>
          <w:szCs w:val="22"/>
        </w:rPr>
        <w:t>Crafting Phenomenological Research</w:t>
      </w:r>
      <w:r>
        <w:rPr>
          <w:rFonts w:ascii="Calibri" w:hAnsi="Calibri" w:cs="Calibri"/>
          <w:sz w:val="22"/>
          <w:szCs w:val="22"/>
        </w:rPr>
        <w:t>. New York, Ny: Routledge, 2018.</w:t>
      </w:r>
    </w:p>
    <w:p w14:paraId="2F953A85"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Welsh Government. “Planning Policy Wales,” February 2021. https://gov.wales/sites/default/files/publications/2021-02/planning-policy-wales-edition-11_0.pdf.</w:t>
      </w:r>
    </w:p>
    <w:p w14:paraId="0AF2CCBF" w14:textId="77777777" w:rsidR="00857C10" w:rsidRDefault="00857C10" w:rsidP="00857C10">
      <w:pPr>
        <w:pStyle w:val="NormalWeb"/>
        <w:spacing w:before="0" w:beforeAutospacing="0" w:after="0" w:afterAutospacing="0" w:line="360" w:lineRule="auto"/>
        <w:ind w:left="720" w:hanging="720"/>
        <w:rPr>
          <w:rFonts w:ascii="Calibri" w:hAnsi="Calibri" w:cs="Calibri"/>
          <w:sz w:val="22"/>
          <w:szCs w:val="22"/>
        </w:rPr>
      </w:pPr>
      <w:r>
        <w:rPr>
          <w:rFonts w:ascii="Calibri" w:hAnsi="Calibri" w:cs="Calibri"/>
          <w:sz w:val="22"/>
          <w:szCs w:val="22"/>
        </w:rPr>
        <w:t>———. “Planning Policy Wales Technical Advice Note 24: The Historic Environment,” 2017. https://gov.wales/sites/default/files/publications/2018-09/tan24-historic-environment.pdf.</w:t>
      </w:r>
    </w:p>
    <w:p w14:paraId="2BBF592F" w14:textId="1FA5795B" w:rsidR="002365E3" w:rsidRPr="00C01ED6" w:rsidRDefault="002365E3" w:rsidP="002365E3">
      <w:pPr>
        <w:spacing w:line="259" w:lineRule="auto"/>
      </w:pPr>
    </w:p>
    <w:sectPr w:rsidR="002365E3" w:rsidRPr="00C01ED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8378" w14:textId="77777777" w:rsidR="003546D9" w:rsidRDefault="003546D9" w:rsidP="0074222D">
      <w:pPr>
        <w:spacing w:after="0" w:line="240" w:lineRule="auto"/>
      </w:pPr>
      <w:r>
        <w:separator/>
      </w:r>
    </w:p>
  </w:endnote>
  <w:endnote w:type="continuationSeparator" w:id="0">
    <w:p w14:paraId="13C156E9" w14:textId="77777777" w:rsidR="003546D9" w:rsidRDefault="003546D9" w:rsidP="00742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646165"/>
      <w:docPartObj>
        <w:docPartGallery w:val="Page Numbers (Bottom of Page)"/>
        <w:docPartUnique/>
      </w:docPartObj>
    </w:sdtPr>
    <w:sdtEndPr/>
    <w:sdtContent>
      <w:p w14:paraId="0F91480B" w14:textId="62BA8F80" w:rsidR="00B0783F" w:rsidRDefault="00094C3D" w:rsidP="006E176A">
        <w:pPr>
          <w:pStyle w:val="Footer"/>
          <w:pBdr>
            <w:top w:val="single" w:sz="4" w:space="1" w:color="auto"/>
          </w:pBdr>
        </w:pPr>
        <w:r>
          <w:t>18</w:t>
        </w:r>
        <w:r w:rsidR="006E176A">
          <w:t xml:space="preserve"> </w:t>
        </w:r>
        <w:r w:rsidR="000F4B68">
          <w:t xml:space="preserve">December </w:t>
        </w:r>
        <w:r w:rsidR="006E176A">
          <w:t>2022</w:t>
        </w:r>
        <w:r w:rsidR="006E176A">
          <w:ptab w:relativeTo="margin" w:alignment="right" w:leader="none"/>
        </w:r>
        <w:r w:rsidR="006E176A">
          <w:fldChar w:fldCharType="begin"/>
        </w:r>
        <w:r w:rsidR="006E176A">
          <w:instrText>PAGE   \* MERGEFORMAT</w:instrText>
        </w:r>
        <w:r w:rsidR="006E176A">
          <w:fldChar w:fldCharType="separate"/>
        </w:r>
        <w:r w:rsidR="006E176A">
          <w:t>1</w:t>
        </w:r>
        <w:r w:rsidR="006E176A">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6634F" w14:textId="77777777" w:rsidR="003546D9" w:rsidRDefault="003546D9" w:rsidP="0074222D">
      <w:pPr>
        <w:spacing w:after="0" w:line="240" w:lineRule="auto"/>
      </w:pPr>
      <w:r>
        <w:separator/>
      </w:r>
    </w:p>
  </w:footnote>
  <w:footnote w:type="continuationSeparator" w:id="0">
    <w:p w14:paraId="041A8809" w14:textId="77777777" w:rsidR="003546D9" w:rsidRDefault="003546D9" w:rsidP="0074222D">
      <w:pPr>
        <w:spacing w:after="0" w:line="240" w:lineRule="auto"/>
      </w:pPr>
      <w:r>
        <w:continuationSeparator/>
      </w:r>
    </w:p>
  </w:footnote>
  <w:footnote w:id="1">
    <w:p w14:paraId="1DBD04BF" w14:textId="2718100A" w:rsidR="00222CB2" w:rsidRDefault="00222CB2">
      <w:pPr>
        <w:pStyle w:val="FootnoteText"/>
      </w:pPr>
      <w:r>
        <w:rPr>
          <w:rStyle w:val="FootnoteReference"/>
        </w:rPr>
        <w:footnoteRef/>
      </w:r>
      <w:r>
        <w:t xml:space="preserve"> </w:t>
      </w:r>
      <w:r w:rsidRPr="00222CB2">
        <w:t xml:space="preserve">These laws and policies apply within a </w:t>
      </w:r>
      <w:r w:rsidR="00AA22ED">
        <w:t>“</w:t>
      </w:r>
      <w:r w:rsidRPr="00222CB2">
        <w:t>development and planning context</w:t>
      </w:r>
      <w:r w:rsidR="00AA22ED">
        <w:t>”</w:t>
      </w:r>
      <w:r w:rsidRPr="00222CB2">
        <w:t>. This means they apply in situations where a development or activity is proposed which may affect either the fabric or the setting of a heritage asset. These laws are not designed to govern day to day interaction or understanding of heritage assets</w:t>
      </w:r>
      <w:r w:rsidR="001F422E">
        <w:t>,</w:t>
      </w:r>
      <w:r w:rsidRPr="00222CB2">
        <w:t xml:space="preserve"> or sites</w:t>
      </w:r>
      <w:r w:rsidR="001F422E">
        <w:t xml:space="preserve"> such as museums</w:t>
      </w:r>
      <w:r w:rsidRPr="00222CB2">
        <w:t>.</w:t>
      </w:r>
    </w:p>
  </w:footnote>
  <w:footnote w:id="2">
    <w:p w14:paraId="4BF5E5A6" w14:textId="0D899BAC" w:rsidR="006B5C5A" w:rsidRDefault="006B5C5A">
      <w:pPr>
        <w:pStyle w:val="FootnoteText"/>
      </w:pPr>
      <w:r>
        <w:rPr>
          <w:rStyle w:val="FootnoteReference"/>
        </w:rPr>
        <w:footnoteRef/>
      </w:r>
      <w:r>
        <w:t xml:space="preserve"> The</w:t>
      </w:r>
      <w:r w:rsidR="0049761F">
        <w:t xml:space="preserve"> UK</w:t>
      </w:r>
      <w:r>
        <w:t xml:space="preserve"> courts have clarified that where it is found that a development would result in harm to the setting of a listed building, this would trigger a strong presumption against the granting of planning consent, absent powerful overriding considerations. The key recent case which provides caselaw in this matter is Barnwell Manor, especially paragraph 28 of the judgment: </w:t>
      </w:r>
      <w:r w:rsidRPr="002739D8">
        <w:t>Maurice Kay, Jeremy Sullivan, and Anne Rafferty, Barnwell Manor Wind Energy Limited vs East Northamptonshire District Council (Court of Appeal Civil Division February 18, 2014).</w:t>
      </w:r>
    </w:p>
  </w:footnote>
  <w:footnote w:id="3">
    <w:p w14:paraId="1341F863" w14:textId="4E593073" w:rsidR="0080673F" w:rsidRDefault="0080673F">
      <w:pPr>
        <w:pStyle w:val="FootnoteText"/>
      </w:pPr>
      <w:r>
        <w:rPr>
          <w:rStyle w:val="FootnoteReference"/>
        </w:rPr>
        <w:footnoteRef/>
      </w:r>
      <w:r>
        <w:t xml:space="preserve"> </w:t>
      </w:r>
      <w:r w:rsidRPr="0080673F">
        <w:t xml:space="preserve">Ministry of Housing, Communities and Local Government, “National Planning Policy Framework,” July 20, 2021, </w:t>
      </w:r>
      <w:hyperlink r:id="rId1" w:history="1">
        <w:r w:rsidR="00654515" w:rsidRPr="001C7E22">
          <w:rPr>
            <w:rStyle w:val="Hyperlink"/>
          </w:rPr>
          <w:t>www.gov.uk/government/publications</w:t>
        </w:r>
      </w:hyperlink>
      <w:r w:rsidR="00654515">
        <w:t>,</w:t>
      </w:r>
      <w:r>
        <w:t xml:space="preserve"> p. </w:t>
      </w:r>
      <w:r w:rsidR="00397905">
        <w:t>71</w:t>
      </w:r>
      <w:r w:rsidR="00771575">
        <w:t>.</w:t>
      </w:r>
    </w:p>
  </w:footnote>
  <w:footnote w:id="4">
    <w:p w14:paraId="53FE8363" w14:textId="4019807E" w:rsidR="0020638D" w:rsidRDefault="0020638D">
      <w:pPr>
        <w:pStyle w:val="FootnoteText"/>
      </w:pPr>
      <w:r>
        <w:rPr>
          <w:rStyle w:val="FootnoteReference"/>
        </w:rPr>
        <w:footnoteRef/>
      </w:r>
      <w:r>
        <w:t xml:space="preserve"> </w:t>
      </w:r>
      <w:r w:rsidRPr="0020638D">
        <w:t xml:space="preserve">Historic Environment Division, </w:t>
      </w:r>
      <w:r w:rsidRPr="0020638D">
        <w:rPr>
          <w:i/>
          <w:iCs/>
        </w:rPr>
        <w:t>Guidance on Setting and the Historic Environment Historic Environment Division</w:t>
      </w:r>
      <w:r w:rsidRPr="0020638D">
        <w:t xml:space="preserve"> (Belfast: Department for Communities, 2018), </w:t>
      </w:r>
      <w:hyperlink r:id="rId2" w:history="1">
        <w:r w:rsidRPr="0020638D">
          <w:rPr>
            <w:rStyle w:val="Hyperlink"/>
          </w:rPr>
          <w:t>https://www.communities-ni.gov.uk/publications/guidance-setting-and-historic-environment</w:t>
        </w:r>
      </w:hyperlink>
      <w:r>
        <w:t>, p. 7.</w:t>
      </w:r>
    </w:p>
  </w:footnote>
  <w:footnote w:id="5">
    <w:p w14:paraId="13D5834E" w14:textId="5FCF4EE2" w:rsidR="00291888" w:rsidRDefault="00291888">
      <w:pPr>
        <w:pStyle w:val="FootnoteText"/>
      </w:pPr>
      <w:r>
        <w:rPr>
          <w:rStyle w:val="FootnoteReference"/>
        </w:rPr>
        <w:footnoteRef/>
      </w:r>
      <w:r>
        <w:t xml:space="preserve"> </w:t>
      </w:r>
      <w:r w:rsidRPr="00291888">
        <w:t xml:space="preserve">Historic Environment Scotland, </w:t>
      </w:r>
      <w:r w:rsidRPr="00291888">
        <w:rPr>
          <w:i/>
          <w:iCs/>
        </w:rPr>
        <w:t>Managing Change in the Historic Environment: Setting</w:t>
      </w:r>
      <w:r w:rsidRPr="00291888">
        <w:t xml:space="preserve"> (Edinburgh: Historic Environment Scotland, 2016), </w:t>
      </w:r>
      <w:hyperlink r:id="rId3" w:history="1">
        <w:r w:rsidRPr="00291888">
          <w:rPr>
            <w:rStyle w:val="Hyperlink"/>
          </w:rPr>
          <w:t>https://pub-prod-sdk.azurewebsites.net/api/file/3c15b3e9-b447-4b4e-801f-a67800be22c5</w:t>
        </w:r>
      </w:hyperlink>
      <w:r>
        <w:t>, p. 6.</w:t>
      </w:r>
    </w:p>
  </w:footnote>
  <w:footnote w:id="6">
    <w:p w14:paraId="4EF5587A" w14:textId="77777777" w:rsidR="00860B07" w:rsidRDefault="00860B07">
      <w:pPr>
        <w:pStyle w:val="FootnoteText"/>
      </w:pPr>
      <w:r>
        <w:rPr>
          <w:rStyle w:val="FootnoteReference"/>
        </w:rPr>
        <w:footnoteRef/>
      </w:r>
      <w:r>
        <w:t xml:space="preserve"> </w:t>
      </w:r>
      <w:r w:rsidRPr="0074222D">
        <w:t xml:space="preserve">Welsh Government, “Planning Policy Wales Technical Advice Note 24: The Historic Environment,” 2017, </w:t>
      </w:r>
      <w:hyperlink r:id="rId4" w:history="1">
        <w:r w:rsidRPr="0074222D">
          <w:rPr>
            <w:rStyle w:val="Hyperlink"/>
          </w:rPr>
          <w:t>https://gov.wales/sites/default/files/publications/2018-09/tan24-historic-environment.pdf</w:t>
        </w:r>
      </w:hyperlink>
      <w:r>
        <w:t>, p. 10.</w:t>
      </w:r>
    </w:p>
  </w:footnote>
  <w:footnote w:id="7">
    <w:p w14:paraId="5F0A032D" w14:textId="4746BECE" w:rsidR="005E0D02" w:rsidRDefault="005E0D02">
      <w:pPr>
        <w:pStyle w:val="FootnoteText"/>
      </w:pPr>
      <w:r>
        <w:rPr>
          <w:rStyle w:val="FootnoteReference"/>
        </w:rPr>
        <w:footnoteRef/>
      </w:r>
      <w:r>
        <w:t xml:space="preserve"> See, for example p. </w:t>
      </w:r>
      <w:r w:rsidR="00876E7C">
        <w:t xml:space="preserve">4 in </w:t>
      </w:r>
      <w:r w:rsidR="00876E7C" w:rsidRPr="00876E7C">
        <w:t xml:space="preserve">Historic England, </w:t>
      </w:r>
      <w:r w:rsidR="00876E7C" w:rsidRPr="00876E7C">
        <w:rPr>
          <w:i/>
          <w:iCs/>
        </w:rPr>
        <w:t>Historic Environment Good Practice Advice in Planning Note 3 – the Setting of Heritage Assets (Second Edition)</w:t>
      </w:r>
      <w:r w:rsidR="00876E7C" w:rsidRPr="00876E7C">
        <w:t xml:space="preserve"> (London: Historic England, 2017).</w:t>
      </w:r>
    </w:p>
  </w:footnote>
  <w:footnote w:id="8">
    <w:p w14:paraId="75E5893F" w14:textId="31B4AD3F" w:rsidR="000A05CE" w:rsidRDefault="000A05CE">
      <w:pPr>
        <w:pStyle w:val="FootnoteText"/>
      </w:pPr>
      <w:r>
        <w:rPr>
          <w:rStyle w:val="FootnoteReference"/>
        </w:rPr>
        <w:footnoteRef/>
      </w:r>
      <w:r>
        <w:t xml:space="preserve"> </w:t>
      </w:r>
      <w:r w:rsidR="007A55B4" w:rsidRPr="007A55B4">
        <w:t xml:space="preserve">Dawson </w:t>
      </w:r>
      <w:proofErr w:type="spellStart"/>
      <w:r w:rsidR="007A55B4" w:rsidRPr="007A55B4">
        <w:t>Munjeri</w:t>
      </w:r>
      <w:proofErr w:type="spellEnd"/>
      <w:r w:rsidR="007A55B4" w:rsidRPr="007A55B4">
        <w:t xml:space="preserve">, “Tangible and Intangible Heritage: From Difference to Convergence,” </w:t>
      </w:r>
      <w:r w:rsidR="007A55B4" w:rsidRPr="007A55B4">
        <w:rPr>
          <w:i/>
          <w:iCs/>
        </w:rPr>
        <w:t>Museum International</w:t>
      </w:r>
      <w:r w:rsidR="007A55B4" w:rsidRPr="007A55B4">
        <w:t xml:space="preserve"> 56, no. 1-2 (May 2004): 12–20, https://doi.org/</w:t>
      </w:r>
      <w:hyperlink r:id="rId5" w:history="1">
        <w:r w:rsidR="007A55B4" w:rsidRPr="007A55B4">
          <w:rPr>
            <w:rStyle w:val="Hyperlink"/>
          </w:rPr>
          <w:t>10.1111/j.1350-0775.2004.00453.x</w:t>
        </w:r>
      </w:hyperlink>
      <w:r w:rsidR="007A55B4" w:rsidRPr="007A55B4">
        <w:t>.</w:t>
      </w:r>
    </w:p>
  </w:footnote>
  <w:footnote w:id="9">
    <w:p w14:paraId="0D5BCB7F" w14:textId="6CC2DDB8" w:rsidR="00091AB2" w:rsidRDefault="00091AB2">
      <w:pPr>
        <w:pStyle w:val="FootnoteText"/>
      </w:pPr>
      <w:r>
        <w:rPr>
          <w:rStyle w:val="FootnoteReference"/>
        </w:rPr>
        <w:footnoteRef/>
      </w:r>
      <w:r>
        <w:t xml:space="preserve"> </w:t>
      </w:r>
      <w:r w:rsidRPr="00091AB2">
        <w:t xml:space="preserve">Michael </w:t>
      </w:r>
      <w:proofErr w:type="spellStart"/>
      <w:r w:rsidRPr="00091AB2">
        <w:t>Tye</w:t>
      </w:r>
      <w:proofErr w:type="spellEnd"/>
      <w:r w:rsidRPr="00091AB2">
        <w:t xml:space="preserve">, “Qualia,” </w:t>
      </w:r>
      <w:r w:rsidRPr="00091AB2">
        <w:rPr>
          <w:i/>
          <w:iCs/>
        </w:rPr>
        <w:t xml:space="preserve">Stanford </w:t>
      </w:r>
      <w:proofErr w:type="spellStart"/>
      <w:r w:rsidRPr="00091AB2">
        <w:rPr>
          <w:i/>
          <w:iCs/>
        </w:rPr>
        <w:t>Encyclopedia</w:t>
      </w:r>
      <w:proofErr w:type="spellEnd"/>
      <w:r w:rsidRPr="00091AB2">
        <w:rPr>
          <w:i/>
          <w:iCs/>
        </w:rPr>
        <w:t xml:space="preserve"> of Philosophy</w:t>
      </w:r>
      <w:r w:rsidRPr="00091AB2">
        <w:t xml:space="preserve"> (Fall 2021 Edition) (2021), </w:t>
      </w:r>
      <w:hyperlink r:id="rId6" w:history="1">
        <w:r w:rsidRPr="00091AB2">
          <w:rPr>
            <w:rStyle w:val="Hyperlink"/>
          </w:rPr>
          <w:t>https://plato.stanford.edu/archives/fall2021/entries/qualia/</w:t>
        </w:r>
      </w:hyperlink>
      <w:r w:rsidRPr="00091AB2">
        <w:t>.</w:t>
      </w:r>
    </w:p>
  </w:footnote>
  <w:footnote w:id="10">
    <w:p w14:paraId="4E658665" w14:textId="0AC0DB00" w:rsidR="00DB1438" w:rsidRDefault="00DB1438">
      <w:pPr>
        <w:pStyle w:val="FootnoteText"/>
      </w:pPr>
      <w:r>
        <w:rPr>
          <w:rStyle w:val="FootnoteReference"/>
        </w:rPr>
        <w:footnoteRef/>
      </w:r>
      <w:r>
        <w:t xml:space="preserve"> </w:t>
      </w:r>
      <w:r w:rsidRPr="00DB1438">
        <w:t xml:space="preserve">Gary Hatfield, “Sense Data,” in </w:t>
      </w:r>
      <w:r w:rsidRPr="00DB1438">
        <w:rPr>
          <w:i/>
          <w:iCs/>
        </w:rPr>
        <w:t xml:space="preserve">The Stanford </w:t>
      </w:r>
      <w:proofErr w:type="spellStart"/>
      <w:r w:rsidRPr="00DB1438">
        <w:rPr>
          <w:i/>
          <w:iCs/>
        </w:rPr>
        <w:t>Encyclopedia</w:t>
      </w:r>
      <w:proofErr w:type="spellEnd"/>
      <w:r w:rsidRPr="00DB1438">
        <w:rPr>
          <w:i/>
          <w:iCs/>
        </w:rPr>
        <w:t xml:space="preserve"> of Philosophy</w:t>
      </w:r>
      <w:r w:rsidRPr="00DB1438">
        <w:t xml:space="preserve">, ed. Edward N. </w:t>
      </w:r>
      <w:proofErr w:type="spellStart"/>
      <w:r w:rsidRPr="00DB1438">
        <w:t>Zalta</w:t>
      </w:r>
      <w:proofErr w:type="spellEnd"/>
      <w:r w:rsidRPr="00DB1438">
        <w:t xml:space="preserve"> (Stanford, CA: The Metaphysics Research Lab, Philosophy Department, Stanford University, August 19, 2021), </w:t>
      </w:r>
      <w:hyperlink r:id="rId7" w:history="1">
        <w:r w:rsidRPr="00DB1438">
          <w:rPr>
            <w:rStyle w:val="Hyperlink"/>
          </w:rPr>
          <w:t>https://plato.stanford.edu/archives/fall2021/entries/sense-data/</w:t>
        </w:r>
      </w:hyperlink>
      <w:r w:rsidRPr="00DB1438">
        <w:t>.</w:t>
      </w:r>
    </w:p>
  </w:footnote>
  <w:footnote w:id="11">
    <w:p w14:paraId="47D05D12" w14:textId="1676C20F" w:rsidR="00321715" w:rsidRDefault="00321715">
      <w:pPr>
        <w:pStyle w:val="FootnoteText"/>
      </w:pPr>
      <w:r>
        <w:rPr>
          <w:rStyle w:val="FootnoteReference"/>
        </w:rPr>
        <w:footnoteRef/>
      </w:r>
      <w:r>
        <w:t xml:space="preserve"> </w:t>
      </w:r>
      <w:r w:rsidR="003B458F">
        <w:t xml:space="preserve">For an overview of current philosophical debates on </w:t>
      </w:r>
      <w:r w:rsidR="00582DA1">
        <w:t>human perception see</w:t>
      </w:r>
      <w:r w:rsidR="00E973E6">
        <w:t>:</w:t>
      </w:r>
      <w:r w:rsidR="00582DA1">
        <w:t xml:space="preserve"> </w:t>
      </w:r>
      <w:r w:rsidR="003B458F" w:rsidRPr="003B458F">
        <w:t xml:space="preserve">Tim Crane and Craig French, “The Problem of Perception,” in </w:t>
      </w:r>
      <w:r w:rsidR="003B458F" w:rsidRPr="003B458F">
        <w:rPr>
          <w:i/>
          <w:iCs/>
        </w:rPr>
        <w:t xml:space="preserve">The Stanford </w:t>
      </w:r>
      <w:proofErr w:type="spellStart"/>
      <w:r w:rsidR="003B458F" w:rsidRPr="003B458F">
        <w:rPr>
          <w:i/>
          <w:iCs/>
        </w:rPr>
        <w:t>Encyclopedia</w:t>
      </w:r>
      <w:proofErr w:type="spellEnd"/>
      <w:r w:rsidR="003B458F" w:rsidRPr="003B458F">
        <w:rPr>
          <w:i/>
          <w:iCs/>
        </w:rPr>
        <w:t xml:space="preserve"> of Philosophy</w:t>
      </w:r>
      <w:r w:rsidR="003B458F" w:rsidRPr="003B458F">
        <w:t xml:space="preserve">, ed. Edward N. </w:t>
      </w:r>
      <w:proofErr w:type="spellStart"/>
      <w:r w:rsidR="003B458F" w:rsidRPr="003B458F">
        <w:t>Zalta</w:t>
      </w:r>
      <w:proofErr w:type="spellEnd"/>
      <w:r w:rsidR="003B458F" w:rsidRPr="003B458F">
        <w:t xml:space="preserve"> (Stanford, CA: The Metaphysics Research Lab, Philosophy Department, Stanford University, 2021), </w:t>
      </w:r>
      <w:hyperlink r:id="rId8" w:history="1">
        <w:r w:rsidR="003B458F" w:rsidRPr="003B458F">
          <w:rPr>
            <w:rStyle w:val="Hyperlink"/>
          </w:rPr>
          <w:t>https://plato.stanford.edu/archives/fall2021/entries/perception-problem/</w:t>
        </w:r>
      </w:hyperlink>
      <w:r w:rsidR="003B458F" w:rsidRPr="003B458F">
        <w:t>.</w:t>
      </w:r>
    </w:p>
  </w:footnote>
  <w:footnote w:id="12">
    <w:p w14:paraId="358305BA" w14:textId="3AC2ED33" w:rsidR="00F7649D" w:rsidRDefault="00F7649D">
      <w:pPr>
        <w:pStyle w:val="FootnoteText"/>
      </w:pPr>
      <w:r>
        <w:rPr>
          <w:rStyle w:val="FootnoteReference"/>
        </w:rPr>
        <w:footnoteRef/>
      </w:r>
      <w:r>
        <w:t xml:space="preserve"> </w:t>
      </w:r>
      <w:r w:rsidR="001E3E43" w:rsidRPr="001E3E43">
        <w:t xml:space="preserve">Iain </w:t>
      </w:r>
      <w:proofErr w:type="spellStart"/>
      <w:r w:rsidR="001E3E43" w:rsidRPr="001E3E43">
        <w:t>Mcgilchrist</w:t>
      </w:r>
      <w:proofErr w:type="spellEnd"/>
      <w:r w:rsidR="001E3E43" w:rsidRPr="001E3E43">
        <w:t xml:space="preserve">, </w:t>
      </w:r>
      <w:r w:rsidR="001E3E43" w:rsidRPr="001E3E43">
        <w:rPr>
          <w:i/>
          <w:iCs/>
        </w:rPr>
        <w:t>MASTER and HIS EMISSARY : The Divided Brain and the Making of the Western World.</w:t>
      </w:r>
      <w:r w:rsidR="001E3E43" w:rsidRPr="001E3E43">
        <w:t xml:space="preserve"> (2009; </w:t>
      </w:r>
      <w:proofErr w:type="spellStart"/>
      <w:r w:rsidR="001E3E43" w:rsidRPr="001E3E43">
        <w:t>repr</w:t>
      </w:r>
      <w:proofErr w:type="spellEnd"/>
      <w:r w:rsidR="001E3E43" w:rsidRPr="001E3E43">
        <w:t>., Yale University Press, 2010)</w:t>
      </w:r>
      <w:r w:rsidR="001E3E43">
        <w:t>, p 133.</w:t>
      </w:r>
    </w:p>
  </w:footnote>
  <w:footnote w:id="13">
    <w:p w14:paraId="41E62479" w14:textId="05C3E8B0" w:rsidR="00333C2F" w:rsidRDefault="00333C2F">
      <w:pPr>
        <w:pStyle w:val="FootnoteText"/>
      </w:pPr>
      <w:r>
        <w:rPr>
          <w:rStyle w:val="FootnoteReference"/>
        </w:rPr>
        <w:footnoteRef/>
      </w:r>
      <w:r>
        <w:t xml:space="preserve"> </w:t>
      </w:r>
      <w:r w:rsidRPr="00333C2F">
        <w:t xml:space="preserve">Historic England, </w:t>
      </w:r>
      <w:r w:rsidRPr="00333C2F">
        <w:rPr>
          <w:i/>
          <w:iCs/>
        </w:rPr>
        <w:t>Historic Environment Good Practice Advice in Planning Note 3 – the Setting of Heritage Assets (Second Edition)</w:t>
      </w:r>
      <w:r w:rsidRPr="00333C2F">
        <w:t xml:space="preserve"> (London: Historic England, 2017)</w:t>
      </w:r>
      <w:r>
        <w:t>, p. 11.</w:t>
      </w:r>
    </w:p>
  </w:footnote>
  <w:footnote w:id="14">
    <w:p w14:paraId="47A2F6D3" w14:textId="0CF9E35F" w:rsidR="009B0DA1" w:rsidRDefault="009B0DA1">
      <w:pPr>
        <w:pStyle w:val="FootnoteText"/>
      </w:pPr>
      <w:r>
        <w:rPr>
          <w:rStyle w:val="FootnoteReference"/>
        </w:rPr>
        <w:footnoteRef/>
      </w:r>
      <w:r>
        <w:t xml:space="preserve"> </w:t>
      </w:r>
      <w:r w:rsidRPr="009B0DA1">
        <w:t xml:space="preserve">Marwa Ahmed, “The Heritage Dimension of Planning Applications” (London: Historic England, 2018), </w:t>
      </w:r>
      <w:hyperlink r:id="rId9" w:history="1">
        <w:r w:rsidRPr="009B0DA1">
          <w:rPr>
            <w:rStyle w:val="Hyperlink"/>
          </w:rPr>
          <w:t>https://historicengland.org.uk/research/current/planning-research/</w:t>
        </w:r>
      </w:hyperlink>
      <w:r w:rsidRPr="009B0DA1">
        <w:t>.</w:t>
      </w:r>
    </w:p>
  </w:footnote>
  <w:footnote w:id="15">
    <w:p w14:paraId="7966A851" w14:textId="745B1956" w:rsidR="007543B9" w:rsidRDefault="007543B9" w:rsidP="007543B9">
      <w:pPr>
        <w:pStyle w:val="FootnoteText"/>
      </w:pPr>
      <w:r>
        <w:rPr>
          <w:rStyle w:val="FootnoteReference"/>
        </w:rPr>
        <w:footnoteRef/>
      </w:r>
      <w:r>
        <w:t xml:space="preserve"> </w:t>
      </w:r>
      <w:r w:rsidR="00F95A8D">
        <w:t xml:space="preserve">See for example: </w:t>
      </w:r>
      <w:r w:rsidRPr="00F26D3D">
        <w:t>Ching-Fu Chen and Fu-</w:t>
      </w:r>
      <w:proofErr w:type="spellStart"/>
      <w:r w:rsidRPr="00F26D3D">
        <w:t>Shian</w:t>
      </w:r>
      <w:proofErr w:type="spellEnd"/>
      <w:r w:rsidRPr="00F26D3D">
        <w:t xml:space="preserve"> Chen, “Experience Quality, Perceived Value, Satisfaction and </w:t>
      </w:r>
      <w:proofErr w:type="spellStart"/>
      <w:r w:rsidRPr="00F26D3D">
        <w:t>Behavioral</w:t>
      </w:r>
      <w:proofErr w:type="spellEnd"/>
      <w:r w:rsidRPr="00F26D3D">
        <w:t xml:space="preserve"> Intentions for Heritage Tourists,” </w:t>
      </w:r>
      <w:r w:rsidRPr="00F26D3D">
        <w:rPr>
          <w:i/>
          <w:iCs/>
        </w:rPr>
        <w:t>Tourism Management</w:t>
      </w:r>
      <w:r w:rsidRPr="00F26D3D">
        <w:t xml:space="preserve"> 31, no. 1 (February 2010): 29–35, https://doi.org/</w:t>
      </w:r>
      <w:r w:rsidRPr="009A0561">
        <w:t>10.1016/j.tourman.2009.02.008</w:t>
      </w:r>
      <w:r w:rsidRPr="00F26D3D">
        <w:t>.</w:t>
      </w:r>
    </w:p>
  </w:footnote>
  <w:footnote w:id="16">
    <w:p w14:paraId="1E7F10FA" w14:textId="2964AA8E" w:rsidR="00B554F1" w:rsidRDefault="00B554F1">
      <w:pPr>
        <w:pStyle w:val="FootnoteText"/>
      </w:pPr>
      <w:r>
        <w:rPr>
          <w:rStyle w:val="FootnoteReference"/>
        </w:rPr>
        <w:footnoteRef/>
      </w:r>
      <w:r>
        <w:t xml:space="preserve"> </w:t>
      </w:r>
      <w:proofErr w:type="spellStart"/>
      <w:r w:rsidR="00E370F5" w:rsidRPr="00E370F5">
        <w:t>Laurajane</w:t>
      </w:r>
      <w:proofErr w:type="spellEnd"/>
      <w:r w:rsidR="00E370F5" w:rsidRPr="00E370F5">
        <w:t xml:space="preserve"> Smith, </w:t>
      </w:r>
      <w:r w:rsidR="00E370F5" w:rsidRPr="00E370F5">
        <w:rPr>
          <w:i/>
          <w:iCs/>
        </w:rPr>
        <w:t>Uses of Heritage</w:t>
      </w:r>
      <w:r w:rsidR="00E370F5" w:rsidRPr="00E370F5">
        <w:t xml:space="preserve"> (London; New York, N.Y.: Routledge, 2006)</w:t>
      </w:r>
      <w:r w:rsidR="00E370F5">
        <w:t>, 195-275.</w:t>
      </w:r>
    </w:p>
  </w:footnote>
  <w:footnote w:id="17">
    <w:p w14:paraId="1F10A2F4" w14:textId="61D0BB1D" w:rsidR="0065301E" w:rsidRDefault="0065301E">
      <w:pPr>
        <w:pStyle w:val="FootnoteText"/>
      </w:pPr>
      <w:r>
        <w:rPr>
          <w:rStyle w:val="FootnoteReference"/>
        </w:rPr>
        <w:footnoteRef/>
      </w:r>
      <w:r>
        <w:t xml:space="preserve"> Ibid.</w:t>
      </w:r>
    </w:p>
  </w:footnote>
  <w:footnote w:id="18">
    <w:p w14:paraId="397AF7E3" w14:textId="732A8027" w:rsidR="00C04A1C" w:rsidRDefault="00C04A1C">
      <w:pPr>
        <w:pStyle w:val="FootnoteText"/>
      </w:pPr>
      <w:r>
        <w:rPr>
          <w:rStyle w:val="FootnoteReference"/>
        </w:rPr>
        <w:footnoteRef/>
      </w:r>
      <w:r>
        <w:t xml:space="preserve"> </w:t>
      </w:r>
      <w:r w:rsidR="00580B6F" w:rsidRPr="00580B6F">
        <w:t xml:space="preserve">Brian E. Neubauer, Catherine T. Witkop, and Lara </w:t>
      </w:r>
      <w:proofErr w:type="spellStart"/>
      <w:r w:rsidR="00580B6F" w:rsidRPr="00580B6F">
        <w:t>Varpio</w:t>
      </w:r>
      <w:proofErr w:type="spellEnd"/>
      <w:r w:rsidR="00580B6F" w:rsidRPr="00580B6F">
        <w:t xml:space="preserve">, “How Phenomenology Can Help Us Learn from the Experiences of Others,” </w:t>
      </w:r>
      <w:r w:rsidR="00580B6F" w:rsidRPr="00580B6F">
        <w:rPr>
          <w:i/>
          <w:iCs/>
        </w:rPr>
        <w:t>Perspectives on Medical Education</w:t>
      </w:r>
      <w:r w:rsidR="00580B6F" w:rsidRPr="00580B6F">
        <w:t xml:space="preserve"> 8, no. 2 (April 5, 2019): 9</w:t>
      </w:r>
      <w:r w:rsidR="00580B6F">
        <w:t>1</w:t>
      </w:r>
      <w:r w:rsidR="00580B6F" w:rsidRPr="00580B6F">
        <w:t>, https://doi.org/</w:t>
      </w:r>
      <w:hyperlink r:id="rId10" w:history="1">
        <w:r w:rsidR="00580B6F" w:rsidRPr="00580B6F">
          <w:rPr>
            <w:rStyle w:val="Hyperlink"/>
          </w:rPr>
          <w:t>10.1007/s40037-019-0509-2</w:t>
        </w:r>
      </w:hyperlink>
      <w:r w:rsidR="00580B6F" w:rsidRPr="00580B6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64AE" w14:textId="28E4A1EB" w:rsidR="00B0783F" w:rsidRDefault="00B0783F" w:rsidP="006E176A">
    <w:pPr>
      <w:pStyle w:val="Header"/>
      <w:pBdr>
        <w:bottom w:val="single" w:sz="4" w:space="1" w:color="auto"/>
      </w:pBdr>
    </w:pPr>
    <w:r>
      <w:t>William Bedford</w:t>
    </w:r>
    <w:r>
      <w:ptab w:relativeTo="margin" w:alignment="right" w:leader="none"/>
    </w:r>
    <w:r w:rsidRPr="00F8512B">
      <w:t xml:space="preserve"> 2221244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D4F7F"/>
    <w:multiLevelType w:val="hybridMultilevel"/>
    <w:tmpl w:val="9D5AF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657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843"/>
    <w:rsid w:val="0000101B"/>
    <w:rsid w:val="00004CCA"/>
    <w:rsid w:val="000134CB"/>
    <w:rsid w:val="0001672B"/>
    <w:rsid w:val="0002335F"/>
    <w:rsid w:val="000276A9"/>
    <w:rsid w:val="00034C69"/>
    <w:rsid w:val="00040B8C"/>
    <w:rsid w:val="0006399B"/>
    <w:rsid w:val="00075413"/>
    <w:rsid w:val="00084335"/>
    <w:rsid w:val="00091AB2"/>
    <w:rsid w:val="00094C3D"/>
    <w:rsid w:val="000A05CE"/>
    <w:rsid w:val="000B1677"/>
    <w:rsid w:val="000B27C1"/>
    <w:rsid w:val="000B6EFC"/>
    <w:rsid w:val="000C471D"/>
    <w:rsid w:val="000F4B68"/>
    <w:rsid w:val="000F714C"/>
    <w:rsid w:val="001022CD"/>
    <w:rsid w:val="00113269"/>
    <w:rsid w:val="00116796"/>
    <w:rsid w:val="00116F48"/>
    <w:rsid w:val="00117600"/>
    <w:rsid w:val="00117BB1"/>
    <w:rsid w:val="00130A42"/>
    <w:rsid w:val="00130E81"/>
    <w:rsid w:val="001355D2"/>
    <w:rsid w:val="001359EF"/>
    <w:rsid w:val="001413A2"/>
    <w:rsid w:val="001444B7"/>
    <w:rsid w:val="00147BF8"/>
    <w:rsid w:val="001529F7"/>
    <w:rsid w:val="00153AA7"/>
    <w:rsid w:val="00154ED4"/>
    <w:rsid w:val="00172882"/>
    <w:rsid w:val="001752EA"/>
    <w:rsid w:val="00176755"/>
    <w:rsid w:val="0019014E"/>
    <w:rsid w:val="00193D14"/>
    <w:rsid w:val="001967DC"/>
    <w:rsid w:val="00196A97"/>
    <w:rsid w:val="001B1C4E"/>
    <w:rsid w:val="001C277E"/>
    <w:rsid w:val="001E1715"/>
    <w:rsid w:val="001E2515"/>
    <w:rsid w:val="001E3E43"/>
    <w:rsid w:val="001F422E"/>
    <w:rsid w:val="0020638D"/>
    <w:rsid w:val="00207494"/>
    <w:rsid w:val="00211F49"/>
    <w:rsid w:val="00222CB2"/>
    <w:rsid w:val="002365E3"/>
    <w:rsid w:val="0024772C"/>
    <w:rsid w:val="00261913"/>
    <w:rsid w:val="002739D8"/>
    <w:rsid w:val="00274F0F"/>
    <w:rsid w:val="00280085"/>
    <w:rsid w:val="00291888"/>
    <w:rsid w:val="0029471D"/>
    <w:rsid w:val="002A1B7B"/>
    <w:rsid w:val="002A52D7"/>
    <w:rsid w:val="002B1872"/>
    <w:rsid w:val="002B7B18"/>
    <w:rsid w:val="002C504F"/>
    <w:rsid w:val="002C62CE"/>
    <w:rsid w:val="002D555A"/>
    <w:rsid w:val="002F60FE"/>
    <w:rsid w:val="00302B9D"/>
    <w:rsid w:val="003049C3"/>
    <w:rsid w:val="00307524"/>
    <w:rsid w:val="0031049D"/>
    <w:rsid w:val="00314471"/>
    <w:rsid w:val="00317628"/>
    <w:rsid w:val="00321715"/>
    <w:rsid w:val="003256B6"/>
    <w:rsid w:val="0032596B"/>
    <w:rsid w:val="00330161"/>
    <w:rsid w:val="003306DA"/>
    <w:rsid w:val="00332F49"/>
    <w:rsid w:val="00333C2F"/>
    <w:rsid w:val="00342FCC"/>
    <w:rsid w:val="003440BA"/>
    <w:rsid w:val="003520A6"/>
    <w:rsid w:val="00353E4E"/>
    <w:rsid w:val="003546D9"/>
    <w:rsid w:val="00357148"/>
    <w:rsid w:val="003765F6"/>
    <w:rsid w:val="00376BF8"/>
    <w:rsid w:val="0038432B"/>
    <w:rsid w:val="003900B2"/>
    <w:rsid w:val="00392791"/>
    <w:rsid w:val="00397905"/>
    <w:rsid w:val="003B458F"/>
    <w:rsid w:val="003C5F42"/>
    <w:rsid w:val="003D0A48"/>
    <w:rsid w:val="003D15F9"/>
    <w:rsid w:val="003D723E"/>
    <w:rsid w:val="003E0BD8"/>
    <w:rsid w:val="003E1887"/>
    <w:rsid w:val="003E398C"/>
    <w:rsid w:val="003E7414"/>
    <w:rsid w:val="003F53E3"/>
    <w:rsid w:val="003F65E8"/>
    <w:rsid w:val="003F7F49"/>
    <w:rsid w:val="00411523"/>
    <w:rsid w:val="00417C77"/>
    <w:rsid w:val="00426A54"/>
    <w:rsid w:val="00435E25"/>
    <w:rsid w:val="00463DF7"/>
    <w:rsid w:val="00470BD5"/>
    <w:rsid w:val="0047359B"/>
    <w:rsid w:val="0047507E"/>
    <w:rsid w:val="0047675F"/>
    <w:rsid w:val="004908E8"/>
    <w:rsid w:val="0049761F"/>
    <w:rsid w:val="004A7C1B"/>
    <w:rsid w:val="004C28F1"/>
    <w:rsid w:val="004C45DD"/>
    <w:rsid w:val="004D345F"/>
    <w:rsid w:val="004D3496"/>
    <w:rsid w:val="004F0B96"/>
    <w:rsid w:val="004F574C"/>
    <w:rsid w:val="005010B4"/>
    <w:rsid w:val="00517127"/>
    <w:rsid w:val="00527BD7"/>
    <w:rsid w:val="00540AC3"/>
    <w:rsid w:val="005423DF"/>
    <w:rsid w:val="005428EE"/>
    <w:rsid w:val="0054615C"/>
    <w:rsid w:val="005466B3"/>
    <w:rsid w:val="00546727"/>
    <w:rsid w:val="005501A7"/>
    <w:rsid w:val="0056156A"/>
    <w:rsid w:val="0056770D"/>
    <w:rsid w:val="00570C04"/>
    <w:rsid w:val="005718CD"/>
    <w:rsid w:val="00580B6F"/>
    <w:rsid w:val="0058130A"/>
    <w:rsid w:val="00582DA1"/>
    <w:rsid w:val="00587C5D"/>
    <w:rsid w:val="005A348C"/>
    <w:rsid w:val="005A5727"/>
    <w:rsid w:val="005B3861"/>
    <w:rsid w:val="005C3E41"/>
    <w:rsid w:val="005E0D02"/>
    <w:rsid w:val="005F0546"/>
    <w:rsid w:val="005F0D4C"/>
    <w:rsid w:val="005F3A34"/>
    <w:rsid w:val="005F7139"/>
    <w:rsid w:val="00600AB8"/>
    <w:rsid w:val="00602921"/>
    <w:rsid w:val="006150C1"/>
    <w:rsid w:val="006156CE"/>
    <w:rsid w:val="00617D13"/>
    <w:rsid w:val="00621EFC"/>
    <w:rsid w:val="00623A53"/>
    <w:rsid w:val="006318DB"/>
    <w:rsid w:val="006324E5"/>
    <w:rsid w:val="00641ED2"/>
    <w:rsid w:val="00644DDF"/>
    <w:rsid w:val="00650175"/>
    <w:rsid w:val="0065301E"/>
    <w:rsid w:val="0065367B"/>
    <w:rsid w:val="00654515"/>
    <w:rsid w:val="00657CEC"/>
    <w:rsid w:val="00666512"/>
    <w:rsid w:val="00674470"/>
    <w:rsid w:val="006807C1"/>
    <w:rsid w:val="006818E0"/>
    <w:rsid w:val="00691004"/>
    <w:rsid w:val="006B0E0E"/>
    <w:rsid w:val="006B2FBE"/>
    <w:rsid w:val="006B5C5A"/>
    <w:rsid w:val="006B5E50"/>
    <w:rsid w:val="006C7A16"/>
    <w:rsid w:val="006D1D5E"/>
    <w:rsid w:val="006E176A"/>
    <w:rsid w:val="006E395B"/>
    <w:rsid w:val="006F4C57"/>
    <w:rsid w:val="007131E1"/>
    <w:rsid w:val="00714594"/>
    <w:rsid w:val="00721229"/>
    <w:rsid w:val="0073057F"/>
    <w:rsid w:val="00733298"/>
    <w:rsid w:val="0073651E"/>
    <w:rsid w:val="0073678A"/>
    <w:rsid w:val="0074222D"/>
    <w:rsid w:val="00742817"/>
    <w:rsid w:val="00752248"/>
    <w:rsid w:val="007543B9"/>
    <w:rsid w:val="00755AEB"/>
    <w:rsid w:val="00763865"/>
    <w:rsid w:val="00764073"/>
    <w:rsid w:val="00766329"/>
    <w:rsid w:val="00771575"/>
    <w:rsid w:val="007773AB"/>
    <w:rsid w:val="00792CA1"/>
    <w:rsid w:val="00792ED6"/>
    <w:rsid w:val="0079366C"/>
    <w:rsid w:val="007952E2"/>
    <w:rsid w:val="00797CDF"/>
    <w:rsid w:val="007A267E"/>
    <w:rsid w:val="007A55B4"/>
    <w:rsid w:val="007A752A"/>
    <w:rsid w:val="007B532A"/>
    <w:rsid w:val="007C1553"/>
    <w:rsid w:val="007C60CC"/>
    <w:rsid w:val="007D0272"/>
    <w:rsid w:val="007E19AF"/>
    <w:rsid w:val="007E5DDE"/>
    <w:rsid w:val="00805D44"/>
    <w:rsid w:val="00805EA5"/>
    <w:rsid w:val="00806282"/>
    <w:rsid w:val="0080673F"/>
    <w:rsid w:val="008122B7"/>
    <w:rsid w:val="00812542"/>
    <w:rsid w:val="00814AAC"/>
    <w:rsid w:val="00824DBE"/>
    <w:rsid w:val="00825C62"/>
    <w:rsid w:val="00834DDC"/>
    <w:rsid w:val="008378FF"/>
    <w:rsid w:val="0084369A"/>
    <w:rsid w:val="00843E58"/>
    <w:rsid w:val="0085418B"/>
    <w:rsid w:val="00857C10"/>
    <w:rsid w:val="00860B07"/>
    <w:rsid w:val="00870C45"/>
    <w:rsid w:val="00876E7C"/>
    <w:rsid w:val="0088061A"/>
    <w:rsid w:val="00897A6B"/>
    <w:rsid w:val="008A4292"/>
    <w:rsid w:val="008B3761"/>
    <w:rsid w:val="008B7FA3"/>
    <w:rsid w:val="008C21A0"/>
    <w:rsid w:val="008C6FC3"/>
    <w:rsid w:val="008D2B9C"/>
    <w:rsid w:val="008D2EDA"/>
    <w:rsid w:val="008E366F"/>
    <w:rsid w:val="008F16D7"/>
    <w:rsid w:val="008F6678"/>
    <w:rsid w:val="00904901"/>
    <w:rsid w:val="009122EA"/>
    <w:rsid w:val="00912BEC"/>
    <w:rsid w:val="00914585"/>
    <w:rsid w:val="009170CD"/>
    <w:rsid w:val="0092593D"/>
    <w:rsid w:val="00936168"/>
    <w:rsid w:val="00937440"/>
    <w:rsid w:val="009465E4"/>
    <w:rsid w:val="00947D32"/>
    <w:rsid w:val="00955343"/>
    <w:rsid w:val="00967723"/>
    <w:rsid w:val="00967862"/>
    <w:rsid w:val="00971CC2"/>
    <w:rsid w:val="00984765"/>
    <w:rsid w:val="00993D80"/>
    <w:rsid w:val="009A7019"/>
    <w:rsid w:val="009B0DA1"/>
    <w:rsid w:val="009B54EB"/>
    <w:rsid w:val="009D21A0"/>
    <w:rsid w:val="009D28CA"/>
    <w:rsid w:val="009F0943"/>
    <w:rsid w:val="009F0C95"/>
    <w:rsid w:val="009F4DA3"/>
    <w:rsid w:val="009F570D"/>
    <w:rsid w:val="00A00517"/>
    <w:rsid w:val="00A0082B"/>
    <w:rsid w:val="00A06E20"/>
    <w:rsid w:val="00A07B36"/>
    <w:rsid w:val="00A2340E"/>
    <w:rsid w:val="00A25351"/>
    <w:rsid w:val="00A3375D"/>
    <w:rsid w:val="00A448E0"/>
    <w:rsid w:val="00A44CE2"/>
    <w:rsid w:val="00A476BA"/>
    <w:rsid w:val="00A548A2"/>
    <w:rsid w:val="00A5768D"/>
    <w:rsid w:val="00A67D15"/>
    <w:rsid w:val="00A8369F"/>
    <w:rsid w:val="00A869FE"/>
    <w:rsid w:val="00A90FBA"/>
    <w:rsid w:val="00A91156"/>
    <w:rsid w:val="00A9196C"/>
    <w:rsid w:val="00A965AE"/>
    <w:rsid w:val="00A9794D"/>
    <w:rsid w:val="00AA0DC7"/>
    <w:rsid w:val="00AA22ED"/>
    <w:rsid w:val="00AA4B5A"/>
    <w:rsid w:val="00AA523D"/>
    <w:rsid w:val="00AB17B2"/>
    <w:rsid w:val="00AB5E50"/>
    <w:rsid w:val="00AB7947"/>
    <w:rsid w:val="00AB7C0F"/>
    <w:rsid w:val="00AE5073"/>
    <w:rsid w:val="00AE7FAA"/>
    <w:rsid w:val="00AF08A5"/>
    <w:rsid w:val="00AF2A47"/>
    <w:rsid w:val="00B04757"/>
    <w:rsid w:val="00B0783F"/>
    <w:rsid w:val="00B1015F"/>
    <w:rsid w:val="00B159E0"/>
    <w:rsid w:val="00B20214"/>
    <w:rsid w:val="00B231B1"/>
    <w:rsid w:val="00B23A99"/>
    <w:rsid w:val="00B307C5"/>
    <w:rsid w:val="00B40597"/>
    <w:rsid w:val="00B52193"/>
    <w:rsid w:val="00B554F1"/>
    <w:rsid w:val="00B607A7"/>
    <w:rsid w:val="00B62BA5"/>
    <w:rsid w:val="00B6491F"/>
    <w:rsid w:val="00B710B8"/>
    <w:rsid w:val="00B737D6"/>
    <w:rsid w:val="00B76122"/>
    <w:rsid w:val="00B81D87"/>
    <w:rsid w:val="00B8370F"/>
    <w:rsid w:val="00BB391F"/>
    <w:rsid w:val="00BB7973"/>
    <w:rsid w:val="00BC1615"/>
    <w:rsid w:val="00BC396B"/>
    <w:rsid w:val="00BD63B4"/>
    <w:rsid w:val="00BE3886"/>
    <w:rsid w:val="00BF00CC"/>
    <w:rsid w:val="00BF1A1F"/>
    <w:rsid w:val="00BF4C91"/>
    <w:rsid w:val="00BF623A"/>
    <w:rsid w:val="00C01ED6"/>
    <w:rsid w:val="00C020F1"/>
    <w:rsid w:val="00C04A1C"/>
    <w:rsid w:val="00C5509C"/>
    <w:rsid w:val="00C653E3"/>
    <w:rsid w:val="00C7715A"/>
    <w:rsid w:val="00C811CF"/>
    <w:rsid w:val="00C82413"/>
    <w:rsid w:val="00C83B49"/>
    <w:rsid w:val="00C85707"/>
    <w:rsid w:val="00C933BD"/>
    <w:rsid w:val="00CB1EA9"/>
    <w:rsid w:val="00CC06E6"/>
    <w:rsid w:val="00CC2376"/>
    <w:rsid w:val="00CC369E"/>
    <w:rsid w:val="00CD0184"/>
    <w:rsid w:val="00CE203B"/>
    <w:rsid w:val="00CE4492"/>
    <w:rsid w:val="00CE5AB6"/>
    <w:rsid w:val="00CE6437"/>
    <w:rsid w:val="00CF13BA"/>
    <w:rsid w:val="00D01998"/>
    <w:rsid w:val="00D02658"/>
    <w:rsid w:val="00D124B5"/>
    <w:rsid w:val="00D15539"/>
    <w:rsid w:val="00D15715"/>
    <w:rsid w:val="00D1777D"/>
    <w:rsid w:val="00D24829"/>
    <w:rsid w:val="00D32824"/>
    <w:rsid w:val="00D3667C"/>
    <w:rsid w:val="00D6352B"/>
    <w:rsid w:val="00D658DA"/>
    <w:rsid w:val="00D66114"/>
    <w:rsid w:val="00D67769"/>
    <w:rsid w:val="00D77976"/>
    <w:rsid w:val="00D90728"/>
    <w:rsid w:val="00D96F4A"/>
    <w:rsid w:val="00DB1438"/>
    <w:rsid w:val="00DC5274"/>
    <w:rsid w:val="00DC7B44"/>
    <w:rsid w:val="00DD715B"/>
    <w:rsid w:val="00DE58D8"/>
    <w:rsid w:val="00E13950"/>
    <w:rsid w:val="00E160E3"/>
    <w:rsid w:val="00E2176C"/>
    <w:rsid w:val="00E24BFD"/>
    <w:rsid w:val="00E26F94"/>
    <w:rsid w:val="00E34319"/>
    <w:rsid w:val="00E34BE4"/>
    <w:rsid w:val="00E36817"/>
    <w:rsid w:val="00E370F5"/>
    <w:rsid w:val="00E44B19"/>
    <w:rsid w:val="00E56350"/>
    <w:rsid w:val="00E62B5E"/>
    <w:rsid w:val="00E63DEC"/>
    <w:rsid w:val="00E65F0F"/>
    <w:rsid w:val="00E72E37"/>
    <w:rsid w:val="00E73573"/>
    <w:rsid w:val="00E77D2C"/>
    <w:rsid w:val="00E80AA3"/>
    <w:rsid w:val="00E93E42"/>
    <w:rsid w:val="00E973E6"/>
    <w:rsid w:val="00E974B1"/>
    <w:rsid w:val="00EA535D"/>
    <w:rsid w:val="00EA5552"/>
    <w:rsid w:val="00EB038F"/>
    <w:rsid w:val="00EB658A"/>
    <w:rsid w:val="00EC5844"/>
    <w:rsid w:val="00EC5A85"/>
    <w:rsid w:val="00ED4454"/>
    <w:rsid w:val="00ED721B"/>
    <w:rsid w:val="00EF11CF"/>
    <w:rsid w:val="00EF6731"/>
    <w:rsid w:val="00F00239"/>
    <w:rsid w:val="00F05088"/>
    <w:rsid w:val="00F06089"/>
    <w:rsid w:val="00F13843"/>
    <w:rsid w:val="00F13958"/>
    <w:rsid w:val="00F13975"/>
    <w:rsid w:val="00F156D9"/>
    <w:rsid w:val="00F24EE0"/>
    <w:rsid w:val="00F25536"/>
    <w:rsid w:val="00F4045F"/>
    <w:rsid w:val="00F4245D"/>
    <w:rsid w:val="00F44ED4"/>
    <w:rsid w:val="00F56FFE"/>
    <w:rsid w:val="00F75598"/>
    <w:rsid w:val="00F7649D"/>
    <w:rsid w:val="00F8579A"/>
    <w:rsid w:val="00F85D52"/>
    <w:rsid w:val="00F90E81"/>
    <w:rsid w:val="00F95A8D"/>
    <w:rsid w:val="00FA2C63"/>
    <w:rsid w:val="00FA3216"/>
    <w:rsid w:val="00FA5D85"/>
    <w:rsid w:val="00FB2C45"/>
    <w:rsid w:val="00FB4112"/>
    <w:rsid w:val="00FB74FA"/>
    <w:rsid w:val="00FD265D"/>
    <w:rsid w:val="00FD7BD8"/>
    <w:rsid w:val="00FE3921"/>
    <w:rsid w:val="00FE3A47"/>
    <w:rsid w:val="00FE5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895DFE"/>
  <w15:chartTrackingRefBased/>
  <w15:docId w15:val="{3C2F4B0F-B5DE-4195-82B0-93D1CDF1A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5AE"/>
    <w:pPr>
      <w:spacing w:line="36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22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22D"/>
    <w:rPr>
      <w:sz w:val="20"/>
      <w:szCs w:val="20"/>
    </w:rPr>
  </w:style>
  <w:style w:type="character" w:styleId="FootnoteReference">
    <w:name w:val="footnote reference"/>
    <w:basedOn w:val="DefaultParagraphFont"/>
    <w:uiPriority w:val="99"/>
    <w:semiHidden/>
    <w:unhideWhenUsed/>
    <w:rsid w:val="0074222D"/>
    <w:rPr>
      <w:vertAlign w:val="superscript"/>
    </w:rPr>
  </w:style>
  <w:style w:type="character" w:styleId="Hyperlink">
    <w:name w:val="Hyperlink"/>
    <w:basedOn w:val="DefaultParagraphFont"/>
    <w:uiPriority w:val="99"/>
    <w:unhideWhenUsed/>
    <w:rsid w:val="0074222D"/>
    <w:rPr>
      <w:color w:val="0563C1" w:themeColor="hyperlink"/>
      <w:u w:val="single"/>
    </w:rPr>
  </w:style>
  <w:style w:type="character" w:styleId="UnresolvedMention">
    <w:name w:val="Unresolved Mention"/>
    <w:basedOn w:val="DefaultParagraphFont"/>
    <w:uiPriority w:val="99"/>
    <w:semiHidden/>
    <w:unhideWhenUsed/>
    <w:rsid w:val="0074222D"/>
    <w:rPr>
      <w:color w:val="605E5C"/>
      <w:shd w:val="clear" w:color="auto" w:fill="E1DFDD"/>
    </w:rPr>
  </w:style>
  <w:style w:type="character" w:styleId="FollowedHyperlink">
    <w:name w:val="FollowedHyperlink"/>
    <w:basedOn w:val="DefaultParagraphFont"/>
    <w:uiPriority w:val="99"/>
    <w:semiHidden/>
    <w:unhideWhenUsed/>
    <w:rsid w:val="0080673F"/>
    <w:rPr>
      <w:color w:val="954F72" w:themeColor="followedHyperlink"/>
      <w:u w:val="single"/>
    </w:rPr>
  </w:style>
  <w:style w:type="paragraph" w:styleId="Header">
    <w:name w:val="header"/>
    <w:basedOn w:val="Normal"/>
    <w:link w:val="HeaderChar"/>
    <w:uiPriority w:val="99"/>
    <w:unhideWhenUsed/>
    <w:rsid w:val="00B07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83F"/>
  </w:style>
  <w:style w:type="paragraph" w:styleId="Footer">
    <w:name w:val="footer"/>
    <w:basedOn w:val="Normal"/>
    <w:link w:val="FooterChar"/>
    <w:uiPriority w:val="99"/>
    <w:unhideWhenUsed/>
    <w:rsid w:val="00B07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83F"/>
  </w:style>
  <w:style w:type="paragraph" w:styleId="ListParagraph">
    <w:name w:val="List Paragraph"/>
    <w:basedOn w:val="Normal"/>
    <w:uiPriority w:val="34"/>
    <w:qFormat/>
    <w:rsid w:val="006B2FBE"/>
    <w:pPr>
      <w:ind w:left="720"/>
      <w:contextualSpacing/>
    </w:pPr>
  </w:style>
  <w:style w:type="paragraph" w:styleId="NormalWeb">
    <w:name w:val="Normal (Web)"/>
    <w:basedOn w:val="Normal"/>
    <w:uiPriority w:val="99"/>
    <w:semiHidden/>
    <w:unhideWhenUsed/>
    <w:rsid w:val="00857C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594351">
      <w:bodyDiv w:val="1"/>
      <w:marLeft w:val="0"/>
      <w:marRight w:val="0"/>
      <w:marTop w:val="0"/>
      <w:marBottom w:val="0"/>
      <w:divBdr>
        <w:top w:val="none" w:sz="0" w:space="0" w:color="auto"/>
        <w:left w:val="none" w:sz="0" w:space="0" w:color="auto"/>
        <w:bottom w:val="none" w:sz="0" w:space="0" w:color="auto"/>
        <w:right w:val="none" w:sz="0" w:space="0" w:color="auto"/>
      </w:divBdr>
      <w:divsChild>
        <w:div w:id="1417361203">
          <w:marLeft w:val="0"/>
          <w:marRight w:val="0"/>
          <w:marTop w:val="0"/>
          <w:marBottom w:val="0"/>
          <w:divBdr>
            <w:top w:val="none" w:sz="0" w:space="0" w:color="auto"/>
            <w:left w:val="none" w:sz="0" w:space="0" w:color="auto"/>
            <w:bottom w:val="none" w:sz="0" w:space="0" w:color="auto"/>
            <w:right w:val="none" w:sz="0" w:space="0" w:color="auto"/>
          </w:divBdr>
        </w:div>
      </w:divsChild>
    </w:div>
    <w:div w:id="1673293582">
      <w:bodyDiv w:val="1"/>
      <w:marLeft w:val="0"/>
      <w:marRight w:val="0"/>
      <w:marTop w:val="0"/>
      <w:marBottom w:val="0"/>
      <w:divBdr>
        <w:top w:val="none" w:sz="0" w:space="0" w:color="auto"/>
        <w:left w:val="none" w:sz="0" w:space="0" w:color="auto"/>
        <w:bottom w:val="none" w:sz="0" w:space="0" w:color="auto"/>
        <w:right w:val="none" w:sz="0" w:space="0" w:color="auto"/>
      </w:divBdr>
      <w:divsChild>
        <w:div w:id="939222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archives/fall2021/entries/perception-problem/" TargetMode="External"/><Relationship Id="rId3" Type="http://schemas.openxmlformats.org/officeDocument/2006/relationships/hyperlink" Target="https://pub-prod-sdk.azurewebsites.net/api/file/3c15b3e9-b447-4b4e-801f-a67800be22c5" TargetMode="External"/><Relationship Id="rId7" Type="http://schemas.openxmlformats.org/officeDocument/2006/relationships/hyperlink" Target="https://plato.stanford.edu/archives/fall2021/entries/sense-data/" TargetMode="External"/><Relationship Id="rId2" Type="http://schemas.openxmlformats.org/officeDocument/2006/relationships/hyperlink" Target="https://www.communities-ni.gov.uk/publications/guidance-setting-and-historic-environment" TargetMode="External"/><Relationship Id="rId1" Type="http://schemas.openxmlformats.org/officeDocument/2006/relationships/hyperlink" Target="http://www.gov.uk/government/publications" TargetMode="External"/><Relationship Id="rId6" Type="http://schemas.openxmlformats.org/officeDocument/2006/relationships/hyperlink" Target="https://plato.stanford.edu/archives/fall2021/entries/qualia/" TargetMode="External"/><Relationship Id="rId5" Type="http://schemas.openxmlformats.org/officeDocument/2006/relationships/hyperlink" Target="10.1111/j.1350-0775.2004.00453.x" TargetMode="External"/><Relationship Id="rId10" Type="http://schemas.openxmlformats.org/officeDocument/2006/relationships/hyperlink" Target="10.1007/s40037-019-0509-2" TargetMode="External"/><Relationship Id="rId4" Type="http://schemas.openxmlformats.org/officeDocument/2006/relationships/hyperlink" Target="https://gov.wales/sites/default/files/publications/2018-09/tan24-historic-environment.pdf" TargetMode="External"/><Relationship Id="rId9" Type="http://schemas.openxmlformats.org/officeDocument/2006/relationships/hyperlink" Target="https://historicengland.org.uk/research/current/planning-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A089E-6084-4345-9E65-2FF577C3D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2902</Words>
  <Characters>16653</Characters>
  <Application>Microsoft Office Word</Application>
  <DocSecurity>0</DocSecurity>
  <Lines>138</Lines>
  <Paragraphs>39</Paragraphs>
  <ScaleCrop>false</ScaleCrop>
  <Company/>
  <LinksUpToDate>false</LinksUpToDate>
  <CharactersWithSpaces>19516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Bedford</dc:creator>
  <cp:keywords/>
  <dc:description/>
  <cp:lastModifiedBy>Will Bedford</cp:lastModifiedBy>
  <cp:revision>428</cp:revision>
  <dcterms:created xsi:type="dcterms:W3CDTF">2022-11-29T00:15:00Z</dcterms:created>
  <dcterms:modified xsi:type="dcterms:W3CDTF">2022-12-18T23:22:00Z</dcterms:modified>
</cp:coreProperties>
</file>