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13AC33" w14:textId="143B2435" w:rsidR="005F0B76" w:rsidRPr="005C0F75" w:rsidRDefault="005C0F75" w:rsidP="005C0F75">
      <w:pPr>
        <w:jc w:val="center"/>
        <w:rPr>
          <w:rFonts w:ascii="Arial" w:hAnsi="Arial" w:cs="Arial"/>
          <w:b/>
          <w:bCs/>
          <w:u w:val="single"/>
        </w:rPr>
      </w:pPr>
      <w:r w:rsidRPr="005C0F75">
        <w:rPr>
          <w:rFonts w:ascii="Arial" w:hAnsi="Arial" w:cs="Arial"/>
          <w:b/>
          <w:bCs/>
          <w:u w:val="single"/>
        </w:rPr>
        <w:t>2245983</w:t>
      </w:r>
      <w:r w:rsidR="004635FE">
        <w:rPr>
          <w:rFonts w:ascii="Arial" w:hAnsi="Arial" w:cs="Arial"/>
          <w:b/>
          <w:bCs/>
          <w:u w:val="single"/>
        </w:rPr>
        <w:t xml:space="preserve"> </w:t>
      </w:r>
    </w:p>
    <w:p w14:paraId="4FDAAF18" w14:textId="77777777" w:rsidR="0041054E" w:rsidRDefault="0041054E" w:rsidP="0041054E">
      <w:pPr>
        <w:spacing w:line="257" w:lineRule="auto"/>
        <w:ind w:right="531"/>
        <w:rPr>
          <w:rFonts w:ascii="Arial" w:hAnsi="Arial" w:cs="Arial"/>
          <w:b/>
          <w:bCs/>
        </w:rPr>
      </w:pPr>
    </w:p>
    <w:p w14:paraId="7E086531" w14:textId="622C12D0" w:rsidR="0041054E" w:rsidRPr="002A01ED" w:rsidRDefault="005C0F75" w:rsidP="0041054E">
      <w:pPr>
        <w:spacing w:line="257" w:lineRule="auto"/>
        <w:ind w:right="531"/>
        <w:rPr>
          <w:rFonts w:ascii="Arial" w:eastAsia="Calibri" w:hAnsi="Arial" w:cs="Arial"/>
          <w:sz w:val="28"/>
          <w:szCs w:val="28"/>
        </w:rPr>
      </w:pPr>
      <w:r w:rsidRPr="005C0F75">
        <w:rPr>
          <w:rFonts w:ascii="Arial" w:hAnsi="Arial" w:cs="Arial"/>
          <w:b/>
          <w:bCs/>
        </w:rPr>
        <w:t xml:space="preserve">Essay one - </w:t>
      </w:r>
      <w:r w:rsidR="0041054E" w:rsidRPr="0041054E">
        <w:rPr>
          <w:rFonts w:ascii="Arial" w:eastAsia="Calibri" w:hAnsi="Arial" w:cs="Arial"/>
          <w:b/>
          <w:bCs/>
        </w:rPr>
        <w:t>How effectively has the police service adapted to accommodate diversity within the UK? Consider the police force itself and/or the way police engage with diverse communities</w:t>
      </w:r>
      <w:r w:rsidR="0041054E" w:rsidRPr="0041054E">
        <w:rPr>
          <w:rFonts w:ascii="Arial" w:eastAsia="Calibri" w:hAnsi="Arial" w:cs="Arial"/>
          <w:b/>
          <w:bCs/>
          <w:sz w:val="28"/>
          <w:szCs w:val="28"/>
        </w:rPr>
        <w:t>.</w:t>
      </w:r>
    </w:p>
    <w:p w14:paraId="0FA8B501" w14:textId="40E99ABD" w:rsidR="005C0F75" w:rsidRPr="005C0F75" w:rsidRDefault="006F7CA3" w:rsidP="005C0F75">
      <w:pPr>
        <w:spacing w:line="257" w:lineRule="auto"/>
        <w:ind w:right="531"/>
        <w:rPr>
          <w:rFonts w:ascii="Arial" w:eastAsia="Calibri" w:hAnsi="Arial" w:cs="Arial"/>
          <w:b/>
          <w:bCs/>
        </w:rPr>
      </w:pPr>
      <w:r>
        <w:rPr>
          <w:rFonts w:ascii="Arial" w:eastAsia="Calibri" w:hAnsi="Arial" w:cs="Arial"/>
          <w:b/>
          <w:bCs/>
        </w:rPr>
        <w:t>1092</w:t>
      </w:r>
      <w:r w:rsidR="005C0F75" w:rsidRPr="005C0F75">
        <w:rPr>
          <w:rFonts w:ascii="Arial" w:eastAsia="Calibri" w:hAnsi="Arial" w:cs="Arial"/>
          <w:b/>
          <w:bCs/>
        </w:rPr>
        <w:t xml:space="preserve"> WORDS </w:t>
      </w:r>
    </w:p>
    <w:p w14:paraId="1FD94568" w14:textId="11A0329B" w:rsidR="005C0F75" w:rsidRPr="00CC57E9" w:rsidRDefault="005C0F75" w:rsidP="005C0F75">
      <w:pPr>
        <w:spacing w:line="257" w:lineRule="auto"/>
        <w:ind w:right="531"/>
        <w:rPr>
          <w:rFonts w:ascii="Arial" w:eastAsia="Calibri" w:hAnsi="Arial" w:cs="Arial"/>
        </w:rPr>
      </w:pPr>
      <w:r w:rsidRPr="00CC57E9">
        <w:rPr>
          <w:rFonts w:ascii="Arial" w:eastAsia="Calibri" w:hAnsi="Arial" w:cs="Arial"/>
        </w:rPr>
        <w:t>Diversity works around the concept of including or excluding people, groups, or things based on the principles of their differences (Phillips et al., 2014). Diversity has been defined as inclusion of characteristics and attributes (</w:t>
      </w:r>
      <w:proofErr w:type="spellStart"/>
      <w:r w:rsidRPr="00CC57E9">
        <w:rPr>
          <w:rFonts w:ascii="Arial" w:hAnsi="Arial" w:cs="Arial"/>
        </w:rPr>
        <w:t>Togioka</w:t>
      </w:r>
      <w:proofErr w:type="spellEnd"/>
      <w:r w:rsidRPr="00CC57E9">
        <w:rPr>
          <w:rFonts w:ascii="Arial" w:hAnsi="Arial" w:cs="Arial"/>
        </w:rPr>
        <w:t>, Duvivier, and Young,</w:t>
      </w:r>
      <w:r w:rsidR="00B246A7" w:rsidRPr="00CC57E9">
        <w:rPr>
          <w:rFonts w:ascii="Arial" w:hAnsi="Arial" w:cs="Arial"/>
        </w:rPr>
        <w:t xml:space="preserve"> </w:t>
      </w:r>
      <w:r w:rsidRPr="00CC57E9">
        <w:rPr>
          <w:rFonts w:ascii="Arial" w:hAnsi="Arial" w:cs="Arial"/>
        </w:rPr>
        <w:t>2024</w:t>
      </w:r>
      <w:r w:rsidRPr="00CC57E9">
        <w:rPr>
          <w:rFonts w:ascii="Arial" w:eastAsia="Calibri" w:hAnsi="Arial" w:cs="Arial"/>
        </w:rPr>
        <w:t>). It has been thought that belonging to a group that is thought to be diverse can incite discrimination (Altman, 2011). Discrimination is defined as experiencing negative actions and being treated less favourably due to being perceived to be in a group that is diverse  (</w:t>
      </w:r>
      <w:proofErr w:type="spellStart"/>
      <w:r w:rsidRPr="00CC57E9">
        <w:rPr>
          <w:rFonts w:ascii="Arial" w:hAnsi="Arial" w:cs="Arial"/>
        </w:rPr>
        <w:t>Togioka</w:t>
      </w:r>
      <w:proofErr w:type="spellEnd"/>
      <w:r w:rsidRPr="00CC57E9">
        <w:rPr>
          <w:rFonts w:ascii="Arial" w:hAnsi="Arial" w:cs="Arial"/>
        </w:rPr>
        <w:t>, Duvivier</w:t>
      </w:r>
      <w:r w:rsidR="00B246A7" w:rsidRPr="00CC57E9">
        <w:rPr>
          <w:rFonts w:ascii="Arial" w:hAnsi="Arial" w:cs="Arial"/>
        </w:rPr>
        <w:t xml:space="preserve"> </w:t>
      </w:r>
      <w:r w:rsidRPr="00CC57E9">
        <w:rPr>
          <w:rFonts w:ascii="Arial" w:hAnsi="Arial" w:cs="Arial"/>
        </w:rPr>
        <w:t>and Young,</w:t>
      </w:r>
      <w:r w:rsidR="00EE725F" w:rsidRPr="00CC57E9">
        <w:rPr>
          <w:rFonts w:ascii="Arial" w:hAnsi="Arial" w:cs="Arial"/>
        </w:rPr>
        <w:t xml:space="preserve"> </w:t>
      </w:r>
      <w:r w:rsidRPr="00CC57E9">
        <w:rPr>
          <w:rFonts w:ascii="Arial" w:hAnsi="Arial" w:cs="Arial"/>
        </w:rPr>
        <w:t>2024</w:t>
      </w:r>
      <w:r w:rsidRPr="00CC57E9">
        <w:rPr>
          <w:rFonts w:ascii="Arial" w:eastAsia="Calibri" w:hAnsi="Arial" w:cs="Arial"/>
        </w:rPr>
        <w:t xml:space="preserve">).In specific relation to the work place, it has been suggested that certain groups that may be considered diverse are more likely to face work place discrimination based on being in groups such as women, in an ethnic minority, disabled or being homosexual (Hays-Thomas 2004). </w:t>
      </w:r>
    </w:p>
    <w:p w14:paraId="0E170C7E" w14:textId="594D483E" w:rsidR="005C0F75" w:rsidRPr="00CC57E9" w:rsidRDefault="005C0F75" w:rsidP="005C0F75">
      <w:pPr>
        <w:spacing w:line="257" w:lineRule="auto"/>
        <w:ind w:right="531"/>
        <w:rPr>
          <w:rFonts w:ascii="Arial" w:eastAsia="Calibri" w:hAnsi="Arial" w:cs="Arial"/>
        </w:rPr>
      </w:pPr>
      <w:r w:rsidRPr="00CC57E9">
        <w:rPr>
          <w:rFonts w:ascii="Arial" w:eastAsia="Calibri" w:hAnsi="Arial" w:cs="Arial"/>
        </w:rPr>
        <w:t>In terms of adapting to make the workplace better for its staff, the police force has several amendments that have been made in recent years that has effectively made the workplace accommodate diversity and decrease discrimination. For example, guidance from the National Association of Muslim Police (NAMP) has allowed the police service to improve and learn about the religious needs of other officers. The guidance that is available to all supervisors provides information on the days, times and facilities required for prayers. It also provides information about how Muslim officers can safely turn off their radios and look after their personal protection equipment when it is time to pray (</w:t>
      </w:r>
      <w:r w:rsidR="000E2CB1" w:rsidRPr="00CC57E9">
        <w:rPr>
          <w:rFonts w:ascii="Arial" w:eastAsia="Calibri" w:hAnsi="Arial" w:cs="Arial"/>
        </w:rPr>
        <w:t>NAMP</w:t>
      </w:r>
      <w:r w:rsidRPr="00CC57E9">
        <w:rPr>
          <w:rFonts w:ascii="Arial" w:hAnsi="Arial" w:cs="Arial"/>
        </w:rPr>
        <w:t>, 202</w:t>
      </w:r>
      <w:r w:rsidR="000E2CB1" w:rsidRPr="00CC57E9">
        <w:rPr>
          <w:rFonts w:ascii="Arial" w:hAnsi="Arial" w:cs="Arial"/>
        </w:rPr>
        <w:t>3</w:t>
      </w:r>
      <w:r w:rsidRPr="00CC57E9">
        <w:rPr>
          <w:rFonts w:ascii="Arial" w:hAnsi="Arial" w:cs="Arial"/>
        </w:rPr>
        <w:t xml:space="preserve">). </w:t>
      </w:r>
      <w:r w:rsidRPr="00CC57E9">
        <w:rPr>
          <w:rFonts w:ascii="Arial" w:eastAsia="Calibri" w:hAnsi="Arial" w:cs="Arial"/>
        </w:rPr>
        <w:t xml:space="preserve">There are clear benefits to this adaption. Not only does this look after staff and their welfare, </w:t>
      </w:r>
      <w:proofErr w:type="gramStart"/>
      <w:r w:rsidRPr="00CC57E9">
        <w:rPr>
          <w:rFonts w:ascii="Arial" w:eastAsia="Calibri" w:hAnsi="Arial" w:cs="Arial"/>
        </w:rPr>
        <w:t>it</w:t>
      </w:r>
      <w:proofErr w:type="gramEnd"/>
      <w:r w:rsidRPr="00CC57E9">
        <w:rPr>
          <w:rFonts w:ascii="Arial" w:eastAsia="Calibri" w:hAnsi="Arial" w:cs="Arial"/>
        </w:rPr>
        <w:t xml:space="preserve"> allows officers to be able to practise their religion at work without being discriminated against. A further and very important benefit of the police force doing this is it opens up the opportunity for other officers to learn about a different religion that they themselves are not part </w:t>
      </w:r>
      <w:proofErr w:type="gramStart"/>
      <w:r w:rsidRPr="00CC57E9">
        <w:rPr>
          <w:rFonts w:ascii="Arial" w:eastAsia="Calibri" w:hAnsi="Arial" w:cs="Arial"/>
        </w:rPr>
        <w:t>of,</w:t>
      </w:r>
      <w:proofErr w:type="gramEnd"/>
      <w:r w:rsidRPr="00CC57E9">
        <w:rPr>
          <w:rFonts w:ascii="Arial" w:eastAsia="Calibri" w:hAnsi="Arial" w:cs="Arial"/>
        </w:rPr>
        <w:t xml:space="preserve"> this allows them to learn about faith and religions that are in their community. The obvious benefit of this is that when attending calls and dealing with suspect, victims and witnesses of these religions they have an increased understanding of their religion, how to be respectful of this religion and what things could be considered offensive in this religion. This is a great way for officers to learn how to deal with cultures and religions that they are not as familiar with in a safe learning environment. This learning can be expressed and shared through several different cultures and allows officers to ask questions and express interest in different cultures and religions in a professional an inquisitive manner. This type of learning can be applied to several of the characteristics mentioned above, such as disabilities and sexual orientation. </w:t>
      </w:r>
    </w:p>
    <w:p w14:paraId="254701BC" w14:textId="653F8CD6" w:rsidR="005C0F75" w:rsidRPr="00CC57E9" w:rsidRDefault="00CC57E9" w:rsidP="005C0F75">
      <w:pPr>
        <w:spacing w:line="257" w:lineRule="auto"/>
        <w:ind w:right="531"/>
        <w:rPr>
          <w:rFonts w:ascii="Arial" w:eastAsia="Calibri" w:hAnsi="Arial" w:cs="Arial"/>
        </w:rPr>
      </w:pPr>
      <w:r>
        <w:rPr>
          <w:rFonts w:ascii="Arial" w:eastAsia="Calibri" w:hAnsi="Arial" w:cs="Arial"/>
        </w:rPr>
        <w:lastRenderedPageBreak/>
        <w:t>Additionally</w:t>
      </w:r>
      <w:r w:rsidR="005C0F75" w:rsidRPr="00CC57E9">
        <w:rPr>
          <w:rFonts w:ascii="Arial" w:eastAsia="Calibri" w:hAnsi="Arial" w:cs="Arial"/>
        </w:rPr>
        <w:t xml:space="preserve">, police forces around the United Kingdom have changed the way that they recruit staff, adapting to being more diverse when sending out job applications and roles, they have done this by using positive action (College of policing, 2023). Positive action has been defined by the college of policing (2023) as action taken to promote equal opportunity. An example of the police force using this in recruitment phases is encouraging engagement in recruitment from </w:t>
      </w:r>
      <w:r w:rsidR="000E2CB1" w:rsidRPr="00CC57E9">
        <w:rPr>
          <w:rFonts w:ascii="Arial" w:eastAsia="Calibri" w:hAnsi="Arial" w:cs="Arial"/>
        </w:rPr>
        <w:t>underrepresented</w:t>
      </w:r>
      <w:r w:rsidR="005C0F75" w:rsidRPr="00CC57E9">
        <w:rPr>
          <w:rFonts w:ascii="Arial" w:eastAsia="Calibri" w:hAnsi="Arial" w:cs="Arial"/>
        </w:rPr>
        <w:t xml:space="preserve"> groups, hosting engagement days where underrepresented groups can network and meet existing staff and using targeted media groups (College of policing, 2023). </w:t>
      </w:r>
    </w:p>
    <w:p w14:paraId="7DE73811" w14:textId="153273BE" w:rsidR="005C0F75" w:rsidRPr="00CC57E9" w:rsidRDefault="005C0F75" w:rsidP="005C0F75">
      <w:pPr>
        <w:spacing w:line="257" w:lineRule="auto"/>
        <w:ind w:right="531"/>
        <w:rPr>
          <w:rFonts w:ascii="Arial" w:eastAsia="Calibri" w:hAnsi="Arial" w:cs="Arial"/>
        </w:rPr>
      </w:pPr>
      <w:r w:rsidRPr="00CC57E9">
        <w:rPr>
          <w:rFonts w:ascii="Arial" w:eastAsia="Calibri" w:hAnsi="Arial" w:cs="Arial"/>
        </w:rPr>
        <w:t>This is extremely important because it has been found that having a higher level of diversity amongst police forces can increase the trust that the public has within the police. This is because it is thought to make the public feel less discriminated against, therefore producing greater outcomes and relations with the public (Nicholson-Crotty et al.</w:t>
      </w:r>
      <w:r w:rsidR="00B246A7" w:rsidRPr="00CC57E9">
        <w:rPr>
          <w:rFonts w:ascii="Arial" w:eastAsia="Calibri" w:hAnsi="Arial" w:cs="Arial"/>
        </w:rPr>
        <w:t>, 2017</w:t>
      </w:r>
      <w:r w:rsidRPr="00CC57E9">
        <w:rPr>
          <w:rFonts w:ascii="Arial" w:eastAsia="Calibri" w:hAnsi="Arial" w:cs="Arial"/>
        </w:rPr>
        <w:t xml:space="preserve">). This is a great adaptation from police forces across the UK because their positive action is having a positive effect on the </w:t>
      </w:r>
      <w:proofErr w:type="gramStart"/>
      <w:r w:rsidRPr="00CC57E9">
        <w:rPr>
          <w:rFonts w:ascii="Arial" w:eastAsia="Calibri" w:hAnsi="Arial" w:cs="Arial"/>
        </w:rPr>
        <w:t>communities</w:t>
      </w:r>
      <w:proofErr w:type="gramEnd"/>
      <w:r w:rsidRPr="00CC57E9">
        <w:rPr>
          <w:rFonts w:ascii="Arial" w:eastAsia="Calibri" w:hAnsi="Arial" w:cs="Arial"/>
        </w:rPr>
        <w:t xml:space="preserve"> trust and perception of police, therefore increasing public perception and public relations. A specific example of this is that having more women officers can help females in the community come on board with investigations, with it being found that women are more likely to cooperate with police when female representation is displayed (Riccucci et al., </w:t>
      </w:r>
      <w:hyperlink r:id="rId4" w:anchor="psj12479-bib-0080" w:history="1">
        <w:r w:rsidRPr="00CC57E9">
          <w:rPr>
            <w:rStyle w:val="Hyperlink"/>
            <w:rFonts w:ascii="Arial" w:eastAsia="Calibri" w:hAnsi="Arial" w:cs="Arial"/>
            <w:color w:val="auto"/>
            <w:u w:val="none"/>
          </w:rPr>
          <w:t>2016</w:t>
        </w:r>
      </w:hyperlink>
      <w:r w:rsidRPr="00CC57E9">
        <w:rPr>
          <w:rFonts w:ascii="Arial" w:eastAsia="Calibri" w:hAnsi="Arial" w:cs="Arial"/>
        </w:rPr>
        <w:t xml:space="preserve">). This can be particularly relevant in cases involving domestic violence and sexual offences. These offences are of a high degree of seriousness, showing how vital the adaptation is from police officers. </w:t>
      </w:r>
    </w:p>
    <w:p w14:paraId="6A95CCAB" w14:textId="77777777" w:rsidR="005C0F75" w:rsidRPr="00CC57E9" w:rsidRDefault="005C0F75" w:rsidP="005C0F75">
      <w:pPr>
        <w:spacing w:line="257" w:lineRule="auto"/>
        <w:ind w:right="531"/>
        <w:rPr>
          <w:rFonts w:ascii="Arial" w:hAnsi="Arial" w:cs="Arial"/>
        </w:rPr>
      </w:pPr>
      <w:r w:rsidRPr="00CC57E9">
        <w:rPr>
          <w:rFonts w:ascii="Arial" w:eastAsia="Calibri" w:hAnsi="Arial" w:cs="Arial"/>
        </w:rPr>
        <w:t xml:space="preserve">As mentioned above, the police engage with diverse communities by showing these communities that the forces themselves have representatives of diverse communities working for the police. As well as this, there are other strategies used by the police to enhance public engagement in diverse communities. A great example of this is the Peel Street Project. This project was created by an English police force specifically for minority ethnic communities to aid increased relationship and had a heavy focus on inclusion of all ethnicities. The </w:t>
      </w:r>
      <w:proofErr w:type="gramStart"/>
      <w:r w:rsidRPr="00CC57E9">
        <w:rPr>
          <w:rFonts w:ascii="Arial" w:eastAsia="Calibri" w:hAnsi="Arial" w:cs="Arial"/>
        </w:rPr>
        <w:t>main focus</w:t>
      </w:r>
      <w:proofErr w:type="gramEnd"/>
      <w:r w:rsidRPr="00CC57E9">
        <w:rPr>
          <w:rFonts w:ascii="Arial" w:eastAsia="Calibri" w:hAnsi="Arial" w:cs="Arial"/>
        </w:rPr>
        <w:t xml:space="preserve"> of this project was to improve community relations and to reduce racism whilst also having a focus on reducing crime. This is a great example of how police forces can engage with diverse communities to foster better relationships (</w:t>
      </w:r>
      <w:r w:rsidRPr="00CC57E9">
        <w:rPr>
          <w:rFonts w:ascii="Arial" w:hAnsi="Arial" w:cs="Arial"/>
        </w:rPr>
        <w:t>College of Policing., 2024). </w:t>
      </w:r>
    </w:p>
    <w:p w14:paraId="3B265EE0" w14:textId="77777777" w:rsidR="00CC57E9" w:rsidRPr="00CC57E9" w:rsidRDefault="00CC57E9" w:rsidP="005C0F75">
      <w:pPr>
        <w:spacing w:line="257" w:lineRule="auto"/>
        <w:ind w:right="531"/>
        <w:rPr>
          <w:rFonts w:ascii="Arial" w:hAnsi="Arial" w:cs="Arial"/>
        </w:rPr>
      </w:pPr>
      <w:r w:rsidRPr="00CC57E9">
        <w:rPr>
          <w:rFonts w:ascii="Arial" w:hAnsi="Arial" w:cs="Arial"/>
        </w:rPr>
        <w:t xml:space="preserve">South Wales Police have created a </w:t>
      </w:r>
      <w:r w:rsidRPr="00CC57E9">
        <w:rPr>
          <w:rFonts w:ascii="Arial" w:eastAsia="Calibri" w:hAnsi="Arial" w:cs="Arial"/>
        </w:rPr>
        <w:t xml:space="preserve">Joint Race Equality Plan. They have teamed up with the crime commissioner to help engagement with diverse communities. This plan promises diverse communities that </w:t>
      </w:r>
      <w:r w:rsidRPr="00CC57E9">
        <w:rPr>
          <w:rFonts w:ascii="Arial" w:eastAsia="Calibri" w:hAnsi="Arial" w:cs="Arial"/>
        </w:rPr>
        <w:t xml:space="preserve">they </w:t>
      </w:r>
      <w:r w:rsidRPr="00CC57E9">
        <w:rPr>
          <w:rFonts w:ascii="Arial" w:eastAsia="Calibri" w:hAnsi="Arial" w:cs="Arial"/>
        </w:rPr>
        <w:t xml:space="preserve">will </w:t>
      </w:r>
      <w:r w:rsidRPr="00CC57E9">
        <w:rPr>
          <w:rFonts w:ascii="Arial" w:hAnsi="Arial" w:cs="Arial"/>
        </w:rPr>
        <w:t xml:space="preserve">Consider and promote holidays and celebrations from different culture appropriately, review comments and communications on social media posts that contain racist or inappropriate </w:t>
      </w:r>
      <w:proofErr w:type="gramStart"/>
      <w:r w:rsidRPr="00CC57E9">
        <w:rPr>
          <w:rFonts w:ascii="Arial" w:hAnsi="Arial" w:cs="Arial"/>
        </w:rPr>
        <w:t>comments, and</w:t>
      </w:r>
      <w:proofErr w:type="gramEnd"/>
      <w:r w:rsidRPr="00CC57E9">
        <w:rPr>
          <w:rFonts w:ascii="Arial" w:hAnsi="Arial" w:cs="Arial"/>
        </w:rPr>
        <w:t xml:space="preserve"> promise the community to continue to promote race equality internally. Creating and publishing this plan is an example </w:t>
      </w:r>
      <w:r w:rsidRPr="00CC57E9">
        <w:rPr>
          <w:rFonts w:ascii="Arial" w:hAnsi="Arial" w:cs="Arial"/>
        </w:rPr>
        <w:t>of</w:t>
      </w:r>
      <w:r w:rsidRPr="00CC57E9">
        <w:rPr>
          <w:rFonts w:ascii="Arial" w:hAnsi="Arial" w:cs="Arial"/>
        </w:rPr>
        <w:t xml:space="preserve"> community engagement</w:t>
      </w:r>
      <w:r w:rsidRPr="00CC57E9">
        <w:rPr>
          <w:rFonts w:ascii="Arial" w:hAnsi="Arial" w:cs="Arial"/>
        </w:rPr>
        <w:t xml:space="preserve">. </w:t>
      </w:r>
      <w:proofErr w:type="spellStart"/>
      <w:r w:rsidRPr="00CC57E9">
        <w:rPr>
          <w:rFonts w:ascii="Arial" w:hAnsi="Arial" w:cs="Arial"/>
        </w:rPr>
        <w:t>Its</w:t>
      </w:r>
      <w:proofErr w:type="spellEnd"/>
      <w:r w:rsidRPr="00CC57E9">
        <w:rPr>
          <w:rFonts w:ascii="Arial" w:hAnsi="Arial" w:cs="Arial"/>
        </w:rPr>
        <w:t xml:space="preserve"> also </w:t>
      </w:r>
      <w:r w:rsidRPr="00CC57E9">
        <w:rPr>
          <w:rFonts w:ascii="Arial" w:hAnsi="Arial" w:cs="Arial"/>
        </w:rPr>
        <w:t>an example of clearly communicating police forces aims</w:t>
      </w:r>
      <w:r w:rsidRPr="00CC57E9">
        <w:rPr>
          <w:rFonts w:ascii="Arial" w:hAnsi="Arial" w:cs="Arial"/>
        </w:rPr>
        <w:t xml:space="preserve">, </w:t>
      </w:r>
      <w:r w:rsidRPr="00CC57E9">
        <w:rPr>
          <w:rFonts w:ascii="Arial" w:hAnsi="Arial" w:cs="Arial"/>
        </w:rPr>
        <w:t>focus</w:t>
      </w:r>
      <w:r w:rsidRPr="00CC57E9">
        <w:rPr>
          <w:rFonts w:ascii="Arial" w:hAnsi="Arial" w:cs="Arial"/>
        </w:rPr>
        <w:t>sing</w:t>
      </w:r>
      <w:r w:rsidRPr="00CC57E9">
        <w:rPr>
          <w:rFonts w:ascii="Arial" w:hAnsi="Arial" w:cs="Arial"/>
        </w:rPr>
        <w:t xml:space="preserve"> on diverse communities (South Wales Police and Crime Commissioner 2024). </w:t>
      </w:r>
    </w:p>
    <w:p w14:paraId="77044943" w14:textId="345FC0B5" w:rsidR="009C480D" w:rsidRPr="00CC57E9" w:rsidRDefault="009C480D" w:rsidP="005C0F75">
      <w:pPr>
        <w:spacing w:line="257" w:lineRule="auto"/>
        <w:ind w:right="531"/>
        <w:rPr>
          <w:rFonts w:ascii="Arial" w:hAnsi="Arial" w:cs="Arial"/>
        </w:rPr>
      </w:pPr>
      <w:r w:rsidRPr="00CC57E9">
        <w:rPr>
          <w:rFonts w:ascii="Arial" w:hAnsi="Arial" w:cs="Arial"/>
        </w:rPr>
        <w:lastRenderedPageBreak/>
        <w:t>To conclude, it</w:t>
      </w:r>
      <w:r w:rsidR="00CC57E9" w:rsidRPr="00CC57E9">
        <w:rPr>
          <w:rFonts w:ascii="Arial" w:hAnsi="Arial" w:cs="Arial"/>
        </w:rPr>
        <w:t>’</w:t>
      </w:r>
      <w:r w:rsidRPr="00CC57E9">
        <w:rPr>
          <w:rFonts w:ascii="Arial" w:hAnsi="Arial" w:cs="Arial"/>
        </w:rPr>
        <w:t xml:space="preserve">s clear to see in recent years the police force has made efforts to adapt to become more diverse. </w:t>
      </w:r>
      <w:r w:rsidR="00CC57E9" w:rsidRPr="00CC57E9">
        <w:rPr>
          <w:rFonts w:ascii="Arial" w:hAnsi="Arial" w:cs="Arial"/>
        </w:rPr>
        <w:t>F</w:t>
      </w:r>
      <w:r w:rsidRPr="00CC57E9">
        <w:rPr>
          <w:rFonts w:ascii="Arial" w:hAnsi="Arial" w:cs="Arial"/>
        </w:rPr>
        <w:t>orces have made specific efforts to make the recruitment process directed at diverse communities</w:t>
      </w:r>
      <w:r w:rsidR="00CC57E9" w:rsidRPr="00CC57E9">
        <w:rPr>
          <w:rFonts w:ascii="Arial" w:hAnsi="Arial" w:cs="Arial"/>
        </w:rPr>
        <w:t xml:space="preserve">, </w:t>
      </w:r>
      <w:r w:rsidRPr="00CC57E9">
        <w:rPr>
          <w:rFonts w:ascii="Arial" w:hAnsi="Arial" w:cs="Arial"/>
        </w:rPr>
        <w:t>to make diverse communities feel represented</w:t>
      </w:r>
      <w:r w:rsidR="00CC57E9" w:rsidRPr="00CC57E9">
        <w:rPr>
          <w:rFonts w:ascii="Arial" w:hAnsi="Arial" w:cs="Arial"/>
        </w:rPr>
        <w:t>, and like police officers in their local forces have similar qualities to them</w:t>
      </w:r>
      <w:r w:rsidRPr="00CC57E9">
        <w:rPr>
          <w:rFonts w:ascii="Arial" w:hAnsi="Arial" w:cs="Arial"/>
        </w:rPr>
        <w:t xml:space="preserve">. </w:t>
      </w:r>
      <w:r w:rsidR="00CC57E9" w:rsidRPr="00CC57E9">
        <w:rPr>
          <w:rFonts w:ascii="Arial" w:hAnsi="Arial" w:cs="Arial"/>
        </w:rPr>
        <w:t xml:space="preserve">Forces are clearly adapting to the needs of religious officers making their welfare better and showing them that their religion is respected and encouraged by the force. This is nothing but positive and shows a clear understanding from the force on how important it is to uphold diversity. Overall, police forces are making clear efforts to represent religious and gender inequalities, and this is having a positive impact on communities, making them feel like they can </w:t>
      </w:r>
      <w:proofErr w:type="gramStart"/>
      <w:r w:rsidR="00CC57E9" w:rsidRPr="00CC57E9">
        <w:rPr>
          <w:rFonts w:ascii="Arial" w:hAnsi="Arial" w:cs="Arial"/>
        </w:rPr>
        <w:t>open up</w:t>
      </w:r>
      <w:proofErr w:type="gramEnd"/>
      <w:r w:rsidR="00CC57E9" w:rsidRPr="00CC57E9">
        <w:rPr>
          <w:rFonts w:ascii="Arial" w:hAnsi="Arial" w:cs="Arial"/>
        </w:rPr>
        <w:t xml:space="preserve"> more to officers that possess qualities that they may. This is leading to victims </w:t>
      </w:r>
      <w:proofErr w:type="gramStart"/>
      <w:r w:rsidR="00CC57E9" w:rsidRPr="00CC57E9">
        <w:rPr>
          <w:rFonts w:ascii="Arial" w:hAnsi="Arial" w:cs="Arial"/>
        </w:rPr>
        <w:t>opening up</w:t>
      </w:r>
      <w:proofErr w:type="gramEnd"/>
      <w:r w:rsidR="00CC57E9" w:rsidRPr="00CC57E9">
        <w:rPr>
          <w:rFonts w:ascii="Arial" w:hAnsi="Arial" w:cs="Arial"/>
        </w:rPr>
        <w:t xml:space="preserve"> and reporting more to officers. </w:t>
      </w:r>
    </w:p>
    <w:p w14:paraId="3CDE7700" w14:textId="77777777" w:rsidR="00CC57E9" w:rsidRDefault="00CC57E9" w:rsidP="0041054E">
      <w:pPr>
        <w:spacing w:line="257" w:lineRule="auto"/>
        <w:ind w:right="531"/>
        <w:rPr>
          <w:rFonts w:ascii="Arial" w:hAnsi="Arial" w:cs="Arial"/>
          <w:color w:val="FF0000"/>
        </w:rPr>
      </w:pPr>
    </w:p>
    <w:p w14:paraId="291887D4" w14:textId="77777777" w:rsidR="00CC57E9" w:rsidRDefault="00CC57E9" w:rsidP="0041054E">
      <w:pPr>
        <w:spacing w:line="257" w:lineRule="auto"/>
        <w:ind w:right="531"/>
        <w:rPr>
          <w:rFonts w:ascii="Arial" w:hAnsi="Arial" w:cs="Arial"/>
          <w:color w:val="FF0000"/>
        </w:rPr>
      </w:pPr>
    </w:p>
    <w:p w14:paraId="33090521" w14:textId="77777777" w:rsidR="00CC57E9" w:rsidRDefault="00CC57E9" w:rsidP="0041054E">
      <w:pPr>
        <w:spacing w:line="257" w:lineRule="auto"/>
        <w:ind w:right="531"/>
        <w:rPr>
          <w:rFonts w:ascii="Arial" w:hAnsi="Arial" w:cs="Arial"/>
          <w:color w:val="FF0000"/>
        </w:rPr>
      </w:pPr>
    </w:p>
    <w:p w14:paraId="072729BF" w14:textId="77777777" w:rsidR="00CC57E9" w:rsidRDefault="00CC57E9" w:rsidP="0041054E">
      <w:pPr>
        <w:spacing w:line="257" w:lineRule="auto"/>
        <w:ind w:right="531"/>
        <w:rPr>
          <w:rFonts w:ascii="Arial" w:hAnsi="Arial" w:cs="Arial"/>
          <w:color w:val="FF0000"/>
        </w:rPr>
      </w:pPr>
    </w:p>
    <w:p w14:paraId="3BD94E82" w14:textId="77777777" w:rsidR="00CC57E9" w:rsidRDefault="00CC57E9" w:rsidP="0041054E">
      <w:pPr>
        <w:spacing w:line="257" w:lineRule="auto"/>
        <w:ind w:right="531"/>
        <w:rPr>
          <w:rFonts w:ascii="Arial" w:hAnsi="Arial" w:cs="Arial"/>
          <w:color w:val="FF0000"/>
        </w:rPr>
      </w:pPr>
    </w:p>
    <w:p w14:paraId="5CEBE786" w14:textId="77777777" w:rsidR="00CC57E9" w:rsidRDefault="00CC57E9" w:rsidP="0041054E">
      <w:pPr>
        <w:spacing w:line="257" w:lineRule="auto"/>
        <w:ind w:right="531"/>
        <w:rPr>
          <w:rFonts w:ascii="Arial" w:hAnsi="Arial" w:cs="Arial"/>
          <w:color w:val="FF0000"/>
        </w:rPr>
      </w:pPr>
    </w:p>
    <w:p w14:paraId="53B27805" w14:textId="77777777" w:rsidR="00CC57E9" w:rsidRDefault="00CC57E9" w:rsidP="0041054E">
      <w:pPr>
        <w:spacing w:line="257" w:lineRule="auto"/>
        <w:ind w:right="531"/>
        <w:rPr>
          <w:rFonts w:ascii="Arial" w:hAnsi="Arial" w:cs="Arial"/>
          <w:color w:val="FF0000"/>
        </w:rPr>
      </w:pPr>
    </w:p>
    <w:p w14:paraId="7517909D" w14:textId="77777777" w:rsidR="00CC57E9" w:rsidRDefault="00CC57E9" w:rsidP="0041054E">
      <w:pPr>
        <w:spacing w:line="257" w:lineRule="auto"/>
        <w:ind w:right="531"/>
        <w:rPr>
          <w:rFonts w:ascii="Arial" w:hAnsi="Arial" w:cs="Arial"/>
          <w:color w:val="FF0000"/>
        </w:rPr>
      </w:pPr>
    </w:p>
    <w:p w14:paraId="289C97CB" w14:textId="77777777" w:rsidR="00CC57E9" w:rsidRDefault="00CC57E9" w:rsidP="0041054E">
      <w:pPr>
        <w:spacing w:line="257" w:lineRule="auto"/>
        <w:ind w:right="531"/>
        <w:rPr>
          <w:rFonts w:ascii="Arial" w:hAnsi="Arial" w:cs="Arial"/>
          <w:color w:val="FF0000"/>
        </w:rPr>
      </w:pPr>
    </w:p>
    <w:p w14:paraId="095C7C26" w14:textId="77777777" w:rsidR="00CC57E9" w:rsidRDefault="00CC57E9" w:rsidP="0041054E">
      <w:pPr>
        <w:spacing w:line="257" w:lineRule="auto"/>
        <w:ind w:right="531"/>
        <w:rPr>
          <w:rFonts w:ascii="Arial" w:hAnsi="Arial" w:cs="Arial"/>
          <w:color w:val="FF0000"/>
        </w:rPr>
      </w:pPr>
    </w:p>
    <w:p w14:paraId="5004D34E" w14:textId="77777777" w:rsidR="00CC57E9" w:rsidRDefault="00CC57E9" w:rsidP="0041054E">
      <w:pPr>
        <w:spacing w:line="257" w:lineRule="auto"/>
        <w:ind w:right="531"/>
        <w:rPr>
          <w:rFonts w:ascii="Arial" w:hAnsi="Arial" w:cs="Arial"/>
          <w:color w:val="FF0000"/>
        </w:rPr>
      </w:pPr>
    </w:p>
    <w:p w14:paraId="66415195" w14:textId="77777777" w:rsidR="00CC57E9" w:rsidRDefault="00CC57E9" w:rsidP="0041054E">
      <w:pPr>
        <w:spacing w:line="257" w:lineRule="auto"/>
        <w:ind w:right="531"/>
        <w:rPr>
          <w:rFonts w:ascii="Arial" w:hAnsi="Arial" w:cs="Arial"/>
          <w:color w:val="FF0000"/>
        </w:rPr>
      </w:pPr>
    </w:p>
    <w:p w14:paraId="2121893E" w14:textId="77777777" w:rsidR="00CC57E9" w:rsidRDefault="00CC57E9" w:rsidP="0041054E">
      <w:pPr>
        <w:spacing w:line="257" w:lineRule="auto"/>
        <w:ind w:right="531"/>
        <w:rPr>
          <w:rFonts w:ascii="Arial" w:hAnsi="Arial" w:cs="Arial"/>
          <w:color w:val="FF0000"/>
        </w:rPr>
      </w:pPr>
    </w:p>
    <w:p w14:paraId="338AD96A" w14:textId="77777777" w:rsidR="00CC57E9" w:rsidRDefault="00CC57E9" w:rsidP="0041054E">
      <w:pPr>
        <w:spacing w:line="257" w:lineRule="auto"/>
        <w:ind w:right="531"/>
        <w:rPr>
          <w:rFonts w:ascii="Arial" w:hAnsi="Arial" w:cs="Arial"/>
          <w:color w:val="FF0000"/>
        </w:rPr>
      </w:pPr>
    </w:p>
    <w:p w14:paraId="15B80288" w14:textId="77777777" w:rsidR="00CC57E9" w:rsidRDefault="00CC57E9" w:rsidP="0041054E">
      <w:pPr>
        <w:spacing w:line="257" w:lineRule="auto"/>
        <w:ind w:right="531"/>
        <w:rPr>
          <w:rFonts w:ascii="Arial" w:hAnsi="Arial" w:cs="Arial"/>
          <w:color w:val="FF0000"/>
        </w:rPr>
      </w:pPr>
    </w:p>
    <w:p w14:paraId="42FF12B5" w14:textId="77777777" w:rsidR="00CC57E9" w:rsidRDefault="00CC57E9" w:rsidP="0041054E">
      <w:pPr>
        <w:spacing w:line="257" w:lineRule="auto"/>
        <w:ind w:right="531"/>
        <w:rPr>
          <w:rFonts w:ascii="Arial" w:hAnsi="Arial" w:cs="Arial"/>
          <w:color w:val="FF0000"/>
        </w:rPr>
      </w:pPr>
    </w:p>
    <w:p w14:paraId="3EA181BD" w14:textId="77777777" w:rsidR="00CC57E9" w:rsidRDefault="00CC57E9" w:rsidP="0041054E">
      <w:pPr>
        <w:spacing w:line="257" w:lineRule="auto"/>
        <w:ind w:right="531"/>
        <w:rPr>
          <w:rFonts w:ascii="Arial" w:hAnsi="Arial" w:cs="Arial"/>
          <w:color w:val="FF0000"/>
        </w:rPr>
      </w:pPr>
    </w:p>
    <w:p w14:paraId="17E6F332" w14:textId="77777777" w:rsidR="00CC57E9" w:rsidRDefault="00CC57E9" w:rsidP="0041054E">
      <w:pPr>
        <w:spacing w:line="257" w:lineRule="auto"/>
        <w:ind w:right="531"/>
        <w:rPr>
          <w:rFonts w:ascii="Arial" w:hAnsi="Arial" w:cs="Arial"/>
          <w:color w:val="FF0000"/>
        </w:rPr>
      </w:pPr>
    </w:p>
    <w:p w14:paraId="054951C4" w14:textId="77777777" w:rsidR="006F7CA3" w:rsidRDefault="006F7CA3" w:rsidP="0041054E">
      <w:pPr>
        <w:spacing w:line="257" w:lineRule="auto"/>
        <w:ind w:right="531"/>
        <w:rPr>
          <w:rFonts w:ascii="Arial" w:hAnsi="Arial" w:cs="Arial"/>
          <w:color w:val="FF0000"/>
        </w:rPr>
      </w:pPr>
    </w:p>
    <w:p w14:paraId="059F24AF" w14:textId="77777777" w:rsidR="00CC57E9" w:rsidRDefault="00CC57E9" w:rsidP="0041054E">
      <w:pPr>
        <w:spacing w:line="257" w:lineRule="auto"/>
        <w:ind w:right="531"/>
        <w:rPr>
          <w:rFonts w:ascii="Arial" w:hAnsi="Arial" w:cs="Arial"/>
          <w:color w:val="FF0000"/>
        </w:rPr>
      </w:pPr>
    </w:p>
    <w:p w14:paraId="7B8C4265" w14:textId="77777777" w:rsidR="00CC57E9" w:rsidRDefault="00CC57E9" w:rsidP="0041054E">
      <w:pPr>
        <w:spacing w:line="257" w:lineRule="auto"/>
        <w:ind w:right="531"/>
        <w:rPr>
          <w:rFonts w:ascii="Arial" w:hAnsi="Arial" w:cs="Arial"/>
          <w:color w:val="FF0000"/>
        </w:rPr>
      </w:pPr>
    </w:p>
    <w:p w14:paraId="5A23BAC5" w14:textId="47AAB91C" w:rsidR="0041054E" w:rsidRPr="0041054E" w:rsidRDefault="005C0F75" w:rsidP="0041054E">
      <w:pPr>
        <w:spacing w:line="257" w:lineRule="auto"/>
        <w:ind w:right="531"/>
        <w:rPr>
          <w:rFonts w:ascii="Arial" w:hAnsi="Arial" w:cs="Arial"/>
          <w:b/>
          <w:bCs/>
        </w:rPr>
      </w:pPr>
      <w:r w:rsidRPr="005C0F75">
        <w:rPr>
          <w:rFonts w:ascii="Arial" w:hAnsi="Arial" w:cs="Arial"/>
          <w:b/>
          <w:bCs/>
        </w:rPr>
        <w:lastRenderedPageBreak/>
        <w:t>Essay</w:t>
      </w:r>
      <w:r w:rsidRPr="0041054E">
        <w:rPr>
          <w:rFonts w:ascii="Arial" w:hAnsi="Arial" w:cs="Arial"/>
          <w:b/>
          <w:bCs/>
        </w:rPr>
        <w:t xml:space="preserve"> two </w:t>
      </w:r>
      <w:r w:rsidR="0041054E" w:rsidRPr="0041054E">
        <w:rPr>
          <w:rFonts w:ascii="Arial" w:eastAsia="Calibri" w:hAnsi="Arial" w:cs="Arial"/>
          <w:b/>
          <w:bCs/>
        </w:rPr>
        <w:t xml:space="preserve">- Response policing </w:t>
      </w:r>
      <w:r w:rsidR="0041054E" w:rsidRPr="0041054E">
        <w:rPr>
          <w:rFonts w:ascii="Arial" w:eastAsia="Calibri" w:hAnsi="Arial" w:cs="Arial"/>
        </w:rPr>
        <w:t xml:space="preserve">– </w:t>
      </w:r>
      <w:r w:rsidR="0041054E" w:rsidRPr="0041054E">
        <w:rPr>
          <w:rFonts w:ascii="Arial" w:eastAsia="Calibri" w:hAnsi="Arial" w:cs="Arial"/>
          <w:b/>
          <w:bCs/>
        </w:rPr>
        <w:t xml:space="preserve">Why is it important to manage mental wellbeing in policing? What can be the consequences if mental wellbeing is not managed appropriately? </w:t>
      </w:r>
    </w:p>
    <w:p w14:paraId="2B737FE9" w14:textId="6A28183A" w:rsidR="005C0F75" w:rsidRDefault="005C0F75" w:rsidP="0041054E">
      <w:pPr>
        <w:spacing w:line="257" w:lineRule="auto"/>
        <w:ind w:right="531"/>
        <w:rPr>
          <w:rFonts w:ascii="Arial" w:hAnsi="Arial" w:cs="Arial"/>
          <w:b/>
          <w:bCs/>
        </w:rPr>
      </w:pPr>
      <w:r w:rsidRPr="005C0F75">
        <w:rPr>
          <w:rFonts w:ascii="Arial" w:hAnsi="Arial" w:cs="Arial"/>
          <w:b/>
          <w:bCs/>
        </w:rPr>
        <w:t xml:space="preserve"> </w:t>
      </w:r>
      <w:r w:rsidR="00F70B60">
        <w:rPr>
          <w:rFonts w:ascii="Arial" w:hAnsi="Arial" w:cs="Arial"/>
          <w:b/>
          <w:bCs/>
        </w:rPr>
        <w:t>1055</w:t>
      </w:r>
      <w:r w:rsidRPr="005C0F75">
        <w:rPr>
          <w:rFonts w:ascii="Arial" w:hAnsi="Arial" w:cs="Arial"/>
          <w:b/>
          <w:bCs/>
        </w:rPr>
        <w:t xml:space="preserve"> words </w:t>
      </w:r>
    </w:p>
    <w:p w14:paraId="08FED368" w14:textId="03269E36" w:rsidR="005C0F75" w:rsidRPr="00D70862" w:rsidRDefault="00D70862" w:rsidP="00D70862">
      <w:pPr>
        <w:spacing w:line="257" w:lineRule="auto"/>
        <w:ind w:right="531"/>
        <w:rPr>
          <w:rFonts w:ascii="Arial" w:hAnsi="Arial" w:cs="Arial"/>
        </w:rPr>
      </w:pPr>
      <w:r w:rsidRPr="00D70862">
        <w:rPr>
          <w:rFonts w:ascii="Arial" w:hAnsi="Arial" w:cs="Arial"/>
        </w:rPr>
        <w:t>Mental wellbeing is an essential part of human functioning which is why its so important to maintain.</w:t>
      </w:r>
      <w:r w:rsidRPr="00D70862">
        <w:rPr>
          <w:rFonts w:ascii="Arial" w:hAnsi="Arial" w:cs="Arial"/>
          <w:b/>
          <w:bCs/>
        </w:rPr>
        <w:t xml:space="preserve"> </w:t>
      </w:r>
      <w:r>
        <w:rPr>
          <w:rFonts w:ascii="Arial" w:hAnsi="Arial" w:cs="Arial"/>
        </w:rPr>
        <w:t>Wellbeing</w:t>
      </w:r>
      <w:r w:rsidR="005C0F75" w:rsidRPr="005C0F75">
        <w:rPr>
          <w:rFonts w:ascii="Arial" w:hAnsi="Arial" w:cs="Arial"/>
        </w:rPr>
        <w:t xml:space="preserve"> has been defined as being in a state of wellness, health, and happiness (Bautista </w:t>
      </w:r>
      <w:r w:rsidR="005C0F75" w:rsidRPr="005C0F75">
        <w:rPr>
          <w:rFonts w:ascii="Arial" w:hAnsi="Arial" w:cs="Arial"/>
          <w:i/>
          <w:iCs/>
        </w:rPr>
        <w:t xml:space="preserve">et al., </w:t>
      </w:r>
      <w:r w:rsidR="005C0F75" w:rsidRPr="005C0F75">
        <w:rPr>
          <w:rFonts w:ascii="Arial" w:hAnsi="Arial" w:cs="Arial"/>
        </w:rPr>
        <w:t xml:space="preserve">2023). The World Health Organization has defined </w:t>
      </w:r>
      <w:r w:rsidR="005C0F75" w:rsidRPr="00D70862">
        <w:rPr>
          <w:rFonts w:ascii="Arial" w:hAnsi="Arial" w:cs="Arial"/>
        </w:rPr>
        <w:t xml:space="preserve">mental health as </w:t>
      </w:r>
      <w:r w:rsidRPr="00D70862">
        <w:rPr>
          <w:rFonts w:ascii="Arial" w:hAnsi="Arial" w:cs="Arial"/>
        </w:rPr>
        <w:t xml:space="preserve">an individual being able to cope with normal life stressors, being productive and therefore being able to contribute to their community </w:t>
      </w:r>
      <w:r w:rsidR="005C0F75" w:rsidRPr="00D70862">
        <w:rPr>
          <w:rFonts w:ascii="Arial" w:hAnsi="Arial" w:cs="Arial"/>
        </w:rPr>
        <w:t>(</w:t>
      </w:r>
      <w:hyperlink r:id="rId5" w:anchor="B54" w:history="1">
        <w:r w:rsidR="005C0F75" w:rsidRPr="00D70862">
          <w:rPr>
            <w:rStyle w:val="Hyperlink"/>
            <w:rFonts w:ascii="Arial" w:hAnsi="Arial" w:cs="Arial"/>
            <w:color w:val="auto"/>
            <w:u w:val="none"/>
          </w:rPr>
          <w:t>World Health Organisation, 2013</w:t>
        </w:r>
      </w:hyperlink>
      <w:r w:rsidR="005C0F75" w:rsidRPr="00D70862">
        <w:rPr>
          <w:rFonts w:ascii="Arial" w:hAnsi="Arial" w:cs="Arial"/>
        </w:rPr>
        <w:t>).</w:t>
      </w:r>
      <w:r>
        <w:rPr>
          <w:rFonts w:ascii="Arial" w:hAnsi="Arial" w:cs="Arial"/>
        </w:rPr>
        <w:t xml:space="preserve"> The role of a police officer requires huge contribution to communities, and it is therefore hugely important to maintain wellbeing. Without this wellbeing, as stated above, communities will suffer with police officers with reduced contribution and reduced health. </w:t>
      </w:r>
    </w:p>
    <w:p w14:paraId="3300F461" w14:textId="77777777" w:rsidR="005C0F75" w:rsidRPr="005C0F75" w:rsidRDefault="005C0F75" w:rsidP="005C0F75">
      <w:pPr>
        <w:rPr>
          <w:rFonts w:ascii="Arial" w:hAnsi="Arial" w:cs="Arial"/>
        </w:rPr>
      </w:pPr>
      <w:r w:rsidRPr="005C0F75">
        <w:rPr>
          <w:rFonts w:ascii="Arial" w:hAnsi="Arial" w:cs="Arial"/>
        </w:rPr>
        <w:t xml:space="preserve">It is important to manage mental wellbeing in the police for a variety of different reasons. The definition of mental health by the world health organisation describes coping with the stresses of life. Police officers are exposed to enhanced levels of stress compared to the everyday person because the nature of their work includes dealing with stressful demands such as life or death decisions, dealing with victims of abuse and being exposed to trauma and upset. In addition to these stressors, police officers also have additional pressures to make sure they are dealing with these demands in the correct way, using the correct legislation and partner agencies (Violanti et al., 2017). With it being clear that police officers are under enhanced pressures and stressors from their job, it is inevitable that officers are likely to experience higher levels of risk compared to people in other occupations, making it vital that their wellbeing is managed. </w:t>
      </w:r>
    </w:p>
    <w:p w14:paraId="46ABFE89" w14:textId="21F3CF2F" w:rsidR="005C0F75" w:rsidRPr="005C0F75" w:rsidRDefault="005C0F75" w:rsidP="005C0F75">
      <w:pPr>
        <w:rPr>
          <w:rFonts w:ascii="Arial" w:hAnsi="Arial" w:cs="Arial"/>
        </w:rPr>
      </w:pPr>
      <w:r w:rsidRPr="005C0F75">
        <w:rPr>
          <w:rFonts w:ascii="Arial" w:hAnsi="Arial" w:cs="Arial"/>
        </w:rPr>
        <w:t xml:space="preserve">This is particularly important because it has been found that when people are experiencing extreme stress in their occupations, particularly chronic stress, their health is affected physically and </w:t>
      </w:r>
      <w:r w:rsidRPr="00E3547A">
        <w:rPr>
          <w:rFonts w:ascii="Arial" w:hAnsi="Arial" w:cs="Arial"/>
        </w:rPr>
        <w:t>mentally (</w:t>
      </w:r>
      <w:r w:rsidR="00E3547A" w:rsidRPr="00E3547A">
        <w:rPr>
          <w:rFonts w:ascii="Arial" w:hAnsi="Arial" w:cs="Arial"/>
        </w:rPr>
        <w:t>Maslach</w:t>
      </w:r>
      <w:r w:rsidR="00E3547A">
        <w:rPr>
          <w:rFonts w:ascii="Arial" w:hAnsi="Arial" w:cs="Arial"/>
        </w:rPr>
        <w:t xml:space="preserve"> </w:t>
      </w:r>
      <w:r w:rsidR="00E3547A" w:rsidRPr="00E3547A">
        <w:rPr>
          <w:rFonts w:ascii="Arial" w:hAnsi="Arial" w:cs="Arial"/>
        </w:rPr>
        <w:t>and Leiter, 2016</w:t>
      </w:r>
      <w:r w:rsidRPr="005C0F75">
        <w:rPr>
          <w:rFonts w:ascii="Arial" w:hAnsi="Arial" w:cs="Arial"/>
        </w:rPr>
        <w:t xml:space="preserve">). It has been further stated that when occupation stress turns from acute to chronic it has a stronger effect on health (Kelley, 2019). The consequences of this are that police officers are going to be experiencing fatigued health and will therefore either not be able to perform well in work due to this or may not even be able to attend work due to their job having such an effect on their wellness. This could also be detrimental to staffing issues.  </w:t>
      </w:r>
    </w:p>
    <w:p w14:paraId="4F50AAAE" w14:textId="77777777" w:rsidR="005C0F75" w:rsidRPr="005C0F75" w:rsidRDefault="005C0F75" w:rsidP="005C0F75">
      <w:pPr>
        <w:rPr>
          <w:rFonts w:ascii="Arial" w:hAnsi="Arial" w:cs="Arial"/>
        </w:rPr>
      </w:pPr>
      <w:r w:rsidRPr="005C0F75">
        <w:rPr>
          <w:rFonts w:ascii="Arial" w:hAnsi="Arial" w:cs="Arial"/>
        </w:rPr>
        <w:t xml:space="preserve">While at work, it is of high priority to have staff having high levels of wellbeing, physically and mentally because this not only nourishes their health but it enables employees to be up to date with their work. It has been proposed that decreased levels of wellbeing at work can have poor </w:t>
      </w:r>
      <w:proofErr w:type="spellStart"/>
      <w:r w:rsidRPr="005C0F75">
        <w:rPr>
          <w:rFonts w:ascii="Arial" w:hAnsi="Arial" w:cs="Arial"/>
        </w:rPr>
        <w:t>affects</w:t>
      </w:r>
      <w:proofErr w:type="spellEnd"/>
      <w:r w:rsidRPr="005C0F75">
        <w:rPr>
          <w:rFonts w:ascii="Arial" w:hAnsi="Arial" w:cs="Arial"/>
        </w:rPr>
        <w:t xml:space="preserve"> on performance and productivity (Kowalski and Loretto, 2017). This therefore suggests that low levels of wellbeing </w:t>
      </w:r>
      <w:proofErr w:type="gramStart"/>
      <w:r w:rsidRPr="005C0F75">
        <w:rPr>
          <w:rFonts w:ascii="Arial" w:hAnsi="Arial" w:cs="Arial"/>
        </w:rPr>
        <w:t>coincides</w:t>
      </w:r>
      <w:proofErr w:type="gramEnd"/>
      <w:r w:rsidRPr="005C0F75">
        <w:rPr>
          <w:rFonts w:ascii="Arial" w:hAnsi="Arial" w:cs="Arial"/>
        </w:rPr>
        <w:t xml:space="preserve"> with low levels of productivity, meaning that staff that are not feeling good will not work well, ultimately bringing the performance down of not only themselves but the organisation that they work for too. This is extremely important when </w:t>
      </w:r>
      <w:r w:rsidRPr="005C0F75">
        <w:rPr>
          <w:rFonts w:ascii="Arial" w:hAnsi="Arial" w:cs="Arial"/>
        </w:rPr>
        <w:lastRenderedPageBreak/>
        <w:t xml:space="preserve">considering employees of the police. This is because officers deal with victims who have experienced trauma and may be in an emotionally distressed state, low performance by officers due to low mental wellbeing could have a significant impact on victims, evidence and investigation results. This holds such a weight because increased levels of wellbeing </w:t>
      </w:r>
      <w:proofErr w:type="gramStart"/>
      <w:r w:rsidRPr="005C0F75">
        <w:rPr>
          <w:rFonts w:ascii="Arial" w:hAnsi="Arial" w:cs="Arial"/>
        </w:rPr>
        <w:t>has</w:t>
      </w:r>
      <w:proofErr w:type="gramEnd"/>
      <w:r w:rsidRPr="005C0F75">
        <w:rPr>
          <w:rFonts w:ascii="Arial" w:hAnsi="Arial" w:cs="Arial"/>
        </w:rPr>
        <w:t xml:space="preserve"> been connected with not only better health but increased life expectancy (Huppert, 2009). </w:t>
      </w:r>
    </w:p>
    <w:p w14:paraId="6A9147E0" w14:textId="0845D2AD" w:rsidR="005C0F75" w:rsidRPr="005C0F75" w:rsidRDefault="005C0F75" w:rsidP="005C0F75">
      <w:pPr>
        <w:rPr>
          <w:rFonts w:ascii="Arial" w:hAnsi="Arial" w:cs="Arial"/>
        </w:rPr>
      </w:pPr>
      <w:r w:rsidRPr="005C0F75">
        <w:rPr>
          <w:rFonts w:ascii="Arial" w:hAnsi="Arial" w:cs="Arial"/>
        </w:rPr>
        <w:t xml:space="preserve">There are consequences for wellbeing and health of police officers not being looked after. It has been stated that </w:t>
      </w:r>
      <w:proofErr w:type="gramStart"/>
      <w:r w:rsidRPr="005C0F75">
        <w:rPr>
          <w:rFonts w:ascii="Arial" w:hAnsi="Arial" w:cs="Arial"/>
        </w:rPr>
        <w:t>in order for</w:t>
      </w:r>
      <w:proofErr w:type="gramEnd"/>
      <w:r w:rsidRPr="005C0F75">
        <w:rPr>
          <w:rFonts w:ascii="Arial" w:hAnsi="Arial" w:cs="Arial"/>
        </w:rPr>
        <w:t xml:space="preserve"> humans to survive, we need to </w:t>
      </w:r>
      <w:r w:rsidRPr="00A53185">
        <w:rPr>
          <w:rFonts w:ascii="Arial" w:hAnsi="Arial" w:cs="Arial"/>
        </w:rPr>
        <w:t xml:space="preserve">be able to continually adapt to changing environments </w:t>
      </w:r>
      <w:r w:rsidR="00A53185" w:rsidRPr="00A53185">
        <w:rPr>
          <w:rFonts w:ascii="Arial" w:hAnsi="Arial" w:cs="Arial"/>
        </w:rPr>
        <w:t>(B</w:t>
      </w:r>
      <w:r w:rsidR="00A53185" w:rsidRPr="00A53185">
        <w:rPr>
          <w:rFonts w:ascii="Arial" w:hAnsi="Arial" w:cs="Arial"/>
        </w:rPr>
        <w:t>oyd, Richerson</w:t>
      </w:r>
      <w:r w:rsidR="00A53185" w:rsidRPr="00A53185">
        <w:rPr>
          <w:rFonts w:ascii="Arial" w:hAnsi="Arial" w:cs="Arial"/>
        </w:rPr>
        <w:t xml:space="preserve"> </w:t>
      </w:r>
      <w:r w:rsidR="00A53185" w:rsidRPr="00A53185">
        <w:rPr>
          <w:rFonts w:ascii="Arial" w:hAnsi="Arial" w:cs="Arial"/>
        </w:rPr>
        <w:t>and Henrich, 2011</w:t>
      </w:r>
      <w:r w:rsidRPr="00A53185">
        <w:rPr>
          <w:rFonts w:ascii="Arial" w:hAnsi="Arial" w:cs="Arial"/>
        </w:rPr>
        <w:t xml:space="preserve">). This is crucial in the role of police </w:t>
      </w:r>
      <w:r w:rsidR="00D70862" w:rsidRPr="00A53185">
        <w:rPr>
          <w:rFonts w:ascii="Arial" w:hAnsi="Arial" w:cs="Arial"/>
        </w:rPr>
        <w:t>officers,</w:t>
      </w:r>
      <w:r w:rsidRPr="00A53185">
        <w:rPr>
          <w:rFonts w:ascii="Arial" w:hAnsi="Arial" w:cs="Arial"/>
        </w:rPr>
        <w:t xml:space="preserve"> but they are not able to do this if they </w:t>
      </w:r>
      <w:r w:rsidRPr="005C0F75">
        <w:rPr>
          <w:rFonts w:ascii="Arial" w:hAnsi="Arial" w:cs="Arial"/>
        </w:rPr>
        <w:t>cannot function because of stress</w:t>
      </w:r>
      <w:r w:rsidR="00F70B60">
        <w:rPr>
          <w:rFonts w:ascii="Arial" w:hAnsi="Arial" w:cs="Arial"/>
        </w:rPr>
        <w:t>ful environments</w:t>
      </w:r>
      <w:r w:rsidRPr="005C0F75">
        <w:rPr>
          <w:rFonts w:ascii="Arial" w:hAnsi="Arial" w:cs="Arial"/>
        </w:rPr>
        <w:t xml:space="preserve">. There are several repercussions to stress not being dealt with effectively. It has been found that stress has been responsible for </w:t>
      </w:r>
      <w:r w:rsidR="00A53185">
        <w:rPr>
          <w:rFonts w:ascii="Arial" w:hAnsi="Arial" w:cs="Arial"/>
        </w:rPr>
        <w:t xml:space="preserve">significantly </w:t>
      </w:r>
      <w:r w:rsidRPr="005C0F75">
        <w:rPr>
          <w:rFonts w:ascii="Arial" w:hAnsi="Arial" w:cs="Arial"/>
        </w:rPr>
        <w:t xml:space="preserve">higher risk of </w:t>
      </w:r>
      <w:r w:rsidR="00A53185" w:rsidRPr="00A53185">
        <w:rPr>
          <w:rFonts w:ascii="Arial" w:hAnsi="Arial" w:cs="Arial"/>
        </w:rPr>
        <w:t>coronary heart disease and stroke</w:t>
      </w:r>
      <w:r w:rsidR="00A53185">
        <w:rPr>
          <w:rFonts w:ascii="Arial" w:hAnsi="Arial" w:cs="Arial"/>
        </w:rPr>
        <w:t xml:space="preserve">s for those working long hours and those exposed to work related stress </w:t>
      </w:r>
      <w:r w:rsidRPr="00D70862">
        <w:rPr>
          <w:rFonts w:ascii="Arial" w:hAnsi="Arial" w:cs="Arial"/>
        </w:rPr>
        <w:t>(</w:t>
      </w:r>
      <w:r w:rsidR="00A53185" w:rsidRPr="00A53185">
        <w:rPr>
          <w:rFonts w:ascii="Arial" w:hAnsi="Arial" w:cs="Arial"/>
        </w:rPr>
        <w:t>Kivimäki</w:t>
      </w:r>
      <w:r w:rsidR="00A53185">
        <w:rPr>
          <w:rFonts w:ascii="Arial" w:hAnsi="Arial" w:cs="Arial"/>
        </w:rPr>
        <w:t xml:space="preserve"> </w:t>
      </w:r>
      <w:r w:rsidR="00A53185" w:rsidRPr="00A53185">
        <w:rPr>
          <w:rFonts w:ascii="Arial" w:hAnsi="Arial" w:cs="Arial"/>
        </w:rPr>
        <w:t>and Kawachi, 2015</w:t>
      </w:r>
      <w:r w:rsidRPr="00D70862">
        <w:rPr>
          <w:rFonts w:ascii="Arial" w:hAnsi="Arial" w:cs="Arial"/>
        </w:rPr>
        <w:t xml:space="preserve">). </w:t>
      </w:r>
      <w:r w:rsidRPr="005C0F75">
        <w:rPr>
          <w:rFonts w:ascii="Arial" w:hAnsi="Arial" w:cs="Arial"/>
        </w:rPr>
        <w:t xml:space="preserve">Stress has also been shown responsible for poor eating habits, having links to changes in diet, maintaining unhealthy eating behaviours such as a low admission of vegetables and fruit and having an increased consumption of fatty foods </w:t>
      </w:r>
      <w:r w:rsidRPr="00A53185">
        <w:rPr>
          <w:rFonts w:ascii="Arial" w:hAnsi="Arial" w:cs="Arial"/>
        </w:rPr>
        <w:t xml:space="preserve">(O’Conner, 2021). </w:t>
      </w:r>
    </w:p>
    <w:p w14:paraId="627F39F5" w14:textId="77777777" w:rsidR="005C0F75" w:rsidRPr="005C0F75" w:rsidRDefault="005C0F75" w:rsidP="005C0F75">
      <w:pPr>
        <w:rPr>
          <w:rFonts w:ascii="Arial" w:hAnsi="Arial" w:cs="Arial"/>
        </w:rPr>
      </w:pPr>
      <w:r w:rsidRPr="005C0F75">
        <w:rPr>
          <w:rFonts w:ascii="Arial" w:hAnsi="Arial" w:cs="Arial"/>
        </w:rPr>
        <w:t xml:space="preserve">Stress is one of the most common symptoms of having bad mental well-being (Huppert 2009). It has been found that police officers are more likely to suffer with stress compared to people in other occupations (Nisar and Rasheed, 2020). </w:t>
      </w:r>
      <w:proofErr w:type="gramStart"/>
      <w:r w:rsidRPr="005C0F75">
        <w:rPr>
          <w:rFonts w:ascii="Arial" w:hAnsi="Arial" w:cs="Arial"/>
        </w:rPr>
        <w:t>In particular, officers</w:t>
      </w:r>
      <w:proofErr w:type="gramEnd"/>
      <w:r w:rsidRPr="005C0F75">
        <w:rPr>
          <w:rFonts w:ascii="Arial" w:hAnsi="Arial" w:cs="Arial"/>
        </w:rPr>
        <w:t xml:space="preserve"> are at high risk for anxiety disorders and PTSD due to the amount of stress they are under (Stanley et al., 2021). The reason police officers are more susceptible to stress is because of multiple factors. Namely, longer than average working hours, working nights, time pressure, loud noise and the nature of their work (Galanis et al., 2021). Exposure to these types of stressors increases the risk of poor mental well-being (</w:t>
      </w:r>
      <w:proofErr w:type="spellStart"/>
      <w:r w:rsidRPr="005C0F75">
        <w:rPr>
          <w:rFonts w:ascii="Arial" w:hAnsi="Arial" w:cs="Arial"/>
        </w:rPr>
        <w:t>Houdmont</w:t>
      </w:r>
      <w:proofErr w:type="spellEnd"/>
      <w:r w:rsidRPr="005C0F75">
        <w:rPr>
          <w:rFonts w:ascii="Arial" w:hAnsi="Arial" w:cs="Arial"/>
        </w:rPr>
        <w:t xml:space="preserve"> et al., 2016). </w:t>
      </w:r>
    </w:p>
    <w:p w14:paraId="45DF6730" w14:textId="12849D64" w:rsidR="005C0F75" w:rsidRPr="005C0F75" w:rsidRDefault="005C0F75" w:rsidP="005C0F75">
      <w:pPr>
        <w:rPr>
          <w:rFonts w:ascii="Arial" w:hAnsi="Arial" w:cs="Arial"/>
        </w:rPr>
      </w:pPr>
      <w:r w:rsidRPr="005C0F75">
        <w:rPr>
          <w:rFonts w:ascii="Arial" w:hAnsi="Arial" w:cs="Arial"/>
        </w:rPr>
        <w:t xml:space="preserve">In the study conducted by Galanis et al (2021) it was discovered that police officers who were placed in big cities were more prone to experiencing stress. This led to these officers suffering from a lower level of job satisfaction, issues with balancing work and family life, a poorer quality of sleep and being more likely to suffer from burnout. The consequences of this are clearly massive for the population where these officers are working. This is because these officers are unable to give their best performance at work duet </w:t>
      </w:r>
      <w:r w:rsidR="008F6D04" w:rsidRPr="005C0F75">
        <w:rPr>
          <w:rFonts w:ascii="Arial" w:hAnsi="Arial" w:cs="Arial"/>
        </w:rPr>
        <w:t>to being</w:t>
      </w:r>
      <w:r w:rsidRPr="005C0F75">
        <w:rPr>
          <w:rFonts w:ascii="Arial" w:hAnsi="Arial" w:cs="Arial"/>
        </w:rPr>
        <w:t xml:space="preserve"> mentally and physically stressed and burned out. </w:t>
      </w:r>
    </w:p>
    <w:p w14:paraId="5A3BC8AC" w14:textId="745A8B94" w:rsidR="005C0F75" w:rsidRDefault="005C0F75" w:rsidP="005C0F75">
      <w:pPr>
        <w:rPr>
          <w:rFonts w:ascii="Arial" w:hAnsi="Arial" w:cs="Arial"/>
        </w:rPr>
      </w:pPr>
      <w:r w:rsidRPr="005C0F75">
        <w:rPr>
          <w:rFonts w:ascii="Arial" w:hAnsi="Arial" w:cs="Arial"/>
        </w:rPr>
        <w:t xml:space="preserve">The findings listed above clearly need a solution </w:t>
      </w:r>
      <w:proofErr w:type="gramStart"/>
      <w:r w:rsidRPr="005C0F75">
        <w:rPr>
          <w:rFonts w:ascii="Arial" w:hAnsi="Arial" w:cs="Arial"/>
        </w:rPr>
        <w:t>in order for</w:t>
      </w:r>
      <w:proofErr w:type="gramEnd"/>
      <w:r w:rsidRPr="005C0F75">
        <w:rPr>
          <w:rFonts w:ascii="Arial" w:hAnsi="Arial" w:cs="Arial"/>
        </w:rPr>
        <w:t xml:space="preserve"> officers to be able to police effectively. It has been demonstrated in the above information that stress, anxiety, and burnout among police officers can be decreased by organisational interventions to help officers. These are things that include supportive leadership, mindfulness, and experiential acceptance (Gupta,2023). Further to this, it has been found that organising training and meetings specific to increasing coping </w:t>
      </w:r>
      <w:r w:rsidRPr="005C0F75">
        <w:rPr>
          <w:rFonts w:ascii="Arial" w:hAnsi="Arial" w:cs="Arial"/>
        </w:rPr>
        <w:lastRenderedPageBreak/>
        <w:t>mechanisms of stress are of vital importance to make sure that stress is coped with effectively (</w:t>
      </w:r>
      <w:proofErr w:type="spellStart"/>
      <w:r w:rsidRPr="005C0F75">
        <w:rPr>
          <w:rFonts w:ascii="Arial" w:hAnsi="Arial" w:cs="Arial"/>
        </w:rPr>
        <w:t>Cieślak</w:t>
      </w:r>
      <w:proofErr w:type="spellEnd"/>
      <w:r w:rsidRPr="005C0F75">
        <w:rPr>
          <w:rFonts w:ascii="Arial" w:hAnsi="Arial" w:cs="Arial"/>
        </w:rPr>
        <w:t xml:space="preserve"> et al., 2020). </w:t>
      </w:r>
      <w:r w:rsidR="00F70B60">
        <w:rPr>
          <w:rFonts w:ascii="Arial" w:hAnsi="Arial" w:cs="Arial"/>
        </w:rPr>
        <w:t xml:space="preserve">In addition to this, the above evidence clearly highlights several health risks that are very serious and could be detrimental. </w:t>
      </w:r>
      <w:proofErr w:type="gramStart"/>
      <w:r w:rsidR="00F70B60">
        <w:rPr>
          <w:rFonts w:ascii="Arial" w:hAnsi="Arial" w:cs="Arial"/>
        </w:rPr>
        <w:t>It is clear that police</w:t>
      </w:r>
      <w:proofErr w:type="gramEnd"/>
      <w:r w:rsidR="00F70B60">
        <w:rPr>
          <w:rFonts w:ascii="Arial" w:hAnsi="Arial" w:cs="Arial"/>
        </w:rPr>
        <w:t xml:space="preserve"> officers are exposed to high levels of stress and if this is not dealt with effectively their health could take huge consequences.  </w:t>
      </w:r>
    </w:p>
    <w:p w14:paraId="3718B4DC" w14:textId="77777777" w:rsidR="00A53185" w:rsidRDefault="00A53185" w:rsidP="005C0F75">
      <w:pPr>
        <w:rPr>
          <w:rFonts w:ascii="Arial" w:hAnsi="Arial" w:cs="Arial"/>
        </w:rPr>
      </w:pPr>
    </w:p>
    <w:p w14:paraId="0FF0D01D" w14:textId="77777777" w:rsidR="00A53185" w:rsidRDefault="00A53185" w:rsidP="005C0F75">
      <w:pPr>
        <w:rPr>
          <w:rFonts w:ascii="Arial" w:hAnsi="Arial" w:cs="Arial"/>
        </w:rPr>
      </w:pPr>
    </w:p>
    <w:p w14:paraId="77E5F706" w14:textId="77777777" w:rsidR="00A53185" w:rsidRDefault="00A53185" w:rsidP="005C0F75">
      <w:pPr>
        <w:rPr>
          <w:rFonts w:ascii="Arial" w:hAnsi="Arial" w:cs="Arial"/>
        </w:rPr>
      </w:pPr>
    </w:p>
    <w:p w14:paraId="056034E2" w14:textId="77777777" w:rsidR="00F70B60" w:rsidRDefault="00F70B60" w:rsidP="005C0F75">
      <w:pPr>
        <w:rPr>
          <w:rFonts w:ascii="Arial" w:hAnsi="Arial" w:cs="Arial"/>
        </w:rPr>
      </w:pPr>
    </w:p>
    <w:p w14:paraId="6D6418C0" w14:textId="77777777" w:rsidR="00F70B60" w:rsidRDefault="00F70B60" w:rsidP="005C0F75">
      <w:pPr>
        <w:rPr>
          <w:rFonts w:ascii="Arial" w:hAnsi="Arial" w:cs="Arial"/>
        </w:rPr>
      </w:pPr>
    </w:p>
    <w:p w14:paraId="59394172" w14:textId="77777777" w:rsidR="00F70B60" w:rsidRDefault="00F70B60" w:rsidP="005C0F75">
      <w:pPr>
        <w:rPr>
          <w:rFonts w:ascii="Arial" w:hAnsi="Arial" w:cs="Arial"/>
        </w:rPr>
      </w:pPr>
    </w:p>
    <w:p w14:paraId="38CBC680" w14:textId="77777777" w:rsidR="00F70B60" w:rsidRDefault="00F70B60" w:rsidP="005C0F75">
      <w:pPr>
        <w:rPr>
          <w:rFonts w:ascii="Arial" w:hAnsi="Arial" w:cs="Arial"/>
        </w:rPr>
      </w:pPr>
    </w:p>
    <w:p w14:paraId="7A2D585E" w14:textId="77777777" w:rsidR="00F70B60" w:rsidRDefault="00F70B60" w:rsidP="005C0F75">
      <w:pPr>
        <w:rPr>
          <w:rFonts w:ascii="Arial" w:hAnsi="Arial" w:cs="Arial"/>
        </w:rPr>
      </w:pPr>
    </w:p>
    <w:p w14:paraId="0A2614AB" w14:textId="77777777" w:rsidR="00F70B60" w:rsidRDefault="00F70B60" w:rsidP="005C0F75">
      <w:pPr>
        <w:rPr>
          <w:rFonts w:ascii="Arial" w:hAnsi="Arial" w:cs="Arial"/>
        </w:rPr>
      </w:pPr>
    </w:p>
    <w:p w14:paraId="296A75FD" w14:textId="77777777" w:rsidR="00F70B60" w:rsidRDefault="00F70B60" w:rsidP="005C0F75">
      <w:pPr>
        <w:rPr>
          <w:rFonts w:ascii="Arial" w:hAnsi="Arial" w:cs="Arial"/>
        </w:rPr>
      </w:pPr>
    </w:p>
    <w:p w14:paraId="6A52F026" w14:textId="77777777" w:rsidR="00F70B60" w:rsidRDefault="00F70B60" w:rsidP="005C0F75">
      <w:pPr>
        <w:rPr>
          <w:rFonts w:ascii="Arial" w:hAnsi="Arial" w:cs="Arial"/>
        </w:rPr>
      </w:pPr>
    </w:p>
    <w:p w14:paraId="7AB25981" w14:textId="77777777" w:rsidR="00F70B60" w:rsidRDefault="00F70B60" w:rsidP="005C0F75">
      <w:pPr>
        <w:rPr>
          <w:rFonts w:ascii="Arial" w:hAnsi="Arial" w:cs="Arial"/>
        </w:rPr>
      </w:pPr>
    </w:p>
    <w:p w14:paraId="283801CF" w14:textId="77777777" w:rsidR="00F70B60" w:rsidRDefault="00F70B60" w:rsidP="005C0F75">
      <w:pPr>
        <w:rPr>
          <w:rFonts w:ascii="Arial" w:hAnsi="Arial" w:cs="Arial"/>
        </w:rPr>
      </w:pPr>
    </w:p>
    <w:p w14:paraId="24DD2AB3" w14:textId="77777777" w:rsidR="00F70B60" w:rsidRDefault="00F70B60" w:rsidP="005C0F75">
      <w:pPr>
        <w:rPr>
          <w:rFonts w:ascii="Arial" w:hAnsi="Arial" w:cs="Arial"/>
        </w:rPr>
      </w:pPr>
    </w:p>
    <w:p w14:paraId="6A04409F" w14:textId="77777777" w:rsidR="00F70B60" w:rsidRDefault="00F70B60" w:rsidP="005C0F75">
      <w:pPr>
        <w:rPr>
          <w:rFonts w:ascii="Arial" w:hAnsi="Arial" w:cs="Arial"/>
        </w:rPr>
      </w:pPr>
    </w:p>
    <w:p w14:paraId="0EA3261B" w14:textId="77777777" w:rsidR="00F70B60" w:rsidRDefault="00F70B60" w:rsidP="005C0F75">
      <w:pPr>
        <w:rPr>
          <w:rFonts w:ascii="Arial" w:hAnsi="Arial" w:cs="Arial"/>
        </w:rPr>
      </w:pPr>
    </w:p>
    <w:p w14:paraId="37F01838" w14:textId="77777777" w:rsidR="00F70B60" w:rsidRDefault="00F70B60" w:rsidP="005C0F75">
      <w:pPr>
        <w:rPr>
          <w:rFonts w:ascii="Arial" w:hAnsi="Arial" w:cs="Arial"/>
        </w:rPr>
      </w:pPr>
    </w:p>
    <w:p w14:paraId="2B743AB1" w14:textId="77777777" w:rsidR="00F70B60" w:rsidRDefault="00F70B60" w:rsidP="005C0F75">
      <w:pPr>
        <w:rPr>
          <w:rFonts w:ascii="Arial" w:hAnsi="Arial" w:cs="Arial"/>
        </w:rPr>
      </w:pPr>
    </w:p>
    <w:p w14:paraId="00F36070" w14:textId="77777777" w:rsidR="00F70B60" w:rsidRDefault="00F70B60" w:rsidP="005C0F75">
      <w:pPr>
        <w:rPr>
          <w:rFonts w:ascii="Arial" w:hAnsi="Arial" w:cs="Arial"/>
        </w:rPr>
      </w:pPr>
    </w:p>
    <w:p w14:paraId="63EAD4A0" w14:textId="77777777" w:rsidR="00F70B60" w:rsidRDefault="00F70B60" w:rsidP="005C0F75">
      <w:pPr>
        <w:rPr>
          <w:rFonts w:ascii="Arial" w:hAnsi="Arial" w:cs="Arial"/>
        </w:rPr>
      </w:pPr>
    </w:p>
    <w:p w14:paraId="6F37445D" w14:textId="77777777" w:rsidR="00F70B60" w:rsidRDefault="00F70B60" w:rsidP="005C0F75">
      <w:pPr>
        <w:rPr>
          <w:rFonts w:ascii="Arial" w:hAnsi="Arial" w:cs="Arial"/>
        </w:rPr>
      </w:pPr>
    </w:p>
    <w:p w14:paraId="4CFD0A74" w14:textId="77777777" w:rsidR="00F70B60" w:rsidRDefault="00F70B60" w:rsidP="005C0F75">
      <w:pPr>
        <w:rPr>
          <w:rFonts w:ascii="Arial" w:hAnsi="Arial" w:cs="Arial"/>
        </w:rPr>
      </w:pPr>
    </w:p>
    <w:p w14:paraId="2A9FDC20" w14:textId="77777777" w:rsidR="00F70B60" w:rsidRDefault="00F70B60" w:rsidP="005C0F75">
      <w:pPr>
        <w:rPr>
          <w:rFonts w:ascii="Arial" w:hAnsi="Arial" w:cs="Arial"/>
        </w:rPr>
      </w:pPr>
    </w:p>
    <w:p w14:paraId="25829D54" w14:textId="77777777" w:rsidR="00EE725F" w:rsidRDefault="00EE725F" w:rsidP="0041054E">
      <w:pPr>
        <w:spacing w:line="257" w:lineRule="auto"/>
        <w:ind w:right="531"/>
        <w:rPr>
          <w:rFonts w:ascii="Arial" w:hAnsi="Arial" w:cs="Arial"/>
        </w:rPr>
      </w:pPr>
    </w:p>
    <w:p w14:paraId="772E121C" w14:textId="6865D3FE" w:rsidR="0041054E" w:rsidRPr="008C16F0" w:rsidRDefault="005C0F75" w:rsidP="0041054E">
      <w:pPr>
        <w:spacing w:line="257" w:lineRule="auto"/>
        <w:ind w:right="531"/>
        <w:rPr>
          <w:rFonts w:ascii="Arial" w:eastAsia="Calibri" w:hAnsi="Arial" w:cs="Arial"/>
        </w:rPr>
      </w:pPr>
      <w:r w:rsidRPr="005C0F75">
        <w:rPr>
          <w:rFonts w:ascii="Arial" w:hAnsi="Arial" w:cs="Arial"/>
          <w:b/>
          <w:bCs/>
        </w:rPr>
        <w:lastRenderedPageBreak/>
        <w:t xml:space="preserve">Essay four </w:t>
      </w:r>
      <w:r w:rsidR="0041054E">
        <w:rPr>
          <w:rFonts w:ascii="Arial" w:hAnsi="Arial" w:cs="Arial"/>
          <w:b/>
          <w:bCs/>
        </w:rPr>
        <w:t xml:space="preserve">- </w:t>
      </w:r>
      <w:r w:rsidR="0041054E" w:rsidRPr="0041054E">
        <w:rPr>
          <w:rFonts w:ascii="Arial" w:eastAsia="Calibri" w:hAnsi="Arial" w:cs="Arial"/>
          <w:b/>
          <w:bCs/>
        </w:rPr>
        <w:t>Outline potential links between serious and organised crime and public protection issues. What characteristics make some people more vulnerable to exploitation by serious and organised crime gangs?</w:t>
      </w:r>
    </w:p>
    <w:p w14:paraId="3897D9EA" w14:textId="03D52454" w:rsidR="005C0F75" w:rsidRPr="005C0F75" w:rsidRDefault="005C0F75" w:rsidP="005C0F75">
      <w:pPr>
        <w:rPr>
          <w:rFonts w:ascii="Arial" w:hAnsi="Arial" w:cs="Arial"/>
          <w:b/>
          <w:bCs/>
        </w:rPr>
      </w:pPr>
      <w:r w:rsidRPr="005C0F75">
        <w:rPr>
          <w:rFonts w:ascii="Arial" w:hAnsi="Arial" w:cs="Arial"/>
          <w:b/>
          <w:bCs/>
        </w:rPr>
        <w:t>– 9</w:t>
      </w:r>
      <w:r w:rsidR="00F70B60">
        <w:rPr>
          <w:rFonts w:ascii="Arial" w:hAnsi="Arial" w:cs="Arial"/>
          <w:b/>
          <w:bCs/>
        </w:rPr>
        <w:t>79</w:t>
      </w:r>
      <w:r w:rsidRPr="005C0F75">
        <w:rPr>
          <w:rFonts w:ascii="Arial" w:hAnsi="Arial" w:cs="Arial"/>
          <w:b/>
          <w:bCs/>
        </w:rPr>
        <w:t xml:space="preserve"> words </w:t>
      </w:r>
    </w:p>
    <w:p w14:paraId="3F4B3D6F" w14:textId="62C9780B" w:rsidR="001C3BA1" w:rsidRPr="001C3BA1" w:rsidRDefault="001C3BA1" w:rsidP="001C3BA1">
      <w:pPr>
        <w:rPr>
          <w:rFonts w:ascii="Arial" w:hAnsi="Arial" w:cs="Arial"/>
        </w:rPr>
      </w:pPr>
      <w:r w:rsidRPr="001C3BA1">
        <w:rPr>
          <w:rFonts w:ascii="Arial" w:hAnsi="Arial" w:cs="Arial"/>
        </w:rPr>
        <w:t xml:space="preserve">Serious and organised crime is criminal activity that is planned, coordinated and committed by people working individually, in groups, or as part of transnational networks (Winchester, 2020). Organised gangs who practise criminality has been described as a group of people who are involved in crime </w:t>
      </w:r>
      <w:r w:rsidRPr="001C3BA1">
        <w:rPr>
          <w:rFonts w:ascii="Arial" w:hAnsi="Arial" w:cs="Arial"/>
        </w:rPr>
        <w:t>to</w:t>
      </w:r>
      <w:r w:rsidRPr="001C3BA1">
        <w:rPr>
          <w:rFonts w:ascii="Arial" w:hAnsi="Arial" w:cs="Arial"/>
        </w:rPr>
        <w:t xml:space="preserve"> achieve personal gain relating to financial and other gains (NSPCC, 2019). Gangs are thought to be highly responsible for criminal exploitation around the world, with criminal exploitation describing people being coerced, forced and manipulated into committing crimes on behalf of gangs (NSPCC, 2019).</w:t>
      </w:r>
    </w:p>
    <w:p w14:paraId="17D6DC37" w14:textId="660F1D01" w:rsidR="001C3BA1" w:rsidRPr="001C3BA1" w:rsidRDefault="001C3BA1" w:rsidP="001C3BA1">
      <w:pPr>
        <w:rPr>
          <w:rFonts w:ascii="Arial" w:hAnsi="Arial" w:cs="Arial"/>
        </w:rPr>
      </w:pPr>
      <w:r w:rsidRPr="001C3BA1">
        <w:rPr>
          <w:rFonts w:ascii="Arial" w:hAnsi="Arial" w:cs="Arial"/>
        </w:rPr>
        <w:t xml:space="preserve">The links between serious and organised gangs and public protection issues are broad and of high seriousness. The links are that potential victims of these gangs can be exploited by them and hurt by them in many ways. These include forced labour, criminal exploitation, sexual exploitation, county lines and drugs exploitation and domestic servitude (GOV, 2023). This leads to several issues when considering public protection. Specifically, it has been found that being a victim of crime and exploitation has an influence on being able to form intimate relationship and it has links with decreased life satisfaction (Hanson et al., 2010). The issues here for public protection are that the police forces around the United Kingdom need to know what makes someone more likely to be a victim of these gangs and what protective markers can be put in place for this. </w:t>
      </w:r>
    </w:p>
    <w:p w14:paraId="0B2E3134" w14:textId="6CD8957D" w:rsidR="001C3BA1" w:rsidRPr="001C3BA1" w:rsidRDefault="001C3BA1" w:rsidP="001C3BA1">
      <w:pPr>
        <w:rPr>
          <w:rFonts w:ascii="Arial" w:hAnsi="Arial" w:cs="Arial"/>
        </w:rPr>
      </w:pPr>
      <w:r w:rsidRPr="001C3BA1">
        <w:rPr>
          <w:rFonts w:ascii="Arial" w:hAnsi="Arial" w:cs="Arial"/>
        </w:rPr>
        <w:t xml:space="preserve">There are several factors which make someone less likely to be exploited by a criminal gang. These include having an increased suspicion of people they do not know, being someone who thinks of consequence before </w:t>
      </w:r>
      <w:proofErr w:type="gramStart"/>
      <w:r w:rsidRPr="001C3BA1">
        <w:rPr>
          <w:rFonts w:ascii="Arial" w:hAnsi="Arial" w:cs="Arial"/>
        </w:rPr>
        <w:t>making a decision</w:t>
      </w:r>
      <w:proofErr w:type="gramEnd"/>
      <w:r w:rsidRPr="001C3BA1">
        <w:rPr>
          <w:rFonts w:ascii="Arial" w:hAnsi="Arial" w:cs="Arial"/>
        </w:rPr>
        <w:t xml:space="preserve"> and being a confident person (GOV, 2020). These are to be considered protective factors for the public when considering who is at risk of being exploited. The reason for this can be explained by Liberto (2014) who expressed research that states exploitation is increased by individuals </w:t>
      </w:r>
      <w:proofErr w:type="gramStart"/>
      <w:r w:rsidRPr="001C3BA1">
        <w:rPr>
          <w:rFonts w:ascii="Arial" w:hAnsi="Arial" w:cs="Arial"/>
        </w:rPr>
        <w:t>lack of</w:t>
      </w:r>
      <w:proofErr w:type="gramEnd"/>
      <w:r w:rsidRPr="001C3BA1">
        <w:rPr>
          <w:rFonts w:ascii="Arial" w:hAnsi="Arial" w:cs="Arial"/>
        </w:rPr>
        <w:t xml:space="preserve"> ability to say no to someone else. As previously stated, confident and suspicious person is less likely to be </w:t>
      </w:r>
      <w:proofErr w:type="gramStart"/>
      <w:r w:rsidRPr="001C3BA1">
        <w:rPr>
          <w:rFonts w:ascii="Arial" w:hAnsi="Arial" w:cs="Arial"/>
        </w:rPr>
        <w:t>exploited</w:t>
      </w:r>
      <w:proofErr w:type="gramEnd"/>
      <w:r w:rsidRPr="001C3BA1">
        <w:rPr>
          <w:rFonts w:ascii="Arial" w:hAnsi="Arial" w:cs="Arial"/>
        </w:rPr>
        <w:t xml:space="preserve"> and this marries up with the idea that it is because they are more likely to say no to someone else due to the personality traits they possess. This therefore suggests confident and suspicious people are protected from criminal exploitation. </w:t>
      </w:r>
    </w:p>
    <w:p w14:paraId="6D058311" w14:textId="4BEBCC5A" w:rsidR="001C3BA1" w:rsidRPr="001C3BA1" w:rsidRDefault="001C3BA1" w:rsidP="001C3BA1">
      <w:pPr>
        <w:rPr>
          <w:rFonts w:ascii="Arial" w:hAnsi="Arial" w:cs="Arial"/>
        </w:rPr>
      </w:pPr>
      <w:r w:rsidRPr="001C3BA1">
        <w:rPr>
          <w:rFonts w:ascii="Arial" w:hAnsi="Arial" w:cs="Arial"/>
        </w:rPr>
        <w:t>There are several different characteristics that are thought to be a pre-disposer to making someone vulnerable to gang exploitation. Some of these are low self-esteem, going missing for an extended period, psychological trauma, abuse and poor relationships (GOV, 2023</w:t>
      </w:r>
      <w:proofErr w:type="gramStart"/>
      <w:r w:rsidRPr="001C3BA1">
        <w:rPr>
          <w:rFonts w:ascii="Arial" w:hAnsi="Arial" w:cs="Arial"/>
        </w:rPr>
        <w:t>).These</w:t>
      </w:r>
      <w:proofErr w:type="gramEnd"/>
      <w:r w:rsidRPr="001C3BA1">
        <w:rPr>
          <w:rFonts w:ascii="Arial" w:hAnsi="Arial" w:cs="Arial"/>
        </w:rPr>
        <w:t xml:space="preserve"> characteristics share similarities with adverse childhood experiences (ACE’s). There are three types of ACE’s which are abuse, neglect and household dysfunction and there are a range of experiences some children face. These experiences range from sexual and physical abuse to emotional </w:t>
      </w:r>
      <w:r w:rsidRPr="001C3BA1">
        <w:rPr>
          <w:rFonts w:ascii="Arial" w:hAnsi="Arial" w:cs="Arial"/>
        </w:rPr>
        <w:lastRenderedPageBreak/>
        <w:t>neglect, to an imprisoned relative or parents divorcing (</w:t>
      </w:r>
      <w:proofErr w:type="spellStart"/>
      <w:r w:rsidRPr="001C3BA1">
        <w:rPr>
          <w:rFonts w:ascii="Arial" w:hAnsi="Arial" w:cs="Arial"/>
        </w:rPr>
        <w:t>Boullier</w:t>
      </w:r>
      <w:proofErr w:type="spellEnd"/>
      <w:r w:rsidRPr="001C3BA1">
        <w:rPr>
          <w:rFonts w:ascii="Arial" w:hAnsi="Arial" w:cs="Arial"/>
        </w:rPr>
        <w:t xml:space="preserve"> &amp; Blair, 2018). This is important because in a UK study it was found that 47% of people experienced at least one ACE with 9% of the population having 4 or more ACES (Bellis et al, 2014). The more ACE’s a person has gone through in their childhood, the more likely they are to experience the repercussions of them (Briggs et al., 2021). The importance of this is that it is thought that being exposed to </w:t>
      </w:r>
      <w:proofErr w:type="gramStart"/>
      <w:r w:rsidRPr="001C3BA1">
        <w:rPr>
          <w:rFonts w:ascii="Arial" w:hAnsi="Arial" w:cs="Arial"/>
        </w:rPr>
        <w:t>ACE’s</w:t>
      </w:r>
      <w:proofErr w:type="gramEnd"/>
      <w:r w:rsidRPr="001C3BA1">
        <w:rPr>
          <w:rFonts w:ascii="Arial" w:hAnsi="Arial" w:cs="Arial"/>
        </w:rPr>
        <w:t xml:space="preserve"> as a child can shape lifestyle risk factors (</w:t>
      </w:r>
      <w:proofErr w:type="spellStart"/>
      <w:r w:rsidRPr="001C3BA1">
        <w:rPr>
          <w:rFonts w:ascii="Arial" w:hAnsi="Arial" w:cs="Arial"/>
        </w:rPr>
        <w:t>Zarnello</w:t>
      </w:r>
      <w:proofErr w:type="spellEnd"/>
      <w:r w:rsidRPr="001C3BA1">
        <w:rPr>
          <w:rFonts w:ascii="Arial" w:hAnsi="Arial" w:cs="Arial"/>
        </w:rPr>
        <w:t xml:space="preserve">., 2018). This is because exposure to a stressful environment growing up leads to increased risk-taking behaviour continuing into adulthood (Felitti, 2002). </w:t>
      </w:r>
    </w:p>
    <w:p w14:paraId="25D93A78" w14:textId="300B80EC" w:rsidR="001C3BA1" w:rsidRPr="001C3BA1" w:rsidRDefault="001C3BA1" w:rsidP="001C3BA1">
      <w:pPr>
        <w:rPr>
          <w:rFonts w:ascii="Arial" w:hAnsi="Arial" w:cs="Arial"/>
        </w:rPr>
      </w:pPr>
      <w:r w:rsidRPr="001C3BA1">
        <w:rPr>
          <w:rFonts w:ascii="Arial" w:hAnsi="Arial" w:cs="Arial"/>
        </w:rPr>
        <w:t xml:space="preserve">The concern with this is that with ACE’s being responsible for alcoholism, poorer mental health, sexual risk-taking and domestic abuse in adulthood (Bellis et al., 2016) it is clear that being exposed to an ACE can make an individual extremely vulnerable in several aspects of their </w:t>
      </w:r>
      <w:proofErr w:type="gramStart"/>
      <w:r w:rsidRPr="001C3BA1">
        <w:rPr>
          <w:rFonts w:ascii="Arial" w:hAnsi="Arial" w:cs="Arial"/>
        </w:rPr>
        <w:t>day to day</w:t>
      </w:r>
      <w:proofErr w:type="gramEnd"/>
      <w:r w:rsidRPr="001C3BA1">
        <w:rPr>
          <w:rFonts w:ascii="Arial" w:hAnsi="Arial" w:cs="Arial"/>
        </w:rPr>
        <w:t xml:space="preserve"> life. It is reported that the most vulnerable people within our society are the biggest targets for exploitation (Villacampa and Torres </w:t>
      </w:r>
      <w:hyperlink r:id="rId6" w:anchor="ref-CR108" w:tooltip="Villacampa C, Torres N (2017) Human trafficking for criminal exploitation: the failure to identify victims. Eur J Crim Pol Res 23:393–408" w:history="1">
        <w:r w:rsidRPr="001C3BA1">
          <w:rPr>
            <w:rStyle w:val="Hyperlink"/>
            <w:rFonts w:ascii="Arial" w:hAnsi="Arial" w:cs="Arial"/>
            <w:color w:val="auto"/>
            <w:u w:val="none"/>
          </w:rPr>
          <w:t>2017</w:t>
        </w:r>
      </w:hyperlink>
      <w:r w:rsidRPr="001C3BA1">
        <w:rPr>
          <w:rFonts w:ascii="Arial" w:hAnsi="Arial" w:cs="Arial"/>
        </w:rPr>
        <w:t xml:space="preserve">). </w:t>
      </w:r>
      <w:proofErr w:type="gramStart"/>
      <w:r w:rsidRPr="001C3BA1">
        <w:rPr>
          <w:rFonts w:ascii="Arial" w:hAnsi="Arial" w:cs="Arial"/>
        </w:rPr>
        <w:t>Therefore</w:t>
      </w:r>
      <w:proofErr w:type="gramEnd"/>
      <w:r w:rsidRPr="001C3BA1">
        <w:rPr>
          <w:rFonts w:ascii="Arial" w:hAnsi="Arial" w:cs="Arial"/>
        </w:rPr>
        <w:t xml:space="preserve"> going through an ACE makes a person more likely to be exposed to gang exploitation due to this increasing their levels of vulnerability.  For example, it is more likely that those involved with gangs have a higher level of associated substance use (Bishop, Fleming, and </w:t>
      </w:r>
      <w:proofErr w:type="spellStart"/>
      <w:r w:rsidRPr="001C3BA1">
        <w:rPr>
          <w:rFonts w:ascii="Arial" w:hAnsi="Arial" w:cs="Arial"/>
        </w:rPr>
        <w:t>Nurius</w:t>
      </w:r>
      <w:proofErr w:type="spellEnd"/>
      <w:r w:rsidRPr="001C3BA1">
        <w:rPr>
          <w:rFonts w:ascii="Arial" w:hAnsi="Arial" w:cs="Arial"/>
        </w:rPr>
        <w:t xml:space="preserve">, 2020). This provides evidence that ACES, leading to increased alcohol consumption, make someone more likely to be exposed to gang exploitation. </w:t>
      </w:r>
    </w:p>
    <w:p w14:paraId="2A312950" w14:textId="2234087E" w:rsidR="001C3BA1" w:rsidRPr="001C3BA1" w:rsidRDefault="001C3BA1" w:rsidP="001C3BA1">
      <w:pPr>
        <w:rPr>
          <w:rFonts w:ascii="Arial" w:hAnsi="Arial" w:cs="Arial"/>
        </w:rPr>
      </w:pPr>
      <w:r w:rsidRPr="001C3BA1">
        <w:rPr>
          <w:rFonts w:ascii="Arial" w:hAnsi="Arial" w:cs="Arial"/>
        </w:rPr>
        <w:t xml:space="preserve">As mentioned earlier, those who are more confident are thought to be less likely to be exploited by a criminal gang (GOV, 2020). This should be </w:t>
      </w:r>
      <w:proofErr w:type="gramStart"/>
      <w:r w:rsidRPr="001C3BA1">
        <w:rPr>
          <w:rFonts w:ascii="Arial" w:hAnsi="Arial" w:cs="Arial"/>
        </w:rPr>
        <w:t>taken into account</w:t>
      </w:r>
      <w:proofErr w:type="gramEnd"/>
      <w:r w:rsidRPr="001C3BA1">
        <w:rPr>
          <w:rFonts w:ascii="Arial" w:hAnsi="Arial" w:cs="Arial"/>
        </w:rPr>
        <w:t xml:space="preserve"> because further research has indicated that those individuals who experience neglect and abuse as a child are less likely to be able to build and regulate self – esteem as an adult (AlShawi, and </w:t>
      </w:r>
      <w:proofErr w:type="spellStart"/>
      <w:r w:rsidRPr="001C3BA1">
        <w:rPr>
          <w:rFonts w:ascii="Arial" w:hAnsi="Arial" w:cs="Arial"/>
        </w:rPr>
        <w:t>Lafta</w:t>
      </w:r>
      <w:proofErr w:type="spellEnd"/>
      <w:r w:rsidRPr="001C3BA1">
        <w:rPr>
          <w:rFonts w:ascii="Arial" w:hAnsi="Arial" w:cs="Arial"/>
        </w:rPr>
        <w:t>, 2015). This suggests that children who have suffered trauma and suffering in their childhood are more likely to become unconfident adults, therefore at an increased risk of gang exploitation. This proposes the argument that personality traits play a big part in identifying those who are at risk of exploitation and should be considered an indication of someone who may be vulnerable to exploitation.</w:t>
      </w:r>
    </w:p>
    <w:p w14:paraId="3BF91C35" w14:textId="77777777" w:rsidR="004635FE" w:rsidRDefault="001C3BA1" w:rsidP="004635FE">
      <w:pPr>
        <w:rPr>
          <w:rFonts w:ascii="Arial" w:hAnsi="Arial" w:cs="Arial"/>
        </w:rPr>
      </w:pPr>
      <w:r w:rsidRPr="001C3BA1">
        <w:rPr>
          <w:rFonts w:ascii="Arial" w:hAnsi="Arial" w:cs="Arial"/>
        </w:rPr>
        <w:t xml:space="preserve">Overall, to conclude </w:t>
      </w:r>
      <w:proofErr w:type="gramStart"/>
      <w:r w:rsidRPr="001C3BA1">
        <w:rPr>
          <w:rFonts w:ascii="Arial" w:hAnsi="Arial" w:cs="Arial"/>
        </w:rPr>
        <w:t>it is clear that children</w:t>
      </w:r>
      <w:proofErr w:type="gramEnd"/>
      <w:r w:rsidRPr="001C3BA1">
        <w:rPr>
          <w:rFonts w:ascii="Arial" w:hAnsi="Arial" w:cs="Arial"/>
        </w:rPr>
        <w:t xml:space="preserve"> who have adverse childhood experiences are prone to be exploited by criminal gangs. The children who have these childhood experiences are unable to develop as adults who </w:t>
      </w:r>
      <w:proofErr w:type="gramStart"/>
      <w:r w:rsidRPr="001C3BA1">
        <w:rPr>
          <w:rFonts w:ascii="Arial" w:hAnsi="Arial" w:cs="Arial"/>
        </w:rPr>
        <w:t>are able to</w:t>
      </w:r>
      <w:proofErr w:type="gramEnd"/>
      <w:r w:rsidRPr="001C3BA1">
        <w:rPr>
          <w:rFonts w:ascii="Arial" w:hAnsi="Arial" w:cs="Arial"/>
        </w:rPr>
        <w:t xml:space="preserve"> protect themselves from being exploited. Whether this be because they have increased rates of alcohol consumption or because they are deemed vulnerable, these are ultimately the people that should be risk factors when considering public protection against exploitation. These people are also more likely to be less confident in adult hood which has been mentioned as a protective factor against exploitation. </w:t>
      </w:r>
      <w:r w:rsidR="00F70B60">
        <w:rPr>
          <w:rFonts w:ascii="Arial" w:hAnsi="Arial" w:cs="Arial"/>
        </w:rPr>
        <w:t xml:space="preserve">These factors that have been outlined should be used when trying to identify people vulnerable to gang exploitation and support services should be using these </w:t>
      </w:r>
      <w:proofErr w:type="gramStart"/>
      <w:r w:rsidR="00F70B60">
        <w:rPr>
          <w:rFonts w:ascii="Arial" w:hAnsi="Arial" w:cs="Arial"/>
        </w:rPr>
        <w:t>in order to</w:t>
      </w:r>
      <w:proofErr w:type="gramEnd"/>
      <w:r w:rsidR="00F70B60">
        <w:rPr>
          <w:rFonts w:ascii="Arial" w:hAnsi="Arial" w:cs="Arial"/>
        </w:rPr>
        <w:t xml:space="preserve"> identify these people early on in life, ideally before they have been exploited to gangs.</w:t>
      </w:r>
    </w:p>
    <w:p w14:paraId="08E48E8D" w14:textId="0D9C3064" w:rsidR="0041054E" w:rsidRPr="004635FE" w:rsidRDefault="005C0F75" w:rsidP="004635FE">
      <w:pPr>
        <w:rPr>
          <w:rFonts w:ascii="Arial" w:hAnsi="Arial" w:cs="Arial"/>
        </w:rPr>
      </w:pPr>
      <w:r w:rsidRPr="005C0F75">
        <w:rPr>
          <w:rFonts w:ascii="Arial" w:hAnsi="Arial" w:cs="Arial"/>
          <w:b/>
          <w:bCs/>
        </w:rPr>
        <w:lastRenderedPageBreak/>
        <w:t xml:space="preserve">Essay five – </w:t>
      </w:r>
      <w:r w:rsidR="0041054E" w:rsidRPr="0041054E">
        <w:rPr>
          <w:rFonts w:ascii="Arial" w:eastAsia="Calibri" w:hAnsi="Arial" w:cs="Arial"/>
          <w:b/>
          <w:bCs/>
          <w:i/>
          <w:iCs/>
        </w:rPr>
        <w:t>How effective is early intervention as an effective means of preventing young people from offending or re-offending?</w:t>
      </w:r>
    </w:p>
    <w:p w14:paraId="433D65AE" w14:textId="77777777" w:rsidR="0041054E" w:rsidRPr="0041054E" w:rsidRDefault="0041054E" w:rsidP="0041054E">
      <w:pPr>
        <w:spacing w:line="257" w:lineRule="auto"/>
        <w:ind w:right="531"/>
        <w:rPr>
          <w:rFonts w:ascii="Arial" w:eastAsia="Calibri" w:hAnsi="Arial" w:cs="Arial"/>
          <w:b/>
          <w:bCs/>
          <w:i/>
          <w:iCs/>
        </w:rPr>
      </w:pPr>
      <w:r w:rsidRPr="0041054E">
        <w:rPr>
          <w:rFonts w:ascii="Arial" w:eastAsia="Calibri" w:hAnsi="Arial" w:cs="Arial"/>
          <w:b/>
          <w:bCs/>
          <w:i/>
          <w:iCs/>
        </w:rPr>
        <w:t xml:space="preserve">Your answer must be based on academic research, but you may </w:t>
      </w:r>
      <w:proofErr w:type="gramStart"/>
      <w:r w:rsidRPr="0041054E">
        <w:rPr>
          <w:rFonts w:ascii="Arial" w:eastAsia="Calibri" w:hAnsi="Arial" w:cs="Arial"/>
          <w:b/>
          <w:bCs/>
          <w:i/>
          <w:iCs/>
        </w:rPr>
        <w:t>make reference</w:t>
      </w:r>
      <w:proofErr w:type="gramEnd"/>
      <w:r w:rsidRPr="0041054E">
        <w:rPr>
          <w:rFonts w:ascii="Arial" w:eastAsia="Calibri" w:hAnsi="Arial" w:cs="Arial"/>
          <w:b/>
          <w:bCs/>
          <w:i/>
          <w:iCs/>
        </w:rPr>
        <w:t xml:space="preserve"> to relevant case studies.</w:t>
      </w:r>
    </w:p>
    <w:p w14:paraId="7C014A53" w14:textId="09205313" w:rsidR="005C0F75" w:rsidRPr="005C0F75" w:rsidRDefault="00EE725F">
      <w:pPr>
        <w:rPr>
          <w:rFonts w:ascii="Arial" w:hAnsi="Arial" w:cs="Arial"/>
          <w:b/>
          <w:bCs/>
        </w:rPr>
      </w:pPr>
      <w:r>
        <w:rPr>
          <w:rFonts w:ascii="Arial" w:hAnsi="Arial" w:cs="Arial"/>
          <w:b/>
          <w:bCs/>
        </w:rPr>
        <w:t>1080</w:t>
      </w:r>
      <w:r w:rsidR="005C0F75" w:rsidRPr="005C0F75">
        <w:rPr>
          <w:rFonts w:ascii="Arial" w:hAnsi="Arial" w:cs="Arial"/>
          <w:b/>
          <w:bCs/>
        </w:rPr>
        <w:t xml:space="preserve"> words</w:t>
      </w:r>
    </w:p>
    <w:p w14:paraId="27ABC504" w14:textId="77777777" w:rsidR="005C0F75" w:rsidRPr="005C0F75" w:rsidRDefault="005C0F75" w:rsidP="005C0F75">
      <w:pPr>
        <w:rPr>
          <w:rFonts w:ascii="Arial" w:hAnsi="Arial" w:cs="Arial"/>
        </w:rPr>
      </w:pPr>
      <w:r w:rsidRPr="005C0F75">
        <w:rPr>
          <w:rFonts w:ascii="Arial" w:hAnsi="Arial" w:cs="Arial"/>
        </w:rPr>
        <w:t>Early intervention is a term used by professionals in the criminal justice system when describing the distribution of early support given to people under the age of eighteen who are at an increased likelihood of having poor outcomes in life. These poor outcomes are often related to involvement in crime and violent behaviour (</w:t>
      </w:r>
      <w:r w:rsidRPr="004039EB">
        <w:rPr>
          <w:rFonts w:ascii="Arial" w:hAnsi="Arial" w:cs="Arial"/>
        </w:rPr>
        <w:t>Early Intervention Foundation</w:t>
      </w:r>
      <w:r w:rsidRPr="005C0F75">
        <w:rPr>
          <w:rFonts w:ascii="Arial" w:hAnsi="Arial" w:cs="Arial"/>
        </w:rPr>
        <w:t>, 2020). Early interventions are important because children who become young offenders have an increased likelihood of reoffending (</w:t>
      </w:r>
      <w:r w:rsidRPr="00572B16">
        <w:rPr>
          <w:rFonts w:ascii="Arial" w:hAnsi="Arial" w:cs="Arial"/>
        </w:rPr>
        <w:t>Youth Justice Board for England</w:t>
      </w:r>
      <w:r w:rsidRPr="005C0F75">
        <w:rPr>
          <w:rFonts w:ascii="Arial" w:hAnsi="Arial" w:cs="Arial"/>
        </w:rPr>
        <w:t xml:space="preserve">, </w:t>
      </w:r>
      <w:r w:rsidRPr="00572B16">
        <w:rPr>
          <w:rFonts w:ascii="Arial" w:hAnsi="Arial" w:cs="Arial"/>
        </w:rPr>
        <w:t>2023</w:t>
      </w:r>
      <w:r w:rsidRPr="005C0F75">
        <w:rPr>
          <w:rFonts w:ascii="Arial" w:hAnsi="Arial" w:cs="Arial"/>
        </w:rPr>
        <w:t xml:space="preserve">). </w:t>
      </w:r>
    </w:p>
    <w:p w14:paraId="0E9623D6" w14:textId="145BFAA8" w:rsidR="005C0F75" w:rsidRPr="005C0F75" w:rsidRDefault="005C0F75" w:rsidP="005C0F75">
      <w:pPr>
        <w:rPr>
          <w:rFonts w:ascii="Arial" w:hAnsi="Arial" w:cs="Arial"/>
        </w:rPr>
      </w:pPr>
      <w:r w:rsidRPr="005C0F75">
        <w:rPr>
          <w:rFonts w:ascii="Arial" w:hAnsi="Arial" w:cs="Arial"/>
        </w:rPr>
        <w:t xml:space="preserve">Sectors that deal with and help young people such as social workers and education, have for many years worked around the idea that children who possess more risk factors, gained throughout their childhood, are more likely to have negative outcomes within their life. These negative outcomes have been thought to be involvement in criminalised behaviour (Haydon, 2014). There are certain factors that predict that a child is more likely to become a young offender. These are a child who is more troublesome, a child who has increased levels of daringness and a child who has been brought up with a convicted parent (Farrington, </w:t>
      </w:r>
      <w:proofErr w:type="spellStart"/>
      <w:r w:rsidRPr="005C0F75">
        <w:rPr>
          <w:rFonts w:ascii="Arial" w:hAnsi="Arial" w:cs="Arial"/>
        </w:rPr>
        <w:t>Ttofi</w:t>
      </w:r>
      <w:proofErr w:type="spellEnd"/>
      <w:r w:rsidRPr="005C0F75">
        <w:rPr>
          <w:rFonts w:ascii="Arial" w:hAnsi="Arial" w:cs="Arial"/>
        </w:rPr>
        <w:t xml:space="preserve">, and Piquero, 2016). In contrast to this, there are certain things that are deemed to be a protective factor to stop children turning into young offenders. It is thought that children who are brought up in a household with an increased income are less likely to be brought up with a parent that has been convicted of crime (Farrington, </w:t>
      </w:r>
      <w:proofErr w:type="spellStart"/>
      <w:r w:rsidRPr="005C0F75">
        <w:rPr>
          <w:rFonts w:ascii="Arial" w:hAnsi="Arial" w:cs="Arial"/>
        </w:rPr>
        <w:t>Ttofi</w:t>
      </w:r>
      <w:proofErr w:type="spellEnd"/>
      <w:r w:rsidRPr="005C0F75">
        <w:rPr>
          <w:rFonts w:ascii="Arial" w:hAnsi="Arial" w:cs="Arial"/>
        </w:rPr>
        <w:t xml:space="preserve">, and Piquero, 2016), therefore making them less likely to be at risk of being a young offender. </w:t>
      </w:r>
    </w:p>
    <w:p w14:paraId="30E9758D" w14:textId="52B04CB7" w:rsidR="005C0F75" w:rsidRPr="005C0F75" w:rsidRDefault="005C0F75" w:rsidP="005C0F75">
      <w:pPr>
        <w:rPr>
          <w:rFonts w:ascii="Arial" w:hAnsi="Arial" w:cs="Arial"/>
        </w:rPr>
      </w:pPr>
      <w:r w:rsidRPr="005C0F75">
        <w:rPr>
          <w:rFonts w:ascii="Arial" w:hAnsi="Arial" w:cs="Arial"/>
        </w:rPr>
        <w:t>As stated above, children who have been brought up in a family with a convicted parent are more likely to become offenders</w:t>
      </w:r>
      <w:r w:rsidR="00EE725F">
        <w:rPr>
          <w:rFonts w:ascii="Arial" w:hAnsi="Arial" w:cs="Arial"/>
        </w:rPr>
        <w:t xml:space="preserve">. </w:t>
      </w:r>
      <w:r w:rsidRPr="005C0F75">
        <w:rPr>
          <w:rFonts w:ascii="Arial" w:hAnsi="Arial" w:cs="Arial"/>
        </w:rPr>
        <w:t xml:space="preserve">Lundahl et al (2008) has proposed the idea that young offenders that are expectant parents need to have parenting interventions </w:t>
      </w:r>
      <w:proofErr w:type="gramStart"/>
      <w:r w:rsidRPr="005C0F75">
        <w:rPr>
          <w:rFonts w:ascii="Arial" w:hAnsi="Arial" w:cs="Arial"/>
        </w:rPr>
        <w:t>in order to</w:t>
      </w:r>
      <w:proofErr w:type="gramEnd"/>
      <w:r w:rsidRPr="005C0F75">
        <w:rPr>
          <w:rFonts w:ascii="Arial" w:hAnsi="Arial" w:cs="Arial"/>
        </w:rPr>
        <w:t xml:space="preserve"> reduce crime rates. This idea was proposed because there is a very high number of young offenders that are in custody and expecting babies (Berman and Dar, 2013). This idea can be effective in decreasing the number of young offenders because as previously mentioned, children with a convicted parent are more likely to commit crime (Farrington, </w:t>
      </w:r>
      <w:proofErr w:type="spellStart"/>
      <w:r w:rsidRPr="005C0F75">
        <w:rPr>
          <w:rFonts w:ascii="Arial" w:hAnsi="Arial" w:cs="Arial"/>
        </w:rPr>
        <w:t>Ttofi</w:t>
      </w:r>
      <w:proofErr w:type="spellEnd"/>
      <w:r w:rsidRPr="005C0F75">
        <w:rPr>
          <w:rFonts w:ascii="Arial" w:hAnsi="Arial" w:cs="Arial"/>
        </w:rPr>
        <w:t xml:space="preserve">, and Piquero, 2016). This is the earliest intervention available to the unborn child because it changes their </w:t>
      </w:r>
      <w:proofErr w:type="gramStart"/>
      <w:r w:rsidRPr="005C0F75">
        <w:rPr>
          <w:rFonts w:ascii="Arial" w:hAnsi="Arial" w:cs="Arial"/>
        </w:rPr>
        <w:t>parents</w:t>
      </w:r>
      <w:proofErr w:type="gramEnd"/>
      <w:r w:rsidRPr="005C0F75">
        <w:rPr>
          <w:rFonts w:ascii="Arial" w:hAnsi="Arial" w:cs="Arial"/>
        </w:rPr>
        <w:t xml:space="preserve"> attitudes and behaviours before they are even born. Parenting interventions, as suggested by Lundahl et al (2008) can reduce crime with early intervention by changing the environment that children with convicted parents grow up with by giving these parents the correct interventions to raise their children with. This therefore reduces the risk factor of being involved in criminality if you have a convicted parent. </w:t>
      </w:r>
    </w:p>
    <w:p w14:paraId="106886A7" w14:textId="3396EA35" w:rsidR="005C0F75" w:rsidRPr="005C0F75" w:rsidRDefault="005C0F75" w:rsidP="005C0F75">
      <w:pPr>
        <w:rPr>
          <w:rFonts w:ascii="Arial" w:hAnsi="Arial" w:cs="Arial"/>
        </w:rPr>
      </w:pPr>
      <w:r w:rsidRPr="005C0F75">
        <w:rPr>
          <w:rFonts w:ascii="Arial" w:hAnsi="Arial" w:cs="Arial"/>
        </w:rPr>
        <w:lastRenderedPageBreak/>
        <w:t xml:space="preserve">Youth offending teams (YOT’s) are widely used throughout the United Kingdom and solely work with children under the age of eighteen in the criminal justice system. They use early intervention to tackle crime at the earliest opportunity. The YOT’s are made up of multi-agency teams </w:t>
      </w:r>
      <w:proofErr w:type="gramStart"/>
      <w:r w:rsidRPr="005C0F75">
        <w:rPr>
          <w:rFonts w:ascii="Arial" w:hAnsi="Arial" w:cs="Arial"/>
        </w:rPr>
        <w:t>in order to</w:t>
      </w:r>
      <w:proofErr w:type="gramEnd"/>
      <w:r w:rsidRPr="005C0F75">
        <w:rPr>
          <w:rFonts w:ascii="Arial" w:hAnsi="Arial" w:cs="Arial"/>
        </w:rPr>
        <w:t xml:space="preserve"> provide a multi-functional and broad service to young offender that require guidance and assistance. They are made up of sectors from local authorities and provide several different services. These services include counselling, prevention sessions with the aim to stop reoffending, help with adjustment for young offender released from prison and guidance with court (</w:t>
      </w:r>
      <w:hyperlink r:id="rId7" w:anchor="bibr19-02645505211070088" w:history="1">
        <w:r w:rsidRPr="005C0F75">
          <w:rPr>
            <w:rStyle w:val="Hyperlink"/>
            <w:rFonts w:ascii="Arial" w:hAnsi="Arial" w:cs="Arial"/>
            <w:color w:val="auto"/>
            <w:u w:val="none"/>
          </w:rPr>
          <w:t>Ministry of Justice, 2020</w:t>
        </w:r>
      </w:hyperlink>
      <w:r w:rsidRPr="005C0F75">
        <w:rPr>
          <w:rFonts w:ascii="Arial" w:hAnsi="Arial" w:cs="Arial"/>
        </w:rPr>
        <w:t>).</w:t>
      </w:r>
    </w:p>
    <w:p w14:paraId="173FD22E" w14:textId="32DF25B6" w:rsidR="005C0F75" w:rsidRPr="005C0F75" w:rsidRDefault="005C0F75" w:rsidP="005C0F75">
      <w:pPr>
        <w:rPr>
          <w:rFonts w:ascii="Arial" w:hAnsi="Arial" w:cs="Arial"/>
        </w:rPr>
      </w:pPr>
      <w:r w:rsidRPr="005C0F75">
        <w:rPr>
          <w:rFonts w:ascii="Arial" w:hAnsi="Arial" w:cs="Arial"/>
        </w:rPr>
        <w:t>A clear advantage of YOT’s is that they work using a multi-agency approach. They have agencies that include, as mentioned, social workers and education but they also have officials from the police, probation and specialist substance misuse officers (</w:t>
      </w:r>
      <w:proofErr w:type="spellStart"/>
      <w:r w:rsidRPr="005C0F75">
        <w:rPr>
          <w:rFonts w:ascii="Arial" w:hAnsi="Arial" w:cs="Arial"/>
        </w:rPr>
        <w:t>Souhami</w:t>
      </w:r>
      <w:proofErr w:type="spellEnd"/>
      <w:r w:rsidRPr="005C0F75">
        <w:rPr>
          <w:rFonts w:ascii="Arial" w:hAnsi="Arial" w:cs="Arial"/>
        </w:rPr>
        <w:t xml:space="preserve">, 2011). The clear benefit of this is that those accessing YOT’s </w:t>
      </w:r>
      <w:proofErr w:type="gramStart"/>
      <w:r w:rsidRPr="005C0F75">
        <w:rPr>
          <w:rFonts w:ascii="Arial" w:hAnsi="Arial" w:cs="Arial"/>
        </w:rPr>
        <w:t>are able to</w:t>
      </w:r>
      <w:proofErr w:type="gramEnd"/>
      <w:r w:rsidRPr="005C0F75">
        <w:rPr>
          <w:rFonts w:ascii="Arial" w:hAnsi="Arial" w:cs="Arial"/>
        </w:rPr>
        <w:t xml:space="preserve"> receive help and guidance from many different sectors, offering them a broad and diverse range of support. It has also been found that YOT’s in Wales and in England </w:t>
      </w:r>
      <w:proofErr w:type="gramStart"/>
      <w:r w:rsidRPr="005C0F75">
        <w:rPr>
          <w:rFonts w:ascii="Arial" w:hAnsi="Arial" w:cs="Arial"/>
        </w:rPr>
        <w:t>have to</w:t>
      </w:r>
      <w:proofErr w:type="gramEnd"/>
      <w:r w:rsidRPr="005C0F75">
        <w:rPr>
          <w:rFonts w:ascii="Arial" w:hAnsi="Arial" w:cs="Arial"/>
        </w:rPr>
        <w:t xml:space="preserve"> undergo inspections carried out by Her Majesty's Inspectorate of Probation (Brooker and others 2023). MacLeod et al (2010) conducted research into sixty reports made after these inspections. It was found that most of the YOT’s in Wales and England were performing at adequate or above when inspecting their general performance. It was also found that the management of the services and specifically the management of dealing with early interventions in custody and courts was scoring highly. The examination of these reports also found that there was increased engagement in education, training and employment with young offenders because of the YOT’s therefore reducing reoffending. The benefit of this is that YOT’s </w:t>
      </w:r>
      <w:proofErr w:type="gramStart"/>
      <w:r w:rsidRPr="005C0F75">
        <w:rPr>
          <w:rFonts w:ascii="Arial" w:hAnsi="Arial" w:cs="Arial"/>
        </w:rPr>
        <w:t>have to</w:t>
      </w:r>
      <w:proofErr w:type="gramEnd"/>
      <w:r w:rsidRPr="005C0F75">
        <w:rPr>
          <w:rFonts w:ascii="Arial" w:hAnsi="Arial" w:cs="Arial"/>
        </w:rPr>
        <w:t xml:space="preserve"> undergo inspections, meaning that their interventions are monitored and assessed, meaning they cannot fall below standard. </w:t>
      </w:r>
    </w:p>
    <w:p w14:paraId="066EDBF9" w14:textId="77777777" w:rsidR="005C0F75" w:rsidRPr="00EE725F" w:rsidRDefault="005C0F75" w:rsidP="005C0F75">
      <w:pPr>
        <w:rPr>
          <w:rFonts w:ascii="Arial" w:hAnsi="Arial" w:cs="Arial"/>
        </w:rPr>
      </w:pPr>
      <w:r w:rsidRPr="005C0F75">
        <w:rPr>
          <w:rFonts w:ascii="Arial" w:hAnsi="Arial" w:cs="Arial"/>
        </w:rPr>
        <w:t xml:space="preserve">It has however been suggested that youth offending teams may not be appropriate for first time young offender. Research conducted by Wigzell (2021) found that young offenders who were setting foot into the criminal justice system for the first time may not benefit from interventions set by YOT’s. Wigzell (2021) found that because these </w:t>
      </w:r>
      <w:proofErr w:type="gramStart"/>
      <w:r w:rsidRPr="005C0F75">
        <w:rPr>
          <w:rFonts w:ascii="Arial" w:hAnsi="Arial" w:cs="Arial"/>
        </w:rPr>
        <w:t>first time</w:t>
      </w:r>
      <w:proofErr w:type="gramEnd"/>
      <w:r w:rsidRPr="005C0F75">
        <w:rPr>
          <w:rFonts w:ascii="Arial" w:hAnsi="Arial" w:cs="Arial"/>
        </w:rPr>
        <w:t xml:space="preserve"> youth offenders had not yet developed their own criminal identity, interventions used by YOT’s may not have as much of an </w:t>
      </w:r>
      <w:proofErr w:type="spellStart"/>
      <w:r w:rsidRPr="005C0F75">
        <w:rPr>
          <w:rFonts w:ascii="Arial" w:hAnsi="Arial" w:cs="Arial"/>
        </w:rPr>
        <w:t>affect</w:t>
      </w:r>
      <w:proofErr w:type="spellEnd"/>
      <w:r w:rsidRPr="005C0F75">
        <w:rPr>
          <w:rFonts w:ascii="Arial" w:hAnsi="Arial" w:cs="Arial"/>
        </w:rPr>
        <w:t xml:space="preserve"> on these offenders as it would a season young offender. This is because YOT’s use interventions to stop criminal behaviour and reoffending, however the </w:t>
      </w:r>
      <w:proofErr w:type="gramStart"/>
      <w:r w:rsidRPr="005C0F75">
        <w:rPr>
          <w:rFonts w:ascii="Arial" w:hAnsi="Arial" w:cs="Arial"/>
        </w:rPr>
        <w:t>first time</w:t>
      </w:r>
      <w:proofErr w:type="gramEnd"/>
      <w:r w:rsidRPr="005C0F75">
        <w:rPr>
          <w:rFonts w:ascii="Arial" w:hAnsi="Arial" w:cs="Arial"/>
        </w:rPr>
        <w:t xml:space="preserve"> youth offenders don’t have enough knowledge about their own criminal behaviour to be able to put these interventions into practice, This therefore suggests that YOT’s are not effective at being able to help first time young offenders. This could therefore be a suggestion for why youths remain to offend because the system offered to them is too complicated for their specific needs. This puts forward the argument YOT’s are not an effective </w:t>
      </w:r>
      <w:r w:rsidRPr="00EE725F">
        <w:rPr>
          <w:rFonts w:ascii="Arial" w:hAnsi="Arial" w:cs="Arial"/>
        </w:rPr>
        <w:t xml:space="preserve">early intervention for first time offenders and may be more suited to repeat offenders. </w:t>
      </w:r>
    </w:p>
    <w:p w14:paraId="32FCBD51" w14:textId="46B9A658" w:rsidR="005C0F75" w:rsidRPr="00EE725F" w:rsidRDefault="005C0F75" w:rsidP="005C0F75">
      <w:pPr>
        <w:rPr>
          <w:rFonts w:ascii="Arial" w:hAnsi="Arial" w:cs="Arial"/>
        </w:rPr>
      </w:pPr>
      <w:r w:rsidRPr="00EE725F">
        <w:rPr>
          <w:rFonts w:ascii="Arial" w:hAnsi="Arial" w:cs="Arial"/>
        </w:rPr>
        <w:t xml:space="preserve">Overall, youth offending teams provide effective tools and guidance through early intervention to young offenders and are effectively providing young offenders with the </w:t>
      </w:r>
      <w:r w:rsidRPr="00EE725F">
        <w:rPr>
          <w:rFonts w:ascii="Arial" w:hAnsi="Arial" w:cs="Arial"/>
        </w:rPr>
        <w:lastRenderedPageBreak/>
        <w:t xml:space="preserve">resources they need to decrease their involvement in criminality. </w:t>
      </w:r>
      <w:r w:rsidR="00EE725F" w:rsidRPr="00EE725F">
        <w:rPr>
          <w:rFonts w:ascii="Arial" w:hAnsi="Arial" w:cs="Arial"/>
        </w:rPr>
        <w:t xml:space="preserve">This is a clearly a way to decrease young offending and benefit to young people. A clear advantage is that they are multi agency and therefore provide young offenders with a fully supported and wide variety of a service. This is the best way to stop young people from offending as they are offered everything they need. Early intervention is significantly important for young offenders as it stops them from developing their offending behaviours. As stated above, young offenders are more likely to reoffend so if an intervention can be introduced early on, crime can be reduced.  </w:t>
      </w:r>
    </w:p>
    <w:p w14:paraId="6516FEA1" w14:textId="77777777" w:rsidR="005C0F75" w:rsidRPr="00EE725F" w:rsidRDefault="005C0F75" w:rsidP="005C0F75">
      <w:pPr>
        <w:rPr>
          <w:rFonts w:ascii="Arial" w:hAnsi="Arial" w:cs="Arial"/>
        </w:rPr>
      </w:pPr>
    </w:p>
    <w:p w14:paraId="24F7988E" w14:textId="529FABAD" w:rsidR="005C0F75" w:rsidRDefault="005C0F75" w:rsidP="005C0F75">
      <w:pPr>
        <w:rPr>
          <w:rFonts w:ascii="Arial" w:hAnsi="Arial" w:cs="Arial"/>
          <w:b/>
          <w:bCs/>
          <w:color w:val="E59EDC" w:themeColor="accent5" w:themeTint="66"/>
        </w:rPr>
      </w:pPr>
    </w:p>
    <w:p w14:paraId="0DA2551B" w14:textId="77777777" w:rsidR="0041054E" w:rsidRDefault="0041054E" w:rsidP="005C0F75">
      <w:pPr>
        <w:rPr>
          <w:rFonts w:ascii="Arial" w:hAnsi="Arial" w:cs="Arial"/>
          <w:b/>
          <w:bCs/>
          <w:color w:val="E59EDC" w:themeColor="accent5" w:themeTint="66"/>
        </w:rPr>
      </w:pPr>
    </w:p>
    <w:p w14:paraId="66BF6B0A" w14:textId="77777777" w:rsidR="0041054E" w:rsidRDefault="0041054E" w:rsidP="005C0F75">
      <w:pPr>
        <w:rPr>
          <w:rFonts w:ascii="Arial" w:hAnsi="Arial" w:cs="Arial"/>
          <w:b/>
          <w:bCs/>
          <w:color w:val="E59EDC" w:themeColor="accent5" w:themeTint="66"/>
        </w:rPr>
      </w:pPr>
    </w:p>
    <w:p w14:paraId="68337952" w14:textId="77777777" w:rsidR="0041054E" w:rsidRDefault="0041054E" w:rsidP="005C0F75">
      <w:pPr>
        <w:rPr>
          <w:rFonts w:ascii="Arial" w:hAnsi="Arial" w:cs="Arial"/>
          <w:b/>
          <w:bCs/>
          <w:color w:val="E59EDC" w:themeColor="accent5" w:themeTint="66"/>
        </w:rPr>
      </w:pPr>
    </w:p>
    <w:p w14:paraId="475FBCD7" w14:textId="77777777" w:rsidR="0041054E" w:rsidRDefault="0041054E" w:rsidP="005C0F75">
      <w:pPr>
        <w:rPr>
          <w:rFonts w:ascii="Arial" w:hAnsi="Arial" w:cs="Arial"/>
          <w:b/>
          <w:bCs/>
          <w:color w:val="E59EDC" w:themeColor="accent5" w:themeTint="66"/>
        </w:rPr>
      </w:pPr>
    </w:p>
    <w:p w14:paraId="269CC3A2" w14:textId="77777777" w:rsidR="0041054E" w:rsidRDefault="0041054E" w:rsidP="005C0F75">
      <w:pPr>
        <w:rPr>
          <w:rFonts w:ascii="Arial" w:hAnsi="Arial" w:cs="Arial"/>
          <w:b/>
          <w:bCs/>
          <w:color w:val="E59EDC" w:themeColor="accent5" w:themeTint="66"/>
        </w:rPr>
      </w:pPr>
    </w:p>
    <w:p w14:paraId="7FB5E96A" w14:textId="77777777" w:rsidR="0041054E" w:rsidRDefault="0041054E" w:rsidP="005C0F75">
      <w:pPr>
        <w:rPr>
          <w:rFonts w:ascii="Arial" w:hAnsi="Arial" w:cs="Arial"/>
          <w:b/>
          <w:bCs/>
          <w:color w:val="E59EDC" w:themeColor="accent5" w:themeTint="66"/>
        </w:rPr>
      </w:pPr>
    </w:p>
    <w:p w14:paraId="294474B2" w14:textId="77777777" w:rsidR="0041054E" w:rsidRDefault="0041054E" w:rsidP="005C0F75">
      <w:pPr>
        <w:rPr>
          <w:rFonts w:ascii="Arial" w:hAnsi="Arial" w:cs="Arial"/>
          <w:b/>
          <w:bCs/>
          <w:color w:val="E59EDC" w:themeColor="accent5" w:themeTint="66"/>
        </w:rPr>
      </w:pPr>
    </w:p>
    <w:p w14:paraId="4E9E43C2" w14:textId="77777777" w:rsidR="0041054E" w:rsidRDefault="0041054E" w:rsidP="005C0F75">
      <w:pPr>
        <w:rPr>
          <w:rFonts w:ascii="Arial" w:hAnsi="Arial" w:cs="Arial"/>
          <w:b/>
          <w:bCs/>
          <w:color w:val="E59EDC" w:themeColor="accent5" w:themeTint="66"/>
        </w:rPr>
      </w:pPr>
    </w:p>
    <w:p w14:paraId="0265B821" w14:textId="77777777" w:rsidR="00114DC2" w:rsidRDefault="00114DC2" w:rsidP="005C0F75">
      <w:pPr>
        <w:rPr>
          <w:rFonts w:ascii="Arial" w:hAnsi="Arial" w:cs="Arial"/>
          <w:b/>
          <w:bCs/>
          <w:color w:val="E59EDC" w:themeColor="accent5" w:themeTint="66"/>
        </w:rPr>
      </w:pPr>
    </w:p>
    <w:p w14:paraId="527027C2" w14:textId="77777777" w:rsidR="00114DC2" w:rsidRDefault="00114DC2" w:rsidP="005C0F75">
      <w:pPr>
        <w:rPr>
          <w:rFonts w:ascii="Arial" w:hAnsi="Arial" w:cs="Arial"/>
          <w:b/>
          <w:bCs/>
          <w:color w:val="E59EDC" w:themeColor="accent5" w:themeTint="66"/>
        </w:rPr>
      </w:pPr>
    </w:p>
    <w:p w14:paraId="512CDBFF" w14:textId="77777777" w:rsidR="00114DC2" w:rsidRDefault="00114DC2" w:rsidP="005C0F75">
      <w:pPr>
        <w:rPr>
          <w:rFonts w:ascii="Arial" w:hAnsi="Arial" w:cs="Arial"/>
          <w:b/>
          <w:bCs/>
          <w:color w:val="E59EDC" w:themeColor="accent5" w:themeTint="66"/>
        </w:rPr>
      </w:pPr>
    </w:p>
    <w:p w14:paraId="4F352587" w14:textId="77777777" w:rsidR="00114DC2" w:rsidRDefault="00114DC2" w:rsidP="005C0F75">
      <w:pPr>
        <w:rPr>
          <w:rFonts w:ascii="Arial" w:hAnsi="Arial" w:cs="Arial"/>
          <w:b/>
          <w:bCs/>
          <w:color w:val="E59EDC" w:themeColor="accent5" w:themeTint="66"/>
        </w:rPr>
      </w:pPr>
    </w:p>
    <w:p w14:paraId="67A8FB99" w14:textId="77777777" w:rsidR="00114DC2" w:rsidRDefault="00114DC2" w:rsidP="005C0F75">
      <w:pPr>
        <w:rPr>
          <w:rFonts w:ascii="Arial" w:hAnsi="Arial" w:cs="Arial"/>
          <w:b/>
          <w:bCs/>
          <w:color w:val="E59EDC" w:themeColor="accent5" w:themeTint="66"/>
        </w:rPr>
      </w:pPr>
    </w:p>
    <w:p w14:paraId="349BF120" w14:textId="77777777" w:rsidR="00114DC2" w:rsidRDefault="00114DC2" w:rsidP="005C0F75">
      <w:pPr>
        <w:rPr>
          <w:rFonts w:ascii="Arial" w:hAnsi="Arial" w:cs="Arial"/>
          <w:b/>
          <w:bCs/>
          <w:color w:val="E59EDC" w:themeColor="accent5" w:themeTint="66"/>
        </w:rPr>
      </w:pPr>
    </w:p>
    <w:p w14:paraId="4D29537D" w14:textId="77777777" w:rsidR="00114DC2" w:rsidRDefault="00114DC2" w:rsidP="005C0F75">
      <w:pPr>
        <w:rPr>
          <w:rFonts w:ascii="Arial" w:hAnsi="Arial" w:cs="Arial"/>
          <w:b/>
          <w:bCs/>
          <w:color w:val="E59EDC" w:themeColor="accent5" w:themeTint="66"/>
        </w:rPr>
      </w:pPr>
    </w:p>
    <w:p w14:paraId="2B2FEBDF" w14:textId="77777777" w:rsidR="00114DC2" w:rsidRDefault="00114DC2" w:rsidP="005C0F75">
      <w:pPr>
        <w:rPr>
          <w:rFonts w:ascii="Arial" w:hAnsi="Arial" w:cs="Arial"/>
          <w:b/>
          <w:bCs/>
          <w:color w:val="E59EDC" w:themeColor="accent5" w:themeTint="66"/>
        </w:rPr>
      </w:pPr>
    </w:p>
    <w:p w14:paraId="7424D70A" w14:textId="77777777" w:rsidR="00114DC2" w:rsidRDefault="00114DC2" w:rsidP="005C0F75">
      <w:pPr>
        <w:rPr>
          <w:rFonts w:ascii="Arial" w:hAnsi="Arial" w:cs="Arial"/>
          <w:b/>
          <w:bCs/>
          <w:color w:val="E59EDC" w:themeColor="accent5" w:themeTint="66"/>
        </w:rPr>
      </w:pPr>
    </w:p>
    <w:p w14:paraId="642387C7" w14:textId="77777777" w:rsidR="00114DC2" w:rsidRDefault="00114DC2" w:rsidP="005C0F75">
      <w:pPr>
        <w:rPr>
          <w:rFonts w:ascii="Arial" w:hAnsi="Arial" w:cs="Arial"/>
          <w:b/>
          <w:bCs/>
          <w:color w:val="E59EDC" w:themeColor="accent5" w:themeTint="66"/>
        </w:rPr>
      </w:pPr>
    </w:p>
    <w:p w14:paraId="672B1129" w14:textId="77777777" w:rsidR="00114DC2" w:rsidRDefault="00114DC2" w:rsidP="005C0F75">
      <w:pPr>
        <w:rPr>
          <w:rFonts w:ascii="Arial" w:hAnsi="Arial" w:cs="Arial"/>
          <w:b/>
          <w:bCs/>
          <w:color w:val="E59EDC" w:themeColor="accent5" w:themeTint="66"/>
        </w:rPr>
      </w:pPr>
    </w:p>
    <w:p w14:paraId="5887C5E0" w14:textId="77777777" w:rsidR="00BD5479" w:rsidRDefault="00BD5479" w:rsidP="005C0F75">
      <w:pPr>
        <w:rPr>
          <w:rFonts w:ascii="Arial" w:hAnsi="Arial" w:cs="Arial"/>
          <w:b/>
          <w:bCs/>
          <w:color w:val="E59EDC" w:themeColor="accent5" w:themeTint="66"/>
        </w:rPr>
      </w:pPr>
    </w:p>
    <w:p w14:paraId="49A4480B" w14:textId="77777777" w:rsidR="005C0F75" w:rsidRDefault="005C0F75" w:rsidP="005C0F75">
      <w:pPr>
        <w:spacing w:after="0"/>
        <w:rPr>
          <w:rFonts w:ascii="Arial" w:hAnsi="Arial" w:cs="Arial"/>
          <w:b/>
          <w:bCs/>
          <w:color w:val="E59EDC" w:themeColor="accent5" w:themeTint="66"/>
        </w:rPr>
      </w:pPr>
    </w:p>
    <w:p w14:paraId="0A4FCD5D" w14:textId="77777777" w:rsidR="008229C7" w:rsidRPr="005C0F75" w:rsidRDefault="008229C7" w:rsidP="005C0F75">
      <w:pPr>
        <w:spacing w:after="0"/>
        <w:rPr>
          <w:rFonts w:ascii="Arial" w:hAnsi="Arial" w:cs="Arial"/>
        </w:rPr>
      </w:pPr>
    </w:p>
    <w:p w14:paraId="5F1F97E3" w14:textId="3B20995C" w:rsidR="008229C7" w:rsidRPr="000269B3" w:rsidRDefault="005C0F75" w:rsidP="008229C7">
      <w:pPr>
        <w:rPr>
          <w:rFonts w:ascii="Arial" w:hAnsi="Arial" w:cs="Arial"/>
        </w:rPr>
      </w:pPr>
      <w:r w:rsidRPr="008E4845">
        <w:rPr>
          <w:rFonts w:ascii="Arial" w:hAnsi="Arial" w:cs="Arial"/>
        </w:rPr>
        <w:lastRenderedPageBreak/>
        <w:t>‌</w:t>
      </w:r>
      <w:r w:rsidRPr="005C0F75">
        <w:rPr>
          <w:b/>
          <w:bCs/>
        </w:rPr>
        <w:t xml:space="preserve"> </w:t>
      </w:r>
      <w:r>
        <w:rPr>
          <w:b/>
          <w:bCs/>
        </w:rPr>
        <w:t>References</w:t>
      </w:r>
    </w:p>
    <w:p w14:paraId="5A12C4B1" w14:textId="77777777" w:rsidR="008229C7" w:rsidRPr="005C0F75" w:rsidRDefault="008229C7" w:rsidP="005C0F75">
      <w:pPr>
        <w:spacing w:after="0"/>
        <w:rPr>
          <w:rFonts w:ascii="Arial" w:hAnsi="Arial" w:cs="Arial"/>
        </w:rPr>
      </w:pPr>
    </w:p>
    <w:p w14:paraId="1D10A35A" w14:textId="77777777" w:rsidR="008229C7" w:rsidRPr="005C0F75" w:rsidRDefault="008229C7" w:rsidP="005C0F75">
      <w:pPr>
        <w:rPr>
          <w:rFonts w:ascii="Arial" w:hAnsi="Arial" w:cs="Arial"/>
        </w:rPr>
      </w:pPr>
      <w:r w:rsidRPr="005C0F75">
        <w:rPr>
          <w:rFonts w:ascii="Arial" w:hAnsi="Arial" w:cs="Arial"/>
        </w:rPr>
        <w:t xml:space="preserve">AlShawi, A.F. and </w:t>
      </w:r>
      <w:proofErr w:type="spellStart"/>
      <w:r w:rsidRPr="005C0F75">
        <w:rPr>
          <w:rFonts w:ascii="Arial" w:hAnsi="Arial" w:cs="Arial"/>
        </w:rPr>
        <w:t>Lafta</w:t>
      </w:r>
      <w:proofErr w:type="spellEnd"/>
      <w:r w:rsidRPr="005C0F75">
        <w:rPr>
          <w:rFonts w:ascii="Arial" w:hAnsi="Arial" w:cs="Arial"/>
        </w:rPr>
        <w:t>, R.K., 2015. Relation between childhood experiences and adults' self-esteem: A sample from Baghdad. </w:t>
      </w:r>
      <w:r w:rsidRPr="005C0F75">
        <w:rPr>
          <w:rFonts w:ascii="Arial" w:hAnsi="Arial" w:cs="Arial"/>
          <w:i/>
          <w:iCs/>
        </w:rPr>
        <w:t>Qatar Medical Journal</w:t>
      </w:r>
      <w:r w:rsidRPr="005C0F75">
        <w:rPr>
          <w:rFonts w:ascii="Arial" w:hAnsi="Arial" w:cs="Arial"/>
        </w:rPr>
        <w:t>, </w:t>
      </w:r>
      <w:r w:rsidRPr="005C0F75">
        <w:rPr>
          <w:rFonts w:ascii="Arial" w:hAnsi="Arial" w:cs="Arial"/>
          <w:i/>
          <w:iCs/>
        </w:rPr>
        <w:t>2014</w:t>
      </w:r>
      <w:r w:rsidRPr="005C0F75">
        <w:rPr>
          <w:rFonts w:ascii="Arial" w:hAnsi="Arial" w:cs="Arial"/>
        </w:rPr>
        <w:t>(2), p.14.</w:t>
      </w:r>
    </w:p>
    <w:p w14:paraId="22578080" w14:textId="77777777" w:rsidR="008229C7" w:rsidRPr="005C0F75" w:rsidRDefault="008229C7" w:rsidP="005C0F75">
      <w:pPr>
        <w:rPr>
          <w:rFonts w:ascii="Arial" w:hAnsi="Arial" w:cs="Arial"/>
        </w:rPr>
      </w:pPr>
      <w:r w:rsidRPr="005C0F75">
        <w:rPr>
          <w:rFonts w:ascii="Arial" w:hAnsi="Arial" w:cs="Arial"/>
        </w:rPr>
        <w:t>Altman, A., 2011. Discrimination.</w:t>
      </w:r>
    </w:p>
    <w:p w14:paraId="11E968F2" w14:textId="77777777" w:rsidR="008229C7" w:rsidRPr="00BD5479" w:rsidRDefault="008229C7" w:rsidP="005C0F75">
      <w:pPr>
        <w:rPr>
          <w:rFonts w:ascii="Arial" w:hAnsi="Arial" w:cs="Arial"/>
        </w:rPr>
      </w:pPr>
      <w:r w:rsidRPr="00BD5479">
        <w:rPr>
          <w:rFonts w:ascii="Arial" w:hAnsi="Arial" w:cs="Arial"/>
        </w:rPr>
        <w:t xml:space="preserve">Bautista, T.G., Roman, G., Khan, M., Lee, M., </w:t>
      </w:r>
      <w:proofErr w:type="spellStart"/>
      <w:r w:rsidRPr="00BD5479">
        <w:rPr>
          <w:rFonts w:ascii="Arial" w:hAnsi="Arial" w:cs="Arial"/>
        </w:rPr>
        <w:t>Sahbaz</w:t>
      </w:r>
      <w:proofErr w:type="spellEnd"/>
      <w:r w:rsidRPr="00BD5479">
        <w:rPr>
          <w:rFonts w:ascii="Arial" w:hAnsi="Arial" w:cs="Arial"/>
        </w:rPr>
        <w:t xml:space="preserve">, S., </w:t>
      </w:r>
      <w:proofErr w:type="spellStart"/>
      <w:r w:rsidRPr="00BD5479">
        <w:rPr>
          <w:rFonts w:ascii="Arial" w:hAnsi="Arial" w:cs="Arial"/>
        </w:rPr>
        <w:t>Duthely</w:t>
      </w:r>
      <w:proofErr w:type="spellEnd"/>
      <w:r w:rsidRPr="00BD5479">
        <w:rPr>
          <w:rFonts w:ascii="Arial" w:hAnsi="Arial" w:cs="Arial"/>
        </w:rPr>
        <w:t xml:space="preserve">, L.M., Knippenberg, A., Macias-Burgos, M.A., Davidson, A., </w:t>
      </w:r>
      <w:proofErr w:type="spellStart"/>
      <w:r w:rsidRPr="00BD5479">
        <w:rPr>
          <w:rFonts w:ascii="Arial" w:hAnsi="Arial" w:cs="Arial"/>
        </w:rPr>
        <w:t>Scaramutti</w:t>
      </w:r>
      <w:proofErr w:type="spellEnd"/>
      <w:r w:rsidRPr="00BD5479">
        <w:rPr>
          <w:rFonts w:ascii="Arial" w:hAnsi="Arial" w:cs="Arial"/>
        </w:rPr>
        <w:t xml:space="preserve">, C. and </w:t>
      </w:r>
      <w:proofErr w:type="spellStart"/>
      <w:r w:rsidRPr="00BD5479">
        <w:rPr>
          <w:rFonts w:ascii="Arial" w:hAnsi="Arial" w:cs="Arial"/>
        </w:rPr>
        <w:t>Gabrilove</w:t>
      </w:r>
      <w:proofErr w:type="spellEnd"/>
      <w:r w:rsidRPr="00BD5479">
        <w:rPr>
          <w:rFonts w:ascii="Arial" w:hAnsi="Arial" w:cs="Arial"/>
        </w:rPr>
        <w:t>, J., 2023. What is Well-Being? A Scoping Review of the Conceptual and Operational Definitions of Well-Being. </w:t>
      </w:r>
      <w:r w:rsidRPr="00BD5479">
        <w:rPr>
          <w:rFonts w:ascii="Arial" w:hAnsi="Arial" w:cs="Arial"/>
          <w:i/>
          <w:iCs/>
        </w:rPr>
        <w:t>Journal of Clinical and Translational Science</w:t>
      </w:r>
      <w:r w:rsidRPr="00BD5479">
        <w:rPr>
          <w:rFonts w:ascii="Arial" w:hAnsi="Arial" w:cs="Arial"/>
        </w:rPr>
        <w:t>, pp.1-27.</w:t>
      </w:r>
    </w:p>
    <w:p w14:paraId="426BD977" w14:textId="77777777" w:rsidR="008229C7" w:rsidRPr="005C0F75" w:rsidRDefault="008229C7" w:rsidP="005C0F75">
      <w:pPr>
        <w:rPr>
          <w:rFonts w:ascii="Arial" w:hAnsi="Arial" w:cs="Arial"/>
        </w:rPr>
      </w:pPr>
      <w:r w:rsidRPr="005C0F75">
        <w:rPr>
          <w:rFonts w:ascii="Arial" w:hAnsi="Arial" w:cs="Arial"/>
        </w:rPr>
        <w:t xml:space="preserve">Bellis, M.A., Ashton, K., Hughes, K., Ford, K.J., Bishop, J. and </w:t>
      </w:r>
      <w:proofErr w:type="spellStart"/>
      <w:r w:rsidRPr="005C0F75">
        <w:rPr>
          <w:rFonts w:ascii="Arial" w:hAnsi="Arial" w:cs="Arial"/>
        </w:rPr>
        <w:t>Paranjothy</w:t>
      </w:r>
      <w:proofErr w:type="spellEnd"/>
      <w:r w:rsidRPr="005C0F75">
        <w:rPr>
          <w:rFonts w:ascii="Arial" w:hAnsi="Arial" w:cs="Arial"/>
        </w:rPr>
        <w:t>, S., 2016. </w:t>
      </w:r>
      <w:r w:rsidRPr="005C0F75">
        <w:rPr>
          <w:rFonts w:ascii="Arial" w:hAnsi="Arial" w:cs="Arial"/>
          <w:i/>
          <w:iCs/>
        </w:rPr>
        <w:t>Adverse childhood experiences and their impact on health-harming behaviours in the Welsh adult population</w:t>
      </w:r>
      <w:r w:rsidRPr="005C0F75">
        <w:rPr>
          <w:rFonts w:ascii="Arial" w:hAnsi="Arial" w:cs="Arial"/>
        </w:rPr>
        <w:t>. Public Health Wales NHS Trust.</w:t>
      </w:r>
    </w:p>
    <w:p w14:paraId="3E8283FF" w14:textId="77777777" w:rsidR="008229C7" w:rsidRDefault="008229C7" w:rsidP="005C0F75">
      <w:pPr>
        <w:rPr>
          <w:rFonts w:ascii="Arial" w:hAnsi="Arial" w:cs="Arial"/>
        </w:rPr>
      </w:pPr>
      <w:r w:rsidRPr="005C0F75">
        <w:rPr>
          <w:rFonts w:ascii="Arial" w:hAnsi="Arial" w:cs="Arial"/>
        </w:rPr>
        <w:t>Berman, G. and Dar, A., 2013. Prison population statistics. </w:t>
      </w:r>
      <w:r w:rsidRPr="005C0F75">
        <w:rPr>
          <w:rFonts w:ascii="Arial" w:hAnsi="Arial" w:cs="Arial"/>
          <w:i/>
          <w:iCs/>
        </w:rPr>
        <w:t>London: House of Commons Library</w:t>
      </w:r>
      <w:r w:rsidRPr="005C0F75">
        <w:rPr>
          <w:rFonts w:ascii="Arial" w:hAnsi="Arial" w:cs="Arial"/>
        </w:rPr>
        <w:t>.</w:t>
      </w:r>
    </w:p>
    <w:p w14:paraId="300E9857" w14:textId="77777777" w:rsidR="008229C7" w:rsidRPr="005C0F75" w:rsidRDefault="008229C7" w:rsidP="005C0F75">
      <w:pPr>
        <w:rPr>
          <w:rFonts w:ascii="Arial" w:hAnsi="Arial" w:cs="Arial"/>
        </w:rPr>
      </w:pPr>
      <w:r w:rsidRPr="005C0F75">
        <w:rPr>
          <w:rFonts w:ascii="Arial" w:hAnsi="Arial" w:cs="Arial"/>
        </w:rPr>
        <w:t xml:space="preserve">Bishop, A.S., Fleming, C.M. and </w:t>
      </w:r>
      <w:proofErr w:type="spellStart"/>
      <w:r w:rsidRPr="005C0F75">
        <w:rPr>
          <w:rFonts w:ascii="Arial" w:hAnsi="Arial" w:cs="Arial"/>
        </w:rPr>
        <w:t>Nurius</w:t>
      </w:r>
      <w:proofErr w:type="spellEnd"/>
      <w:r w:rsidRPr="005C0F75">
        <w:rPr>
          <w:rFonts w:ascii="Arial" w:hAnsi="Arial" w:cs="Arial"/>
        </w:rPr>
        <w:t>, P.S., 2020. Substance use profiles among gang-involved youth: Social ecology implications for service approaches. </w:t>
      </w:r>
      <w:r w:rsidRPr="005C0F75">
        <w:rPr>
          <w:rFonts w:ascii="Arial" w:hAnsi="Arial" w:cs="Arial"/>
          <w:i/>
          <w:iCs/>
        </w:rPr>
        <w:t>Children and youth services review</w:t>
      </w:r>
      <w:r w:rsidRPr="005C0F75">
        <w:rPr>
          <w:rFonts w:ascii="Arial" w:hAnsi="Arial" w:cs="Arial"/>
        </w:rPr>
        <w:t>, </w:t>
      </w:r>
      <w:r w:rsidRPr="005C0F75">
        <w:rPr>
          <w:rFonts w:ascii="Arial" w:hAnsi="Arial" w:cs="Arial"/>
          <w:i/>
          <w:iCs/>
        </w:rPr>
        <w:t>119</w:t>
      </w:r>
      <w:r w:rsidRPr="005C0F75">
        <w:rPr>
          <w:rFonts w:ascii="Arial" w:hAnsi="Arial" w:cs="Arial"/>
        </w:rPr>
        <w:t>, p.105600.</w:t>
      </w:r>
    </w:p>
    <w:p w14:paraId="3AF71F1E" w14:textId="77777777" w:rsidR="008229C7" w:rsidRPr="005C0F75" w:rsidRDefault="008229C7" w:rsidP="005C0F75">
      <w:pPr>
        <w:rPr>
          <w:rFonts w:ascii="Arial" w:hAnsi="Arial" w:cs="Arial"/>
        </w:rPr>
      </w:pPr>
      <w:proofErr w:type="spellStart"/>
      <w:r w:rsidRPr="005C0F75">
        <w:rPr>
          <w:rFonts w:ascii="Arial" w:hAnsi="Arial" w:cs="Arial"/>
        </w:rPr>
        <w:t>Boullier</w:t>
      </w:r>
      <w:proofErr w:type="spellEnd"/>
      <w:r w:rsidRPr="005C0F75">
        <w:rPr>
          <w:rFonts w:ascii="Arial" w:hAnsi="Arial" w:cs="Arial"/>
        </w:rPr>
        <w:t>, Mary, and Mitch Blair. "Adverse childhood experiences." </w:t>
      </w:r>
      <w:r w:rsidRPr="005C0F75">
        <w:rPr>
          <w:rFonts w:ascii="Arial" w:hAnsi="Arial" w:cs="Arial"/>
          <w:i/>
          <w:iCs/>
        </w:rPr>
        <w:t>Paediatrics and Child Health</w:t>
      </w:r>
      <w:r w:rsidRPr="005C0F75">
        <w:rPr>
          <w:rFonts w:ascii="Arial" w:hAnsi="Arial" w:cs="Arial"/>
        </w:rPr>
        <w:t> 28, no. 3 (2018): 132-137.</w:t>
      </w:r>
    </w:p>
    <w:p w14:paraId="35718FC0" w14:textId="77777777" w:rsidR="008229C7" w:rsidRDefault="008229C7" w:rsidP="005C0F75">
      <w:pPr>
        <w:rPr>
          <w:rFonts w:ascii="Arial" w:hAnsi="Arial" w:cs="Arial"/>
        </w:rPr>
      </w:pPr>
      <w:r w:rsidRPr="00A53185">
        <w:rPr>
          <w:rFonts w:ascii="Arial" w:hAnsi="Arial" w:cs="Arial"/>
        </w:rPr>
        <w:t>Boyd, R., Richerson, P.J. and Henrich, J., 2011. The cultural niche: Why social learning is essential for human adaptation. </w:t>
      </w:r>
      <w:r w:rsidRPr="00A53185">
        <w:rPr>
          <w:rFonts w:ascii="Arial" w:hAnsi="Arial" w:cs="Arial"/>
          <w:i/>
          <w:iCs/>
        </w:rPr>
        <w:t>Proceedings of the National Academy of Sciences</w:t>
      </w:r>
      <w:r w:rsidRPr="00A53185">
        <w:rPr>
          <w:rFonts w:ascii="Arial" w:hAnsi="Arial" w:cs="Arial"/>
        </w:rPr>
        <w:t>, </w:t>
      </w:r>
      <w:r w:rsidRPr="00A53185">
        <w:rPr>
          <w:rFonts w:ascii="Arial" w:hAnsi="Arial" w:cs="Arial"/>
          <w:i/>
          <w:iCs/>
        </w:rPr>
        <w:t>108</w:t>
      </w:r>
      <w:r w:rsidRPr="00A53185">
        <w:rPr>
          <w:rFonts w:ascii="Arial" w:hAnsi="Arial" w:cs="Arial"/>
        </w:rPr>
        <w:t>(supplement_2), pp.10918-10925.</w:t>
      </w:r>
    </w:p>
    <w:p w14:paraId="60A48806" w14:textId="77777777" w:rsidR="008229C7" w:rsidRPr="005C0F75" w:rsidRDefault="008229C7" w:rsidP="005C0F75">
      <w:pPr>
        <w:rPr>
          <w:rFonts w:ascii="Arial" w:hAnsi="Arial" w:cs="Arial"/>
        </w:rPr>
      </w:pPr>
      <w:r w:rsidRPr="005C0F75">
        <w:rPr>
          <w:rFonts w:ascii="Arial" w:hAnsi="Arial" w:cs="Arial"/>
        </w:rPr>
        <w:t>Briggs, E.C., Amaya-Jackson, L., Putnam, K.T. and Putnam, F.W., 2021. All adverse childhood experiences are not equal: The contribution of synergy to adverse childhood experience scores. </w:t>
      </w:r>
      <w:r w:rsidRPr="005C0F75">
        <w:rPr>
          <w:rFonts w:ascii="Arial" w:hAnsi="Arial" w:cs="Arial"/>
          <w:i/>
          <w:iCs/>
        </w:rPr>
        <w:t>American Psychologist</w:t>
      </w:r>
      <w:r w:rsidRPr="005C0F75">
        <w:rPr>
          <w:rFonts w:ascii="Arial" w:hAnsi="Arial" w:cs="Arial"/>
        </w:rPr>
        <w:t>, </w:t>
      </w:r>
      <w:r w:rsidRPr="005C0F75">
        <w:rPr>
          <w:rFonts w:ascii="Arial" w:hAnsi="Arial" w:cs="Arial"/>
          <w:i/>
          <w:iCs/>
        </w:rPr>
        <w:t>76</w:t>
      </w:r>
      <w:r w:rsidRPr="005C0F75">
        <w:rPr>
          <w:rFonts w:ascii="Arial" w:hAnsi="Arial" w:cs="Arial"/>
        </w:rPr>
        <w:t>(2), p.243.</w:t>
      </w:r>
    </w:p>
    <w:p w14:paraId="23032EC4" w14:textId="77777777" w:rsidR="008229C7" w:rsidRPr="005C0F75" w:rsidRDefault="008229C7" w:rsidP="005C0F75">
      <w:pPr>
        <w:rPr>
          <w:rFonts w:ascii="Arial" w:hAnsi="Arial" w:cs="Arial"/>
        </w:rPr>
      </w:pPr>
      <w:r w:rsidRPr="005C0F75">
        <w:rPr>
          <w:rFonts w:ascii="Arial" w:hAnsi="Arial" w:cs="Arial"/>
        </w:rPr>
        <w:t xml:space="preserve">Brooker, C., Collinson, B. and </w:t>
      </w:r>
      <w:proofErr w:type="spellStart"/>
      <w:r w:rsidRPr="005C0F75">
        <w:rPr>
          <w:rFonts w:ascii="Arial" w:hAnsi="Arial" w:cs="Arial"/>
        </w:rPr>
        <w:t>Sirdifield</w:t>
      </w:r>
      <w:proofErr w:type="spellEnd"/>
      <w:r w:rsidRPr="005C0F75">
        <w:rPr>
          <w:rFonts w:ascii="Arial" w:hAnsi="Arial" w:cs="Arial"/>
        </w:rPr>
        <w:t>, C., 2023. Improving healthcare in adult probation services: Learning from Youth Offending Teams. </w:t>
      </w:r>
      <w:r w:rsidRPr="005C0F75">
        <w:rPr>
          <w:rFonts w:ascii="Arial" w:hAnsi="Arial" w:cs="Arial"/>
          <w:i/>
          <w:iCs/>
        </w:rPr>
        <w:t>Probation Journal</w:t>
      </w:r>
      <w:r w:rsidRPr="005C0F75">
        <w:rPr>
          <w:rFonts w:ascii="Arial" w:hAnsi="Arial" w:cs="Arial"/>
        </w:rPr>
        <w:t>, </w:t>
      </w:r>
      <w:r w:rsidRPr="005C0F75">
        <w:rPr>
          <w:rFonts w:ascii="Arial" w:hAnsi="Arial" w:cs="Arial"/>
          <w:i/>
          <w:iCs/>
        </w:rPr>
        <w:t>70</w:t>
      </w:r>
      <w:r w:rsidRPr="005C0F75">
        <w:rPr>
          <w:rFonts w:ascii="Arial" w:hAnsi="Arial" w:cs="Arial"/>
        </w:rPr>
        <w:t>(3), pp.261-278.</w:t>
      </w:r>
    </w:p>
    <w:p w14:paraId="4C25CDD9" w14:textId="77777777" w:rsidR="008229C7" w:rsidRPr="005C0F75" w:rsidRDefault="008229C7" w:rsidP="005C0F75">
      <w:pPr>
        <w:rPr>
          <w:rFonts w:ascii="Arial" w:hAnsi="Arial" w:cs="Arial"/>
        </w:rPr>
      </w:pPr>
      <w:proofErr w:type="spellStart"/>
      <w:r w:rsidRPr="005C0F75">
        <w:rPr>
          <w:rFonts w:ascii="Arial" w:hAnsi="Arial" w:cs="Arial"/>
        </w:rPr>
        <w:t>Cieślak</w:t>
      </w:r>
      <w:proofErr w:type="spellEnd"/>
      <w:r w:rsidRPr="005C0F75">
        <w:rPr>
          <w:rFonts w:ascii="Arial" w:hAnsi="Arial" w:cs="Arial"/>
        </w:rPr>
        <w:t xml:space="preserve">, I., Kielan, A., Olejniczak, D., Panczyk, M., Jaworski, M., </w:t>
      </w:r>
      <w:proofErr w:type="spellStart"/>
      <w:r w:rsidRPr="005C0F75">
        <w:rPr>
          <w:rFonts w:ascii="Arial" w:hAnsi="Arial" w:cs="Arial"/>
        </w:rPr>
        <w:t>Gałązkowski</w:t>
      </w:r>
      <w:proofErr w:type="spellEnd"/>
      <w:r w:rsidRPr="005C0F75">
        <w:rPr>
          <w:rFonts w:ascii="Arial" w:hAnsi="Arial" w:cs="Arial"/>
        </w:rPr>
        <w:t xml:space="preserve">, R., </w:t>
      </w:r>
      <w:proofErr w:type="spellStart"/>
      <w:r w:rsidRPr="005C0F75">
        <w:rPr>
          <w:rFonts w:ascii="Arial" w:hAnsi="Arial" w:cs="Arial"/>
        </w:rPr>
        <w:t>Pękala</w:t>
      </w:r>
      <w:proofErr w:type="spellEnd"/>
      <w:r w:rsidRPr="005C0F75">
        <w:rPr>
          <w:rFonts w:ascii="Arial" w:hAnsi="Arial" w:cs="Arial"/>
        </w:rPr>
        <w:t xml:space="preserve">, J.R., Iwanow, L., </w:t>
      </w:r>
      <w:proofErr w:type="spellStart"/>
      <w:r w:rsidRPr="005C0F75">
        <w:rPr>
          <w:rFonts w:ascii="Arial" w:hAnsi="Arial" w:cs="Arial"/>
        </w:rPr>
        <w:t>Zarzeka</w:t>
      </w:r>
      <w:proofErr w:type="spellEnd"/>
      <w:r w:rsidRPr="005C0F75">
        <w:rPr>
          <w:rFonts w:ascii="Arial" w:hAnsi="Arial" w:cs="Arial"/>
        </w:rPr>
        <w:t>, A., Gotlib, J. and Mikos, M., 2020. Stress at work: The case of municipal police officers. </w:t>
      </w:r>
      <w:r w:rsidRPr="005C0F75">
        <w:rPr>
          <w:rFonts w:ascii="Arial" w:hAnsi="Arial" w:cs="Arial"/>
          <w:i/>
          <w:iCs/>
        </w:rPr>
        <w:t>Work</w:t>
      </w:r>
      <w:r w:rsidRPr="005C0F75">
        <w:rPr>
          <w:rFonts w:ascii="Arial" w:hAnsi="Arial" w:cs="Arial"/>
        </w:rPr>
        <w:t>, </w:t>
      </w:r>
      <w:r w:rsidRPr="005C0F75">
        <w:rPr>
          <w:rFonts w:ascii="Arial" w:hAnsi="Arial" w:cs="Arial"/>
          <w:i/>
          <w:iCs/>
        </w:rPr>
        <w:t>65</w:t>
      </w:r>
      <w:r w:rsidRPr="005C0F75">
        <w:rPr>
          <w:rFonts w:ascii="Arial" w:hAnsi="Arial" w:cs="Arial"/>
        </w:rPr>
        <w:t>(1), pp.145-152.</w:t>
      </w:r>
    </w:p>
    <w:p w14:paraId="6156E3F5" w14:textId="77777777" w:rsidR="008229C7" w:rsidRPr="00622D70" w:rsidRDefault="008229C7" w:rsidP="005C0F75">
      <w:pPr>
        <w:rPr>
          <w:rFonts w:ascii="Arial" w:hAnsi="Arial" w:cs="Arial"/>
        </w:rPr>
      </w:pPr>
      <w:r w:rsidRPr="002C0027">
        <w:rPr>
          <w:rFonts w:ascii="Arial" w:hAnsi="Arial" w:cs="Arial"/>
        </w:rPr>
        <w:t>‌</w:t>
      </w:r>
      <w:r w:rsidRPr="00622D70">
        <w:rPr>
          <w:rFonts w:ascii="Arial" w:hAnsi="Arial" w:cs="Arial"/>
        </w:rPr>
        <w:t>College of Policing. (2024). </w:t>
      </w:r>
      <w:r w:rsidRPr="00622D70">
        <w:rPr>
          <w:rFonts w:ascii="Arial" w:hAnsi="Arial" w:cs="Arial"/>
          <w:i/>
          <w:iCs/>
        </w:rPr>
        <w:t>Peel Street Project – Supporting diverse communities through community engagement | College of Policing</w:t>
      </w:r>
      <w:r w:rsidRPr="00622D70">
        <w:rPr>
          <w:rFonts w:ascii="Arial" w:hAnsi="Arial" w:cs="Arial"/>
        </w:rPr>
        <w:t xml:space="preserve">. Available at: </w:t>
      </w:r>
      <w:hyperlink r:id="rId8" w:history="1">
        <w:r w:rsidRPr="00622D70">
          <w:rPr>
            <w:rStyle w:val="Hyperlink"/>
            <w:rFonts w:ascii="Arial" w:hAnsi="Arial" w:cs="Arial"/>
          </w:rPr>
          <w:t>https://www.college.police.uk/support-forces/practices/peel-street-project-supporting-diverse-communities-through-community-engagement</w:t>
        </w:r>
      </w:hyperlink>
      <w:r w:rsidRPr="00622D70">
        <w:rPr>
          <w:rFonts w:ascii="Arial" w:hAnsi="Arial" w:cs="Arial"/>
        </w:rPr>
        <w:t>.</w:t>
      </w:r>
      <w:r w:rsidRPr="005C0F75">
        <w:rPr>
          <w:rFonts w:ascii="Arial" w:hAnsi="Arial" w:cs="Arial"/>
        </w:rPr>
        <w:t xml:space="preserve"> (Accessed November 16, 2024)</w:t>
      </w:r>
    </w:p>
    <w:p w14:paraId="5D741DF2" w14:textId="77777777" w:rsidR="008229C7" w:rsidRPr="005C0F75" w:rsidRDefault="008229C7" w:rsidP="005C0F75">
      <w:pPr>
        <w:rPr>
          <w:rFonts w:ascii="Arial" w:hAnsi="Arial" w:cs="Arial"/>
        </w:rPr>
      </w:pPr>
      <w:r w:rsidRPr="005C0F75">
        <w:rPr>
          <w:rFonts w:ascii="Arial" w:hAnsi="Arial" w:cs="Arial"/>
        </w:rPr>
        <w:lastRenderedPageBreak/>
        <w:t xml:space="preserve">Farrington, D.P., </w:t>
      </w:r>
      <w:proofErr w:type="spellStart"/>
      <w:r w:rsidRPr="005C0F75">
        <w:rPr>
          <w:rFonts w:ascii="Arial" w:hAnsi="Arial" w:cs="Arial"/>
        </w:rPr>
        <w:t>Ttofi</w:t>
      </w:r>
      <w:proofErr w:type="spellEnd"/>
      <w:r w:rsidRPr="005C0F75">
        <w:rPr>
          <w:rFonts w:ascii="Arial" w:hAnsi="Arial" w:cs="Arial"/>
        </w:rPr>
        <w:t>, M.M. and Piquero, A.R., 2016. Risk, promotive, and protective factors in youth offending: Results from the Cambridge study in delinquent development. </w:t>
      </w:r>
      <w:r w:rsidRPr="005C0F75">
        <w:rPr>
          <w:rFonts w:ascii="Arial" w:hAnsi="Arial" w:cs="Arial"/>
          <w:i/>
          <w:iCs/>
        </w:rPr>
        <w:t>Journal of criminal justice</w:t>
      </w:r>
      <w:r w:rsidRPr="005C0F75">
        <w:rPr>
          <w:rFonts w:ascii="Arial" w:hAnsi="Arial" w:cs="Arial"/>
        </w:rPr>
        <w:t>, </w:t>
      </w:r>
      <w:r w:rsidRPr="005C0F75">
        <w:rPr>
          <w:rFonts w:ascii="Arial" w:hAnsi="Arial" w:cs="Arial"/>
          <w:i/>
          <w:iCs/>
        </w:rPr>
        <w:t>45</w:t>
      </w:r>
      <w:r w:rsidRPr="005C0F75">
        <w:rPr>
          <w:rFonts w:ascii="Arial" w:hAnsi="Arial" w:cs="Arial"/>
        </w:rPr>
        <w:t>, pp.63-70.</w:t>
      </w:r>
    </w:p>
    <w:p w14:paraId="4AADB4FD" w14:textId="77777777" w:rsidR="008229C7" w:rsidRPr="005C0F75" w:rsidRDefault="008229C7" w:rsidP="005C0F75">
      <w:pPr>
        <w:rPr>
          <w:rFonts w:ascii="Arial" w:hAnsi="Arial" w:cs="Arial"/>
        </w:rPr>
      </w:pPr>
      <w:r w:rsidRPr="005C0F75">
        <w:rPr>
          <w:rFonts w:ascii="Arial" w:hAnsi="Arial" w:cs="Arial"/>
        </w:rPr>
        <w:t>Felitti, Vincent J. "The relation between adverse childhood experiences and adult health: Turning gold into lead." </w:t>
      </w:r>
      <w:r w:rsidRPr="005C0F75">
        <w:rPr>
          <w:rFonts w:ascii="Arial" w:hAnsi="Arial" w:cs="Arial"/>
          <w:i/>
          <w:iCs/>
        </w:rPr>
        <w:t>The Permanente Journal</w:t>
      </w:r>
      <w:r w:rsidRPr="005C0F75">
        <w:rPr>
          <w:rFonts w:ascii="Arial" w:hAnsi="Arial" w:cs="Arial"/>
        </w:rPr>
        <w:t> 6, no. 1 (2002): 44-47.</w:t>
      </w:r>
    </w:p>
    <w:p w14:paraId="05053338" w14:textId="77777777" w:rsidR="008229C7" w:rsidRPr="005C0F75" w:rsidRDefault="008229C7" w:rsidP="005C0F75">
      <w:pPr>
        <w:rPr>
          <w:rFonts w:ascii="Arial" w:hAnsi="Arial" w:cs="Arial"/>
        </w:rPr>
      </w:pPr>
      <w:r w:rsidRPr="005C0F75">
        <w:rPr>
          <w:rFonts w:ascii="Arial" w:hAnsi="Arial" w:cs="Arial"/>
        </w:rPr>
        <w:t xml:space="preserve">Galanis, P., Fragkou, D. and </w:t>
      </w:r>
      <w:proofErr w:type="spellStart"/>
      <w:r w:rsidRPr="005C0F75">
        <w:rPr>
          <w:rFonts w:ascii="Arial" w:hAnsi="Arial" w:cs="Arial"/>
        </w:rPr>
        <w:t>Katsoulas</w:t>
      </w:r>
      <w:proofErr w:type="spellEnd"/>
      <w:r w:rsidRPr="005C0F75">
        <w:rPr>
          <w:rFonts w:ascii="Arial" w:hAnsi="Arial" w:cs="Arial"/>
        </w:rPr>
        <w:t>, T.A., 2021. Risk factors for stress among police officers: A systematic literature review. </w:t>
      </w:r>
      <w:r w:rsidRPr="005C0F75">
        <w:rPr>
          <w:rFonts w:ascii="Arial" w:hAnsi="Arial" w:cs="Arial"/>
          <w:i/>
          <w:iCs/>
        </w:rPr>
        <w:t>Work</w:t>
      </w:r>
      <w:r w:rsidRPr="005C0F75">
        <w:rPr>
          <w:rFonts w:ascii="Arial" w:hAnsi="Arial" w:cs="Arial"/>
        </w:rPr>
        <w:t>, </w:t>
      </w:r>
      <w:r w:rsidRPr="005C0F75">
        <w:rPr>
          <w:rFonts w:ascii="Arial" w:hAnsi="Arial" w:cs="Arial"/>
          <w:i/>
          <w:iCs/>
        </w:rPr>
        <w:t>68</w:t>
      </w:r>
      <w:r w:rsidRPr="005C0F75">
        <w:rPr>
          <w:rFonts w:ascii="Arial" w:hAnsi="Arial" w:cs="Arial"/>
        </w:rPr>
        <w:t>(4), pp.1255-1272.</w:t>
      </w:r>
    </w:p>
    <w:p w14:paraId="338A8EA3" w14:textId="77777777" w:rsidR="008229C7" w:rsidRPr="005C0F75" w:rsidRDefault="008229C7" w:rsidP="005C0F75">
      <w:pPr>
        <w:spacing w:after="0"/>
        <w:rPr>
          <w:rFonts w:ascii="Arial" w:hAnsi="Arial" w:cs="Arial"/>
        </w:rPr>
      </w:pPr>
      <w:r w:rsidRPr="002729C0">
        <w:rPr>
          <w:rFonts w:ascii="Arial" w:hAnsi="Arial" w:cs="Arial"/>
          <w:i/>
          <w:iCs/>
        </w:rPr>
        <w:t>Gov.uk</w:t>
      </w:r>
      <w:r w:rsidRPr="005C0F75">
        <w:rPr>
          <w:rFonts w:ascii="Arial" w:hAnsi="Arial" w:cs="Arial"/>
          <w:i/>
          <w:iCs/>
        </w:rPr>
        <w:t xml:space="preserve"> </w:t>
      </w:r>
      <w:r w:rsidRPr="002729C0">
        <w:rPr>
          <w:rFonts w:ascii="Arial" w:hAnsi="Arial" w:cs="Arial"/>
        </w:rPr>
        <w:t>(2020</w:t>
      </w:r>
      <w:proofErr w:type="gramStart"/>
      <w:r w:rsidRPr="002729C0">
        <w:rPr>
          <w:rFonts w:ascii="Arial" w:hAnsi="Arial" w:cs="Arial"/>
        </w:rPr>
        <w:t>) .</w:t>
      </w:r>
      <w:proofErr w:type="gramEnd"/>
      <w:r w:rsidRPr="002729C0">
        <w:rPr>
          <w:rFonts w:ascii="Arial" w:hAnsi="Arial" w:cs="Arial"/>
        </w:rPr>
        <w:t xml:space="preserve"> Available at: https://assets.publishing.service.gov.uk/media/5a805fbe40f0b6230269320e/Gov.uk_Serious_Organised_Crime_deck_vF.pdf (Accessed: November 22, 2024).</w:t>
      </w:r>
    </w:p>
    <w:p w14:paraId="658ECBE5" w14:textId="77777777" w:rsidR="008229C7" w:rsidRDefault="008229C7" w:rsidP="005C0F75">
      <w:pPr>
        <w:spacing w:after="0"/>
        <w:rPr>
          <w:rFonts w:ascii="Arial" w:hAnsi="Arial" w:cs="Arial"/>
        </w:rPr>
      </w:pPr>
      <w:r w:rsidRPr="0083311B">
        <w:rPr>
          <w:rFonts w:ascii="Arial" w:hAnsi="Arial" w:cs="Arial"/>
          <w:i/>
          <w:iCs/>
        </w:rPr>
        <w:t>Gov.uk</w:t>
      </w:r>
      <w:r>
        <w:rPr>
          <w:rFonts w:ascii="Arial" w:hAnsi="Arial" w:cs="Arial"/>
          <w:i/>
          <w:iCs/>
        </w:rPr>
        <w:t xml:space="preserve"> (2023)</w:t>
      </w:r>
      <w:r w:rsidRPr="0083311B">
        <w:rPr>
          <w:rFonts w:ascii="Arial" w:hAnsi="Arial" w:cs="Arial"/>
        </w:rPr>
        <w:t>. Available at: https://www.nationalcrimeagency.gov.uk/who-we-are/publications/254-guidance-for-ngos-on-how-to-identify-and-support-victims-of-criminalexploitation/file#:~:text=Some%20of%20the%20indicators%20of%20criminal%20exploitation%20are,%2F%20abuse%20%E2%80%93%20in%20need%20of%20medical%20care. (Accessed: November 16, 2024).</w:t>
      </w:r>
    </w:p>
    <w:p w14:paraId="3230F160" w14:textId="77777777" w:rsidR="008229C7" w:rsidRPr="005C0F75" w:rsidRDefault="008229C7" w:rsidP="005C0F75">
      <w:pPr>
        <w:rPr>
          <w:rFonts w:ascii="Arial" w:hAnsi="Arial" w:cs="Arial"/>
        </w:rPr>
      </w:pPr>
      <w:r w:rsidRPr="005C0F75">
        <w:rPr>
          <w:rFonts w:ascii="Arial" w:hAnsi="Arial" w:cs="Arial"/>
        </w:rPr>
        <w:t xml:space="preserve">Gupta, V., Upadhyay, S.K. and Malik, C., 2023. Rescuers Need </w:t>
      </w:r>
      <w:proofErr w:type="gramStart"/>
      <w:r w:rsidRPr="005C0F75">
        <w:rPr>
          <w:rFonts w:ascii="Arial" w:hAnsi="Arial" w:cs="Arial"/>
        </w:rPr>
        <w:t>To</w:t>
      </w:r>
      <w:proofErr w:type="gramEnd"/>
      <w:r w:rsidRPr="005C0F75">
        <w:rPr>
          <w:rFonts w:ascii="Arial" w:hAnsi="Arial" w:cs="Arial"/>
        </w:rPr>
        <w:t xml:space="preserve"> Be Rescued: Multi-pronged Strategies to Ensure Mental Well-Being Among Police Personnel. </w:t>
      </w:r>
      <w:r w:rsidRPr="005C0F75">
        <w:rPr>
          <w:rFonts w:ascii="Arial" w:hAnsi="Arial" w:cs="Arial"/>
          <w:i/>
          <w:iCs/>
        </w:rPr>
        <w:t>Journal of Police and Criminal Psychology</w:t>
      </w:r>
      <w:r w:rsidRPr="005C0F75">
        <w:rPr>
          <w:rFonts w:ascii="Arial" w:hAnsi="Arial" w:cs="Arial"/>
        </w:rPr>
        <w:t>, </w:t>
      </w:r>
      <w:r w:rsidRPr="005C0F75">
        <w:rPr>
          <w:rFonts w:ascii="Arial" w:hAnsi="Arial" w:cs="Arial"/>
          <w:i/>
          <w:iCs/>
        </w:rPr>
        <w:t>38</w:t>
      </w:r>
      <w:r w:rsidRPr="005C0F75">
        <w:rPr>
          <w:rFonts w:ascii="Arial" w:hAnsi="Arial" w:cs="Arial"/>
        </w:rPr>
        <w:t>(3), pp.643-665.</w:t>
      </w:r>
    </w:p>
    <w:p w14:paraId="1AA8B9E8" w14:textId="77777777" w:rsidR="008229C7" w:rsidRPr="005C0F75" w:rsidRDefault="008229C7" w:rsidP="005C0F75">
      <w:pPr>
        <w:rPr>
          <w:rStyle w:val="Hyperlink"/>
          <w:rFonts w:ascii="Arial" w:hAnsi="Arial" w:cs="Arial"/>
          <w:color w:val="auto"/>
          <w:u w:val="none"/>
        </w:rPr>
      </w:pPr>
      <w:r w:rsidRPr="005C0F75">
        <w:rPr>
          <w:rFonts w:ascii="Arial" w:hAnsi="Arial" w:cs="Arial"/>
        </w:rPr>
        <w:t>Hanson, R.F., Sawyer, G.K., Begle, A.M. and Hubel, G.S., 2010. The impact of crime victimization on quality of life. </w:t>
      </w:r>
      <w:r w:rsidRPr="005C0F75">
        <w:rPr>
          <w:rFonts w:ascii="Arial" w:hAnsi="Arial" w:cs="Arial"/>
          <w:i/>
          <w:iCs/>
        </w:rPr>
        <w:t>Journal of Traumatic Stress: Official Publication of The International Society for Traumatic Stress Studies</w:t>
      </w:r>
      <w:r w:rsidRPr="005C0F75">
        <w:rPr>
          <w:rFonts w:ascii="Arial" w:hAnsi="Arial" w:cs="Arial"/>
        </w:rPr>
        <w:t>, </w:t>
      </w:r>
      <w:r w:rsidRPr="005C0F75">
        <w:rPr>
          <w:rFonts w:ascii="Arial" w:hAnsi="Arial" w:cs="Arial"/>
          <w:i/>
          <w:iCs/>
        </w:rPr>
        <w:t>23</w:t>
      </w:r>
      <w:r w:rsidRPr="005C0F75">
        <w:rPr>
          <w:rFonts w:ascii="Arial" w:hAnsi="Arial" w:cs="Arial"/>
        </w:rPr>
        <w:t>(2), pp.189-197.</w:t>
      </w:r>
    </w:p>
    <w:p w14:paraId="55F0BE70" w14:textId="77777777" w:rsidR="008229C7" w:rsidRPr="005C0F75" w:rsidRDefault="008229C7" w:rsidP="005C0F75">
      <w:pPr>
        <w:rPr>
          <w:rFonts w:ascii="Arial" w:hAnsi="Arial" w:cs="Arial"/>
        </w:rPr>
      </w:pPr>
      <w:r w:rsidRPr="005C0F75">
        <w:rPr>
          <w:rFonts w:ascii="Arial" w:hAnsi="Arial" w:cs="Arial"/>
        </w:rPr>
        <w:t>Haydon, D., 2014. Early intervention for the prevention of offending in Northern Ireland. </w:t>
      </w:r>
      <w:r w:rsidRPr="005C0F75">
        <w:rPr>
          <w:rFonts w:ascii="Arial" w:hAnsi="Arial" w:cs="Arial"/>
          <w:i/>
          <w:iCs/>
        </w:rPr>
        <w:t>Youth Justice</w:t>
      </w:r>
      <w:r w:rsidRPr="005C0F75">
        <w:rPr>
          <w:rFonts w:ascii="Arial" w:hAnsi="Arial" w:cs="Arial"/>
        </w:rPr>
        <w:t>, </w:t>
      </w:r>
      <w:r w:rsidRPr="005C0F75">
        <w:rPr>
          <w:rFonts w:ascii="Arial" w:hAnsi="Arial" w:cs="Arial"/>
          <w:i/>
          <w:iCs/>
        </w:rPr>
        <w:t>14</w:t>
      </w:r>
      <w:r w:rsidRPr="005C0F75">
        <w:rPr>
          <w:rFonts w:ascii="Arial" w:hAnsi="Arial" w:cs="Arial"/>
        </w:rPr>
        <w:t>(3), pp.226-240.</w:t>
      </w:r>
    </w:p>
    <w:p w14:paraId="0FC6C1A1" w14:textId="77777777" w:rsidR="008229C7" w:rsidRPr="005C0F75" w:rsidRDefault="008229C7" w:rsidP="005C0F75">
      <w:pPr>
        <w:rPr>
          <w:rFonts w:ascii="Arial" w:hAnsi="Arial" w:cs="Arial"/>
        </w:rPr>
      </w:pPr>
      <w:r w:rsidRPr="005C0F75">
        <w:rPr>
          <w:rFonts w:ascii="Arial" w:hAnsi="Arial" w:cs="Arial"/>
        </w:rPr>
        <w:t>Hays-Thomas, R., 2004. Why now? The contemporary focus on managing diversity.</w:t>
      </w:r>
    </w:p>
    <w:p w14:paraId="56FF0964" w14:textId="77777777" w:rsidR="008229C7" w:rsidRPr="005C0F75" w:rsidRDefault="008229C7" w:rsidP="005C0F75">
      <w:pPr>
        <w:rPr>
          <w:rFonts w:ascii="Arial" w:hAnsi="Arial" w:cs="Arial"/>
        </w:rPr>
      </w:pPr>
      <w:proofErr w:type="spellStart"/>
      <w:r w:rsidRPr="005C0F75">
        <w:rPr>
          <w:rFonts w:ascii="Arial" w:hAnsi="Arial" w:cs="Arial"/>
        </w:rPr>
        <w:t>Houdmont</w:t>
      </w:r>
      <w:proofErr w:type="spellEnd"/>
      <w:r w:rsidRPr="005C0F75">
        <w:rPr>
          <w:rFonts w:ascii="Arial" w:hAnsi="Arial" w:cs="Arial"/>
        </w:rPr>
        <w:t xml:space="preserve"> </w:t>
      </w:r>
      <w:proofErr w:type="gramStart"/>
      <w:r w:rsidRPr="005C0F75">
        <w:rPr>
          <w:rFonts w:ascii="Arial" w:hAnsi="Arial" w:cs="Arial"/>
        </w:rPr>
        <w:t>J ,</w:t>
      </w:r>
      <w:proofErr w:type="gramEnd"/>
      <w:r w:rsidRPr="005C0F75">
        <w:rPr>
          <w:rFonts w:ascii="Arial" w:hAnsi="Arial" w:cs="Arial"/>
        </w:rPr>
        <w:t xml:space="preserve"> Randall R . Working hours and common mental disorders in English police officers. Occupational Medicine. (2016) ;66: (9):713–8</w:t>
      </w:r>
    </w:p>
    <w:p w14:paraId="11181B3F" w14:textId="77777777" w:rsidR="008229C7" w:rsidRPr="000E2CB1" w:rsidRDefault="008229C7" w:rsidP="005C0F75">
      <w:pPr>
        <w:rPr>
          <w:rFonts w:ascii="Arial" w:hAnsi="Arial" w:cs="Arial"/>
        </w:rPr>
      </w:pPr>
      <w:r w:rsidRPr="005C0F75">
        <w:rPr>
          <w:rFonts w:ascii="Arial" w:hAnsi="Arial" w:cs="Arial"/>
        </w:rPr>
        <w:t xml:space="preserve">Huppert F (2009) Psychological well-being: evidence regarding its causes and </w:t>
      </w:r>
      <w:r w:rsidRPr="000E2CB1">
        <w:rPr>
          <w:rFonts w:ascii="Arial" w:hAnsi="Arial" w:cs="Arial"/>
        </w:rPr>
        <w:t xml:space="preserve">consequences. Appl </w:t>
      </w:r>
      <w:proofErr w:type="spellStart"/>
      <w:r w:rsidRPr="000E2CB1">
        <w:rPr>
          <w:rFonts w:ascii="Arial" w:hAnsi="Arial" w:cs="Arial"/>
        </w:rPr>
        <w:t>Psychol</w:t>
      </w:r>
      <w:proofErr w:type="spellEnd"/>
      <w:r w:rsidRPr="000E2CB1">
        <w:rPr>
          <w:rFonts w:ascii="Arial" w:hAnsi="Arial" w:cs="Arial"/>
        </w:rPr>
        <w:t xml:space="preserve"> Health Well Being 1(2):137–164 9. </w:t>
      </w:r>
    </w:p>
    <w:p w14:paraId="64D9F229" w14:textId="77777777" w:rsidR="008229C7" w:rsidRPr="000E2CB1" w:rsidRDefault="008229C7" w:rsidP="005C0F75">
      <w:pPr>
        <w:rPr>
          <w:rFonts w:ascii="Arial" w:hAnsi="Arial" w:cs="Arial"/>
        </w:rPr>
      </w:pPr>
      <w:r w:rsidRPr="000E2CB1">
        <w:rPr>
          <w:rFonts w:ascii="Arial" w:hAnsi="Arial" w:cs="Arial"/>
        </w:rPr>
        <w:t>Huppert, F.A., 2009. Psychological well</w:t>
      </w:r>
      <w:r w:rsidRPr="000E2CB1">
        <w:rPr>
          <w:rFonts w:ascii="Cambria Math" w:hAnsi="Cambria Math" w:cs="Cambria Math"/>
        </w:rPr>
        <w:t>‐</w:t>
      </w:r>
      <w:r w:rsidRPr="000E2CB1">
        <w:rPr>
          <w:rFonts w:ascii="Arial" w:hAnsi="Arial" w:cs="Arial"/>
        </w:rPr>
        <w:t>being: Evidence regarding its causes and consequences. </w:t>
      </w:r>
      <w:r w:rsidRPr="000E2CB1">
        <w:rPr>
          <w:rFonts w:ascii="Arial" w:hAnsi="Arial" w:cs="Arial"/>
          <w:i/>
          <w:iCs/>
        </w:rPr>
        <w:t>Applied psychology: health and well</w:t>
      </w:r>
      <w:r w:rsidRPr="000E2CB1">
        <w:rPr>
          <w:rFonts w:ascii="Cambria Math" w:hAnsi="Cambria Math" w:cs="Cambria Math"/>
          <w:i/>
          <w:iCs/>
        </w:rPr>
        <w:t>‐</w:t>
      </w:r>
      <w:r w:rsidRPr="000E2CB1">
        <w:rPr>
          <w:rFonts w:ascii="Arial" w:hAnsi="Arial" w:cs="Arial"/>
          <w:i/>
          <w:iCs/>
        </w:rPr>
        <w:t>being</w:t>
      </w:r>
      <w:r w:rsidRPr="000E2CB1">
        <w:rPr>
          <w:rFonts w:ascii="Arial" w:hAnsi="Arial" w:cs="Arial"/>
        </w:rPr>
        <w:t>, </w:t>
      </w:r>
      <w:r w:rsidRPr="000E2CB1">
        <w:rPr>
          <w:rFonts w:ascii="Arial" w:hAnsi="Arial" w:cs="Arial"/>
          <w:i/>
          <w:iCs/>
        </w:rPr>
        <w:t>1</w:t>
      </w:r>
      <w:r w:rsidRPr="000E2CB1">
        <w:rPr>
          <w:rFonts w:ascii="Arial" w:hAnsi="Arial" w:cs="Arial"/>
        </w:rPr>
        <w:t>(2), pp.137-164.</w:t>
      </w:r>
    </w:p>
    <w:p w14:paraId="182C0A87" w14:textId="77777777" w:rsidR="008229C7" w:rsidRPr="005C0F75" w:rsidRDefault="008229C7" w:rsidP="005C0F75">
      <w:pPr>
        <w:rPr>
          <w:rFonts w:ascii="Arial" w:hAnsi="Arial" w:cs="Arial"/>
        </w:rPr>
      </w:pPr>
      <w:r w:rsidRPr="005C0F75">
        <w:rPr>
          <w:rFonts w:ascii="Arial" w:hAnsi="Arial" w:cs="Arial"/>
        </w:rPr>
        <w:t>Kelley, D.C., Siegel, E. and Wormwood, J.B., 2019. Understanding police performance under stress: insights from the biopsychosocial model of challenge and threat. </w:t>
      </w:r>
      <w:r w:rsidRPr="005C0F75">
        <w:rPr>
          <w:rFonts w:ascii="Arial" w:hAnsi="Arial" w:cs="Arial"/>
          <w:i/>
          <w:iCs/>
        </w:rPr>
        <w:t>Frontiers in psychology</w:t>
      </w:r>
      <w:r w:rsidRPr="005C0F75">
        <w:rPr>
          <w:rFonts w:ascii="Arial" w:hAnsi="Arial" w:cs="Arial"/>
        </w:rPr>
        <w:t>, </w:t>
      </w:r>
      <w:r w:rsidRPr="005C0F75">
        <w:rPr>
          <w:rFonts w:ascii="Arial" w:hAnsi="Arial" w:cs="Arial"/>
          <w:i/>
          <w:iCs/>
        </w:rPr>
        <w:t>10</w:t>
      </w:r>
      <w:r w:rsidRPr="005C0F75">
        <w:rPr>
          <w:rFonts w:ascii="Arial" w:hAnsi="Arial" w:cs="Arial"/>
        </w:rPr>
        <w:t>, p.1800.</w:t>
      </w:r>
    </w:p>
    <w:p w14:paraId="6C9CABA4" w14:textId="77777777" w:rsidR="008229C7" w:rsidRDefault="008229C7" w:rsidP="005C0F75">
      <w:pPr>
        <w:rPr>
          <w:rFonts w:ascii="Arial" w:hAnsi="Arial" w:cs="Arial"/>
        </w:rPr>
      </w:pPr>
      <w:r w:rsidRPr="00A53185">
        <w:rPr>
          <w:rFonts w:ascii="Arial" w:hAnsi="Arial" w:cs="Arial"/>
        </w:rPr>
        <w:t>Kivimäki, M. and Kawachi, I., 2015. Work stress as a risk factor for cardiovascular disease. </w:t>
      </w:r>
      <w:r w:rsidRPr="00A53185">
        <w:rPr>
          <w:rFonts w:ascii="Arial" w:hAnsi="Arial" w:cs="Arial"/>
          <w:i/>
          <w:iCs/>
        </w:rPr>
        <w:t>Current cardiology reports</w:t>
      </w:r>
      <w:r w:rsidRPr="00A53185">
        <w:rPr>
          <w:rFonts w:ascii="Arial" w:hAnsi="Arial" w:cs="Arial"/>
        </w:rPr>
        <w:t>, </w:t>
      </w:r>
      <w:r w:rsidRPr="00A53185">
        <w:rPr>
          <w:rFonts w:ascii="Arial" w:hAnsi="Arial" w:cs="Arial"/>
          <w:i/>
          <w:iCs/>
        </w:rPr>
        <w:t>17</w:t>
      </w:r>
      <w:r w:rsidRPr="00A53185">
        <w:rPr>
          <w:rFonts w:ascii="Arial" w:hAnsi="Arial" w:cs="Arial"/>
        </w:rPr>
        <w:t>, pp.1-9.</w:t>
      </w:r>
    </w:p>
    <w:p w14:paraId="5171A12C" w14:textId="77777777" w:rsidR="008229C7" w:rsidRPr="005C0F75" w:rsidRDefault="008229C7" w:rsidP="005C0F75">
      <w:pPr>
        <w:rPr>
          <w:rFonts w:ascii="Arial" w:hAnsi="Arial" w:cs="Arial"/>
        </w:rPr>
      </w:pPr>
      <w:r w:rsidRPr="005C0F75">
        <w:rPr>
          <w:rFonts w:ascii="Arial" w:hAnsi="Arial" w:cs="Arial"/>
        </w:rPr>
        <w:lastRenderedPageBreak/>
        <w:t>Kowalski, T.H. and Loretto, W., 2017. Well-being and HRM in the changing workplace. </w:t>
      </w:r>
      <w:r w:rsidRPr="005C0F75">
        <w:rPr>
          <w:rFonts w:ascii="Arial" w:hAnsi="Arial" w:cs="Arial"/>
          <w:i/>
          <w:iCs/>
        </w:rPr>
        <w:t>The International Journal of Human Resource Management</w:t>
      </w:r>
      <w:r w:rsidRPr="005C0F75">
        <w:rPr>
          <w:rFonts w:ascii="Arial" w:hAnsi="Arial" w:cs="Arial"/>
        </w:rPr>
        <w:t>, </w:t>
      </w:r>
      <w:r w:rsidRPr="005C0F75">
        <w:rPr>
          <w:rFonts w:ascii="Arial" w:hAnsi="Arial" w:cs="Arial"/>
          <w:i/>
          <w:iCs/>
        </w:rPr>
        <w:t>28</w:t>
      </w:r>
      <w:r w:rsidRPr="005C0F75">
        <w:rPr>
          <w:rFonts w:ascii="Arial" w:hAnsi="Arial" w:cs="Arial"/>
        </w:rPr>
        <w:t>(16), pp.2229-2255.</w:t>
      </w:r>
    </w:p>
    <w:p w14:paraId="0F40F2B9" w14:textId="77777777" w:rsidR="008229C7" w:rsidRPr="005C0F75" w:rsidRDefault="008229C7" w:rsidP="005C0F75">
      <w:pPr>
        <w:rPr>
          <w:rFonts w:ascii="Arial" w:hAnsi="Arial" w:cs="Arial"/>
        </w:rPr>
      </w:pPr>
      <w:r w:rsidRPr="005C0F75">
        <w:rPr>
          <w:rFonts w:ascii="Arial" w:hAnsi="Arial" w:cs="Arial"/>
        </w:rPr>
        <w:t>Landers, M., Johnson, M.H., Armstrong, M.I., McGrath, K. and Dollard, N., 2020. Exploring relationships as mediators of treatment outcomes among commercially sexually exploited youth. </w:t>
      </w:r>
      <w:r w:rsidRPr="005C0F75">
        <w:rPr>
          <w:rFonts w:ascii="Arial" w:hAnsi="Arial" w:cs="Arial"/>
          <w:i/>
          <w:iCs/>
        </w:rPr>
        <w:t>Child Abuse &amp; Neglect</w:t>
      </w:r>
      <w:r w:rsidRPr="005C0F75">
        <w:rPr>
          <w:rFonts w:ascii="Arial" w:hAnsi="Arial" w:cs="Arial"/>
        </w:rPr>
        <w:t>, </w:t>
      </w:r>
      <w:r w:rsidRPr="005C0F75">
        <w:rPr>
          <w:rFonts w:ascii="Arial" w:hAnsi="Arial" w:cs="Arial"/>
          <w:i/>
          <w:iCs/>
        </w:rPr>
        <w:t>100</w:t>
      </w:r>
      <w:r w:rsidRPr="005C0F75">
        <w:rPr>
          <w:rFonts w:ascii="Arial" w:hAnsi="Arial" w:cs="Arial"/>
        </w:rPr>
        <w:t>, p.104095.</w:t>
      </w:r>
    </w:p>
    <w:p w14:paraId="49AC5F99" w14:textId="77777777" w:rsidR="008229C7" w:rsidRPr="005C0F75" w:rsidRDefault="008229C7" w:rsidP="005C0F75">
      <w:pPr>
        <w:rPr>
          <w:rFonts w:ascii="Arial" w:hAnsi="Arial" w:cs="Arial"/>
        </w:rPr>
      </w:pPr>
      <w:r w:rsidRPr="005C0F75">
        <w:rPr>
          <w:rFonts w:ascii="Arial" w:hAnsi="Arial" w:cs="Arial"/>
        </w:rPr>
        <w:t>Liberto, H., 2014. Exploitation and the vulnerability clause. </w:t>
      </w:r>
      <w:r w:rsidRPr="005C0F75">
        <w:rPr>
          <w:rFonts w:ascii="Arial" w:hAnsi="Arial" w:cs="Arial"/>
          <w:i/>
          <w:iCs/>
        </w:rPr>
        <w:t>Ethical Theory and Moral Practice</w:t>
      </w:r>
      <w:r w:rsidRPr="005C0F75">
        <w:rPr>
          <w:rFonts w:ascii="Arial" w:hAnsi="Arial" w:cs="Arial"/>
        </w:rPr>
        <w:t>, </w:t>
      </w:r>
      <w:r w:rsidRPr="005C0F75">
        <w:rPr>
          <w:rFonts w:ascii="Arial" w:hAnsi="Arial" w:cs="Arial"/>
          <w:i/>
          <w:iCs/>
        </w:rPr>
        <w:t>17</w:t>
      </w:r>
      <w:r w:rsidRPr="005C0F75">
        <w:rPr>
          <w:rFonts w:ascii="Arial" w:hAnsi="Arial" w:cs="Arial"/>
        </w:rPr>
        <w:t>, pp.619-629.</w:t>
      </w:r>
    </w:p>
    <w:p w14:paraId="74DC59DA" w14:textId="77777777" w:rsidR="008229C7" w:rsidRPr="005C0F75" w:rsidRDefault="008229C7" w:rsidP="005C0F75">
      <w:pPr>
        <w:rPr>
          <w:rFonts w:ascii="Arial" w:hAnsi="Arial" w:cs="Arial"/>
        </w:rPr>
      </w:pPr>
      <w:r w:rsidRPr="005C0F75">
        <w:rPr>
          <w:rFonts w:ascii="Arial" w:hAnsi="Arial" w:cs="Arial"/>
        </w:rPr>
        <w:t>Lundahl, B.W., Tollefson, D., Risser, H. and Lovejoy, M.C., 2008. A meta-analysis of father involvement in parent training. </w:t>
      </w:r>
      <w:r w:rsidRPr="005C0F75">
        <w:rPr>
          <w:rFonts w:ascii="Arial" w:hAnsi="Arial" w:cs="Arial"/>
          <w:i/>
          <w:iCs/>
        </w:rPr>
        <w:t>Research on Social Work Practice</w:t>
      </w:r>
      <w:r w:rsidRPr="005C0F75">
        <w:rPr>
          <w:rFonts w:ascii="Arial" w:hAnsi="Arial" w:cs="Arial"/>
        </w:rPr>
        <w:t>, </w:t>
      </w:r>
      <w:r w:rsidRPr="005C0F75">
        <w:rPr>
          <w:rFonts w:ascii="Arial" w:hAnsi="Arial" w:cs="Arial"/>
          <w:i/>
          <w:iCs/>
        </w:rPr>
        <w:t>18</w:t>
      </w:r>
      <w:r w:rsidRPr="005C0F75">
        <w:rPr>
          <w:rFonts w:ascii="Arial" w:hAnsi="Arial" w:cs="Arial"/>
        </w:rPr>
        <w:t>(2), pp.97-106.</w:t>
      </w:r>
    </w:p>
    <w:p w14:paraId="44700844" w14:textId="77777777" w:rsidR="008229C7" w:rsidRPr="005C0F75" w:rsidRDefault="008229C7" w:rsidP="005C0F75">
      <w:pPr>
        <w:rPr>
          <w:rStyle w:val="Hyperlink"/>
          <w:rFonts w:ascii="Arial" w:hAnsi="Arial" w:cs="Arial"/>
          <w:color w:val="auto"/>
          <w:u w:val="none"/>
        </w:rPr>
      </w:pPr>
      <w:r w:rsidRPr="005C0F75">
        <w:rPr>
          <w:rFonts w:ascii="Arial" w:hAnsi="Arial" w:cs="Arial"/>
        </w:rPr>
        <w:t xml:space="preserve">MacLeod, S., </w:t>
      </w:r>
      <w:proofErr w:type="spellStart"/>
      <w:r w:rsidRPr="005C0F75">
        <w:rPr>
          <w:rFonts w:ascii="Arial" w:hAnsi="Arial" w:cs="Arial"/>
        </w:rPr>
        <w:t>Jeffes</w:t>
      </w:r>
      <w:proofErr w:type="spellEnd"/>
      <w:r w:rsidRPr="005C0F75">
        <w:rPr>
          <w:rFonts w:ascii="Arial" w:hAnsi="Arial" w:cs="Arial"/>
        </w:rPr>
        <w:t>, J., White, R. and Bramley, G., 2010. </w:t>
      </w:r>
      <w:r w:rsidRPr="005C0F75">
        <w:rPr>
          <w:rFonts w:ascii="Arial" w:hAnsi="Arial" w:cs="Arial"/>
          <w:i/>
          <w:iCs/>
        </w:rPr>
        <w:t>Analysis of Youth Offending Team Inspection Reports. LGA Research Report</w:t>
      </w:r>
      <w:r w:rsidRPr="005C0F75">
        <w:rPr>
          <w:rFonts w:ascii="Arial" w:hAnsi="Arial" w:cs="Arial"/>
        </w:rPr>
        <w:t>. National Foundation for Educational Research. The Mere, Upton Park, Slough, Berkshire, SL1 2DQ, UK.</w:t>
      </w:r>
    </w:p>
    <w:p w14:paraId="18F9ED26" w14:textId="77777777" w:rsidR="008229C7" w:rsidRDefault="008229C7" w:rsidP="005C0F75">
      <w:pPr>
        <w:rPr>
          <w:rFonts w:ascii="Arial" w:hAnsi="Arial" w:cs="Arial"/>
        </w:rPr>
      </w:pPr>
      <w:r w:rsidRPr="00E3547A">
        <w:rPr>
          <w:rFonts w:ascii="Arial" w:hAnsi="Arial" w:cs="Arial"/>
        </w:rPr>
        <w:t>Maslach, C. and Leiter, M.P., 2016. Understanding the burnout experience: recent research and its implications for psychiatry. </w:t>
      </w:r>
      <w:r w:rsidRPr="00E3547A">
        <w:rPr>
          <w:rFonts w:ascii="Arial" w:hAnsi="Arial" w:cs="Arial"/>
          <w:i/>
          <w:iCs/>
        </w:rPr>
        <w:t>World psychiatry</w:t>
      </w:r>
      <w:r w:rsidRPr="00E3547A">
        <w:rPr>
          <w:rFonts w:ascii="Arial" w:hAnsi="Arial" w:cs="Arial"/>
        </w:rPr>
        <w:t>, </w:t>
      </w:r>
      <w:r w:rsidRPr="00E3547A">
        <w:rPr>
          <w:rFonts w:ascii="Arial" w:hAnsi="Arial" w:cs="Arial"/>
          <w:i/>
          <w:iCs/>
        </w:rPr>
        <w:t>15</w:t>
      </w:r>
      <w:r w:rsidRPr="00E3547A">
        <w:rPr>
          <w:rFonts w:ascii="Arial" w:hAnsi="Arial" w:cs="Arial"/>
        </w:rPr>
        <w:t>(2), pp.103-111.</w:t>
      </w:r>
    </w:p>
    <w:p w14:paraId="470B997B" w14:textId="77777777" w:rsidR="008229C7" w:rsidRDefault="008229C7" w:rsidP="005C0F75">
      <w:pPr>
        <w:rPr>
          <w:rFonts w:ascii="Arial" w:hAnsi="Arial" w:cs="Arial"/>
        </w:rPr>
      </w:pPr>
      <w:r w:rsidRPr="005C0F75">
        <w:rPr>
          <w:rFonts w:ascii="Arial" w:hAnsi="Arial" w:cs="Arial"/>
        </w:rPr>
        <w:t>Ministry of Justice (2020) Youth offending teams. Available at: </w:t>
      </w:r>
      <w:hyperlink r:id="rId9" w:history="1">
        <w:r w:rsidRPr="005C0F75">
          <w:rPr>
            <w:rStyle w:val="Hyperlink"/>
            <w:rFonts w:ascii="Arial" w:hAnsi="Arial" w:cs="Arial"/>
          </w:rPr>
          <w:t>https://www.gov.uk/youth-offending-team</w:t>
        </w:r>
      </w:hyperlink>
      <w:r w:rsidRPr="005C0F75">
        <w:rPr>
          <w:rFonts w:ascii="Arial" w:hAnsi="Arial" w:cs="Arial"/>
        </w:rPr>
        <w:t> (accessed 16 November 2024).</w:t>
      </w:r>
    </w:p>
    <w:p w14:paraId="230BD2E3" w14:textId="77777777" w:rsidR="008229C7" w:rsidRPr="005C0F75" w:rsidRDefault="008229C7" w:rsidP="005C0F75">
      <w:pPr>
        <w:rPr>
          <w:rFonts w:ascii="Arial" w:hAnsi="Arial" w:cs="Arial"/>
        </w:rPr>
      </w:pPr>
      <w:r w:rsidRPr="000E2CB1">
        <w:rPr>
          <w:rFonts w:ascii="Arial" w:hAnsi="Arial" w:cs="Arial"/>
        </w:rPr>
        <w:t>NAMP. (2023). </w:t>
      </w:r>
      <w:r w:rsidRPr="000E2CB1">
        <w:rPr>
          <w:rFonts w:ascii="Arial" w:hAnsi="Arial" w:cs="Arial"/>
          <w:i/>
          <w:iCs/>
        </w:rPr>
        <w:t>Workstreams | National Association of Muslim Police</w:t>
      </w:r>
      <w:r w:rsidRPr="000E2CB1">
        <w:rPr>
          <w:rFonts w:ascii="Arial" w:hAnsi="Arial" w:cs="Arial"/>
        </w:rPr>
        <w:t xml:space="preserve">. [online] Available at: https://www.muslim.police.uk/workstreams </w:t>
      </w:r>
      <w:r>
        <w:rPr>
          <w:rFonts w:ascii="Arial" w:hAnsi="Arial" w:cs="Arial"/>
        </w:rPr>
        <w:t>(</w:t>
      </w:r>
      <w:r w:rsidRPr="000E2CB1">
        <w:rPr>
          <w:rFonts w:ascii="Arial" w:hAnsi="Arial" w:cs="Arial"/>
        </w:rPr>
        <w:t>Accessed 1 Jan. 2025</w:t>
      </w:r>
      <w:r>
        <w:rPr>
          <w:rFonts w:ascii="Arial" w:hAnsi="Arial" w:cs="Arial"/>
        </w:rPr>
        <w:t>)</w:t>
      </w:r>
    </w:p>
    <w:p w14:paraId="17A601B8" w14:textId="77777777" w:rsidR="008229C7" w:rsidRDefault="008229C7" w:rsidP="005C0F75">
      <w:pPr>
        <w:spacing w:after="0"/>
        <w:rPr>
          <w:rFonts w:ascii="Arial" w:hAnsi="Arial" w:cs="Arial"/>
        </w:rPr>
      </w:pPr>
      <w:r w:rsidRPr="00AB4D22">
        <w:rPr>
          <w:rFonts w:ascii="Arial" w:hAnsi="Arial" w:cs="Arial"/>
        </w:rPr>
        <w:t>‌</w:t>
      </w:r>
      <w:r w:rsidRPr="005C0F75">
        <w:rPr>
          <w:rFonts w:ascii="Arial" w:hAnsi="Arial" w:cs="Arial"/>
        </w:rPr>
        <w:t>Nicholson</w:t>
      </w:r>
      <w:r w:rsidRPr="005C0F75">
        <w:rPr>
          <w:rFonts w:ascii="Cambria Math" w:hAnsi="Cambria Math" w:cs="Cambria Math"/>
        </w:rPr>
        <w:t>‐</w:t>
      </w:r>
      <w:r w:rsidRPr="005C0F75">
        <w:rPr>
          <w:rFonts w:ascii="Arial" w:hAnsi="Arial" w:cs="Arial"/>
        </w:rPr>
        <w:t>Crotty, S., Nicholson</w:t>
      </w:r>
      <w:r w:rsidRPr="005C0F75">
        <w:rPr>
          <w:rFonts w:ascii="Cambria Math" w:hAnsi="Cambria Math" w:cs="Cambria Math"/>
        </w:rPr>
        <w:t>‐</w:t>
      </w:r>
      <w:r w:rsidRPr="005C0F75">
        <w:rPr>
          <w:rFonts w:ascii="Arial" w:hAnsi="Arial" w:cs="Arial"/>
        </w:rPr>
        <w:t>Crotty, J. and Fernandez, S., 2017. Will more black cops matter? Officer race and police</w:t>
      </w:r>
      <w:r w:rsidRPr="005C0F75">
        <w:rPr>
          <w:rFonts w:ascii="Cambria Math" w:hAnsi="Cambria Math" w:cs="Cambria Math"/>
        </w:rPr>
        <w:t>‐</w:t>
      </w:r>
      <w:r w:rsidRPr="005C0F75">
        <w:rPr>
          <w:rFonts w:ascii="Arial" w:hAnsi="Arial" w:cs="Arial"/>
        </w:rPr>
        <w:t>involved homicides of black citizens. </w:t>
      </w:r>
      <w:r w:rsidRPr="005C0F75">
        <w:rPr>
          <w:rFonts w:ascii="Arial" w:hAnsi="Arial" w:cs="Arial"/>
          <w:i/>
          <w:iCs/>
        </w:rPr>
        <w:t>Public administration review</w:t>
      </w:r>
      <w:r w:rsidRPr="005C0F75">
        <w:rPr>
          <w:rFonts w:ascii="Arial" w:hAnsi="Arial" w:cs="Arial"/>
        </w:rPr>
        <w:t>, </w:t>
      </w:r>
      <w:r w:rsidRPr="005C0F75">
        <w:rPr>
          <w:rFonts w:ascii="Arial" w:hAnsi="Arial" w:cs="Arial"/>
          <w:i/>
          <w:iCs/>
        </w:rPr>
        <w:t>77</w:t>
      </w:r>
      <w:r w:rsidRPr="005C0F75">
        <w:rPr>
          <w:rFonts w:ascii="Arial" w:hAnsi="Arial" w:cs="Arial"/>
        </w:rPr>
        <w:t>(2), pp.206-216.</w:t>
      </w:r>
    </w:p>
    <w:p w14:paraId="153B9DB6" w14:textId="77777777" w:rsidR="003F6623" w:rsidRDefault="003F6623" w:rsidP="005C0F75">
      <w:pPr>
        <w:spacing w:after="0"/>
        <w:rPr>
          <w:rFonts w:ascii="Arial" w:hAnsi="Arial" w:cs="Arial"/>
        </w:rPr>
      </w:pPr>
    </w:p>
    <w:p w14:paraId="569CAC9C" w14:textId="77777777" w:rsidR="008229C7" w:rsidRPr="005C0F75" w:rsidRDefault="008229C7" w:rsidP="005C0F75">
      <w:pPr>
        <w:rPr>
          <w:rFonts w:ascii="Arial" w:hAnsi="Arial" w:cs="Arial"/>
        </w:rPr>
      </w:pPr>
      <w:r w:rsidRPr="005C0F75">
        <w:rPr>
          <w:rFonts w:ascii="Arial" w:hAnsi="Arial" w:cs="Arial"/>
        </w:rPr>
        <w:t>Nisar, S.K. and Rasheed, M.I., 2020. Stress and performance: Investigating relationship between occupational stress, career satisfaction, and job performance of police employees. </w:t>
      </w:r>
      <w:r w:rsidRPr="005C0F75">
        <w:rPr>
          <w:rFonts w:ascii="Arial" w:hAnsi="Arial" w:cs="Arial"/>
          <w:i/>
          <w:iCs/>
        </w:rPr>
        <w:t>Journal of Public Affairs</w:t>
      </w:r>
      <w:r w:rsidRPr="005C0F75">
        <w:rPr>
          <w:rFonts w:ascii="Arial" w:hAnsi="Arial" w:cs="Arial"/>
        </w:rPr>
        <w:t>, </w:t>
      </w:r>
      <w:r w:rsidRPr="005C0F75">
        <w:rPr>
          <w:rFonts w:ascii="Arial" w:hAnsi="Arial" w:cs="Arial"/>
          <w:i/>
          <w:iCs/>
        </w:rPr>
        <w:t>20</w:t>
      </w:r>
      <w:r w:rsidRPr="005C0F75">
        <w:rPr>
          <w:rFonts w:ascii="Arial" w:hAnsi="Arial" w:cs="Arial"/>
        </w:rPr>
        <w:t>(1), p.e1986.</w:t>
      </w:r>
    </w:p>
    <w:p w14:paraId="5396C26C" w14:textId="77777777" w:rsidR="008229C7" w:rsidRPr="008E4845" w:rsidRDefault="008229C7" w:rsidP="005C0F75">
      <w:pPr>
        <w:spacing w:line="240" w:lineRule="auto"/>
        <w:rPr>
          <w:rFonts w:ascii="Arial" w:hAnsi="Arial" w:cs="Arial"/>
        </w:rPr>
      </w:pPr>
      <w:r w:rsidRPr="008E4845">
        <w:rPr>
          <w:rFonts w:ascii="Arial" w:hAnsi="Arial" w:cs="Arial"/>
        </w:rPr>
        <w:t>NSPCC (2019). </w:t>
      </w:r>
      <w:r w:rsidRPr="008E4845">
        <w:rPr>
          <w:rFonts w:ascii="Arial" w:hAnsi="Arial" w:cs="Arial"/>
          <w:i/>
          <w:iCs/>
        </w:rPr>
        <w:t>Criminal Exploitation and Gangs</w:t>
      </w:r>
      <w:r w:rsidRPr="008E4845">
        <w:rPr>
          <w:rFonts w:ascii="Arial" w:hAnsi="Arial" w:cs="Arial"/>
        </w:rPr>
        <w:t xml:space="preserve">. [online] NSPCC. Available at: </w:t>
      </w:r>
      <w:hyperlink r:id="rId10" w:history="1">
        <w:r w:rsidRPr="008E4845">
          <w:rPr>
            <w:rStyle w:val="Hyperlink"/>
            <w:rFonts w:ascii="Arial" w:hAnsi="Arial" w:cs="Arial"/>
          </w:rPr>
          <w:t>https://www.nspcc.org.uk/what-is-child-abuse/types-of-abuse/gangs-criminal-exploitation/</w:t>
        </w:r>
      </w:hyperlink>
      <w:r w:rsidRPr="008E4845">
        <w:rPr>
          <w:rFonts w:ascii="Arial" w:hAnsi="Arial" w:cs="Arial"/>
        </w:rPr>
        <w:t>.</w:t>
      </w:r>
      <w:r w:rsidRPr="005C0F75">
        <w:rPr>
          <w:rFonts w:ascii="Arial" w:hAnsi="Arial" w:cs="Arial"/>
        </w:rPr>
        <w:t xml:space="preserve"> (Accessed November 14, 2024). </w:t>
      </w:r>
    </w:p>
    <w:p w14:paraId="59AD9CB3" w14:textId="77777777" w:rsidR="008229C7" w:rsidRPr="005C0F75" w:rsidRDefault="008229C7" w:rsidP="005C0F75">
      <w:pPr>
        <w:rPr>
          <w:rFonts w:ascii="Arial" w:hAnsi="Arial" w:cs="Arial"/>
        </w:rPr>
      </w:pPr>
      <w:r w:rsidRPr="005C0F75">
        <w:rPr>
          <w:rFonts w:ascii="Arial" w:hAnsi="Arial" w:cs="Arial"/>
        </w:rPr>
        <w:t xml:space="preserve">O'Connor, D.B., Thayer, J.F. and </w:t>
      </w:r>
      <w:proofErr w:type="spellStart"/>
      <w:r w:rsidRPr="005C0F75">
        <w:rPr>
          <w:rFonts w:ascii="Arial" w:hAnsi="Arial" w:cs="Arial"/>
        </w:rPr>
        <w:t>Vedhara</w:t>
      </w:r>
      <w:proofErr w:type="spellEnd"/>
      <w:r w:rsidRPr="005C0F75">
        <w:rPr>
          <w:rFonts w:ascii="Arial" w:hAnsi="Arial" w:cs="Arial"/>
        </w:rPr>
        <w:t>, K., 2021. Stress and health: A review of psychobiological processes. </w:t>
      </w:r>
      <w:r w:rsidRPr="005C0F75">
        <w:rPr>
          <w:rFonts w:ascii="Arial" w:hAnsi="Arial" w:cs="Arial"/>
          <w:i/>
          <w:iCs/>
        </w:rPr>
        <w:t>Annual review of psychology</w:t>
      </w:r>
      <w:r w:rsidRPr="005C0F75">
        <w:rPr>
          <w:rFonts w:ascii="Arial" w:hAnsi="Arial" w:cs="Arial"/>
        </w:rPr>
        <w:t>, </w:t>
      </w:r>
      <w:r w:rsidRPr="005C0F75">
        <w:rPr>
          <w:rFonts w:ascii="Arial" w:hAnsi="Arial" w:cs="Arial"/>
          <w:i/>
          <w:iCs/>
        </w:rPr>
        <w:t>72</w:t>
      </w:r>
      <w:r w:rsidRPr="005C0F75">
        <w:rPr>
          <w:rFonts w:ascii="Arial" w:hAnsi="Arial" w:cs="Arial"/>
        </w:rPr>
        <w:t>(1), pp.663-688.</w:t>
      </w:r>
    </w:p>
    <w:p w14:paraId="74615558" w14:textId="77777777" w:rsidR="008229C7" w:rsidRPr="005C0F75" w:rsidRDefault="008229C7" w:rsidP="005C0F75">
      <w:pPr>
        <w:rPr>
          <w:rFonts w:ascii="Arial" w:hAnsi="Arial" w:cs="Arial"/>
        </w:rPr>
      </w:pPr>
      <w:r w:rsidRPr="005C0F75">
        <w:rPr>
          <w:rFonts w:ascii="Arial" w:hAnsi="Arial" w:cs="Arial"/>
        </w:rPr>
        <w:t>Phillips, K.W., Medin, D., Lee, C.D., Bang, M., Bishop, S. and Lee, D.N., 2014. How diversity works. </w:t>
      </w:r>
      <w:r w:rsidRPr="005C0F75">
        <w:rPr>
          <w:rFonts w:ascii="Arial" w:hAnsi="Arial" w:cs="Arial"/>
          <w:i/>
          <w:iCs/>
        </w:rPr>
        <w:t>Scientific American</w:t>
      </w:r>
      <w:r w:rsidRPr="005C0F75">
        <w:rPr>
          <w:rFonts w:ascii="Arial" w:hAnsi="Arial" w:cs="Arial"/>
        </w:rPr>
        <w:t>, </w:t>
      </w:r>
      <w:r w:rsidRPr="005C0F75">
        <w:rPr>
          <w:rFonts w:ascii="Arial" w:hAnsi="Arial" w:cs="Arial"/>
          <w:i/>
          <w:iCs/>
        </w:rPr>
        <w:t>311</w:t>
      </w:r>
      <w:r w:rsidRPr="005C0F75">
        <w:rPr>
          <w:rFonts w:ascii="Arial" w:hAnsi="Arial" w:cs="Arial"/>
        </w:rPr>
        <w:t>(4), pp.42-47.</w:t>
      </w:r>
    </w:p>
    <w:p w14:paraId="5513F466" w14:textId="77777777" w:rsidR="008229C7" w:rsidRPr="002C0027" w:rsidRDefault="008229C7" w:rsidP="005C0F75">
      <w:pPr>
        <w:spacing w:line="240" w:lineRule="auto"/>
        <w:rPr>
          <w:rFonts w:ascii="Arial" w:hAnsi="Arial" w:cs="Arial"/>
        </w:rPr>
      </w:pPr>
      <w:r w:rsidRPr="002C0027">
        <w:rPr>
          <w:rFonts w:ascii="Arial" w:hAnsi="Arial" w:cs="Arial"/>
        </w:rPr>
        <w:t>Positive Action A guide for police recruitment. (</w:t>
      </w:r>
      <w:r w:rsidRPr="005C0F75">
        <w:rPr>
          <w:rFonts w:ascii="Arial" w:hAnsi="Arial" w:cs="Arial"/>
        </w:rPr>
        <w:t>2023</w:t>
      </w:r>
      <w:r w:rsidRPr="002C0027">
        <w:rPr>
          <w:rFonts w:ascii="Arial" w:hAnsi="Arial" w:cs="Arial"/>
        </w:rPr>
        <w:t>). Available at: https://library.college.police.uk/docs/college-of-policing/Positive-Action-Guidance-2020.pdf.</w:t>
      </w:r>
    </w:p>
    <w:p w14:paraId="7993C864" w14:textId="77777777" w:rsidR="008229C7" w:rsidRPr="00AB4D22" w:rsidRDefault="008229C7" w:rsidP="005C0F75">
      <w:pPr>
        <w:spacing w:line="240" w:lineRule="auto"/>
        <w:rPr>
          <w:rFonts w:ascii="Arial" w:hAnsi="Arial" w:cs="Arial"/>
        </w:rPr>
      </w:pPr>
      <w:r w:rsidRPr="00AB4D22">
        <w:rPr>
          <w:rFonts w:ascii="Arial" w:hAnsi="Arial" w:cs="Arial"/>
        </w:rPr>
        <w:lastRenderedPageBreak/>
        <w:t>Prayer provisions Workplace adjustments for Muslim officers and staff Guidance from the National Association of Muslim Police (NAMP). (</w:t>
      </w:r>
      <w:r w:rsidRPr="005C0F75">
        <w:rPr>
          <w:rFonts w:ascii="Arial" w:hAnsi="Arial" w:cs="Arial"/>
        </w:rPr>
        <w:t>2021</w:t>
      </w:r>
      <w:r w:rsidRPr="00AB4D22">
        <w:rPr>
          <w:rFonts w:ascii="Arial" w:hAnsi="Arial" w:cs="Arial"/>
        </w:rPr>
        <w:t xml:space="preserve">). Available at: </w:t>
      </w:r>
      <w:hyperlink r:id="rId11" w:history="1">
        <w:r w:rsidRPr="00AB4D22">
          <w:rPr>
            <w:rStyle w:val="Hyperlink"/>
            <w:rFonts w:ascii="Arial" w:hAnsi="Arial" w:cs="Arial"/>
          </w:rPr>
          <w:t>https://assets.college.police.uk/s3fs-public/2021-04/prayer-provisions-workplace-adjustments-for-muslim-officers-staff-150321.pdf</w:t>
        </w:r>
      </w:hyperlink>
      <w:r w:rsidRPr="00AB4D22">
        <w:rPr>
          <w:rFonts w:ascii="Arial" w:hAnsi="Arial" w:cs="Arial"/>
        </w:rPr>
        <w:t>.</w:t>
      </w:r>
      <w:r w:rsidRPr="005C0F75">
        <w:rPr>
          <w:rFonts w:ascii="Arial" w:hAnsi="Arial" w:cs="Arial"/>
        </w:rPr>
        <w:t xml:space="preserve"> (Accessed November 15, 2024) </w:t>
      </w:r>
    </w:p>
    <w:p w14:paraId="357B8E47" w14:textId="77777777" w:rsidR="008229C7" w:rsidRPr="005C0F75" w:rsidRDefault="008229C7" w:rsidP="005C0F75">
      <w:pPr>
        <w:rPr>
          <w:rFonts w:ascii="Arial" w:hAnsi="Arial" w:cs="Arial"/>
        </w:rPr>
      </w:pPr>
      <w:proofErr w:type="spellStart"/>
      <w:r w:rsidRPr="005C0F75">
        <w:rPr>
          <w:rFonts w:ascii="Arial" w:hAnsi="Arial" w:cs="Arial"/>
        </w:rPr>
        <w:t>Souhami</w:t>
      </w:r>
      <w:proofErr w:type="spellEnd"/>
      <w:r w:rsidRPr="005C0F75">
        <w:rPr>
          <w:rFonts w:ascii="Arial" w:hAnsi="Arial" w:cs="Arial"/>
        </w:rPr>
        <w:t>, A., 2011. Inside the Youth Justice Board: ambiguity and influence in New Labour's youth justice. </w:t>
      </w:r>
      <w:r w:rsidRPr="005C0F75">
        <w:rPr>
          <w:rFonts w:ascii="Arial" w:hAnsi="Arial" w:cs="Arial"/>
          <w:i/>
          <w:iCs/>
        </w:rPr>
        <w:t>Safer Communities</w:t>
      </w:r>
      <w:r w:rsidRPr="005C0F75">
        <w:rPr>
          <w:rFonts w:ascii="Arial" w:hAnsi="Arial" w:cs="Arial"/>
        </w:rPr>
        <w:t>, </w:t>
      </w:r>
      <w:r w:rsidRPr="005C0F75">
        <w:rPr>
          <w:rFonts w:ascii="Arial" w:hAnsi="Arial" w:cs="Arial"/>
          <w:i/>
          <w:iCs/>
        </w:rPr>
        <w:t>10</w:t>
      </w:r>
      <w:r w:rsidRPr="005C0F75">
        <w:rPr>
          <w:rFonts w:ascii="Arial" w:hAnsi="Arial" w:cs="Arial"/>
        </w:rPr>
        <w:t>(3), pp.7-16.</w:t>
      </w:r>
    </w:p>
    <w:p w14:paraId="600E0DA3" w14:textId="77777777" w:rsidR="008229C7" w:rsidRDefault="008229C7" w:rsidP="005C0F75">
      <w:pPr>
        <w:spacing w:after="0"/>
        <w:rPr>
          <w:rFonts w:ascii="Arial" w:hAnsi="Arial" w:cs="Arial"/>
        </w:rPr>
      </w:pPr>
      <w:r w:rsidRPr="00622D70">
        <w:rPr>
          <w:rFonts w:ascii="Arial" w:hAnsi="Arial" w:cs="Arial"/>
        </w:rPr>
        <w:t>‌</w:t>
      </w:r>
      <w:r w:rsidRPr="00BA1EEF">
        <w:rPr>
          <w:rFonts w:ascii="Arial" w:hAnsi="Arial" w:cs="Arial"/>
        </w:rPr>
        <w:t>South Wales Police and Crime Commissioner. (2024). </w:t>
      </w:r>
      <w:r w:rsidRPr="00BA1EEF">
        <w:rPr>
          <w:rFonts w:ascii="Arial" w:hAnsi="Arial" w:cs="Arial"/>
          <w:i/>
          <w:iCs/>
        </w:rPr>
        <w:t>Equity, Diversity &amp; Inclusion - South Wales Police and Crime Commissioner</w:t>
      </w:r>
      <w:r w:rsidRPr="00BA1EEF">
        <w:rPr>
          <w:rFonts w:ascii="Arial" w:hAnsi="Arial" w:cs="Arial"/>
        </w:rPr>
        <w:t xml:space="preserve">. Available at: </w:t>
      </w:r>
      <w:hyperlink r:id="rId12" w:history="1">
        <w:r w:rsidRPr="00BA1EEF">
          <w:rPr>
            <w:rStyle w:val="Hyperlink"/>
            <w:rFonts w:ascii="Arial" w:hAnsi="Arial" w:cs="Arial"/>
          </w:rPr>
          <w:t>https://www.southwalescommissioner.org.uk/equity-diversity-inclusion/</w:t>
        </w:r>
      </w:hyperlink>
      <w:r w:rsidRPr="00BA1EEF">
        <w:rPr>
          <w:rFonts w:ascii="Arial" w:hAnsi="Arial" w:cs="Arial"/>
        </w:rPr>
        <w:t>.</w:t>
      </w:r>
      <w:r w:rsidRPr="005C0F75">
        <w:rPr>
          <w:rFonts w:ascii="Arial" w:hAnsi="Arial" w:cs="Arial"/>
        </w:rPr>
        <w:t xml:space="preserve"> (Accessed November 20, 2024). </w:t>
      </w:r>
    </w:p>
    <w:p w14:paraId="2EA33E7F" w14:textId="77777777" w:rsidR="003F6623" w:rsidRPr="00BA1EEF" w:rsidRDefault="003F6623" w:rsidP="005C0F75">
      <w:pPr>
        <w:spacing w:after="0"/>
        <w:rPr>
          <w:rFonts w:ascii="Arial" w:hAnsi="Arial" w:cs="Arial"/>
        </w:rPr>
      </w:pPr>
    </w:p>
    <w:p w14:paraId="162E09DF" w14:textId="77777777" w:rsidR="008229C7" w:rsidRPr="005C0F75" w:rsidRDefault="008229C7" w:rsidP="005C0F75">
      <w:pPr>
        <w:rPr>
          <w:rFonts w:ascii="Arial" w:hAnsi="Arial" w:cs="Arial"/>
        </w:rPr>
      </w:pPr>
      <w:r w:rsidRPr="005C0F75">
        <w:rPr>
          <w:rFonts w:ascii="Arial" w:hAnsi="Arial" w:cs="Arial"/>
        </w:rPr>
        <w:t xml:space="preserve">Stanley </w:t>
      </w:r>
      <w:proofErr w:type="gramStart"/>
      <w:r w:rsidRPr="005C0F75">
        <w:rPr>
          <w:rFonts w:ascii="Arial" w:hAnsi="Arial" w:cs="Arial"/>
        </w:rPr>
        <w:t>IH ,</w:t>
      </w:r>
      <w:proofErr w:type="gramEnd"/>
      <w:r w:rsidRPr="005C0F75">
        <w:rPr>
          <w:rFonts w:ascii="Arial" w:hAnsi="Arial" w:cs="Arial"/>
        </w:rPr>
        <w:t xml:space="preserve"> Hom MA , Joiner TE . A systematic review of suicidal thoughts and </w:t>
      </w:r>
      <w:proofErr w:type="spellStart"/>
      <w:r w:rsidRPr="005C0F75">
        <w:rPr>
          <w:rFonts w:ascii="Arial" w:hAnsi="Arial" w:cs="Arial"/>
        </w:rPr>
        <w:t>behaviors</w:t>
      </w:r>
      <w:proofErr w:type="spellEnd"/>
      <w:r w:rsidRPr="005C0F75">
        <w:rPr>
          <w:rFonts w:ascii="Arial" w:hAnsi="Arial" w:cs="Arial"/>
        </w:rPr>
        <w:t xml:space="preserve"> among police officers, firefighters, EMTs, and paramedics. Clinical Psychology Review. (2016) ;44: :25–44.</w:t>
      </w:r>
    </w:p>
    <w:p w14:paraId="7F3D79D0" w14:textId="77777777" w:rsidR="008229C7" w:rsidRDefault="008229C7" w:rsidP="005C0F75">
      <w:pPr>
        <w:spacing w:after="0"/>
        <w:rPr>
          <w:rFonts w:ascii="Arial" w:hAnsi="Arial" w:cs="Arial"/>
        </w:rPr>
      </w:pPr>
      <w:r w:rsidRPr="000269B3">
        <w:rPr>
          <w:rFonts w:ascii="Arial" w:hAnsi="Arial" w:cs="Arial"/>
          <w:i/>
          <w:iCs/>
        </w:rPr>
        <w:t>Tackling serious and organised crime</w:t>
      </w:r>
      <w:r w:rsidRPr="000269B3">
        <w:rPr>
          <w:rFonts w:ascii="Arial" w:hAnsi="Arial" w:cs="Arial"/>
        </w:rPr>
        <w:t> (2019) </w:t>
      </w:r>
      <w:r w:rsidRPr="000269B3">
        <w:rPr>
          <w:rFonts w:ascii="Arial" w:hAnsi="Arial" w:cs="Arial"/>
          <w:i/>
          <w:iCs/>
        </w:rPr>
        <w:t>National Audit Office (NAO)</w:t>
      </w:r>
      <w:r w:rsidRPr="000269B3">
        <w:rPr>
          <w:rFonts w:ascii="Arial" w:hAnsi="Arial" w:cs="Arial"/>
        </w:rPr>
        <w:t>. Available at: https://www.nao.org.uk/reports/serious-and-organised-crime/ (Accessed: November 25, 2024).</w:t>
      </w:r>
    </w:p>
    <w:p w14:paraId="74771D8A" w14:textId="77777777" w:rsidR="008229C7" w:rsidRPr="005C0F75" w:rsidRDefault="008229C7" w:rsidP="005C0F75">
      <w:pPr>
        <w:rPr>
          <w:rFonts w:ascii="Arial" w:hAnsi="Arial" w:cs="Arial"/>
        </w:rPr>
      </w:pPr>
      <w:proofErr w:type="spellStart"/>
      <w:r w:rsidRPr="005C0F75">
        <w:rPr>
          <w:rFonts w:ascii="Arial" w:hAnsi="Arial" w:cs="Arial"/>
        </w:rPr>
        <w:t>Togioka</w:t>
      </w:r>
      <w:proofErr w:type="spellEnd"/>
      <w:r w:rsidRPr="005C0F75">
        <w:rPr>
          <w:rFonts w:ascii="Arial" w:hAnsi="Arial" w:cs="Arial"/>
        </w:rPr>
        <w:t>, B., Duvivier, D. and Young, E., 2024. Diversity and Discrimination in Health Care. </w:t>
      </w:r>
      <w:proofErr w:type="spellStart"/>
      <w:r w:rsidRPr="005C0F75">
        <w:rPr>
          <w:rFonts w:ascii="Arial" w:hAnsi="Arial" w:cs="Arial"/>
          <w:i/>
          <w:iCs/>
        </w:rPr>
        <w:t>StatPearls</w:t>
      </w:r>
      <w:proofErr w:type="spellEnd"/>
      <w:r w:rsidRPr="005C0F75">
        <w:rPr>
          <w:rFonts w:ascii="Arial" w:hAnsi="Arial" w:cs="Arial"/>
        </w:rPr>
        <w:t>.</w:t>
      </w:r>
    </w:p>
    <w:p w14:paraId="18B53670" w14:textId="77777777" w:rsidR="008229C7" w:rsidRPr="005C0F75" w:rsidRDefault="008229C7" w:rsidP="005C0F75">
      <w:pPr>
        <w:rPr>
          <w:rFonts w:ascii="Arial" w:hAnsi="Arial" w:cs="Arial"/>
        </w:rPr>
      </w:pPr>
      <w:r w:rsidRPr="005C0F75">
        <w:rPr>
          <w:rFonts w:ascii="Arial" w:hAnsi="Arial" w:cs="Arial"/>
        </w:rPr>
        <w:t xml:space="preserve">Violanti, J. M., Charles, L. E., </w:t>
      </w:r>
      <w:proofErr w:type="spellStart"/>
      <w:r w:rsidRPr="005C0F75">
        <w:rPr>
          <w:rFonts w:ascii="Arial" w:hAnsi="Arial" w:cs="Arial"/>
        </w:rPr>
        <w:t>McCanlies</w:t>
      </w:r>
      <w:proofErr w:type="spellEnd"/>
      <w:r w:rsidRPr="005C0F75">
        <w:rPr>
          <w:rFonts w:ascii="Arial" w:hAnsi="Arial" w:cs="Arial"/>
        </w:rPr>
        <w:t xml:space="preserve">, E., Hartley, T. A., Baughman, P., Andrew, M. E., </w:t>
      </w:r>
      <w:proofErr w:type="spellStart"/>
      <w:r w:rsidRPr="005C0F75">
        <w:rPr>
          <w:rFonts w:ascii="Arial" w:hAnsi="Arial" w:cs="Arial"/>
        </w:rPr>
        <w:t>Fekedulegn</w:t>
      </w:r>
      <w:proofErr w:type="spellEnd"/>
      <w:r w:rsidRPr="005C0F75">
        <w:rPr>
          <w:rFonts w:ascii="Arial" w:hAnsi="Arial" w:cs="Arial"/>
        </w:rPr>
        <w:t xml:space="preserve">, D., Ma, C. C., </w:t>
      </w:r>
      <w:proofErr w:type="spellStart"/>
      <w:r w:rsidRPr="005C0F75">
        <w:rPr>
          <w:rFonts w:ascii="Arial" w:hAnsi="Arial" w:cs="Arial"/>
        </w:rPr>
        <w:t>Mnatsakanova</w:t>
      </w:r>
      <w:proofErr w:type="spellEnd"/>
      <w:r w:rsidRPr="005C0F75">
        <w:rPr>
          <w:rFonts w:ascii="Arial" w:hAnsi="Arial" w:cs="Arial"/>
        </w:rPr>
        <w:t>, A., &amp; Burchfiel, C. M. (2017). Police stressors and health: a state-of-the-art review. </w:t>
      </w:r>
      <w:r w:rsidRPr="005C0F75">
        <w:rPr>
          <w:rFonts w:ascii="Arial" w:hAnsi="Arial" w:cs="Arial"/>
          <w:i/>
          <w:iCs/>
        </w:rPr>
        <w:t>Policing (Bradford, England)</w:t>
      </w:r>
      <w:r w:rsidRPr="005C0F75">
        <w:rPr>
          <w:rFonts w:ascii="Arial" w:hAnsi="Arial" w:cs="Arial"/>
        </w:rPr>
        <w:t>, </w:t>
      </w:r>
      <w:r w:rsidRPr="005C0F75">
        <w:rPr>
          <w:rFonts w:ascii="Arial" w:hAnsi="Arial" w:cs="Arial"/>
          <w:i/>
          <w:iCs/>
        </w:rPr>
        <w:t>40</w:t>
      </w:r>
      <w:r w:rsidRPr="005C0F75">
        <w:rPr>
          <w:rFonts w:ascii="Arial" w:hAnsi="Arial" w:cs="Arial"/>
        </w:rPr>
        <w:t>(4), 642–656. https://doi.org/10.1108/PIJPSM-06-2016-0097</w:t>
      </w:r>
    </w:p>
    <w:p w14:paraId="7AF6318A" w14:textId="77777777" w:rsidR="008229C7" w:rsidRDefault="008229C7" w:rsidP="005C0F75">
      <w:pPr>
        <w:spacing w:after="0"/>
        <w:rPr>
          <w:rFonts w:ascii="Arial" w:hAnsi="Arial" w:cs="Arial"/>
        </w:rPr>
      </w:pPr>
      <w:r w:rsidRPr="004039EB">
        <w:rPr>
          <w:rFonts w:ascii="Arial" w:hAnsi="Arial" w:cs="Arial"/>
          <w:i/>
          <w:iCs/>
        </w:rPr>
        <w:t>What is early intervention?</w:t>
      </w:r>
      <w:r w:rsidRPr="004039EB">
        <w:rPr>
          <w:rFonts w:ascii="Arial" w:hAnsi="Arial" w:cs="Arial"/>
        </w:rPr>
        <w:t> (20</w:t>
      </w:r>
      <w:r w:rsidRPr="005C0F75">
        <w:rPr>
          <w:rFonts w:ascii="Arial" w:hAnsi="Arial" w:cs="Arial"/>
        </w:rPr>
        <w:t>20</w:t>
      </w:r>
      <w:r w:rsidRPr="004039EB">
        <w:rPr>
          <w:rFonts w:ascii="Arial" w:hAnsi="Arial" w:cs="Arial"/>
        </w:rPr>
        <w:t>) </w:t>
      </w:r>
      <w:r w:rsidRPr="004039EB">
        <w:rPr>
          <w:rFonts w:ascii="Arial" w:hAnsi="Arial" w:cs="Arial"/>
          <w:i/>
          <w:iCs/>
        </w:rPr>
        <w:t>Early Intervention Foundation</w:t>
      </w:r>
      <w:r w:rsidRPr="004039EB">
        <w:rPr>
          <w:rFonts w:ascii="Arial" w:hAnsi="Arial" w:cs="Arial"/>
        </w:rPr>
        <w:t xml:space="preserve">. Available at: https://www.eif.org.uk/why-it-matters/what-is-early-intervention (Accessed: November </w:t>
      </w:r>
      <w:r w:rsidRPr="005C0F75">
        <w:rPr>
          <w:rFonts w:ascii="Arial" w:hAnsi="Arial" w:cs="Arial"/>
        </w:rPr>
        <w:t>19</w:t>
      </w:r>
      <w:r w:rsidRPr="004039EB">
        <w:rPr>
          <w:rFonts w:ascii="Arial" w:hAnsi="Arial" w:cs="Arial"/>
        </w:rPr>
        <w:t>, 2024).</w:t>
      </w:r>
    </w:p>
    <w:p w14:paraId="51D76694" w14:textId="77777777" w:rsidR="008229C7" w:rsidRPr="005C0F75" w:rsidRDefault="008229C7" w:rsidP="005C0F75">
      <w:pPr>
        <w:rPr>
          <w:rFonts w:ascii="Arial" w:hAnsi="Arial" w:cs="Arial"/>
        </w:rPr>
      </w:pPr>
      <w:r w:rsidRPr="005C0F75">
        <w:rPr>
          <w:rFonts w:ascii="Arial" w:hAnsi="Arial" w:cs="Arial"/>
        </w:rPr>
        <w:t>WHO (2013). </w:t>
      </w:r>
      <w:r w:rsidRPr="005C0F75">
        <w:rPr>
          <w:rFonts w:ascii="Arial" w:hAnsi="Arial" w:cs="Arial"/>
          <w:i/>
          <w:iCs/>
        </w:rPr>
        <w:t>Mental health action plan 2013–2020</w:t>
      </w:r>
      <w:r w:rsidRPr="005C0F75">
        <w:rPr>
          <w:rFonts w:ascii="Arial" w:hAnsi="Arial" w:cs="Arial"/>
        </w:rPr>
        <w:t>. Geneva: World Health Organisation.</w:t>
      </w:r>
    </w:p>
    <w:p w14:paraId="4F8727E3" w14:textId="77777777" w:rsidR="008229C7" w:rsidRPr="005C0F75" w:rsidRDefault="008229C7" w:rsidP="005C0F75">
      <w:pPr>
        <w:rPr>
          <w:rFonts w:ascii="Arial" w:hAnsi="Arial" w:cs="Arial"/>
        </w:rPr>
      </w:pPr>
      <w:r w:rsidRPr="005C0F75">
        <w:rPr>
          <w:rFonts w:ascii="Arial" w:hAnsi="Arial" w:cs="Arial"/>
        </w:rPr>
        <w:t>Wigzell A (2021) Explaining desistance: Looking forward, not backwards. Report, National Association of Youth Justice, London.</w:t>
      </w:r>
    </w:p>
    <w:p w14:paraId="0F120D6E" w14:textId="77777777" w:rsidR="008229C7" w:rsidRPr="005C0F75" w:rsidRDefault="008229C7" w:rsidP="005C0F75">
      <w:pPr>
        <w:rPr>
          <w:rStyle w:val="Hyperlink"/>
          <w:rFonts w:ascii="Arial" w:hAnsi="Arial" w:cs="Arial"/>
          <w:color w:val="auto"/>
          <w:u w:val="none"/>
        </w:rPr>
      </w:pPr>
      <w:r w:rsidRPr="005C0F75">
        <w:rPr>
          <w:rFonts w:ascii="Arial" w:hAnsi="Arial" w:cs="Arial"/>
        </w:rPr>
        <w:t>Wilson, J.Q., 1998. Foreword: Never too early. </w:t>
      </w:r>
      <w:r w:rsidRPr="005C0F75">
        <w:rPr>
          <w:rFonts w:ascii="Arial" w:hAnsi="Arial" w:cs="Arial"/>
          <w:i/>
          <w:iCs/>
        </w:rPr>
        <w:t>Serious and Violent Juvenile Offenders: Risk Factors and Successful Interventions. Thousand Oaks: SAGE Publications</w:t>
      </w:r>
      <w:r w:rsidRPr="005C0F75">
        <w:rPr>
          <w:rFonts w:ascii="Arial" w:hAnsi="Arial" w:cs="Arial"/>
        </w:rPr>
        <w:t>.</w:t>
      </w:r>
    </w:p>
    <w:p w14:paraId="4299DFE5" w14:textId="77777777" w:rsidR="008229C7" w:rsidRPr="005C0F75" w:rsidRDefault="008229C7" w:rsidP="005C0F75">
      <w:pPr>
        <w:spacing w:line="240" w:lineRule="auto"/>
        <w:rPr>
          <w:rStyle w:val="Hyperlink"/>
          <w:rFonts w:ascii="Arial" w:hAnsi="Arial" w:cs="Arial"/>
          <w:color w:val="auto"/>
          <w:u w:val="none"/>
        </w:rPr>
      </w:pPr>
      <w:r w:rsidRPr="00615CF2">
        <w:rPr>
          <w:rFonts w:ascii="Arial" w:hAnsi="Arial" w:cs="Arial"/>
        </w:rPr>
        <w:t>Winchester, N. (2020). </w:t>
      </w:r>
      <w:r w:rsidRPr="00615CF2">
        <w:rPr>
          <w:rFonts w:ascii="Arial" w:hAnsi="Arial" w:cs="Arial"/>
          <w:i/>
          <w:iCs/>
        </w:rPr>
        <w:t>Policing in the UK: Serious and Organised Crime</w:t>
      </w:r>
      <w:r w:rsidRPr="00615CF2">
        <w:rPr>
          <w:rFonts w:ascii="Arial" w:hAnsi="Arial" w:cs="Arial"/>
        </w:rPr>
        <w:t>. [online] Available at: https://researchbriefings.files.parliament.uk/documents/LLN-2020-0016/LLN-2020-0016.pdf.</w:t>
      </w:r>
    </w:p>
    <w:p w14:paraId="242F311B" w14:textId="77777777" w:rsidR="008229C7" w:rsidRDefault="008229C7" w:rsidP="005C0F75">
      <w:pPr>
        <w:spacing w:after="0"/>
        <w:rPr>
          <w:rFonts w:ascii="Arial" w:hAnsi="Arial" w:cs="Arial"/>
        </w:rPr>
      </w:pPr>
      <w:r w:rsidRPr="00572B16">
        <w:rPr>
          <w:rFonts w:ascii="Arial" w:hAnsi="Arial" w:cs="Arial"/>
        </w:rPr>
        <w:t>Youth Justice Board for England (2023) </w:t>
      </w:r>
      <w:r w:rsidRPr="00572B16">
        <w:rPr>
          <w:rFonts w:ascii="Arial" w:hAnsi="Arial" w:cs="Arial"/>
          <w:i/>
          <w:iCs/>
        </w:rPr>
        <w:t>Early intervention for lifelong benefits</w:t>
      </w:r>
      <w:r w:rsidRPr="00572B16">
        <w:rPr>
          <w:rFonts w:ascii="Arial" w:hAnsi="Arial" w:cs="Arial"/>
        </w:rPr>
        <w:t>, </w:t>
      </w:r>
      <w:r w:rsidRPr="00572B16">
        <w:rPr>
          <w:rFonts w:ascii="Arial" w:hAnsi="Arial" w:cs="Arial"/>
          <w:i/>
          <w:iCs/>
        </w:rPr>
        <w:t>Gov.uk</w:t>
      </w:r>
      <w:r w:rsidRPr="00572B16">
        <w:rPr>
          <w:rFonts w:ascii="Arial" w:hAnsi="Arial" w:cs="Arial"/>
        </w:rPr>
        <w:t xml:space="preserve">. Available at: https://www.gov.uk/government/news/early-intervention-for-lifelong-benefits (Accessed: November </w:t>
      </w:r>
      <w:r w:rsidRPr="005C0F75">
        <w:rPr>
          <w:rFonts w:ascii="Arial" w:hAnsi="Arial" w:cs="Arial"/>
        </w:rPr>
        <w:t>17</w:t>
      </w:r>
      <w:r w:rsidRPr="00572B16">
        <w:rPr>
          <w:rFonts w:ascii="Arial" w:hAnsi="Arial" w:cs="Arial"/>
        </w:rPr>
        <w:t>, 2024).</w:t>
      </w:r>
    </w:p>
    <w:p w14:paraId="3EE03A12" w14:textId="77777777" w:rsidR="008229C7" w:rsidRPr="00572B16" w:rsidRDefault="008229C7" w:rsidP="005C0F75">
      <w:pPr>
        <w:spacing w:after="0"/>
        <w:rPr>
          <w:rFonts w:ascii="Arial" w:hAnsi="Arial" w:cs="Arial"/>
        </w:rPr>
      </w:pPr>
    </w:p>
    <w:p w14:paraId="417B9547" w14:textId="77777777" w:rsidR="008229C7" w:rsidRPr="005C0F75" w:rsidRDefault="008229C7" w:rsidP="005C0F75">
      <w:pPr>
        <w:rPr>
          <w:rFonts w:ascii="Arial" w:hAnsi="Arial" w:cs="Arial"/>
        </w:rPr>
      </w:pPr>
      <w:proofErr w:type="spellStart"/>
      <w:r w:rsidRPr="005C0F75">
        <w:rPr>
          <w:rFonts w:ascii="Arial" w:hAnsi="Arial" w:cs="Arial"/>
        </w:rPr>
        <w:lastRenderedPageBreak/>
        <w:t>Zarnello</w:t>
      </w:r>
      <w:proofErr w:type="spellEnd"/>
      <w:r w:rsidRPr="005C0F75">
        <w:rPr>
          <w:rFonts w:ascii="Arial" w:hAnsi="Arial" w:cs="Arial"/>
        </w:rPr>
        <w:t>, L., 2018. The ACE effect: A case study of adverse childhood experiences. </w:t>
      </w:r>
      <w:r w:rsidRPr="005C0F75">
        <w:rPr>
          <w:rFonts w:ascii="Arial" w:hAnsi="Arial" w:cs="Arial"/>
          <w:i/>
          <w:iCs/>
        </w:rPr>
        <w:t>Nursing2023</w:t>
      </w:r>
      <w:r w:rsidRPr="005C0F75">
        <w:rPr>
          <w:rFonts w:ascii="Arial" w:hAnsi="Arial" w:cs="Arial"/>
        </w:rPr>
        <w:t>, </w:t>
      </w:r>
      <w:r w:rsidRPr="005C0F75">
        <w:rPr>
          <w:rFonts w:ascii="Arial" w:hAnsi="Arial" w:cs="Arial"/>
          <w:i/>
          <w:iCs/>
        </w:rPr>
        <w:t>48</w:t>
      </w:r>
      <w:r w:rsidRPr="005C0F75">
        <w:rPr>
          <w:rFonts w:ascii="Arial" w:hAnsi="Arial" w:cs="Arial"/>
        </w:rPr>
        <w:t>(4), pp.50-54.</w:t>
      </w:r>
    </w:p>
    <w:p w14:paraId="5D7CA7C4" w14:textId="77777777" w:rsidR="005C0F75" w:rsidRPr="005C0F75" w:rsidRDefault="005C0F75"/>
    <w:sectPr w:rsidR="005C0F75" w:rsidRPr="005C0F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F75"/>
    <w:rsid w:val="000E2CB1"/>
    <w:rsid w:val="00114DC2"/>
    <w:rsid w:val="001C3BA1"/>
    <w:rsid w:val="002A29F2"/>
    <w:rsid w:val="003F6623"/>
    <w:rsid w:val="0041054E"/>
    <w:rsid w:val="00460F79"/>
    <w:rsid w:val="004635FE"/>
    <w:rsid w:val="004A0D75"/>
    <w:rsid w:val="004F79FD"/>
    <w:rsid w:val="005C0F75"/>
    <w:rsid w:val="005F0B76"/>
    <w:rsid w:val="006F7CA3"/>
    <w:rsid w:val="008229C7"/>
    <w:rsid w:val="008B64A4"/>
    <w:rsid w:val="008F6D04"/>
    <w:rsid w:val="009C480D"/>
    <w:rsid w:val="00A53185"/>
    <w:rsid w:val="00B246A7"/>
    <w:rsid w:val="00BD5479"/>
    <w:rsid w:val="00CC57E9"/>
    <w:rsid w:val="00D70862"/>
    <w:rsid w:val="00E3547A"/>
    <w:rsid w:val="00EE725F"/>
    <w:rsid w:val="00F70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96043"/>
  <w15:chartTrackingRefBased/>
  <w15:docId w15:val="{9366208F-9DD4-41B7-8B97-1BDB539F8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0F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0F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0F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0F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0F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0F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0F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0F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0F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0F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0F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0F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0F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0F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0F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0F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0F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0F75"/>
    <w:rPr>
      <w:rFonts w:eastAsiaTheme="majorEastAsia" w:cstheme="majorBidi"/>
      <w:color w:val="272727" w:themeColor="text1" w:themeTint="D8"/>
    </w:rPr>
  </w:style>
  <w:style w:type="paragraph" w:styleId="Title">
    <w:name w:val="Title"/>
    <w:basedOn w:val="Normal"/>
    <w:next w:val="Normal"/>
    <w:link w:val="TitleChar"/>
    <w:uiPriority w:val="10"/>
    <w:qFormat/>
    <w:rsid w:val="005C0F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0F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0F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0F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0F75"/>
    <w:pPr>
      <w:spacing w:before="160"/>
      <w:jc w:val="center"/>
    </w:pPr>
    <w:rPr>
      <w:i/>
      <w:iCs/>
      <w:color w:val="404040" w:themeColor="text1" w:themeTint="BF"/>
    </w:rPr>
  </w:style>
  <w:style w:type="character" w:customStyle="1" w:styleId="QuoteChar">
    <w:name w:val="Quote Char"/>
    <w:basedOn w:val="DefaultParagraphFont"/>
    <w:link w:val="Quote"/>
    <w:uiPriority w:val="29"/>
    <w:rsid w:val="005C0F75"/>
    <w:rPr>
      <w:i/>
      <w:iCs/>
      <w:color w:val="404040" w:themeColor="text1" w:themeTint="BF"/>
    </w:rPr>
  </w:style>
  <w:style w:type="paragraph" w:styleId="ListParagraph">
    <w:name w:val="List Paragraph"/>
    <w:basedOn w:val="Normal"/>
    <w:uiPriority w:val="34"/>
    <w:qFormat/>
    <w:rsid w:val="005C0F75"/>
    <w:pPr>
      <w:ind w:left="720"/>
      <w:contextualSpacing/>
    </w:pPr>
  </w:style>
  <w:style w:type="character" w:styleId="IntenseEmphasis">
    <w:name w:val="Intense Emphasis"/>
    <w:basedOn w:val="DefaultParagraphFont"/>
    <w:uiPriority w:val="21"/>
    <w:qFormat/>
    <w:rsid w:val="005C0F75"/>
    <w:rPr>
      <w:i/>
      <w:iCs/>
      <w:color w:val="0F4761" w:themeColor="accent1" w:themeShade="BF"/>
    </w:rPr>
  </w:style>
  <w:style w:type="paragraph" w:styleId="IntenseQuote">
    <w:name w:val="Intense Quote"/>
    <w:basedOn w:val="Normal"/>
    <w:next w:val="Normal"/>
    <w:link w:val="IntenseQuoteChar"/>
    <w:uiPriority w:val="30"/>
    <w:qFormat/>
    <w:rsid w:val="005C0F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0F75"/>
    <w:rPr>
      <w:i/>
      <w:iCs/>
      <w:color w:val="0F4761" w:themeColor="accent1" w:themeShade="BF"/>
    </w:rPr>
  </w:style>
  <w:style w:type="character" w:styleId="IntenseReference">
    <w:name w:val="Intense Reference"/>
    <w:basedOn w:val="DefaultParagraphFont"/>
    <w:uiPriority w:val="32"/>
    <w:qFormat/>
    <w:rsid w:val="005C0F75"/>
    <w:rPr>
      <w:b/>
      <w:bCs/>
      <w:smallCaps/>
      <w:color w:val="0F4761" w:themeColor="accent1" w:themeShade="BF"/>
      <w:spacing w:val="5"/>
    </w:rPr>
  </w:style>
  <w:style w:type="character" w:styleId="Hyperlink">
    <w:name w:val="Hyperlink"/>
    <w:basedOn w:val="DefaultParagraphFont"/>
    <w:uiPriority w:val="99"/>
    <w:unhideWhenUsed/>
    <w:rsid w:val="005C0F7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support-forces/practices/peel-street-project-supporting-diverse-communities-through-community-engagement"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journals.sagepub.com/doi/full/10.1177/02645505211070088" TargetMode="External"/><Relationship Id="rId12" Type="http://schemas.openxmlformats.org/officeDocument/2006/relationships/hyperlink" Target="https://www.southwalescommissioner.org.uk/equity-diversity-inclus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nk.springer.com/article/10.1007/s12117-019-09368-5" TargetMode="External"/><Relationship Id="rId11" Type="http://schemas.openxmlformats.org/officeDocument/2006/relationships/hyperlink" Target="https://assets.college.police.uk/s3fs-public/2021-04/prayer-provisions-workplace-adjustments-for-muslim-officers-staff-150321.pdf" TargetMode="External"/><Relationship Id="rId5" Type="http://schemas.openxmlformats.org/officeDocument/2006/relationships/hyperlink" Target="https://www.frontiersin.org/journals/education/articles/10.3389/feduc.2023.1157614/full" TargetMode="External"/><Relationship Id="rId10" Type="http://schemas.openxmlformats.org/officeDocument/2006/relationships/hyperlink" Target="https://www.nspcc.org.uk/what-is-child-abuse/types-of-abuse/gangs-criminal-exploitation/" TargetMode="External"/><Relationship Id="rId4" Type="http://schemas.openxmlformats.org/officeDocument/2006/relationships/hyperlink" Target="https://onlinelibrary.wiley.com/doi/full/10.1111/psj.12479" TargetMode="External"/><Relationship Id="rId9" Type="http://schemas.openxmlformats.org/officeDocument/2006/relationships/hyperlink" Target="https://www.gov.uk/youth-offending-te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174</TotalTime>
  <Pages>16</Pages>
  <Words>5721</Words>
  <Characters>32612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Whiting,Hattie swp8687</dc:creator>
  <cp:keywords/>
  <dc:description/>
  <cp:lastModifiedBy>Whiting,Hattie swp8687</cp:lastModifiedBy>
  <cp:revision>18</cp:revision>
  <dcterms:created xsi:type="dcterms:W3CDTF">2024-11-25T18:21:00Z</dcterms:created>
  <dcterms:modified xsi:type="dcterms:W3CDTF">2025-01-12T18:40:00Z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2024-11-25T18:34:44Z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1328e452-9bdb-4916-9d06-8d75f61ca451</vt:lpwstr>
  </property>
  <property fmtid="{D5CDD505-2E9C-101B-9397-08002B2CF9AE}" pid="8" name="MSIP_Label_66cf8fe5-b7b7-4df7-b38d-1c61ac2f6639_ContentBits">
    <vt:lpwstr>0</vt:lpwstr>
  </property>
</Properties>
</file>