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AE8052" w14:textId="3D117B1E" w:rsidR="00AA5BDD" w:rsidRDefault="6E92108F" w:rsidP="04A978F3">
      <w:pPr>
        <w:spacing w:line="360" w:lineRule="auto"/>
        <w:ind w:right="1229"/>
        <w:jc w:val="both"/>
        <w:rPr>
          <w:rFonts w:ascii="Times New Roman" w:eastAsia="Times New Roman" w:hAnsi="Times New Roman" w:cs="Times New Roman"/>
          <w:color w:val="000000" w:themeColor="text1"/>
          <w:sz w:val="60"/>
          <w:szCs w:val="60"/>
        </w:rPr>
      </w:pPr>
      <w:r>
        <w:rPr>
          <w:noProof/>
        </w:rPr>
        <w:drawing>
          <wp:inline distT="0" distB="0" distL="0" distR="0" wp14:anchorId="4C486981" wp14:editId="03B0813D">
            <wp:extent cx="4152900" cy="1257300"/>
            <wp:effectExtent l="0" t="0" r="0" b="0"/>
            <wp:docPr id="13173624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62447" name="Picture 1317362447"/>
                    <pic:cNvPicPr/>
                  </pic:nvPicPr>
                  <pic:blipFill>
                    <a:blip r:embed="rId5">
                      <a:extLst>
                        <a:ext uri="{28A0092B-C50C-407E-A947-70E740481C1C}">
                          <a14:useLocalDpi xmlns:a14="http://schemas.microsoft.com/office/drawing/2010/main"/>
                        </a:ext>
                      </a:extLst>
                    </a:blip>
                    <a:stretch>
                      <a:fillRect/>
                    </a:stretch>
                  </pic:blipFill>
                  <pic:spPr>
                    <a:xfrm>
                      <a:off x="0" y="0"/>
                      <a:ext cx="4152900" cy="1257300"/>
                    </a:xfrm>
                    <a:prstGeom prst="rect">
                      <a:avLst/>
                    </a:prstGeom>
                  </pic:spPr>
                </pic:pic>
              </a:graphicData>
            </a:graphic>
          </wp:inline>
        </w:drawing>
      </w:r>
    </w:p>
    <w:p w14:paraId="6F93C098" w14:textId="398B4717" w:rsidR="00AA5BDD" w:rsidRDefault="6E92108F" w:rsidP="04A978F3">
      <w:pPr>
        <w:spacing w:line="360" w:lineRule="auto"/>
        <w:ind w:right="1229"/>
        <w:jc w:val="both"/>
        <w:rPr>
          <w:rFonts w:ascii="Times New Roman" w:eastAsia="Times New Roman" w:hAnsi="Times New Roman" w:cs="Times New Roman"/>
          <w:color w:val="000000" w:themeColor="text1"/>
          <w:sz w:val="60"/>
          <w:szCs w:val="60"/>
        </w:rPr>
      </w:pPr>
      <w:r w:rsidRPr="04A978F3">
        <w:rPr>
          <w:rFonts w:ascii="Times New Roman" w:eastAsia="Times New Roman" w:hAnsi="Times New Roman" w:cs="Times New Roman"/>
          <w:color w:val="000000" w:themeColor="text1"/>
          <w:sz w:val="60"/>
          <w:szCs w:val="60"/>
          <w:lang w:val="en-US"/>
        </w:rPr>
        <w:t>Institute of Inner-City Learning Birmingham Campus</w:t>
      </w:r>
    </w:p>
    <w:p w14:paraId="723A6083" w14:textId="4D139BE3" w:rsidR="00AA5BDD" w:rsidRDefault="6E92108F" w:rsidP="04A978F3">
      <w:pPr>
        <w:spacing w:after="0"/>
        <w:jc w:val="center"/>
        <w:rPr>
          <w:rFonts w:ascii="Aptos" w:eastAsia="Aptos" w:hAnsi="Aptos" w:cs="Aptos"/>
          <w:color w:val="000000" w:themeColor="text1"/>
          <w:sz w:val="20"/>
          <w:szCs w:val="20"/>
        </w:rPr>
      </w:pPr>
      <w:r w:rsidRPr="04A978F3">
        <w:rPr>
          <w:rFonts w:ascii="Aptos" w:eastAsia="Aptos" w:hAnsi="Aptos" w:cs="Aptos"/>
          <w:color w:val="000000" w:themeColor="text1"/>
          <w:sz w:val="20"/>
          <w:szCs w:val="20"/>
          <w:lang w:val="en-US"/>
        </w:rPr>
        <w:t xml:space="preserve"> </w:t>
      </w:r>
    </w:p>
    <w:p w14:paraId="5801CA8D" w14:textId="460599DE" w:rsidR="00AA5BDD" w:rsidRDefault="6E92108F" w:rsidP="04A978F3">
      <w:pPr>
        <w:spacing w:line="360" w:lineRule="auto"/>
        <w:jc w:val="both"/>
        <w:rPr>
          <w:rFonts w:ascii="Times New Roman" w:eastAsia="Times New Roman" w:hAnsi="Times New Roman" w:cs="Times New Roman"/>
          <w:color w:val="000000" w:themeColor="text1"/>
          <w:sz w:val="28"/>
          <w:szCs w:val="28"/>
        </w:rPr>
      </w:pPr>
      <w:r w:rsidRPr="04A978F3">
        <w:rPr>
          <w:rFonts w:ascii="Times New Roman" w:eastAsia="Times New Roman" w:hAnsi="Times New Roman" w:cs="Times New Roman"/>
          <w:color w:val="000000" w:themeColor="text1"/>
          <w:sz w:val="60"/>
          <w:szCs w:val="60"/>
          <w:lang w:val="en-US"/>
        </w:rPr>
        <w:t>BSc (Hons) Health and Social Care</w:t>
      </w:r>
      <w:r w:rsidR="003E52B6">
        <w:br/>
      </w:r>
      <w:r w:rsidRPr="04A978F3">
        <w:rPr>
          <w:rFonts w:ascii="Times New Roman" w:eastAsia="Times New Roman" w:hAnsi="Times New Roman" w:cs="Times New Roman"/>
          <w:color w:val="000000" w:themeColor="text1"/>
          <w:lang w:val="en-US"/>
        </w:rPr>
        <w:t xml:space="preserve"> </w:t>
      </w:r>
      <w:r w:rsidRPr="04A978F3">
        <w:rPr>
          <w:rFonts w:ascii="Times New Roman" w:eastAsia="Times New Roman" w:hAnsi="Times New Roman" w:cs="Times New Roman"/>
          <w:b/>
          <w:bCs/>
          <w:color w:val="000000" w:themeColor="text1"/>
          <w:sz w:val="28"/>
          <w:szCs w:val="28"/>
          <w:lang w:val="en-US"/>
        </w:rPr>
        <w:t xml:space="preserve"> </w:t>
      </w:r>
    </w:p>
    <w:p w14:paraId="0A766EF0" w14:textId="32165907" w:rsidR="00AA5BDD" w:rsidRDefault="6E92108F" w:rsidP="04A978F3">
      <w:pPr>
        <w:spacing w:line="360" w:lineRule="auto"/>
        <w:jc w:val="both"/>
        <w:rPr>
          <w:rFonts w:ascii="Times New Roman" w:eastAsia="Times New Roman" w:hAnsi="Times New Roman" w:cs="Times New Roman"/>
          <w:color w:val="000000" w:themeColor="text1"/>
          <w:sz w:val="28"/>
          <w:szCs w:val="28"/>
        </w:rPr>
      </w:pPr>
      <w:r w:rsidRPr="04A978F3">
        <w:rPr>
          <w:rFonts w:ascii="Times New Roman" w:eastAsia="Times New Roman" w:hAnsi="Times New Roman" w:cs="Times New Roman"/>
          <w:b/>
          <w:bCs/>
          <w:color w:val="000000" w:themeColor="text1"/>
          <w:sz w:val="28"/>
          <w:szCs w:val="28"/>
          <w:lang w:val="en-US"/>
        </w:rPr>
        <w:t>DECLARATION</w:t>
      </w:r>
    </w:p>
    <w:p w14:paraId="08E0F22E" w14:textId="5D96EA14"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This work has not previously been accepted in substance for any degree and is not being concurrently submitted in candidature for any degree</w:t>
      </w:r>
    </w:p>
    <w:p w14:paraId="1FF65530" w14:textId="1C17D29E"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Signed     S. ABABIO</w:t>
      </w:r>
    </w:p>
    <w:p w14:paraId="6A5310FD" w14:textId="16D53DC5"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Date          27/11/25</w:t>
      </w:r>
    </w:p>
    <w:p w14:paraId="45CB6375" w14:textId="70FBCCB8" w:rsidR="00AA5BDD" w:rsidRDefault="00AA5BDD" w:rsidP="04A978F3">
      <w:pPr>
        <w:spacing w:line="360" w:lineRule="auto"/>
        <w:jc w:val="both"/>
        <w:rPr>
          <w:rFonts w:ascii="Times New Roman" w:eastAsia="Times New Roman" w:hAnsi="Times New Roman" w:cs="Times New Roman"/>
          <w:color w:val="000000" w:themeColor="text1"/>
        </w:rPr>
      </w:pPr>
    </w:p>
    <w:p w14:paraId="7E584D11" w14:textId="7D972560"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b/>
          <w:bCs/>
          <w:color w:val="000000" w:themeColor="text1"/>
          <w:lang w:val="en-US"/>
        </w:rPr>
        <w:t xml:space="preserve">STATEMENT 1 </w:t>
      </w:r>
    </w:p>
    <w:p w14:paraId="28DD98BB" w14:textId="07F6F767"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This dissertation is being submitted in partial </w:t>
      </w:r>
      <w:proofErr w:type="spellStart"/>
      <w:r w:rsidRPr="04A978F3">
        <w:rPr>
          <w:rFonts w:ascii="Times New Roman" w:eastAsia="Times New Roman" w:hAnsi="Times New Roman" w:cs="Times New Roman"/>
          <w:color w:val="000000" w:themeColor="text1"/>
          <w:lang w:val="en-US"/>
        </w:rPr>
        <w:t>fulfilment</w:t>
      </w:r>
      <w:proofErr w:type="spellEnd"/>
      <w:r w:rsidRPr="04A978F3">
        <w:rPr>
          <w:rFonts w:ascii="Times New Roman" w:eastAsia="Times New Roman" w:hAnsi="Times New Roman" w:cs="Times New Roman"/>
          <w:color w:val="000000" w:themeColor="text1"/>
          <w:lang w:val="en-US"/>
        </w:rPr>
        <w:t xml:space="preserve"> of the requirements for the degree of BSc.</w:t>
      </w:r>
    </w:p>
    <w:p w14:paraId="3CF6832C" w14:textId="08289FDC"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Signed    S. ABABIO</w:t>
      </w:r>
    </w:p>
    <w:p w14:paraId="5C8F83B8" w14:textId="40EC9E49"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Date    27/11/25</w:t>
      </w:r>
    </w:p>
    <w:p w14:paraId="4041B5FD" w14:textId="4C50E509" w:rsidR="00AA5BDD" w:rsidRDefault="00AA5BDD" w:rsidP="04A978F3">
      <w:pPr>
        <w:spacing w:line="360" w:lineRule="auto"/>
        <w:jc w:val="both"/>
        <w:rPr>
          <w:rFonts w:ascii="Times New Roman" w:eastAsia="Times New Roman" w:hAnsi="Times New Roman" w:cs="Times New Roman"/>
          <w:color w:val="000000" w:themeColor="text1"/>
        </w:rPr>
      </w:pPr>
    </w:p>
    <w:p w14:paraId="631C2EB7" w14:textId="48CDDC93" w:rsidR="00AA5BDD" w:rsidRDefault="00AA5BDD" w:rsidP="04A978F3">
      <w:pPr>
        <w:spacing w:line="360" w:lineRule="auto"/>
        <w:jc w:val="both"/>
        <w:rPr>
          <w:rFonts w:ascii="Times New Roman" w:eastAsia="Times New Roman" w:hAnsi="Times New Roman" w:cs="Times New Roman"/>
          <w:b/>
          <w:bCs/>
          <w:color w:val="000000" w:themeColor="text1"/>
          <w:lang w:val="en-US"/>
        </w:rPr>
      </w:pPr>
    </w:p>
    <w:p w14:paraId="2B95B0E0" w14:textId="429C854E"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b/>
          <w:bCs/>
          <w:color w:val="000000" w:themeColor="text1"/>
          <w:lang w:val="en-US"/>
        </w:rPr>
        <w:t>STATEMENT 2</w:t>
      </w:r>
    </w:p>
    <w:p w14:paraId="322AFE61" w14:textId="3D2BDA74"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This dissertation is the result of my own independent work/investigation, except where otherwise stated. Other sources are acknowledged by footnotes giving explicit references.  A bibliography is appended.</w:t>
      </w:r>
    </w:p>
    <w:p w14:paraId="60DA7C30" w14:textId="5C899EEA"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Signed     </w:t>
      </w:r>
      <w:r w:rsidR="17CD9E6D" w:rsidRPr="04A978F3">
        <w:rPr>
          <w:rFonts w:ascii="Times New Roman" w:eastAsia="Times New Roman" w:hAnsi="Times New Roman" w:cs="Times New Roman"/>
          <w:color w:val="000000" w:themeColor="text1"/>
          <w:lang w:val="en-US"/>
        </w:rPr>
        <w:t>S. ABABIO</w:t>
      </w:r>
    </w:p>
    <w:p w14:paraId="0862AB36" w14:textId="4D218D9F"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Date        27/11/25</w:t>
      </w:r>
    </w:p>
    <w:p w14:paraId="4E0A2826" w14:textId="56BB097D" w:rsidR="00AA5BDD" w:rsidRDefault="00AA5BDD" w:rsidP="04A978F3">
      <w:pPr>
        <w:spacing w:line="360" w:lineRule="auto"/>
        <w:jc w:val="both"/>
        <w:rPr>
          <w:rFonts w:ascii="Times New Roman" w:eastAsia="Times New Roman" w:hAnsi="Times New Roman" w:cs="Times New Roman"/>
          <w:color w:val="000000" w:themeColor="text1"/>
        </w:rPr>
      </w:pPr>
    </w:p>
    <w:p w14:paraId="2BE03F2B" w14:textId="4D8FEF73"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b/>
          <w:bCs/>
          <w:color w:val="000000" w:themeColor="text1"/>
          <w:lang w:val="en-US"/>
        </w:rPr>
        <w:t>STATEMENT 3</w:t>
      </w:r>
    </w:p>
    <w:p w14:paraId="57ED5530" w14:textId="2BA4F392"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I hereby give consent for my dissertation, if accepted, to be available for photocopying and for interlibrary loan, and for the title and summary to be made available to outside </w:t>
      </w:r>
      <w:proofErr w:type="spellStart"/>
      <w:r w:rsidRPr="04A978F3">
        <w:rPr>
          <w:rFonts w:ascii="Times New Roman" w:eastAsia="Times New Roman" w:hAnsi="Times New Roman" w:cs="Times New Roman"/>
          <w:color w:val="000000" w:themeColor="text1"/>
          <w:lang w:val="en-US"/>
        </w:rPr>
        <w:t>organisations</w:t>
      </w:r>
      <w:proofErr w:type="spellEnd"/>
      <w:r w:rsidRPr="04A978F3">
        <w:rPr>
          <w:rFonts w:ascii="Times New Roman" w:eastAsia="Times New Roman" w:hAnsi="Times New Roman" w:cs="Times New Roman"/>
          <w:color w:val="000000" w:themeColor="text1"/>
          <w:lang w:val="en-US"/>
        </w:rPr>
        <w:t>.</w:t>
      </w:r>
    </w:p>
    <w:p w14:paraId="2B977B2B" w14:textId="72414B43"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Signed     S. ABABIO</w:t>
      </w:r>
    </w:p>
    <w:p w14:paraId="4C716AAC" w14:textId="1794E00D" w:rsidR="00AA5BDD" w:rsidRDefault="6E92108F" w:rsidP="04A978F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Date     27/11/25</w:t>
      </w:r>
    </w:p>
    <w:p w14:paraId="569486A7" w14:textId="4234611C" w:rsidR="00AA5BDD" w:rsidRDefault="00AA5BDD" w:rsidP="04A978F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eastAsia="Times New Roman" w:hAnsi="Times New Roman" w:cs="Times New Roman"/>
          <w:color w:val="000000" w:themeColor="text1"/>
        </w:rPr>
      </w:pPr>
    </w:p>
    <w:p w14:paraId="25A5548A" w14:textId="5D006A44"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b/>
          <w:bCs/>
          <w:color w:val="000000" w:themeColor="text1"/>
          <w:lang w:val="en-US"/>
        </w:rPr>
        <w:t>STATEMENT 4</w:t>
      </w:r>
    </w:p>
    <w:p w14:paraId="07BB4A7F" w14:textId="4881239E"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I hereby give consent for my dissertation, if accepted, to be available on the university’s IT system to those who have consent to use the system.</w:t>
      </w:r>
    </w:p>
    <w:p w14:paraId="116A43F0" w14:textId="27029720"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Signed     S. ABABIO</w:t>
      </w:r>
    </w:p>
    <w:p w14:paraId="5BE70108" w14:textId="130C6D18" w:rsidR="00AA5BDD" w:rsidRDefault="6E92108F" w:rsidP="04A978F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Date     27/11/25</w:t>
      </w:r>
    </w:p>
    <w:p w14:paraId="3570352C" w14:textId="76C48A5E"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3FE40ED0" w14:textId="3E6047C9"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114C6076" w14:textId="60F26449" w:rsidR="00AA5BDD" w:rsidRDefault="6E92108F" w:rsidP="04A978F3">
      <w:pPr>
        <w:spacing w:line="360" w:lineRule="auto"/>
        <w:jc w:val="center"/>
        <w:rPr>
          <w:rFonts w:ascii="Arial" w:eastAsia="Arial" w:hAnsi="Arial" w:cs="Arial"/>
          <w:color w:val="000000" w:themeColor="text1"/>
          <w:sz w:val="56"/>
          <w:szCs w:val="56"/>
        </w:rPr>
      </w:pPr>
      <w:r w:rsidRPr="04A978F3">
        <w:rPr>
          <w:rFonts w:ascii="Arial" w:eastAsia="Arial" w:hAnsi="Arial" w:cs="Arial"/>
          <w:b/>
          <w:bCs/>
          <w:color w:val="000000" w:themeColor="text1"/>
          <w:sz w:val="56"/>
          <w:szCs w:val="56"/>
          <w:lang w:val="en-US"/>
        </w:rPr>
        <w:t xml:space="preserve"> </w:t>
      </w:r>
    </w:p>
    <w:p w14:paraId="7EDFF374" w14:textId="13E485DE" w:rsidR="00AA5BDD" w:rsidRDefault="00AA5BDD" w:rsidP="04A978F3">
      <w:pPr>
        <w:spacing w:line="360" w:lineRule="auto"/>
        <w:jc w:val="center"/>
        <w:rPr>
          <w:rFonts w:ascii="Arial" w:eastAsia="Arial" w:hAnsi="Arial" w:cs="Arial"/>
          <w:b/>
          <w:bCs/>
          <w:color w:val="000000" w:themeColor="text1"/>
          <w:sz w:val="32"/>
          <w:szCs w:val="32"/>
          <w:lang w:val="en-US"/>
        </w:rPr>
      </w:pPr>
    </w:p>
    <w:p w14:paraId="2886615F" w14:textId="294E2ACD" w:rsidR="00AA5BDD" w:rsidRDefault="6E92108F" w:rsidP="04A978F3">
      <w:pPr>
        <w:spacing w:line="360" w:lineRule="auto"/>
        <w:jc w:val="center"/>
        <w:rPr>
          <w:rFonts w:ascii="Arial" w:eastAsia="Arial" w:hAnsi="Arial" w:cs="Arial"/>
          <w:color w:val="000000" w:themeColor="text1"/>
          <w:sz w:val="32"/>
          <w:szCs w:val="32"/>
        </w:rPr>
      </w:pPr>
      <w:r w:rsidRPr="04A978F3">
        <w:rPr>
          <w:rFonts w:ascii="Arial" w:eastAsia="Arial" w:hAnsi="Arial" w:cs="Arial"/>
          <w:b/>
          <w:bCs/>
          <w:color w:val="000000" w:themeColor="text1"/>
          <w:sz w:val="32"/>
          <w:szCs w:val="32"/>
          <w:lang w:val="en-US"/>
        </w:rPr>
        <w:t>Barriers in accessing health care services for mental health in the African community in the UK.</w:t>
      </w:r>
      <w:r w:rsidRPr="04A978F3">
        <w:rPr>
          <w:rFonts w:ascii="Arial" w:eastAsia="Arial" w:hAnsi="Arial" w:cs="Arial"/>
          <w:color w:val="000000" w:themeColor="text1"/>
          <w:sz w:val="32"/>
          <w:szCs w:val="32"/>
          <w:lang w:val="en-US"/>
        </w:rPr>
        <w:t xml:space="preserve"> </w:t>
      </w:r>
    </w:p>
    <w:p w14:paraId="0A87067F" w14:textId="177F7F2F" w:rsidR="00AA5BDD" w:rsidRDefault="00AA5BDD" w:rsidP="04A978F3">
      <w:pPr>
        <w:spacing w:line="360" w:lineRule="auto"/>
        <w:jc w:val="center"/>
        <w:rPr>
          <w:rFonts w:ascii="Arial" w:eastAsia="Arial" w:hAnsi="Arial" w:cs="Arial"/>
          <w:color w:val="000000" w:themeColor="text1"/>
          <w:sz w:val="32"/>
          <w:szCs w:val="32"/>
        </w:rPr>
      </w:pPr>
    </w:p>
    <w:p w14:paraId="1B1F4AE8" w14:textId="490F98E1" w:rsidR="00AA5BDD" w:rsidRDefault="6E92108F" w:rsidP="04A978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themeColor="text1"/>
          <w:sz w:val="28"/>
          <w:szCs w:val="28"/>
        </w:rPr>
      </w:pPr>
      <w:r w:rsidRPr="04A978F3">
        <w:rPr>
          <w:rFonts w:ascii="Arial" w:eastAsia="Arial" w:hAnsi="Arial" w:cs="Arial"/>
          <w:b/>
          <w:bCs/>
          <w:color w:val="000000" w:themeColor="text1"/>
          <w:sz w:val="28"/>
          <w:szCs w:val="28"/>
          <w:lang w:val="en-US"/>
        </w:rPr>
        <w:t>SHALION ABABIO</w:t>
      </w:r>
    </w:p>
    <w:p w14:paraId="2719A759" w14:textId="4B59AEF4" w:rsidR="00AA5BDD" w:rsidRDefault="6E92108F" w:rsidP="04A978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themeColor="text1"/>
          <w:sz w:val="28"/>
          <w:szCs w:val="28"/>
        </w:rPr>
      </w:pPr>
      <w:r w:rsidRPr="04A978F3">
        <w:rPr>
          <w:rFonts w:ascii="Arial" w:eastAsia="Arial" w:hAnsi="Arial" w:cs="Arial"/>
          <w:b/>
          <w:bCs/>
          <w:color w:val="000000" w:themeColor="text1"/>
          <w:sz w:val="28"/>
          <w:szCs w:val="28"/>
          <w:lang w:val="en-US"/>
        </w:rPr>
        <w:t>2113295</w:t>
      </w:r>
    </w:p>
    <w:p w14:paraId="2BEB8989" w14:textId="08ADA5C7" w:rsidR="00AA5BDD" w:rsidRDefault="6E92108F" w:rsidP="04A978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Times New Roman" w:hAnsi="Times New Roman" w:cs="Times New Roman"/>
          <w:color w:val="000000" w:themeColor="text1"/>
          <w:sz w:val="18"/>
          <w:szCs w:val="18"/>
        </w:rPr>
      </w:pPr>
      <w:r w:rsidRPr="04A978F3">
        <w:rPr>
          <w:rFonts w:ascii="Times New Roman" w:eastAsia="Times New Roman" w:hAnsi="Times New Roman" w:cs="Times New Roman"/>
          <w:b/>
          <w:bCs/>
          <w:i/>
          <w:iCs/>
          <w:color w:val="000000" w:themeColor="text1"/>
          <w:sz w:val="18"/>
          <w:szCs w:val="18"/>
          <w:lang w:val="en-US"/>
        </w:rPr>
        <w:t xml:space="preserve"> </w:t>
      </w:r>
    </w:p>
    <w:p w14:paraId="30B76483" w14:textId="27710F38" w:rsidR="00AA5BDD" w:rsidRDefault="6E92108F" w:rsidP="04A978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Times New Roman" w:eastAsia="Times New Roman" w:hAnsi="Times New Roman" w:cs="Times New Roman"/>
          <w:color w:val="000000" w:themeColor="text1"/>
          <w:sz w:val="40"/>
          <w:szCs w:val="40"/>
        </w:rPr>
      </w:pPr>
      <w:r w:rsidRPr="04A978F3">
        <w:rPr>
          <w:rFonts w:ascii="Times New Roman" w:eastAsia="Times New Roman" w:hAnsi="Times New Roman" w:cs="Times New Roman"/>
          <w:color w:val="000000" w:themeColor="text1"/>
          <w:sz w:val="40"/>
          <w:szCs w:val="40"/>
          <w:lang w:val="en-US"/>
        </w:rPr>
        <w:t xml:space="preserve">  </w:t>
      </w:r>
    </w:p>
    <w:p w14:paraId="7C5ABE4B" w14:textId="5FAB5D0D" w:rsidR="00AA5BDD" w:rsidRDefault="6E92108F" w:rsidP="04A978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w:hAnsi="Arial" w:cs="Arial"/>
          <w:color w:val="000000" w:themeColor="text1"/>
          <w:sz w:val="32"/>
          <w:szCs w:val="32"/>
        </w:rPr>
      </w:pPr>
      <w:r w:rsidRPr="04A978F3">
        <w:rPr>
          <w:rFonts w:ascii="Arial" w:eastAsia="Arial" w:hAnsi="Arial" w:cs="Arial"/>
          <w:color w:val="000000" w:themeColor="text1"/>
          <w:sz w:val="32"/>
          <w:szCs w:val="32"/>
          <w:lang w:val="en-US"/>
        </w:rPr>
        <w:t>Dissertation submitted as part of the requirements for the award BSc (Hons) Health and Social Care</w:t>
      </w:r>
    </w:p>
    <w:p w14:paraId="08CF2508" w14:textId="568D3F9E"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265DD1CB" w14:textId="2428A651"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2765CA45" w14:textId="4022A51F" w:rsidR="00AA5BDD" w:rsidRDefault="6E92108F" w:rsidP="04A978F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w:hAnsi="Arial" w:cs="Arial"/>
          <w:color w:val="000000" w:themeColor="text1"/>
          <w:sz w:val="32"/>
          <w:szCs w:val="32"/>
        </w:rPr>
      </w:pPr>
      <w:r w:rsidRPr="04A978F3">
        <w:rPr>
          <w:rFonts w:ascii="Arial" w:eastAsia="Arial" w:hAnsi="Arial" w:cs="Arial"/>
          <w:b/>
          <w:bCs/>
          <w:color w:val="000000" w:themeColor="text1"/>
          <w:sz w:val="32"/>
          <w:szCs w:val="32"/>
          <w:lang w:val="en-US"/>
        </w:rPr>
        <w:t xml:space="preserve">ACKNOWLEDGEMENTS </w:t>
      </w:r>
    </w:p>
    <w:p w14:paraId="2757F035" w14:textId="5DA7CBE7" w:rsidR="00AA5BDD" w:rsidRDefault="6E92108F" w:rsidP="04A978F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w:hAnsi="Arial" w:cs="Arial"/>
          <w:color w:val="000000" w:themeColor="text1"/>
          <w:sz w:val="22"/>
          <w:szCs w:val="22"/>
        </w:rPr>
      </w:pPr>
      <w:r w:rsidRPr="04A978F3">
        <w:rPr>
          <w:rFonts w:ascii="Arial" w:eastAsia="Arial" w:hAnsi="Arial" w:cs="Arial"/>
          <w:color w:val="000000" w:themeColor="text1"/>
          <w:sz w:val="22"/>
          <w:szCs w:val="22"/>
          <w:lang w:val="en-US"/>
        </w:rPr>
        <w:t xml:space="preserve">First, I would like to thank God for His presence in my life and for keeping me healthy and alive throughout this journey. I am deeply grateful to my family for their constant encouragement, love, and belief in me, which motivated me to never give up. I would also like to express my sincere appreciation to my </w:t>
      </w:r>
      <w:r w:rsidR="00B60E64">
        <w:rPr>
          <w:rFonts w:ascii="Arial" w:eastAsia="Arial" w:hAnsi="Arial" w:cs="Arial"/>
          <w:color w:val="000000" w:themeColor="text1"/>
          <w:sz w:val="22"/>
          <w:szCs w:val="22"/>
          <w:lang w:val="en-US"/>
        </w:rPr>
        <w:t xml:space="preserve">tutors </w:t>
      </w:r>
      <w:r w:rsidRPr="04A978F3">
        <w:rPr>
          <w:rFonts w:ascii="Arial" w:eastAsia="Arial" w:hAnsi="Arial" w:cs="Arial"/>
          <w:color w:val="000000" w:themeColor="text1"/>
          <w:sz w:val="22"/>
          <w:szCs w:val="22"/>
          <w:lang w:val="en-US"/>
        </w:rPr>
        <w:t>for their guidance, support, and valuable advice, which was essential to the completion of this dissertation.</w:t>
      </w:r>
    </w:p>
    <w:p w14:paraId="1246EAB1" w14:textId="7EBA55D3"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3F442FE1" w14:textId="078434A2"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06DEB04A" w14:textId="74DDC603" w:rsidR="00AA5BDD" w:rsidRDefault="6E92108F" w:rsidP="04A978F3">
      <w:pPr>
        <w:spacing w:line="360" w:lineRule="auto"/>
        <w:jc w:val="both"/>
        <w:rPr>
          <w:rFonts w:ascii="Times New Roman" w:eastAsia="Times New Roman" w:hAnsi="Times New Roman" w:cs="Times New Roman"/>
          <w:color w:val="000000" w:themeColor="text1"/>
        </w:rPr>
      </w:pPr>
      <w:r w:rsidRPr="04A978F3">
        <w:rPr>
          <w:rFonts w:ascii="Times New Roman" w:eastAsia="Times New Roman" w:hAnsi="Times New Roman" w:cs="Times New Roman"/>
          <w:color w:val="000000" w:themeColor="text1"/>
          <w:lang w:val="en-US"/>
        </w:rPr>
        <w:t xml:space="preserve"> </w:t>
      </w:r>
    </w:p>
    <w:p w14:paraId="70106C58" w14:textId="299CAD77" w:rsidR="00AA5BDD" w:rsidRDefault="00AA5BDD" w:rsidP="04A978F3">
      <w:pPr>
        <w:spacing w:line="360" w:lineRule="auto"/>
        <w:jc w:val="both"/>
        <w:rPr>
          <w:rFonts w:ascii="Times New Roman" w:eastAsia="Times New Roman" w:hAnsi="Times New Roman" w:cs="Times New Roman"/>
          <w:color w:val="000000" w:themeColor="text1"/>
          <w:sz w:val="28"/>
          <w:szCs w:val="28"/>
        </w:rPr>
      </w:pPr>
    </w:p>
    <w:p w14:paraId="77E5FB84" w14:textId="46708CDE" w:rsidR="00AA5BDD" w:rsidRDefault="00AA5BDD" w:rsidP="04A978F3">
      <w:pPr>
        <w:spacing w:line="360" w:lineRule="auto"/>
        <w:jc w:val="both"/>
        <w:rPr>
          <w:rFonts w:ascii="Times New Roman" w:eastAsia="Times New Roman" w:hAnsi="Times New Roman" w:cs="Times New Roman"/>
          <w:color w:val="000000" w:themeColor="text1"/>
          <w:sz w:val="28"/>
          <w:szCs w:val="28"/>
        </w:rPr>
      </w:pPr>
    </w:p>
    <w:p w14:paraId="41751D76" w14:textId="328150B1" w:rsidR="00AA5BDD" w:rsidRDefault="00AA5BDD" w:rsidP="04A978F3">
      <w:pPr>
        <w:spacing w:line="360" w:lineRule="auto"/>
        <w:jc w:val="both"/>
        <w:rPr>
          <w:rFonts w:ascii="Times New Roman" w:eastAsia="Times New Roman" w:hAnsi="Times New Roman" w:cs="Times New Roman"/>
          <w:b/>
          <w:bCs/>
          <w:color w:val="000000" w:themeColor="text1"/>
          <w:sz w:val="28"/>
          <w:szCs w:val="28"/>
          <w:lang w:val="en-US"/>
        </w:rPr>
      </w:pPr>
    </w:p>
    <w:p w14:paraId="5BAE2178" w14:textId="1102905E" w:rsidR="00AA5BDD" w:rsidRDefault="00AA5BDD" w:rsidP="04A978F3">
      <w:pPr>
        <w:spacing w:line="360" w:lineRule="auto"/>
        <w:jc w:val="both"/>
        <w:rPr>
          <w:rFonts w:ascii="Times New Roman" w:eastAsia="Times New Roman" w:hAnsi="Times New Roman" w:cs="Times New Roman"/>
          <w:b/>
          <w:bCs/>
          <w:color w:val="000000" w:themeColor="text1"/>
          <w:sz w:val="28"/>
          <w:szCs w:val="28"/>
          <w:lang w:val="en-US"/>
        </w:rPr>
      </w:pPr>
    </w:p>
    <w:p w14:paraId="662495FE" w14:textId="5C0CA5A3" w:rsidR="00AA5BDD" w:rsidRDefault="0DF5544B" w:rsidP="04A978F3">
      <w:pPr>
        <w:spacing w:line="360" w:lineRule="auto"/>
        <w:jc w:val="both"/>
        <w:rPr>
          <w:rFonts w:ascii="Times New Roman" w:eastAsia="Times New Roman" w:hAnsi="Times New Roman" w:cs="Times New Roman"/>
          <w:color w:val="000000" w:themeColor="text1"/>
          <w:lang w:val="en-US"/>
        </w:rPr>
      </w:pPr>
      <w:r w:rsidRPr="65B08F1D">
        <w:rPr>
          <w:rFonts w:ascii="Times New Roman" w:eastAsia="Times New Roman" w:hAnsi="Times New Roman" w:cs="Times New Roman"/>
          <w:b/>
          <w:bCs/>
          <w:color w:val="000000" w:themeColor="text1"/>
          <w:sz w:val="28"/>
          <w:szCs w:val="28"/>
          <w:lang w:val="en-US"/>
        </w:rPr>
        <w:t xml:space="preserve">ABSTRACT </w:t>
      </w:r>
    </w:p>
    <w:p w14:paraId="53732C54" w14:textId="7E2EA408" w:rsidR="78690CC7" w:rsidRDefault="78690CC7" w:rsidP="65B08F1D">
      <w:pPr>
        <w:spacing w:before="240" w:after="240" w:line="360" w:lineRule="auto"/>
        <w:rPr>
          <w:rFonts w:ascii="Arial" w:eastAsia="Arial" w:hAnsi="Arial" w:cs="Arial"/>
          <w:sz w:val="22"/>
          <w:szCs w:val="22"/>
          <w:lang w:val="en-US"/>
        </w:rPr>
      </w:pPr>
      <w:r w:rsidRPr="00F37855">
        <w:rPr>
          <w:rFonts w:ascii="Arial" w:eastAsia="Arial" w:hAnsi="Arial" w:cs="Arial"/>
          <w:sz w:val="22"/>
          <w:szCs w:val="22"/>
          <w:lang w:val="en-US"/>
        </w:rPr>
        <w:t xml:space="preserve">The purpose of this dissertation was to explore the barriers experienced by members of the African community in the United Kingdom when </w:t>
      </w:r>
      <w:r w:rsidR="006C767E" w:rsidRPr="00F37855">
        <w:rPr>
          <w:rFonts w:ascii="Arial" w:eastAsia="Arial" w:hAnsi="Arial" w:cs="Arial"/>
          <w:sz w:val="22"/>
          <w:szCs w:val="22"/>
          <w:lang w:val="en-US"/>
        </w:rPr>
        <w:t>trying</w:t>
      </w:r>
      <w:r w:rsidRPr="00F37855">
        <w:rPr>
          <w:rFonts w:ascii="Arial" w:eastAsia="Arial" w:hAnsi="Arial" w:cs="Arial"/>
          <w:sz w:val="22"/>
          <w:szCs w:val="22"/>
          <w:lang w:val="en-US"/>
        </w:rPr>
        <w:t xml:space="preserve"> to access mental health services. The study aimed to identify the personal, cultural, and systemic factors that influence help-seeking </w:t>
      </w:r>
      <w:r w:rsidR="006C767E" w:rsidRPr="00F37855">
        <w:rPr>
          <w:rFonts w:ascii="Arial" w:eastAsia="Arial" w:hAnsi="Arial" w:cs="Arial"/>
          <w:sz w:val="22"/>
          <w:szCs w:val="22"/>
          <w:lang w:val="en-US"/>
        </w:rPr>
        <w:t>behaviors</w:t>
      </w:r>
      <w:r w:rsidRPr="00F37855">
        <w:rPr>
          <w:rFonts w:ascii="Arial" w:eastAsia="Arial" w:hAnsi="Arial" w:cs="Arial"/>
          <w:sz w:val="22"/>
          <w:szCs w:val="22"/>
          <w:lang w:val="en-US"/>
        </w:rPr>
        <w:t xml:space="preserve"> and engagement with mental health support. This research is significant within the context of health and social care as ethnic minority groups continue to experience disproportionate levels of unmet mental health needs, highlighting persistent inequalities in service provision, accessibility, and </w:t>
      </w:r>
      <w:r w:rsidR="3C0C1C53" w:rsidRPr="00F37855">
        <w:rPr>
          <w:rFonts w:ascii="Arial" w:eastAsia="Arial" w:hAnsi="Arial" w:cs="Arial"/>
          <w:sz w:val="22"/>
          <w:szCs w:val="22"/>
          <w:lang w:val="en-US"/>
        </w:rPr>
        <w:t>outcomes. A</w:t>
      </w:r>
      <w:r w:rsidRPr="00F37855">
        <w:rPr>
          <w:rFonts w:ascii="Arial" w:eastAsia="Arial" w:hAnsi="Arial" w:cs="Arial"/>
          <w:sz w:val="22"/>
          <w:szCs w:val="22"/>
          <w:lang w:val="en-US"/>
        </w:rPr>
        <w:t xml:space="preserve"> qualitative research approach was adopted, </w:t>
      </w:r>
      <w:r w:rsidR="006C767E" w:rsidRPr="00F37855">
        <w:rPr>
          <w:rFonts w:ascii="Arial" w:eastAsia="Arial" w:hAnsi="Arial" w:cs="Arial"/>
          <w:sz w:val="22"/>
          <w:szCs w:val="22"/>
          <w:lang w:val="en-US"/>
        </w:rPr>
        <w:t>using</w:t>
      </w:r>
      <w:r w:rsidRPr="00F37855">
        <w:rPr>
          <w:rFonts w:ascii="Arial" w:eastAsia="Arial" w:hAnsi="Arial" w:cs="Arial"/>
          <w:sz w:val="22"/>
          <w:szCs w:val="22"/>
          <w:lang w:val="en-US"/>
        </w:rPr>
        <w:t xml:space="preserve"> a systematic review and thematic analysis of currently published literature. Peer-reviewed studies, policy </w:t>
      </w:r>
      <w:r w:rsidR="006C767E" w:rsidRPr="00F37855">
        <w:rPr>
          <w:rFonts w:ascii="Arial" w:eastAsia="Arial" w:hAnsi="Arial" w:cs="Arial"/>
          <w:sz w:val="22"/>
          <w:szCs w:val="22"/>
          <w:lang w:val="en-US"/>
        </w:rPr>
        <w:t>reports,</w:t>
      </w:r>
      <w:r w:rsidRPr="00F37855">
        <w:rPr>
          <w:rFonts w:ascii="Arial" w:eastAsia="Arial" w:hAnsi="Arial" w:cs="Arial"/>
          <w:sz w:val="22"/>
          <w:szCs w:val="22"/>
          <w:lang w:val="en-US"/>
        </w:rPr>
        <w:t xml:space="preserve"> and national data sets were </w:t>
      </w:r>
      <w:r w:rsidR="1D298B54" w:rsidRPr="00F37855">
        <w:rPr>
          <w:rFonts w:ascii="Arial" w:eastAsia="Arial" w:hAnsi="Arial" w:cs="Arial"/>
          <w:sz w:val="22"/>
          <w:szCs w:val="22"/>
          <w:lang w:val="en-US"/>
        </w:rPr>
        <w:t>analyzed</w:t>
      </w:r>
      <w:r w:rsidRPr="00F37855">
        <w:rPr>
          <w:rFonts w:ascii="Arial" w:eastAsia="Arial" w:hAnsi="Arial" w:cs="Arial"/>
          <w:sz w:val="22"/>
          <w:szCs w:val="22"/>
          <w:lang w:val="en-US"/>
        </w:rPr>
        <w:t xml:space="preserve"> to identify recurring themes associated with mental health service </w:t>
      </w:r>
      <w:r w:rsidR="006C767E" w:rsidRPr="00F37855">
        <w:rPr>
          <w:rFonts w:ascii="Arial" w:eastAsia="Arial" w:hAnsi="Arial" w:cs="Arial"/>
          <w:sz w:val="22"/>
          <w:szCs w:val="22"/>
          <w:lang w:val="en-US"/>
        </w:rPr>
        <w:t>use</w:t>
      </w:r>
      <w:r w:rsidRPr="00F37855">
        <w:rPr>
          <w:rFonts w:ascii="Arial" w:eastAsia="Arial" w:hAnsi="Arial" w:cs="Arial"/>
          <w:sz w:val="22"/>
          <w:szCs w:val="22"/>
          <w:lang w:val="en-US"/>
        </w:rPr>
        <w:t xml:space="preserve"> among African individuals in the UK. This method enabled the synthesis of existing knowledge and provided a deeper understanding of individual and structural challenges </w:t>
      </w:r>
      <w:r w:rsidR="006C767E" w:rsidRPr="00F37855">
        <w:rPr>
          <w:rFonts w:ascii="Arial" w:eastAsia="Arial" w:hAnsi="Arial" w:cs="Arial"/>
          <w:sz w:val="22"/>
          <w:szCs w:val="22"/>
          <w:lang w:val="en-US"/>
        </w:rPr>
        <w:t>met</w:t>
      </w:r>
      <w:r w:rsidRPr="00F37855">
        <w:rPr>
          <w:rFonts w:ascii="Arial" w:eastAsia="Arial" w:hAnsi="Arial" w:cs="Arial"/>
          <w:sz w:val="22"/>
          <w:szCs w:val="22"/>
          <w:lang w:val="en-US"/>
        </w:rPr>
        <w:t xml:space="preserve"> by this </w:t>
      </w:r>
      <w:r w:rsidR="5CE7A316" w:rsidRPr="00F37855">
        <w:rPr>
          <w:rFonts w:ascii="Arial" w:eastAsia="Arial" w:hAnsi="Arial" w:cs="Arial"/>
          <w:sz w:val="22"/>
          <w:szCs w:val="22"/>
          <w:lang w:val="en-US"/>
        </w:rPr>
        <w:t>population. The</w:t>
      </w:r>
      <w:r w:rsidRPr="00F37855">
        <w:rPr>
          <w:rFonts w:ascii="Arial" w:eastAsia="Arial" w:hAnsi="Arial" w:cs="Arial"/>
          <w:sz w:val="22"/>
          <w:szCs w:val="22"/>
          <w:lang w:val="en-US"/>
        </w:rPr>
        <w:t xml:space="preserve"> thematic analysis revealed several prominent barriers </w:t>
      </w:r>
      <w:r w:rsidR="006C767E" w:rsidRPr="00F37855">
        <w:rPr>
          <w:rFonts w:ascii="Arial" w:eastAsia="Arial" w:hAnsi="Arial" w:cs="Arial"/>
          <w:sz w:val="22"/>
          <w:szCs w:val="22"/>
          <w:lang w:val="en-US"/>
        </w:rPr>
        <w:t>affecting</w:t>
      </w:r>
      <w:r w:rsidRPr="00F37855">
        <w:rPr>
          <w:rFonts w:ascii="Arial" w:eastAsia="Arial" w:hAnsi="Arial" w:cs="Arial"/>
          <w:sz w:val="22"/>
          <w:szCs w:val="22"/>
          <w:lang w:val="en-US"/>
        </w:rPr>
        <w:t xml:space="preserve"> access, including stigma and cultural </w:t>
      </w:r>
      <w:r w:rsidR="006C767E" w:rsidRPr="00F37855">
        <w:rPr>
          <w:rFonts w:ascii="Arial" w:eastAsia="Arial" w:hAnsi="Arial" w:cs="Arial"/>
          <w:sz w:val="22"/>
          <w:szCs w:val="22"/>
          <w:lang w:val="en-US"/>
        </w:rPr>
        <w:t>beliefs</w:t>
      </w:r>
      <w:r w:rsidRPr="00F37855">
        <w:rPr>
          <w:rFonts w:ascii="Arial" w:eastAsia="Arial" w:hAnsi="Arial" w:cs="Arial"/>
          <w:sz w:val="22"/>
          <w:szCs w:val="22"/>
          <w:lang w:val="en-US"/>
        </w:rPr>
        <w:t xml:space="preserve"> of mental illness, distrust in statutory services, a lack of culturally competent practitioners, language and communication difficulties, socio-economic disadvantage, and limited awareness of available services. These factors interacted to create feelings of exclusion, reluctance to engage with services, and delayed treatment. The research concluded that the intersection of cultural beliefs, systemic discrimination, and inadequate service adaptation perpetuates significant inequalities in mental health access for African </w:t>
      </w:r>
      <w:r w:rsidR="2765C7E2" w:rsidRPr="00F37855">
        <w:rPr>
          <w:rFonts w:ascii="Arial" w:eastAsia="Arial" w:hAnsi="Arial" w:cs="Arial"/>
          <w:sz w:val="22"/>
          <w:szCs w:val="22"/>
          <w:lang w:val="en-US"/>
        </w:rPr>
        <w:t>communities. Identified</w:t>
      </w:r>
      <w:r w:rsidRPr="00F37855">
        <w:rPr>
          <w:rFonts w:ascii="Arial" w:eastAsia="Arial" w:hAnsi="Arial" w:cs="Arial"/>
          <w:sz w:val="22"/>
          <w:szCs w:val="22"/>
          <w:lang w:val="en-US"/>
        </w:rPr>
        <w:t xml:space="preserve"> limitations included restricted availability of UK-specific studies on African subgroups, potential publication bias, and the challenge of </w:t>
      </w:r>
      <w:r w:rsidR="2479C943" w:rsidRPr="00F37855">
        <w:rPr>
          <w:rFonts w:ascii="Arial" w:eastAsia="Arial" w:hAnsi="Arial" w:cs="Arial"/>
          <w:sz w:val="22"/>
          <w:szCs w:val="22"/>
          <w:lang w:val="en-US"/>
        </w:rPr>
        <w:t>generalizing</w:t>
      </w:r>
      <w:r w:rsidRPr="00F37855">
        <w:rPr>
          <w:rFonts w:ascii="Arial" w:eastAsia="Arial" w:hAnsi="Arial" w:cs="Arial"/>
          <w:sz w:val="22"/>
          <w:szCs w:val="22"/>
          <w:lang w:val="en-US"/>
        </w:rPr>
        <w:t xml:space="preserve"> findings across a culturally diverse community. These limitations underscore the need for more targeted research and highlight implications for </w:t>
      </w:r>
      <w:r w:rsidR="49FCF54D" w:rsidRPr="00F37855">
        <w:rPr>
          <w:rFonts w:ascii="Arial" w:eastAsia="Arial" w:hAnsi="Arial" w:cs="Arial"/>
          <w:sz w:val="22"/>
          <w:szCs w:val="22"/>
          <w:lang w:val="en-US"/>
        </w:rPr>
        <w:t>practice. Recommendations</w:t>
      </w:r>
      <w:r w:rsidRPr="00F37855">
        <w:rPr>
          <w:rFonts w:ascii="Arial" w:eastAsia="Arial" w:hAnsi="Arial" w:cs="Arial"/>
          <w:sz w:val="22"/>
          <w:szCs w:val="22"/>
          <w:lang w:val="en-US"/>
        </w:rPr>
        <w:t xml:space="preserve"> include improving cultural competence through professional education and training, developing targeted outreach and mental health awareness </w:t>
      </w:r>
      <w:r w:rsidR="65841AA5" w:rsidRPr="00F37855">
        <w:rPr>
          <w:rFonts w:ascii="Arial" w:eastAsia="Arial" w:hAnsi="Arial" w:cs="Arial"/>
          <w:sz w:val="22"/>
          <w:szCs w:val="22"/>
          <w:lang w:val="en-US"/>
        </w:rPr>
        <w:t>programmer</w:t>
      </w:r>
      <w:r w:rsidRPr="00F37855">
        <w:rPr>
          <w:rFonts w:ascii="Arial" w:eastAsia="Arial" w:hAnsi="Arial" w:cs="Arial"/>
          <w:sz w:val="22"/>
          <w:szCs w:val="22"/>
          <w:lang w:val="en-US"/>
        </w:rPr>
        <w:t xml:space="preserve">, strengthening community partnerships, increasing representation of African professionals within services, and informing policy to reduce structural inequalities. These strategies are essential to enhancing </w:t>
      </w:r>
      <w:r w:rsidR="00103C2A" w:rsidRPr="00F37855">
        <w:rPr>
          <w:rFonts w:ascii="Arial" w:eastAsia="Arial" w:hAnsi="Arial" w:cs="Arial"/>
          <w:sz w:val="22"/>
          <w:szCs w:val="22"/>
          <w:lang w:val="en-US"/>
        </w:rPr>
        <w:t>fair</w:t>
      </w:r>
      <w:r w:rsidRPr="00F37855">
        <w:rPr>
          <w:rFonts w:ascii="Arial" w:eastAsia="Arial" w:hAnsi="Arial" w:cs="Arial"/>
          <w:sz w:val="22"/>
          <w:szCs w:val="22"/>
          <w:lang w:val="en-US"/>
        </w:rPr>
        <w:t xml:space="preserve"> mental health access, </w:t>
      </w:r>
      <w:r w:rsidR="00103C2A" w:rsidRPr="00F37855">
        <w:rPr>
          <w:rFonts w:ascii="Arial" w:eastAsia="Arial" w:hAnsi="Arial" w:cs="Arial"/>
          <w:sz w:val="22"/>
          <w:szCs w:val="22"/>
          <w:lang w:val="en-US"/>
        </w:rPr>
        <w:t>engagement,</w:t>
      </w:r>
      <w:r w:rsidRPr="00F37855">
        <w:rPr>
          <w:rFonts w:ascii="Arial" w:eastAsia="Arial" w:hAnsi="Arial" w:cs="Arial"/>
          <w:sz w:val="22"/>
          <w:szCs w:val="22"/>
          <w:lang w:val="en-US"/>
        </w:rPr>
        <w:t xml:space="preserve"> and outcomes for African communities in the UK.</w:t>
      </w:r>
    </w:p>
    <w:p w14:paraId="5DFF57F6" w14:textId="341734A1" w:rsidR="00F37855" w:rsidRDefault="00F37855" w:rsidP="00F37855">
      <w:pPr>
        <w:spacing w:before="240" w:after="240" w:line="360" w:lineRule="auto"/>
        <w:rPr>
          <w:rFonts w:ascii="Arial" w:eastAsia="Arial" w:hAnsi="Arial" w:cs="Arial"/>
          <w:sz w:val="22"/>
          <w:szCs w:val="22"/>
          <w:lang w:val="en-US"/>
        </w:rPr>
      </w:pPr>
    </w:p>
    <w:p w14:paraId="43CBCA0D" w14:textId="3267921D" w:rsidR="65B08F1D" w:rsidRDefault="65B08F1D" w:rsidP="65B08F1D">
      <w:pPr>
        <w:jc w:val="both"/>
      </w:pPr>
    </w:p>
    <w:p w14:paraId="2E58E7F8" w14:textId="151F9999" w:rsidR="65B08F1D" w:rsidRDefault="65B08F1D" w:rsidP="65B08F1D">
      <w:pPr>
        <w:spacing w:line="360" w:lineRule="auto"/>
        <w:jc w:val="both"/>
        <w:rPr>
          <w:color w:val="000000" w:themeColor="text1"/>
          <w:lang w:val="en-US"/>
        </w:rPr>
      </w:pPr>
    </w:p>
    <w:p w14:paraId="65AA103F" w14:textId="56ACA0E1" w:rsidR="04A978F3" w:rsidRDefault="6E92108F" w:rsidP="65B08F1D">
      <w:pPr>
        <w:spacing w:line="360" w:lineRule="auto"/>
        <w:ind w:right="194"/>
        <w:jc w:val="both"/>
        <w:rPr>
          <w:rFonts w:ascii="Times New Roman" w:eastAsia="Times New Roman" w:hAnsi="Times New Roman" w:cs="Times New Roman"/>
          <w:color w:val="000000" w:themeColor="text1"/>
          <w:lang w:val="en-US"/>
        </w:rPr>
      </w:pPr>
      <w:r w:rsidRPr="65B08F1D">
        <w:rPr>
          <w:rFonts w:ascii="Times New Roman" w:eastAsia="Times New Roman" w:hAnsi="Times New Roman" w:cs="Times New Roman"/>
          <w:color w:val="000000" w:themeColor="text1"/>
          <w:lang w:val="en-US"/>
        </w:rPr>
        <w:t xml:space="preserve"> </w:t>
      </w:r>
    </w:p>
    <w:sdt>
      <w:sdtPr>
        <w:id w:val="836501322"/>
        <w:docPartObj>
          <w:docPartGallery w:val="Table of Contents"/>
          <w:docPartUnique/>
        </w:docPartObj>
      </w:sdtPr>
      <w:sdtContent>
        <w:p w14:paraId="6A928723" w14:textId="399F408C" w:rsidR="56487953" w:rsidRDefault="12E62483" w:rsidP="65B08F1D">
          <w:pPr>
            <w:pStyle w:val="TOC1"/>
            <w:tabs>
              <w:tab w:val="right" w:leader="dot" w:pos="9015"/>
            </w:tabs>
            <w:rPr>
              <w:rStyle w:val="Hyperlink"/>
            </w:rPr>
          </w:pPr>
          <w:r>
            <w:fldChar w:fldCharType="begin"/>
          </w:r>
          <w:r w:rsidR="65B08F1D">
            <w:instrText>TOC \o "1-9" \z \u \h</w:instrText>
          </w:r>
          <w:r>
            <w:fldChar w:fldCharType="separate"/>
          </w:r>
          <w:hyperlink w:anchor="_Toc1445001934">
            <w:r w:rsidRPr="12E62483">
              <w:rPr>
                <w:rStyle w:val="Hyperlink"/>
              </w:rPr>
              <w:t>CHAPTER 1 INTRODUCTION</w:t>
            </w:r>
            <w:r w:rsidR="65B08F1D">
              <w:tab/>
            </w:r>
            <w:r w:rsidR="65B08F1D">
              <w:fldChar w:fldCharType="begin"/>
            </w:r>
            <w:r w:rsidR="65B08F1D">
              <w:instrText>PAGEREF _Toc1445001934 \h</w:instrText>
            </w:r>
            <w:r w:rsidR="65B08F1D">
              <w:fldChar w:fldCharType="separate"/>
            </w:r>
            <w:r w:rsidRPr="12E62483">
              <w:rPr>
                <w:rStyle w:val="Hyperlink"/>
              </w:rPr>
              <w:t>5</w:t>
            </w:r>
            <w:r w:rsidR="65B08F1D">
              <w:fldChar w:fldCharType="end"/>
            </w:r>
          </w:hyperlink>
        </w:p>
        <w:p w14:paraId="3918DEFD" w14:textId="2763706F" w:rsidR="56487953" w:rsidRDefault="12E62483" w:rsidP="65B08F1D">
          <w:pPr>
            <w:pStyle w:val="TOC2"/>
            <w:tabs>
              <w:tab w:val="right" w:leader="dot" w:pos="9015"/>
            </w:tabs>
            <w:rPr>
              <w:rStyle w:val="Hyperlink"/>
            </w:rPr>
          </w:pPr>
          <w:hyperlink w:anchor="_Toc1372023877">
            <w:r w:rsidRPr="12E62483">
              <w:rPr>
                <w:rStyle w:val="Hyperlink"/>
              </w:rPr>
              <w:t>1.1 Introduction</w:t>
            </w:r>
            <w:r w:rsidR="65B08F1D">
              <w:tab/>
            </w:r>
            <w:r w:rsidR="65B08F1D">
              <w:fldChar w:fldCharType="begin"/>
            </w:r>
            <w:r w:rsidR="65B08F1D">
              <w:instrText>PAGEREF _Toc1372023877 \h</w:instrText>
            </w:r>
            <w:r w:rsidR="65B08F1D">
              <w:fldChar w:fldCharType="separate"/>
            </w:r>
            <w:r w:rsidRPr="12E62483">
              <w:rPr>
                <w:rStyle w:val="Hyperlink"/>
              </w:rPr>
              <w:t>5</w:t>
            </w:r>
            <w:r w:rsidR="65B08F1D">
              <w:fldChar w:fldCharType="end"/>
            </w:r>
          </w:hyperlink>
        </w:p>
        <w:p w14:paraId="474C03C3" w14:textId="0D91E857" w:rsidR="65E6C658" w:rsidRDefault="12E62483" w:rsidP="65B08F1D">
          <w:pPr>
            <w:pStyle w:val="TOC2"/>
            <w:tabs>
              <w:tab w:val="right" w:leader="dot" w:pos="9015"/>
            </w:tabs>
            <w:rPr>
              <w:rStyle w:val="Hyperlink"/>
            </w:rPr>
          </w:pPr>
          <w:hyperlink w:anchor="_Toc1721589783">
            <w:r w:rsidRPr="12E62483">
              <w:rPr>
                <w:rStyle w:val="Hyperlink"/>
              </w:rPr>
              <w:t>1.2 Defining Key Concepts</w:t>
            </w:r>
            <w:r w:rsidR="65B08F1D">
              <w:tab/>
            </w:r>
            <w:r w:rsidR="65B08F1D">
              <w:fldChar w:fldCharType="begin"/>
            </w:r>
            <w:r w:rsidR="65B08F1D">
              <w:instrText>PAGEREF _Toc1721589783 \h</w:instrText>
            </w:r>
            <w:r w:rsidR="65B08F1D">
              <w:fldChar w:fldCharType="separate"/>
            </w:r>
            <w:r w:rsidRPr="12E62483">
              <w:rPr>
                <w:rStyle w:val="Hyperlink"/>
              </w:rPr>
              <w:t>6</w:t>
            </w:r>
            <w:r w:rsidR="65B08F1D">
              <w:fldChar w:fldCharType="end"/>
            </w:r>
          </w:hyperlink>
        </w:p>
        <w:p w14:paraId="15BA7FEE" w14:textId="38174AAB" w:rsidR="65E6C658" w:rsidRDefault="12E62483" w:rsidP="65B08F1D">
          <w:pPr>
            <w:pStyle w:val="TOC2"/>
            <w:tabs>
              <w:tab w:val="right" w:leader="dot" w:pos="9015"/>
            </w:tabs>
            <w:rPr>
              <w:rStyle w:val="Hyperlink"/>
            </w:rPr>
          </w:pPr>
          <w:hyperlink w:anchor="_Toc1104833250">
            <w:r w:rsidRPr="12E62483">
              <w:rPr>
                <w:rStyle w:val="Hyperlink"/>
              </w:rPr>
              <w:t>1.3 Rationale for Research</w:t>
            </w:r>
            <w:r w:rsidR="65B08F1D">
              <w:tab/>
            </w:r>
            <w:r w:rsidR="65B08F1D">
              <w:fldChar w:fldCharType="begin"/>
            </w:r>
            <w:r w:rsidR="65B08F1D">
              <w:instrText>PAGEREF _Toc1104833250 \h</w:instrText>
            </w:r>
            <w:r w:rsidR="65B08F1D">
              <w:fldChar w:fldCharType="separate"/>
            </w:r>
            <w:r w:rsidRPr="12E62483">
              <w:rPr>
                <w:rStyle w:val="Hyperlink"/>
              </w:rPr>
              <w:t>6</w:t>
            </w:r>
            <w:r w:rsidR="65B08F1D">
              <w:fldChar w:fldCharType="end"/>
            </w:r>
          </w:hyperlink>
        </w:p>
        <w:p w14:paraId="75E458D7" w14:textId="5C630D68" w:rsidR="65E6C658" w:rsidRDefault="12E62483" w:rsidP="65B08F1D">
          <w:pPr>
            <w:pStyle w:val="TOC3"/>
            <w:tabs>
              <w:tab w:val="right" w:leader="dot" w:pos="9015"/>
            </w:tabs>
            <w:rPr>
              <w:rStyle w:val="Hyperlink"/>
            </w:rPr>
          </w:pPr>
          <w:hyperlink w:anchor="_Toc1042361480">
            <w:r w:rsidRPr="12E62483">
              <w:rPr>
                <w:rStyle w:val="Hyperlink"/>
              </w:rPr>
              <w:t>Research Aim</w:t>
            </w:r>
            <w:r w:rsidR="65B08F1D">
              <w:tab/>
            </w:r>
            <w:r w:rsidR="65B08F1D">
              <w:fldChar w:fldCharType="begin"/>
            </w:r>
            <w:r w:rsidR="65B08F1D">
              <w:instrText>PAGEREF _Toc1042361480 \h</w:instrText>
            </w:r>
            <w:r w:rsidR="65B08F1D">
              <w:fldChar w:fldCharType="separate"/>
            </w:r>
            <w:r w:rsidRPr="12E62483">
              <w:rPr>
                <w:rStyle w:val="Hyperlink"/>
              </w:rPr>
              <w:t>8</w:t>
            </w:r>
            <w:r w:rsidR="65B08F1D">
              <w:fldChar w:fldCharType="end"/>
            </w:r>
          </w:hyperlink>
        </w:p>
        <w:p w14:paraId="1DF6E56C" w14:textId="4695696B" w:rsidR="65E6C658" w:rsidRDefault="12E62483" w:rsidP="65B08F1D">
          <w:pPr>
            <w:pStyle w:val="TOC3"/>
            <w:tabs>
              <w:tab w:val="right" w:leader="dot" w:pos="9015"/>
            </w:tabs>
            <w:rPr>
              <w:rStyle w:val="Hyperlink"/>
            </w:rPr>
          </w:pPr>
          <w:hyperlink w:anchor="_Toc2130155477">
            <w:r w:rsidRPr="12E62483">
              <w:rPr>
                <w:rStyle w:val="Hyperlink"/>
              </w:rPr>
              <w:t>Objectives</w:t>
            </w:r>
            <w:r w:rsidR="65B08F1D">
              <w:tab/>
            </w:r>
            <w:r w:rsidR="65B08F1D">
              <w:fldChar w:fldCharType="begin"/>
            </w:r>
            <w:r w:rsidR="65B08F1D">
              <w:instrText>PAGEREF _Toc2130155477 \h</w:instrText>
            </w:r>
            <w:r w:rsidR="65B08F1D">
              <w:fldChar w:fldCharType="separate"/>
            </w:r>
            <w:r w:rsidRPr="12E62483">
              <w:rPr>
                <w:rStyle w:val="Hyperlink"/>
              </w:rPr>
              <w:t>8</w:t>
            </w:r>
            <w:r w:rsidR="65B08F1D">
              <w:fldChar w:fldCharType="end"/>
            </w:r>
          </w:hyperlink>
        </w:p>
        <w:p w14:paraId="6A727940" w14:textId="1704B931" w:rsidR="65E6C658" w:rsidRDefault="12E62483" w:rsidP="65B08F1D">
          <w:pPr>
            <w:pStyle w:val="TOC2"/>
            <w:tabs>
              <w:tab w:val="right" w:leader="dot" w:pos="9015"/>
            </w:tabs>
            <w:rPr>
              <w:rStyle w:val="Hyperlink"/>
            </w:rPr>
          </w:pPr>
          <w:hyperlink w:anchor="_Toc405132207">
            <w:r w:rsidRPr="12E62483">
              <w:rPr>
                <w:rStyle w:val="Hyperlink"/>
              </w:rPr>
              <w:t>1.5 Conclusion</w:t>
            </w:r>
            <w:r w:rsidR="65B08F1D">
              <w:tab/>
            </w:r>
            <w:r w:rsidR="65B08F1D">
              <w:fldChar w:fldCharType="begin"/>
            </w:r>
            <w:r w:rsidR="65B08F1D">
              <w:instrText>PAGEREF _Toc405132207 \h</w:instrText>
            </w:r>
            <w:r w:rsidR="65B08F1D">
              <w:fldChar w:fldCharType="separate"/>
            </w:r>
            <w:r w:rsidRPr="12E62483">
              <w:rPr>
                <w:rStyle w:val="Hyperlink"/>
              </w:rPr>
              <w:t>9</w:t>
            </w:r>
            <w:r w:rsidR="65B08F1D">
              <w:fldChar w:fldCharType="end"/>
            </w:r>
          </w:hyperlink>
        </w:p>
        <w:p w14:paraId="3917478A" w14:textId="0B8D2BE3" w:rsidR="65E6C658" w:rsidRDefault="12E62483" w:rsidP="65B08F1D">
          <w:pPr>
            <w:pStyle w:val="TOC2"/>
            <w:tabs>
              <w:tab w:val="right" w:leader="dot" w:pos="9015"/>
            </w:tabs>
            <w:rPr>
              <w:rStyle w:val="Hyperlink"/>
            </w:rPr>
          </w:pPr>
          <w:hyperlink w:anchor="_Toc895321879">
            <w:r w:rsidRPr="12E62483">
              <w:rPr>
                <w:rStyle w:val="Hyperlink"/>
              </w:rPr>
              <w:t>2.1 Introduction</w:t>
            </w:r>
            <w:r w:rsidR="65B08F1D">
              <w:tab/>
            </w:r>
            <w:r w:rsidR="65B08F1D">
              <w:fldChar w:fldCharType="begin"/>
            </w:r>
            <w:r w:rsidR="65B08F1D">
              <w:instrText>PAGEREF _Toc895321879 \h</w:instrText>
            </w:r>
            <w:r w:rsidR="65B08F1D">
              <w:fldChar w:fldCharType="separate"/>
            </w:r>
            <w:r w:rsidRPr="12E62483">
              <w:rPr>
                <w:rStyle w:val="Hyperlink"/>
              </w:rPr>
              <w:t>9</w:t>
            </w:r>
            <w:r w:rsidR="65B08F1D">
              <w:fldChar w:fldCharType="end"/>
            </w:r>
          </w:hyperlink>
        </w:p>
        <w:p w14:paraId="1C7509BA" w14:textId="49532C03" w:rsidR="65E6C658" w:rsidRDefault="12E62483" w:rsidP="65B08F1D">
          <w:pPr>
            <w:pStyle w:val="TOC2"/>
            <w:tabs>
              <w:tab w:val="right" w:leader="dot" w:pos="9015"/>
            </w:tabs>
            <w:rPr>
              <w:rStyle w:val="Hyperlink"/>
            </w:rPr>
          </w:pPr>
          <w:hyperlink w:anchor="_Toc2002123656">
            <w:r w:rsidRPr="12E62483">
              <w:rPr>
                <w:rStyle w:val="Hyperlink"/>
              </w:rPr>
              <w:t>2.2 Historical Background</w:t>
            </w:r>
            <w:r w:rsidR="65B08F1D">
              <w:tab/>
            </w:r>
            <w:r w:rsidR="65B08F1D">
              <w:fldChar w:fldCharType="begin"/>
            </w:r>
            <w:r w:rsidR="65B08F1D">
              <w:instrText>PAGEREF _Toc2002123656 \h</w:instrText>
            </w:r>
            <w:r w:rsidR="65B08F1D">
              <w:fldChar w:fldCharType="separate"/>
            </w:r>
            <w:r w:rsidRPr="12E62483">
              <w:rPr>
                <w:rStyle w:val="Hyperlink"/>
              </w:rPr>
              <w:t>10</w:t>
            </w:r>
            <w:r w:rsidR="65B08F1D">
              <w:fldChar w:fldCharType="end"/>
            </w:r>
          </w:hyperlink>
        </w:p>
        <w:p w14:paraId="72353686" w14:textId="5B256A76" w:rsidR="65E6C658" w:rsidRDefault="12E62483" w:rsidP="65B08F1D">
          <w:pPr>
            <w:pStyle w:val="TOC2"/>
            <w:tabs>
              <w:tab w:val="right" w:leader="dot" w:pos="9015"/>
            </w:tabs>
            <w:rPr>
              <w:rStyle w:val="Hyperlink"/>
            </w:rPr>
          </w:pPr>
          <w:hyperlink w:anchor="_Toc984730689">
            <w:r w:rsidRPr="12E62483">
              <w:rPr>
                <w:rStyle w:val="Hyperlink"/>
              </w:rPr>
              <w:t>2.3 Theoretical Background</w:t>
            </w:r>
            <w:r w:rsidR="65B08F1D">
              <w:tab/>
            </w:r>
            <w:r w:rsidR="65B08F1D">
              <w:fldChar w:fldCharType="begin"/>
            </w:r>
            <w:r w:rsidR="65B08F1D">
              <w:instrText>PAGEREF _Toc984730689 \h</w:instrText>
            </w:r>
            <w:r w:rsidR="65B08F1D">
              <w:fldChar w:fldCharType="separate"/>
            </w:r>
            <w:r w:rsidRPr="12E62483">
              <w:rPr>
                <w:rStyle w:val="Hyperlink"/>
              </w:rPr>
              <w:t>11</w:t>
            </w:r>
            <w:r w:rsidR="65B08F1D">
              <w:fldChar w:fldCharType="end"/>
            </w:r>
          </w:hyperlink>
        </w:p>
        <w:p w14:paraId="10CFA4F4" w14:textId="3AE57170" w:rsidR="65E6C658" w:rsidRDefault="12E62483" w:rsidP="65B08F1D">
          <w:pPr>
            <w:pStyle w:val="TOC2"/>
            <w:tabs>
              <w:tab w:val="right" w:leader="dot" w:pos="9015"/>
            </w:tabs>
            <w:rPr>
              <w:rStyle w:val="Hyperlink"/>
            </w:rPr>
          </w:pPr>
          <w:hyperlink w:anchor="_Toc1905500009">
            <w:r w:rsidRPr="12E62483">
              <w:rPr>
                <w:rStyle w:val="Hyperlink"/>
              </w:rPr>
              <w:t>2.4 International Context</w:t>
            </w:r>
            <w:r w:rsidR="65B08F1D">
              <w:tab/>
            </w:r>
            <w:r w:rsidR="65B08F1D">
              <w:fldChar w:fldCharType="begin"/>
            </w:r>
            <w:r w:rsidR="65B08F1D">
              <w:instrText>PAGEREF _Toc1905500009 \h</w:instrText>
            </w:r>
            <w:r w:rsidR="65B08F1D">
              <w:fldChar w:fldCharType="separate"/>
            </w:r>
            <w:r w:rsidRPr="12E62483">
              <w:rPr>
                <w:rStyle w:val="Hyperlink"/>
              </w:rPr>
              <w:t>12</w:t>
            </w:r>
            <w:r w:rsidR="65B08F1D">
              <w:fldChar w:fldCharType="end"/>
            </w:r>
          </w:hyperlink>
        </w:p>
        <w:p w14:paraId="24E4F320" w14:textId="2F82D975" w:rsidR="65E6C658" w:rsidRDefault="12E62483" w:rsidP="65B08F1D">
          <w:pPr>
            <w:pStyle w:val="TOC2"/>
            <w:tabs>
              <w:tab w:val="right" w:leader="dot" w:pos="9015"/>
            </w:tabs>
            <w:rPr>
              <w:rStyle w:val="Hyperlink"/>
            </w:rPr>
          </w:pPr>
          <w:hyperlink w:anchor="_Toc154309711">
            <w:r w:rsidRPr="12E62483">
              <w:rPr>
                <w:rStyle w:val="Hyperlink"/>
              </w:rPr>
              <w:t>2.5 National and Local UK Context</w:t>
            </w:r>
            <w:r w:rsidR="65B08F1D">
              <w:tab/>
            </w:r>
            <w:r w:rsidR="65B08F1D">
              <w:fldChar w:fldCharType="begin"/>
            </w:r>
            <w:r w:rsidR="65B08F1D">
              <w:instrText>PAGEREF _Toc154309711 \h</w:instrText>
            </w:r>
            <w:r w:rsidR="65B08F1D">
              <w:fldChar w:fldCharType="separate"/>
            </w:r>
            <w:r w:rsidRPr="12E62483">
              <w:rPr>
                <w:rStyle w:val="Hyperlink"/>
              </w:rPr>
              <w:t>13</w:t>
            </w:r>
            <w:r w:rsidR="65B08F1D">
              <w:fldChar w:fldCharType="end"/>
            </w:r>
          </w:hyperlink>
        </w:p>
        <w:p w14:paraId="795C5995" w14:textId="58561A61" w:rsidR="65E6C658" w:rsidRDefault="12E62483" w:rsidP="65B08F1D">
          <w:pPr>
            <w:pStyle w:val="TOC2"/>
            <w:tabs>
              <w:tab w:val="right" w:leader="dot" w:pos="9015"/>
            </w:tabs>
            <w:rPr>
              <w:rStyle w:val="Hyperlink"/>
            </w:rPr>
          </w:pPr>
          <w:hyperlink w:anchor="_Toc612972203">
            <w:r w:rsidRPr="12E62483">
              <w:rPr>
                <w:rStyle w:val="Hyperlink"/>
              </w:rPr>
              <w:t>2.6 Conclusion</w:t>
            </w:r>
            <w:r w:rsidR="65B08F1D">
              <w:tab/>
            </w:r>
            <w:r w:rsidR="65B08F1D">
              <w:fldChar w:fldCharType="begin"/>
            </w:r>
            <w:r w:rsidR="65B08F1D">
              <w:instrText>PAGEREF _Toc612972203 \h</w:instrText>
            </w:r>
            <w:r w:rsidR="65B08F1D">
              <w:fldChar w:fldCharType="separate"/>
            </w:r>
            <w:r w:rsidRPr="12E62483">
              <w:rPr>
                <w:rStyle w:val="Hyperlink"/>
              </w:rPr>
              <w:t>13</w:t>
            </w:r>
            <w:r w:rsidR="65B08F1D">
              <w:fldChar w:fldCharType="end"/>
            </w:r>
          </w:hyperlink>
        </w:p>
        <w:p w14:paraId="5D71C368" w14:textId="025660BE" w:rsidR="65E6C658" w:rsidRDefault="12E62483" w:rsidP="65B08F1D">
          <w:pPr>
            <w:pStyle w:val="TOC1"/>
            <w:tabs>
              <w:tab w:val="right" w:leader="dot" w:pos="9015"/>
            </w:tabs>
            <w:rPr>
              <w:rStyle w:val="Hyperlink"/>
            </w:rPr>
          </w:pPr>
          <w:hyperlink w:anchor="_Toc1441290676">
            <w:r w:rsidRPr="12E62483">
              <w:rPr>
                <w:rStyle w:val="Hyperlink"/>
              </w:rPr>
              <w:t>CHAPTER 3 – Methods and Search Strategy</w:t>
            </w:r>
            <w:r w:rsidR="65B08F1D">
              <w:tab/>
            </w:r>
            <w:r w:rsidR="65B08F1D">
              <w:fldChar w:fldCharType="begin"/>
            </w:r>
            <w:r w:rsidR="65B08F1D">
              <w:instrText>PAGEREF _Toc1441290676 \h</w:instrText>
            </w:r>
            <w:r w:rsidR="65B08F1D">
              <w:fldChar w:fldCharType="separate"/>
            </w:r>
            <w:r w:rsidRPr="12E62483">
              <w:rPr>
                <w:rStyle w:val="Hyperlink"/>
              </w:rPr>
              <w:t>14</w:t>
            </w:r>
            <w:r w:rsidR="65B08F1D">
              <w:fldChar w:fldCharType="end"/>
            </w:r>
          </w:hyperlink>
        </w:p>
        <w:p w14:paraId="78D2115D" w14:textId="0FDB42E2" w:rsidR="65E6C658" w:rsidRDefault="12E62483" w:rsidP="65B08F1D">
          <w:pPr>
            <w:pStyle w:val="TOC2"/>
            <w:tabs>
              <w:tab w:val="right" w:leader="dot" w:pos="9015"/>
            </w:tabs>
            <w:rPr>
              <w:rStyle w:val="Hyperlink"/>
            </w:rPr>
          </w:pPr>
          <w:hyperlink w:anchor="_Toc932641723">
            <w:r w:rsidRPr="12E62483">
              <w:rPr>
                <w:rStyle w:val="Hyperlink"/>
              </w:rPr>
              <w:t>3.1 Introduction</w:t>
            </w:r>
            <w:r w:rsidR="65B08F1D">
              <w:tab/>
            </w:r>
            <w:r w:rsidR="65B08F1D">
              <w:fldChar w:fldCharType="begin"/>
            </w:r>
            <w:r w:rsidR="65B08F1D">
              <w:instrText>PAGEREF _Toc932641723 \h</w:instrText>
            </w:r>
            <w:r w:rsidR="65B08F1D">
              <w:fldChar w:fldCharType="separate"/>
            </w:r>
            <w:r w:rsidRPr="12E62483">
              <w:rPr>
                <w:rStyle w:val="Hyperlink"/>
              </w:rPr>
              <w:t>14</w:t>
            </w:r>
            <w:r w:rsidR="65B08F1D">
              <w:fldChar w:fldCharType="end"/>
            </w:r>
          </w:hyperlink>
        </w:p>
        <w:p w14:paraId="5CDAE0C6" w14:textId="72D34ECA" w:rsidR="65E6C658" w:rsidRDefault="12E62483" w:rsidP="65B08F1D">
          <w:pPr>
            <w:pStyle w:val="TOC3"/>
            <w:tabs>
              <w:tab w:val="right" w:leader="dot" w:pos="9015"/>
            </w:tabs>
            <w:rPr>
              <w:rStyle w:val="Hyperlink"/>
            </w:rPr>
          </w:pPr>
          <w:hyperlink w:anchor="_Toc676779668">
            <w:r w:rsidRPr="12E62483">
              <w:rPr>
                <w:rStyle w:val="Hyperlink"/>
              </w:rPr>
              <w:t>Developing Keywords</w:t>
            </w:r>
            <w:r w:rsidR="65B08F1D">
              <w:tab/>
            </w:r>
            <w:r w:rsidR="65B08F1D">
              <w:fldChar w:fldCharType="begin"/>
            </w:r>
            <w:r w:rsidR="65B08F1D">
              <w:instrText>PAGEREF _Toc676779668 \h</w:instrText>
            </w:r>
            <w:r w:rsidR="65B08F1D">
              <w:fldChar w:fldCharType="separate"/>
            </w:r>
            <w:r w:rsidRPr="12E62483">
              <w:rPr>
                <w:rStyle w:val="Hyperlink"/>
              </w:rPr>
              <w:t>15</w:t>
            </w:r>
            <w:r w:rsidR="65B08F1D">
              <w:fldChar w:fldCharType="end"/>
            </w:r>
          </w:hyperlink>
        </w:p>
        <w:p w14:paraId="6E863805" w14:textId="63816A7E" w:rsidR="65E6C658" w:rsidRDefault="12E62483" w:rsidP="65B08F1D">
          <w:pPr>
            <w:pStyle w:val="TOC3"/>
            <w:tabs>
              <w:tab w:val="right" w:leader="dot" w:pos="9015"/>
            </w:tabs>
            <w:rPr>
              <w:rStyle w:val="Hyperlink"/>
            </w:rPr>
          </w:pPr>
          <w:hyperlink w:anchor="_Toc1962167140">
            <w:r w:rsidRPr="12E62483">
              <w:rPr>
                <w:rStyle w:val="Hyperlink"/>
              </w:rPr>
              <w:t>Boolean Operators</w:t>
            </w:r>
            <w:r w:rsidR="65B08F1D">
              <w:tab/>
            </w:r>
            <w:r w:rsidR="65B08F1D">
              <w:fldChar w:fldCharType="begin"/>
            </w:r>
            <w:r w:rsidR="65B08F1D">
              <w:instrText>PAGEREF _Toc1962167140 \h</w:instrText>
            </w:r>
            <w:r w:rsidR="65B08F1D">
              <w:fldChar w:fldCharType="separate"/>
            </w:r>
            <w:r w:rsidRPr="12E62483">
              <w:rPr>
                <w:rStyle w:val="Hyperlink"/>
              </w:rPr>
              <w:t>16</w:t>
            </w:r>
            <w:r w:rsidR="65B08F1D">
              <w:fldChar w:fldCharType="end"/>
            </w:r>
          </w:hyperlink>
        </w:p>
        <w:p w14:paraId="78D91203" w14:textId="5BE210B8" w:rsidR="65E6C658" w:rsidRDefault="12E62483" w:rsidP="65B08F1D">
          <w:pPr>
            <w:pStyle w:val="TOC3"/>
            <w:tabs>
              <w:tab w:val="right" w:leader="dot" w:pos="9015"/>
            </w:tabs>
            <w:rPr>
              <w:rStyle w:val="Hyperlink"/>
            </w:rPr>
          </w:pPr>
          <w:hyperlink w:anchor="_Toc1340692770">
            <w:r w:rsidRPr="12E62483">
              <w:rPr>
                <w:rStyle w:val="Hyperlink"/>
              </w:rPr>
              <w:t>Structured Search Plan</w:t>
            </w:r>
            <w:r w:rsidR="65B08F1D">
              <w:tab/>
            </w:r>
            <w:r w:rsidR="65B08F1D">
              <w:fldChar w:fldCharType="begin"/>
            </w:r>
            <w:r w:rsidR="65B08F1D">
              <w:instrText>PAGEREF _Toc1340692770 \h</w:instrText>
            </w:r>
            <w:r w:rsidR="65B08F1D">
              <w:fldChar w:fldCharType="separate"/>
            </w:r>
            <w:r w:rsidRPr="12E62483">
              <w:rPr>
                <w:rStyle w:val="Hyperlink"/>
              </w:rPr>
              <w:t>16</w:t>
            </w:r>
            <w:r w:rsidR="65B08F1D">
              <w:fldChar w:fldCharType="end"/>
            </w:r>
          </w:hyperlink>
        </w:p>
        <w:p w14:paraId="123B8322" w14:textId="2579D2B4" w:rsidR="65E6C658" w:rsidRDefault="12E62483" w:rsidP="65B08F1D">
          <w:pPr>
            <w:pStyle w:val="TOC3"/>
            <w:tabs>
              <w:tab w:val="right" w:leader="dot" w:pos="9015"/>
            </w:tabs>
            <w:rPr>
              <w:rStyle w:val="Hyperlink"/>
            </w:rPr>
          </w:pPr>
          <w:hyperlink w:anchor="_Toc555398365">
            <w:r w:rsidRPr="12E62483">
              <w:rPr>
                <w:rStyle w:val="Hyperlink"/>
              </w:rPr>
              <w:t>Databases and Platforms</w:t>
            </w:r>
            <w:r w:rsidR="65B08F1D">
              <w:tab/>
            </w:r>
            <w:r w:rsidR="65B08F1D">
              <w:fldChar w:fldCharType="begin"/>
            </w:r>
            <w:r w:rsidR="65B08F1D">
              <w:instrText>PAGEREF _Toc555398365 \h</w:instrText>
            </w:r>
            <w:r w:rsidR="65B08F1D">
              <w:fldChar w:fldCharType="separate"/>
            </w:r>
            <w:r w:rsidRPr="12E62483">
              <w:rPr>
                <w:rStyle w:val="Hyperlink"/>
              </w:rPr>
              <w:t>16</w:t>
            </w:r>
            <w:r w:rsidR="65B08F1D">
              <w:fldChar w:fldCharType="end"/>
            </w:r>
          </w:hyperlink>
        </w:p>
        <w:p w14:paraId="679AC861" w14:textId="65DD74FC" w:rsidR="65E6C658" w:rsidRDefault="12E62483" w:rsidP="65B08F1D">
          <w:pPr>
            <w:pStyle w:val="TOC3"/>
            <w:tabs>
              <w:tab w:val="right" w:leader="dot" w:pos="9015"/>
            </w:tabs>
            <w:rPr>
              <w:rStyle w:val="Hyperlink"/>
            </w:rPr>
          </w:pPr>
          <w:hyperlink w:anchor="_Toc728423497">
            <w:r w:rsidRPr="12E62483">
              <w:rPr>
                <w:rStyle w:val="Hyperlink"/>
              </w:rPr>
              <w:t>Using Filters</w:t>
            </w:r>
            <w:r w:rsidR="65B08F1D">
              <w:tab/>
            </w:r>
            <w:r w:rsidR="65B08F1D">
              <w:fldChar w:fldCharType="begin"/>
            </w:r>
            <w:r w:rsidR="65B08F1D">
              <w:instrText>PAGEREF _Toc728423497 \h</w:instrText>
            </w:r>
            <w:r w:rsidR="65B08F1D">
              <w:fldChar w:fldCharType="separate"/>
            </w:r>
            <w:r w:rsidRPr="12E62483">
              <w:rPr>
                <w:rStyle w:val="Hyperlink"/>
              </w:rPr>
              <w:t>16</w:t>
            </w:r>
            <w:r w:rsidR="65B08F1D">
              <w:fldChar w:fldCharType="end"/>
            </w:r>
          </w:hyperlink>
        </w:p>
        <w:p w14:paraId="1CC1EA8E" w14:textId="390586EC" w:rsidR="65E6C658" w:rsidRDefault="12E62483" w:rsidP="65B08F1D">
          <w:pPr>
            <w:pStyle w:val="TOC3"/>
            <w:tabs>
              <w:tab w:val="right" w:leader="dot" w:pos="9015"/>
            </w:tabs>
            <w:rPr>
              <w:rStyle w:val="Hyperlink"/>
            </w:rPr>
          </w:pPr>
          <w:hyperlink w:anchor="_Toc1799087069">
            <w:r w:rsidRPr="12E62483">
              <w:rPr>
                <w:rStyle w:val="Hyperlink"/>
              </w:rPr>
              <w:t>Search Process</w:t>
            </w:r>
            <w:r w:rsidR="65B08F1D">
              <w:tab/>
            </w:r>
            <w:r w:rsidR="65B08F1D">
              <w:fldChar w:fldCharType="begin"/>
            </w:r>
            <w:r w:rsidR="65B08F1D">
              <w:instrText>PAGEREF _Toc1799087069 \h</w:instrText>
            </w:r>
            <w:r w:rsidR="65B08F1D">
              <w:fldChar w:fldCharType="separate"/>
            </w:r>
            <w:r w:rsidRPr="12E62483">
              <w:rPr>
                <w:rStyle w:val="Hyperlink"/>
              </w:rPr>
              <w:t>16</w:t>
            </w:r>
            <w:r w:rsidR="65B08F1D">
              <w:fldChar w:fldCharType="end"/>
            </w:r>
          </w:hyperlink>
        </w:p>
        <w:p w14:paraId="7390E10E" w14:textId="5ABDF992" w:rsidR="65E6C658" w:rsidRDefault="12E62483" w:rsidP="65B08F1D">
          <w:pPr>
            <w:pStyle w:val="TOC3"/>
            <w:tabs>
              <w:tab w:val="right" w:leader="dot" w:pos="9015"/>
            </w:tabs>
            <w:rPr>
              <w:rStyle w:val="Hyperlink"/>
            </w:rPr>
          </w:pPr>
          <w:hyperlink w:anchor="_Toc92742924">
            <w:r w:rsidRPr="12E62483">
              <w:rPr>
                <w:rStyle w:val="Hyperlink"/>
              </w:rPr>
              <w:t>Skimming and Screening</w:t>
            </w:r>
            <w:r w:rsidR="65B08F1D">
              <w:tab/>
            </w:r>
            <w:r w:rsidR="65B08F1D">
              <w:fldChar w:fldCharType="begin"/>
            </w:r>
            <w:r w:rsidR="65B08F1D">
              <w:instrText>PAGEREF _Toc92742924 \h</w:instrText>
            </w:r>
            <w:r w:rsidR="65B08F1D">
              <w:fldChar w:fldCharType="separate"/>
            </w:r>
            <w:r w:rsidRPr="12E62483">
              <w:rPr>
                <w:rStyle w:val="Hyperlink"/>
              </w:rPr>
              <w:t>17</w:t>
            </w:r>
            <w:r w:rsidR="65B08F1D">
              <w:fldChar w:fldCharType="end"/>
            </w:r>
          </w:hyperlink>
        </w:p>
        <w:p w14:paraId="04C24D49" w14:textId="0620BCC4" w:rsidR="65E6C658" w:rsidRDefault="12E62483" w:rsidP="65B08F1D">
          <w:pPr>
            <w:pStyle w:val="TOC3"/>
            <w:tabs>
              <w:tab w:val="right" w:leader="dot" w:pos="9015"/>
            </w:tabs>
            <w:rPr>
              <w:rStyle w:val="Hyperlink"/>
            </w:rPr>
          </w:pPr>
          <w:hyperlink w:anchor="_Toc1393152085">
            <w:r w:rsidRPr="12E62483">
              <w:rPr>
                <w:rStyle w:val="Hyperlink"/>
              </w:rPr>
              <w:t>Decision-Making</w:t>
            </w:r>
            <w:r w:rsidR="65B08F1D">
              <w:tab/>
            </w:r>
            <w:r w:rsidR="65B08F1D">
              <w:fldChar w:fldCharType="begin"/>
            </w:r>
            <w:r w:rsidR="65B08F1D">
              <w:instrText>PAGEREF _Toc1393152085 \h</w:instrText>
            </w:r>
            <w:r w:rsidR="65B08F1D">
              <w:fldChar w:fldCharType="separate"/>
            </w:r>
            <w:r w:rsidRPr="12E62483">
              <w:rPr>
                <w:rStyle w:val="Hyperlink"/>
              </w:rPr>
              <w:t>17</w:t>
            </w:r>
            <w:r w:rsidR="65B08F1D">
              <w:fldChar w:fldCharType="end"/>
            </w:r>
          </w:hyperlink>
        </w:p>
        <w:p w14:paraId="24B01F6C" w14:textId="022C4A17" w:rsidR="65E6C658" w:rsidRDefault="12E62483" w:rsidP="65B08F1D">
          <w:pPr>
            <w:pStyle w:val="TOC2"/>
            <w:tabs>
              <w:tab w:val="right" w:leader="dot" w:pos="9015"/>
            </w:tabs>
            <w:rPr>
              <w:rStyle w:val="Hyperlink"/>
            </w:rPr>
          </w:pPr>
          <w:hyperlink w:anchor="_Toc60260976">
            <w:r w:rsidRPr="12E62483">
              <w:rPr>
                <w:rStyle w:val="Hyperlink"/>
              </w:rPr>
              <w:t>3.5 Inclusion and Exclusion Criteria</w:t>
            </w:r>
            <w:r w:rsidR="65B08F1D">
              <w:tab/>
            </w:r>
            <w:r w:rsidR="65B08F1D">
              <w:fldChar w:fldCharType="begin"/>
            </w:r>
            <w:r w:rsidR="65B08F1D">
              <w:instrText>PAGEREF _Toc60260976 \h</w:instrText>
            </w:r>
            <w:r w:rsidR="65B08F1D">
              <w:fldChar w:fldCharType="separate"/>
            </w:r>
            <w:r w:rsidRPr="12E62483">
              <w:rPr>
                <w:rStyle w:val="Hyperlink"/>
              </w:rPr>
              <w:t>17</w:t>
            </w:r>
            <w:r w:rsidR="65B08F1D">
              <w:fldChar w:fldCharType="end"/>
            </w:r>
          </w:hyperlink>
        </w:p>
        <w:p w14:paraId="28DB7830" w14:textId="355BA395" w:rsidR="65E6C658" w:rsidRDefault="12E62483" w:rsidP="65B08F1D">
          <w:pPr>
            <w:pStyle w:val="TOC3"/>
            <w:tabs>
              <w:tab w:val="right" w:leader="dot" w:pos="9015"/>
            </w:tabs>
            <w:rPr>
              <w:rStyle w:val="Hyperlink"/>
            </w:rPr>
          </w:pPr>
          <w:hyperlink w:anchor="_Toc1864203157">
            <w:r w:rsidRPr="12E62483">
              <w:rPr>
                <w:rStyle w:val="Hyperlink"/>
              </w:rPr>
              <w:t>Inclusion Criteria</w:t>
            </w:r>
            <w:r w:rsidR="65B08F1D">
              <w:tab/>
            </w:r>
            <w:r w:rsidR="65B08F1D">
              <w:fldChar w:fldCharType="begin"/>
            </w:r>
            <w:r w:rsidR="65B08F1D">
              <w:instrText>PAGEREF _Toc1864203157 \h</w:instrText>
            </w:r>
            <w:r w:rsidR="65B08F1D">
              <w:fldChar w:fldCharType="separate"/>
            </w:r>
            <w:r w:rsidRPr="12E62483">
              <w:rPr>
                <w:rStyle w:val="Hyperlink"/>
              </w:rPr>
              <w:t>17</w:t>
            </w:r>
            <w:r w:rsidR="65B08F1D">
              <w:fldChar w:fldCharType="end"/>
            </w:r>
          </w:hyperlink>
        </w:p>
        <w:p w14:paraId="26C53BE4" w14:textId="542E727B" w:rsidR="65E6C658" w:rsidRDefault="12E62483" w:rsidP="65B08F1D">
          <w:pPr>
            <w:pStyle w:val="TOC3"/>
            <w:tabs>
              <w:tab w:val="right" w:leader="dot" w:pos="9015"/>
            </w:tabs>
            <w:rPr>
              <w:rStyle w:val="Hyperlink"/>
            </w:rPr>
          </w:pPr>
          <w:hyperlink w:anchor="_Toc1301907430">
            <w:r w:rsidRPr="12E62483">
              <w:rPr>
                <w:rStyle w:val="Hyperlink"/>
              </w:rPr>
              <w:t>Exclusion Criteria</w:t>
            </w:r>
            <w:r w:rsidR="65B08F1D">
              <w:tab/>
            </w:r>
            <w:r w:rsidR="65B08F1D">
              <w:fldChar w:fldCharType="begin"/>
            </w:r>
            <w:r w:rsidR="65B08F1D">
              <w:instrText>PAGEREF _Toc1301907430 \h</w:instrText>
            </w:r>
            <w:r w:rsidR="65B08F1D">
              <w:fldChar w:fldCharType="separate"/>
            </w:r>
            <w:r w:rsidRPr="12E62483">
              <w:rPr>
                <w:rStyle w:val="Hyperlink"/>
              </w:rPr>
              <w:t>17</w:t>
            </w:r>
            <w:r w:rsidR="65B08F1D">
              <w:fldChar w:fldCharType="end"/>
            </w:r>
          </w:hyperlink>
        </w:p>
        <w:p w14:paraId="34D859CF" w14:textId="713233DE" w:rsidR="65E6C658" w:rsidRDefault="12E62483" w:rsidP="65B08F1D">
          <w:pPr>
            <w:pStyle w:val="TOC3"/>
            <w:tabs>
              <w:tab w:val="right" w:leader="dot" w:pos="9015"/>
            </w:tabs>
            <w:rPr>
              <w:rStyle w:val="Hyperlink"/>
            </w:rPr>
          </w:pPr>
          <w:hyperlink w:anchor="_Toc1899044629">
            <w:r w:rsidRPr="12E62483">
              <w:rPr>
                <w:rStyle w:val="Hyperlink"/>
              </w:rPr>
              <w:t>Justification</w:t>
            </w:r>
            <w:r w:rsidR="65B08F1D">
              <w:tab/>
            </w:r>
            <w:r w:rsidR="65B08F1D">
              <w:fldChar w:fldCharType="begin"/>
            </w:r>
            <w:r w:rsidR="65B08F1D">
              <w:instrText>PAGEREF _Toc1899044629 \h</w:instrText>
            </w:r>
            <w:r w:rsidR="65B08F1D">
              <w:fldChar w:fldCharType="separate"/>
            </w:r>
            <w:r w:rsidRPr="12E62483">
              <w:rPr>
                <w:rStyle w:val="Hyperlink"/>
              </w:rPr>
              <w:t>18</w:t>
            </w:r>
            <w:r w:rsidR="65B08F1D">
              <w:fldChar w:fldCharType="end"/>
            </w:r>
          </w:hyperlink>
        </w:p>
        <w:p w14:paraId="6B48405C" w14:textId="716D85A4" w:rsidR="65E6C658" w:rsidRDefault="12E62483" w:rsidP="65B08F1D">
          <w:pPr>
            <w:pStyle w:val="TOC2"/>
            <w:tabs>
              <w:tab w:val="right" w:leader="dot" w:pos="9015"/>
            </w:tabs>
            <w:rPr>
              <w:rStyle w:val="Hyperlink"/>
            </w:rPr>
          </w:pPr>
          <w:hyperlink w:anchor="_Toc154672767">
            <w:r w:rsidRPr="12E62483">
              <w:rPr>
                <w:rStyle w:val="Hyperlink"/>
              </w:rPr>
              <w:t>3.6 Analysing Research</w:t>
            </w:r>
            <w:r w:rsidR="65B08F1D">
              <w:tab/>
            </w:r>
            <w:r w:rsidR="65B08F1D">
              <w:fldChar w:fldCharType="begin"/>
            </w:r>
            <w:r w:rsidR="65B08F1D">
              <w:instrText>PAGEREF _Toc154672767 \h</w:instrText>
            </w:r>
            <w:r w:rsidR="65B08F1D">
              <w:fldChar w:fldCharType="separate"/>
            </w:r>
            <w:r w:rsidRPr="12E62483">
              <w:rPr>
                <w:rStyle w:val="Hyperlink"/>
              </w:rPr>
              <w:t>18</w:t>
            </w:r>
            <w:r w:rsidR="65B08F1D">
              <w:fldChar w:fldCharType="end"/>
            </w:r>
          </w:hyperlink>
        </w:p>
        <w:p w14:paraId="4CA4BB8D" w14:textId="2CB22B20" w:rsidR="65E6C658" w:rsidRDefault="12E62483" w:rsidP="65B08F1D">
          <w:pPr>
            <w:pStyle w:val="TOC3"/>
            <w:tabs>
              <w:tab w:val="right" w:leader="dot" w:pos="9015"/>
            </w:tabs>
            <w:rPr>
              <w:rStyle w:val="Hyperlink"/>
            </w:rPr>
          </w:pPr>
          <w:hyperlink w:anchor="_Toc1973983825">
            <w:r w:rsidRPr="12E62483">
              <w:rPr>
                <w:rStyle w:val="Hyperlink"/>
              </w:rPr>
              <w:t>Thematic Coding Approach</w:t>
            </w:r>
            <w:r w:rsidR="65B08F1D">
              <w:tab/>
            </w:r>
            <w:r w:rsidR="65B08F1D">
              <w:fldChar w:fldCharType="begin"/>
            </w:r>
            <w:r w:rsidR="65B08F1D">
              <w:instrText>PAGEREF _Toc1973983825 \h</w:instrText>
            </w:r>
            <w:r w:rsidR="65B08F1D">
              <w:fldChar w:fldCharType="separate"/>
            </w:r>
            <w:r w:rsidRPr="12E62483">
              <w:rPr>
                <w:rStyle w:val="Hyperlink"/>
              </w:rPr>
              <w:t>18</w:t>
            </w:r>
            <w:r w:rsidR="65B08F1D">
              <w:fldChar w:fldCharType="end"/>
            </w:r>
          </w:hyperlink>
        </w:p>
        <w:p w14:paraId="32CAA5EF" w14:textId="588381E8" w:rsidR="65E6C658" w:rsidRDefault="12E62483" w:rsidP="65B08F1D">
          <w:pPr>
            <w:pStyle w:val="TOC2"/>
            <w:tabs>
              <w:tab w:val="right" w:leader="dot" w:pos="9015"/>
            </w:tabs>
            <w:rPr>
              <w:rStyle w:val="Hyperlink"/>
            </w:rPr>
          </w:pPr>
          <w:hyperlink w:anchor="_Toc243214358">
            <w:r w:rsidRPr="12E62483">
              <w:rPr>
                <w:rStyle w:val="Hyperlink"/>
              </w:rPr>
              <w:t>Developing Themes</w:t>
            </w:r>
            <w:r w:rsidR="65B08F1D">
              <w:tab/>
            </w:r>
            <w:r w:rsidR="65B08F1D">
              <w:fldChar w:fldCharType="begin"/>
            </w:r>
            <w:r w:rsidR="65B08F1D">
              <w:instrText>PAGEREF _Toc243214358 \h</w:instrText>
            </w:r>
            <w:r w:rsidR="65B08F1D">
              <w:fldChar w:fldCharType="separate"/>
            </w:r>
            <w:r w:rsidRPr="12E62483">
              <w:rPr>
                <w:rStyle w:val="Hyperlink"/>
              </w:rPr>
              <w:t>18</w:t>
            </w:r>
            <w:r w:rsidR="65B08F1D">
              <w:fldChar w:fldCharType="end"/>
            </w:r>
          </w:hyperlink>
        </w:p>
        <w:p w14:paraId="1D43402B" w14:textId="28EF6E90" w:rsidR="65E6C658" w:rsidRDefault="12E62483" w:rsidP="65B08F1D">
          <w:pPr>
            <w:pStyle w:val="TOC2"/>
            <w:tabs>
              <w:tab w:val="right" w:leader="dot" w:pos="9015"/>
            </w:tabs>
            <w:rPr>
              <w:rStyle w:val="Hyperlink"/>
            </w:rPr>
          </w:pPr>
          <w:hyperlink w:anchor="_Toc582724045">
            <w:r w:rsidRPr="12E62483">
              <w:rPr>
                <w:rStyle w:val="Hyperlink"/>
              </w:rPr>
              <w:t>Organisation</w:t>
            </w:r>
            <w:r w:rsidR="65B08F1D">
              <w:tab/>
            </w:r>
            <w:r w:rsidR="65B08F1D">
              <w:fldChar w:fldCharType="begin"/>
            </w:r>
            <w:r w:rsidR="65B08F1D">
              <w:instrText>PAGEREF _Toc582724045 \h</w:instrText>
            </w:r>
            <w:r w:rsidR="65B08F1D">
              <w:fldChar w:fldCharType="separate"/>
            </w:r>
            <w:r w:rsidRPr="12E62483">
              <w:rPr>
                <w:rStyle w:val="Hyperlink"/>
              </w:rPr>
              <w:t>18</w:t>
            </w:r>
            <w:r w:rsidR="65B08F1D">
              <w:fldChar w:fldCharType="end"/>
            </w:r>
          </w:hyperlink>
        </w:p>
        <w:p w14:paraId="7EC55142" w14:textId="74B1E191" w:rsidR="65E6C658" w:rsidRDefault="12E62483" w:rsidP="65B08F1D">
          <w:pPr>
            <w:pStyle w:val="TOC2"/>
            <w:tabs>
              <w:tab w:val="right" w:leader="dot" w:pos="9015"/>
            </w:tabs>
            <w:rPr>
              <w:rStyle w:val="Hyperlink"/>
            </w:rPr>
          </w:pPr>
          <w:hyperlink w:anchor="_Toc1694398672">
            <w:r w:rsidRPr="12E62483">
              <w:rPr>
                <w:rStyle w:val="Hyperlink"/>
              </w:rPr>
              <w:t>3.7 Ethical Considerations</w:t>
            </w:r>
            <w:r w:rsidR="65B08F1D">
              <w:tab/>
            </w:r>
            <w:r w:rsidR="65B08F1D">
              <w:fldChar w:fldCharType="begin"/>
            </w:r>
            <w:r w:rsidR="65B08F1D">
              <w:instrText>PAGEREF _Toc1694398672 \h</w:instrText>
            </w:r>
            <w:r w:rsidR="65B08F1D">
              <w:fldChar w:fldCharType="separate"/>
            </w:r>
            <w:r w:rsidRPr="12E62483">
              <w:rPr>
                <w:rStyle w:val="Hyperlink"/>
              </w:rPr>
              <w:t>19</w:t>
            </w:r>
            <w:r w:rsidR="65B08F1D">
              <w:fldChar w:fldCharType="end"/>
            </w:r>
          </w:hyperlink>
        </w:p>
        <w:p w14:paraId="785E0969" w14:textId="6966DE88" w:rsidR="65E6C658" w:rsidRDefault="12E62483" w:rsidP="65B08F1D">
          <w:pPr>
            <w:pStyle w:val="TOC2"/>
            <w:tabs>
              <w:tab w:val="right" w:leader="dot" w:pos="9015"/>
            </w:tabs>
            <w:rPr>
              <w:rStyle w:val="Hyperlink"/>
            </w:rPr>
          </w:pPr>
          <w:hyperlink w:anchor="_Toc838927139">
            <w:r w:rsidRPr="12E62483">
              <w:rPr>
                <w:rStyle w:val="Hyperlink"/>
              </w:rPr>
              <w:t>Secondary Research Ethics</w:t>
            </w:r>
            <w:r w:rsidR="65B08F1D">
              <w:tab/>
            </w:r>
            <w:r w:rsidR="65B08F1D">
              <w:fldChar w:fldCharType="begin"/>
            </w:r>
            <w:r w:rsidR="65B08F1D">
              <w:instrText>PAGEREF _Toc838927139 \h</w:instrText>
            </w:r>
            <w:r w:rsidR="65B08F1D">
              <w:fldChar w:fldCharType="separate"/>
            </w:r>
            <w:r w:rsidRPr="12E62483">
              <w:rPr>
                <w:rStyle w:val="Hyperlink"/>
              </w:rPr>
              <w:t>19</w:t>
            </w:r>
            <w:r w:rsidR="65B08F1D">
              <w:fldChar w:fldCharType="end"/>
            </w:r>
          </w:hyperlink>
        </w:p>
        <w:p w14:paraId="6E87374B" w14:textId="240E3B68" w:rsidR="65E6C658" w:rsidRDefault="12E62483" w:rsidP="65B08F1D">
          <w:pPr>
            <w:pStyle w:val="TOC2"/>
            <w:tabs>
              <w:tab w:val="right" w:leader="dot" w:pos="9015"/>
            </w:tabs>
            <w:rPr>
              <w:rStyle w:val="Hyperlink"/>
            </w:rPr>
          </w:pPr>
          <w:hyperlink w:anchor="_Toc919548643">
            <w:r w:rsidRPr="12E62483">
              <w:rPr>
                <w:rStyle w:val="Hyperlink"/>
              </w:rPr>
              <w:t>Academic Integrity and Transparency</w:t>
            </w:r>
            <w:r w:rsidR="65B08F1D">
              <w:tab/>
            </w:r>
            <w:r w:rsidR="65B08F1D">
              <w:fldChar w:fldCharType="begin"/>
            </w:r>
            <w:r w:rsidR="65B08F1D">
              <w:instrText>PAGEREF _Toc919548643 \h</w:instrText>
            </w:r>
            <w:r w:rsidR="65B08F1D">
              <w:fldChar w:fldCharType="separate"/>
            </w:r>
            <w:r w:rsidRPr="12E62483">
              <w:rPr>
                <w:rStyle w:val="Hyperlink"/>
              </w:rPr>
              <w:t>19</w:t>
            </w:r>
            <w:r w:rsidR="65B08F1D">
              <w:fldChar w:fldCharType="end"/>
            </w:r>
          </w:hyperlink>
        </w:p>
        <w:p w14:paraId="0916BF46" w14:textId="64A1F857" w:rsidR="65E6C658" w:rsidRDefault="12E62483" w:rsidP="65B08F1D">
          <w:pPr>
            <w:pStyle w:val="TOC2"/>
            <w:tabs>
              <w:tab w:val="right" w:leader="dot" w:pos="9015"/>
            </w:tabs>
            <w:rPr>
              <w:rStyle w:val="Hyperlink"/>
            </w:rPr>
          </w:pPr>
          <w:hyperlink w:anchor="_Toc149987004">
            <w:r w:rsidRPr="12E62483">
              <w:rPr>
                <w:rStyle w:val="Hyperlink"/>
              </w:rPr>
              <w:t>Data Protection and Research Standards</w:t>
            </w:r>
            <w:r w:rsidR="65B08F1D">
              <w:tab/>
            </w:r>
            <w:r w:rsidR="65B08F1D">
              <w:fldChar w:fldCharType="begin"/>
            </w:r>
            <w:r w:rsidR="65B08F1D">
              <w:instrText>PAGEREF _Toc149987004 \h</w:instrText>
            </w:r>
            <w:r w:rsidR="65B08F1D">
              <w:fldChar w:fldCharType="separate"/>
            </w:r>
            <w:r w:rsidRPr="12E62483">
              <w:rPr>
                <w:rStyle w:val="Hyperlink"/>
              </w:rPr>
              <w:t>19</w:t>
            </w:r>
            <w:r w:rsidR="65B08F1D">
              <w:fldChar w:fldCharType="end"/>
            </w:r>
          </w:hyperlink>
        </w:p>
        <w:p w14:paraId="651B44ED" w14:textId="0638CF97" w:rsidR="65E6C658" w:rsidRDefault="12E62483" w:rsidP="65B08F1D">
          <w:pPr>
            <w:pStyle w:val="TOC2"/>
            <w:tabs>
              <w:tab w:val="right" w:leader="dot" w:pos="9015"/>
            </w:tabs>
            <w:rPr>
              <w:rStyle w:val="Hyperlink"/>
            </w:rPr>
          </w:pPr>
          <w:hyperlink w:anchor="_Toc634399169">
            <w:r w:rsidRPr="12E62483">
              <w:rPr>
                <w:rStyle w:val="Hyperlink"/>
              </w:rPr>
              <w:t>3.8 Chapter Conclusion</w:t>
            </w:r>
            <w:r w:rsidR="65B08F1D">
              <w:tab/>
            </w:r>
            <w:r w:rsidR="65B08F1D">
              <w:fldChar w:fldCharType="begin"/>
            </w:r>
            <w:r w:rsidR="65B08F1D">
              <w:instrText>PAGEREF _Toc634399169 \h</w:instrText>
            </w:r>
            <w:r w:rsidR="65B08F1D">
              <w:fldChar w:fldCharType="separate"/>
            </w:r>
            <w:r w:rsidRPr="12E62483">
              <w:rPr>
                <w:rStyle w:val="Hyperlink"/>
              </w:rPr>
              <w:t>19</w:t>
            </w:r>
            <w:r w:rsidR="65B08F1D">
              <w:fldChar w:fldCharType="end"/>
            </w:r>
          </w:hyperlink>
        </w:p>
        <w:p w14:paraId="0FFE1B5E" w14:textId="5C74B1D7" w:rsidR="65E6C658" w:rsidRDefault="12E62483" w:rsidP="65B08F1D">
          <w:pPr>
            <w:pStyle w:val="TOC1"/>
            <w:tabs>
              <w:tab w:val="right" w:leader="dot" w:pos="9015"/>
            </w:tabs>
            <w:rPr>
              <w:rStyle w:val="Hyperlink"/>
            </w:rPr>
          </w:pPr>
          <w:hyperlink w:anchor="_Toc726476382">
            <w:r w:rsidRPr="12E62483">
              <w:rPr>
                <w:rStyle w:val="Hyperlink"/>
              </w:rPr>
              <w:t>CHAPTER 4 Finding and Discussion</w:t>
            </w:r>
            <w:r w:rsidR="65B08F1D">
              <w:tab/>
            </w:r>
            <w:r w:rsidR="65B08F1D">
              <w:fldChar w:fldCharType="begin"/>
            </w:r>
            <w:r w:rsidR="65B08F1D">
              <w:instrText>PAGEREF _Toc726476382 \h</w:instrText>
            </w:r>
            <w:r w:rsidR="65B08F1D">
              <w:fldChar w:fldCharType="separate"/>
            </w:r>
            <w:r w:rsidRPr="12E62483">
              <w:rPr>
                <w:rStyle w:val="Hyperlink"/>
              </w:rPr>
              <w:t>20</w:t>
            </w:r>
            <w:r w:rsidR="65B08F1D">
              <w:fldChar w:fldCharType="end"/>
            </w:r>
          </w:hyperlink>
        </w:p>
        <w:p w14:paraId="107448B5" w14:textId="06969AD0" w:rsidR="65E6C658" w:rsidRDefault="12E62483" w:rsidP="65B08F1D">
          <w:pPr>
            <w:pStyle w:val="TOC1"/>
            <w:tabs>
              <w:tab w:val="right" w:leader="dot" w:pos="9015"/>
            </w:tabs>
            <w:rPr>
              <w:rStyle w:val="Hyperlink"/>
            </w:rPr>
          </w:pPr>
          <w:hyperlink w:anchor="_Toc1554830769">
            <w:r w:rsidRPr="12E62483">
              <w:rPr>
                <w:rStyle w:val="Hyperlink"/>
              </w:rPr>
              <w:t>4.1 Introduction</w:t>
            </w:r>
            <w:r w:rsidR="65B08F1D">
              <w:tab/>
            </w:r>
            <w:r w:rsidR="65B08F1D">
              <w:fldChar w:fldCharType="begin"/>
            </w:r>
            <w:r w:rsidR="65B08F1D">
              <w:instrText>PAGEREF _Toc1554830769 \h</w:instrText>
            </w:r>
            <w:r w:rsidR="65B08F1D">
              <w:fldChar w:fldCharType="separate"/>
            </w:r>
            <w:r w:rsidRPr="12E62483">
              <w:rPr>
                <w:rStyle w:val="Hyperlink"/>
              </w:rPr>
              <w:t>20</w:t>
            </w:r>
            <w:r w:rsidR="65B08F1D">
              <w:fldChar w:fldCharType="end"/>
            </w:r>
          </w:hyperlink>
        </w:p>
        <w:p w14:paraId="33969E9F" w14:textId="1ECD447A" w:rsidR="65E6C658" w:rsidRDefault="12E62483" w:rsidP="65B08F1D">
          <w:pPr>
            <w:pStyle w:val="TOC2"/>
            <w:tabs>
              <w:tab w:val="right" w:leader="dot" w:pos="9015"/>
            </w:tabs>
            <w:rPr>
              <w:rStyle w:val="Hyperlink"/>
            </w:rPr>
          </w:pPr>
          <w:hyperlink w:anchor="_Toc995564634">
            <w:r w:rsidRPr="12E62483">
              <w:rPr>
                <w:rStyle w:val="Hyperlink"/>
              </w:rPr>
              <w:t>4.2 Thematic Analysis</w:t>
            </w:r>
            <w:r w:rsidR="65B08F1D">
              <w:tab/>
            </w:r>
            <w:r w:rsidR="65B08F1D">
              <w:fldChar w:fldCharType="begin"/>
            </w:r>
            <w:r w:rsidR="65B08F1D">
              <w:instrText>PAGEREF _Toc995564634 \h</w:instrText>
            </w:r>
            <w:r w:rsidR="65B08F1D">
              <w:fldChar w:fldCharType="separate"/>
            </w:r>
            <w:r w:rsidRPr="12E62483">
              <w:rPr>
                <w:rStyle w:val="Hyperlink"/>
              </w:rPr>
              <w:t>20</w:t>
            </w:r>
            <w:r w:rsidR="65B08F1D">
              <w:fldChar w:fldCharType="end"/>
            </w:r>
          </w:hyperlink>
        </w:p>
        <w:p w14:paraId="58FDD383" w14:textId="478BD153" w:rsidR="65E6C658" w:rsidRDefault="12E62483" w:rsidP="65B08F1D">
          <w:pPr>
            <w:pStyle w:val="TOC2"/>
            <w:tabs>
              <w:tab w:val="right" w:leader="dot" w:pos="9015"/>
            </w:tabs>
            <w:rPr>
              <w:rStyle w:val="Hyperlink"/>
            </w:rPr>
          </w:pPr>
          <w:hyperlink w:anchor="_Toc829691203">
            <w:r w:rsidRPr="12E62483">
              <w:rPr>
                <w:rStyle w:val="Hyperlink"/>
              </w:rPr>
              <w:t>4.3 Theme 1: Stigma, Cultural Beliefs, and Help-Seeking</w:t>
            </w:r>
            <w:r w:rsidR="65B08F1D">
              <w:tab/>
            </w:r>
            <w:r w:rsidR="65B08F1D">
              <w:fldChar w:fldCharType="begin"/>
            </w:r>
            <w:r w:rsidR="65B08F1D">
              <w:instrText>PAGEREF _Toc829691203 \h</w:instrText>
            </w:r>
            <w:r w:rsidR="65B08F1D">
              <w:fldChar w:fldCharType="separate"/>
            </w:r>
            <w:r w:rsidRPr="12E62483">
              <w:rPr>
                <w:rStyle w:val="Hyperlink"/>
              </w:rPr>
              <w:t>21</w:t>
            </w:r>
            <w:r w:rsidR="65B08F1D">
              <w:fldChar w:fldCharType="end"/>
            </w:r>
          </w:hyperlink>
        </w:p>
        <w:p w14:paraId="78769BE6" w14:textId="5B98C242" w:rsidR="65E6C658" w:rsidRDefault="12E62483" w:rsidP="65B08F1D">
          <w:pPr>
            <w:pStyle w:val="TOC3"/>
            <w:tabs>
              <w:tab w:val="right" w:leader="dot" w:pos="9015"/>
            </w:tabs>
            <w:rPr>
              <w:rStyle w:val="Hyperlink"/>
            </w:rPr>
          </w:pPr>
          <w:hyperlink w:anchor="_Toc278687193">
            <w:r w:rsidRPr="12E62483">
              <w:rPr>
                <w:rStyle w:val="Hyperlink"/>
              </w:rPr>
              <w:t>Definition</w:t>
            </w:r>
            <w:r w:rsidR="65B08F1D">
              <w:tab/>
            </w:r>
            <w:r w:rsidR="65B08F1D">
              <w:fldChar w:fldCharType="begin"/>
            </w:r>
            <w:r w:rsidR="65B08F1D">
              <w:instrText>PAGEREF _Toc278687193 \h</w:instrText>
            </w:r>
            <w:r w:rsidR="65B08F1D">
              <w:fldChar w:fldCharType="separate"/>
            </w:r>
            <w:r w:rsidRPr="12E62483">
              <w:rPr>
                <w:rStyle w:val="Hyperlink"/>
              </w:rPr>
              <w:t>21</w:t>
            </w:r>
            <w:r w:rsidR="65B08F1D">
              <w:fldChar w:fldCharType="end"/>
            </w:r>
          </w:hyperlink>
        </w:p>
        <w:p w14:paraId="28AC367C" w14:textId="5AB06EA5" w:rsidR="65E6C658" w:rsidRDefault="12E62483" w:rsidP="65B08F1D">
          <w:pPr>
            <w:pStyle w:val="TOC3"/>
            <w:tabs>
              <w:tab w:val="right" w:leader="dot" w:pos="9015"/>
            </w:tabs>
            <w:rPr>
              <w:rStyle w:val="Hyperlink"/>
            </w:rPr>
          </w:pPr>
          <w:hyperlink w:anchor="_Toc1865144675">
            <w:r w:rsidRPr="12E62483">
              <w:rPr>
                <w:rStyle w:val="Hyperlink"/>
              </w:rPr>
              <w:t>Background Information</w:t>
            </w:r>
            <w:r w:rsidR="65B08F1D">
              <w:tab/>
            </w:r>
            <w:r w:rsidR="65B08F1D">
              <w:fldChar w:fldCharType="begin"/>
            </w:r>
            <w:r w:rsidR="65B08F1D">
              <w:instrText>PAGEREF _Toc1865144675 \h</w:instrText>
            </w:r>
            <w:r w:rsidR="65B08F1D">
              <w:fldChar w:fldCharType="separate"/>
            </w:r>
            <w:r w:rsidRPr="12E62483">
              <w:rPr>
                <w:rStyle w:val="Hyperlink"/>
              </w:rPr>
              <w:t>21</w:t>
            </w:r>
            <w:r w:rsidR="65B08F1D">
              <w:fldChar w:fldCharType="end"/>
            </w:r>
          </w:hyperlink>
        </w:p>
        <w:p w14:paraId="6C50D004" w14:textId="1DB6F507" w:rsidR="65E6C658" w:rsidRDefault="12E62483" w:rsidP="65B08F1D">
          <w:pPr>
            <w:pStyle w:val="TOC3"/>
            <w:tabs>
              <w:tab w:val="right" w:leader="dot" w:pos="9015"/>
            </w:tabs>
            <w:rPr>
              <w:rStyle w:val="Hyperlink"/>
            </w:rPr>
          </w:pPr>
          <w:hyperlink w:anchor="_Toc1326475891">
            <w:r w:rsidRPr="12E62483">
              <w:rPr>
                <w:rStyle w:val="Hyperlink"/>
              </w:rPr>
              <w:t>Impact on Research Question</w:t>
            </w:r>
            <w:r w:rsidR="65B08F1D">
              <w:tab/>
            </w:r>
            <w:r w:rsidR="65B08F1D">
              <w:fldChar w:fldCharType="begin"/>
            </w:r>
            <w:r w:rsidR="65B08F1D">
              <w:instrText>PAGEREF _Toc1326475891 \h</w:instrText>
            </w:r>
            <w:r w:rsidR="65B08F1D">
              <w:fldChar w:fldCharType="separate"/>
            </w:r>
            <w:r w:rsidRPr="12E62483">
              <w:rPr>
                <w:rStyle w:val="Hyperlink"/>
              </w:rPr>
              <w:t>22</w:t>
            </w:r>
            <w:r w:rsidR="65B08F1D">
              <w:fldChar w:fldCharType="end"/>
            </w:r>
          </w:hyperlink>
        </w:p>
        <w:p w14:paraId="5ED94D3C" w14:textId="11EE5A18" w:rsidR="65E6C658" w:rsidRDefault="12E62483" w:rsidP="65B08F1D">
          <w:pPr>
            <w:pStyle w:val="TOC3"/>
            <w:tabs>
              <w:tab w:val="right" w:leader="dot" w:pos="9015"/>
            </w:tabs>
            <w:rPr>
              <w:rStyle w:val="Hyperlink"/>
            </w:rPr>
          </w:pPr>
          <w:hyperlink w:anchor="_Toc1879174899">
            <w:r w:rsidRPr="12E62483">
              <w:rPr>
                <w:rStyle w:val="Hyperlink"/>
              </w:rPr>
              <w:t>Statistical Information</w:t>
            </w:r>
            <w:r w:rsidR="65B08F1D">
              <w:tab/>
            </w:r>
            <w:r w:rsidR="65B08F1D">
              <w:fldChar w:fldCharType="begin"/>
            </w:r>
            <w:r w:rsidR="65B08F1D">
              <w:instrText>PAGEREF _Toc1879174899 \h</w:instrText>
            </w:r>
            <w:r w:rsidR="65B08F1D">
              <w:fldChar w:fldCharType="separate"/>
            </w:r>
            <w:r w:rsidRPr="12E62483">
              <w:rPr>
                <w:rStyle w:val="Hyperlink"/>
              </w:rPr>
              <w:t>22</w:t>
            </w:r>
            <w:r w:rsidR="65B08F1D">
              <w:fldChar w:fldCharType="end"/>
            </w:r>
          </w:hyperlink>
        </w:p>
        <w:p w14:paraId="2077C9AD" w14:textId="2B49AE03" w:rsidR="65E6C658" w:rsidRDefault="12E62483" w:rsidP="65B08F1D">
          <w:pPr>
            <w:pStyle w:val="TOC3"/>
            <w:tabs>
              <w:tab w:val="right" w:leader="dot" w:pos="9015"/>
            </w:tabs>
            <w:rPr>
              <w:rStyle w:val="Hyperlink"/>
            </w:rPr>
          </w:pPr>
          <w:hyperlink w:anchor="_Toc1883019392">
            <w:r w:rsidRPr="12E62483">
              <w:rPr>
                <w:rStyle w:val="Hyperlink"/>
              </w:rPr>
              <w:t>Theories, Policies, and Legislation</w:t>
            </w:r>
            <w:r w:rsidR="65B08F1D">
              <w:tab/>
            </w:r>
            <w:r w:rsidR="65B08F1D">
              <w:fldChar w:fldCharType="begin"/>
            </w:r>
            <w:r w:rsidR="65B08F1D">
              <w:instrText>PAGEREF _Toc1883019392 \h</w:instrText>
            </w:r>
            <w:r w:rsidR="65B08F1D">
              <w:fldChar w:fldCharType="separate"/>
            </w:r>
            <w:r w:rsidRPr="12E62483">
              <w:rPr>
                <w:rStyle w:val="Hyperlink"/>
              </w:rPr>
              <w:t>23</w:t>
            </w:r>
            <w:r w:rsidR="65B08F1D">
              <w:fldChar w:fldCharType="end"/>
            </w:r>
          </w:hyperlink>
        </w:p>
        <w:p w14:paraId="4534F6F6" w14:textId="478FF6F3" w:rsidR="65E6C658" w:rsidRDefault="12E62483" w:rsidP="65B08F1D">
          <w:pPr>
            <w:pStyle w:val="TOC4"/>
            <w:tabs>
              <w:tab w:val="right" w:leader="dot" w:pos="9015"/>
            </w:tabs>
            <w:rPr>
              <w:rStyle w:val="Hyperlink"/>
            </w:rPr>
          </w:pPr>
          <w:hyperlink w:anchor="_Toc2147472989">
            <w:r w:rsidRPr="12E62483">
              <w:rPr>
                <w:rStyle w:val="Hyperlink"/>
              </w:rPr>
              <w:t>Policy and Legislation</w:t>
            </w:r>
            <w:r w:rsidR="65B08F1D">
              <w:tab/>
            </w:r>
            <w:r w:rsidR="65B08F1D">
              <w:fldChar w:fldCharType="begin"/>
            </w:r>
            <w:r w:rsidR="65B08F1D">
              <w:instrText>PAGEREF _Toc2147472989 \h</w:instrText>
            </w:r>
            <w:r w:rsidR="65B08F1D">
              <w:fldChar w:fldCharType="separate"/>
            </w:r>
            <w:r w:rsidRPr="12E62483">
              <w:rPr>
                <w:rStyle w:val="Hyperlink"/>
              </w:rPr>
              <w:t>23</w:t>
            </w:r>
            <w:r w:rsidR="65B08F1D">
              <w:fldChar w:fldCharType="end"/>
            </w:r>
          </w:hyperlink>
        </w:p>
        <w:p w14:paraId="0EC2AE03" w14:textId="1634EBF4" w:rsidR="65B08F1D" w:rsidRDefault="12E62483" w:rsidP="65B08F1D">
          <w:pPr>
            <w:pStyle w:val="TOC3"/>
            <w:tabs>
              <w:tab w:val="right" w:leader="dot" w:pos="9015"/>
            </w:tabs>
            <w:rPr>
              <w:rStyle w:val="Hyperlink"/>
            </w:rPr>
          </w:pPr>
          <w:hyperlink w:anchor="_Toc1829065819">
            <w:r w:rsidRPr="12E62483">
              <w:rPr>
                <w:rStyle w:val="Hyperlink"/>
              </w:rPr>
              <w:t>Implications</w:t>
            </w:r>
            <w:r w:rsidR="65B08F1D">
              <w:tab/>
            </w:r>
            <w:r w:rsidR="65B08F1D">
              <w:fldChar w:fldCharType="begin"/>
            </w:r>
            <w:r w:rsidR="65B08F1D">
              <w:instrText>PAGEREF _Toc1829065819 \h</w:instrText>
            </w:r>
            <w:r w:rsidR="65B08F1D">
              <w:fldChar w:fldCharType="separate"/>
            </w:r>
            <w:r w:rsidRPr="12E62483">
              <w:rPr>
                <w:rStyle w:val="Hyperlink"/>
              </w:rPr>
              <w:t>23</w:t>
            </w:r>
            <w:r w:rsidR="65B08F1D">
              <w:fldChar w:fldCharType="end"/>
            </w:r>
          </w:hyperlink>
        </w:p>
        <w:p w14:paraId="74E5A045" w14:textId="091E49E0" w:rsidR="65B08F1D" w:rsidRDefault="12E62483" w:rsidP="65B08F1D">
          <w:pPr>
            <w:pStyle w:val="TOC4"/>
            <w:tabs>
              <w:tab w:val="right" w:leader="dot" w:pos="9015"/>
            </w:tabs>
            <w:rPr>
              <w:rStyle w:val="Hyperlink"/>
            </w:rPr>
          </w:pPr>
          <w:hyperlink w:anchor="_Toc1098599216">
            <w:r w:rsidRPr="12E62483">
              <w:rPr>
                <w:rStyle w:val="Hyperlink"/>
              </w:rPr>
              <w:t>Positive Implications</w:t>
            </w:r>
            <w:r w:rsidR="65B08F1D">
              <w:tab/>
            </w:r>
            <w:r w:rsidR="65B08F1D">
              <w:fldChar w:fldCharType="begin"/>
            </w:r>
            <w:r w:rsidR="65B08F1D">
              <w:instrText>PAGEREF _Toc1098599216 \h</w:instrText>
            </w:r>
            <w:r w:rsidR="65B08F1D">
              <w:fldChar w:fldCharType="separate"/>
            </w:r>
            <w:r w:rsidRPr="12E62483">
              <w:rPr>
                <w:rStyle w:val="Hyperlink"/>
              </w:rPr>
              <w:t>23</w:t>
            </w:r>
            <w:r w:rsidR="65B08F1D">
              <w:fldChar w:fldCharType="end"/>
            </w:r>
          </w:hyperlink>
        </w:p>
        <w:p w14:paraId="006D8A84" w14:textId="110125B9" w:rsidR="65B08F1D" w:rsidRDefault="12E62483" w:rsidP="65B08F1D">
          <w:pPr>
            <w:pStyle w:val="TOC4"/>
            <w:tabs>
              <w:tab w:val="right" w:leader="dot" w:pos="9015"/>
            </w:tabs>
            <w:rPr>
              <w:rStyle w:val="Hyperlink"/>
            </w:rPr>
          </w:pPr>
          <w:hyperlink w:anchor="_Toc2125810814">
            <w:r w:rsidRPr="12E62483">
              <w:rPr>
                <w:rStyle w:val="Hyperlink"/>
              </w:rPr>
              <w:t>Negative Implications</w:t>
            </w:r>
            <w:r w:rsidR="65B08F1D">
              <w:tab/>
            </w:r>
            <w:r w:rsidR="65B08F1D">
              <w:fldChar w:fldCharType="begin"/>
            </w:r>
            <w:r w:rsidR="65B08F1D">
              <w:instrText>PAGEREF _Toc2125810814 \h</w:instrText>
            </w:r>
            <w:r w:rsidR="65B08F1D">
              <w:fldChar w:fldCharType="separate"/>
            </w:r>
            <w:r w:rsidRPr="12E62483">
              <w:rPr>
                <w:rStyle w:val="Hyperlink"/>
              </w:rPr>
              <w:t>24</w:t>
            </w:r>
            <w:r w:rsidR="65B08F1D">
              <w:fldChar w:fldCharType="end"/>
            </w:r>
          </w:hyperlink>
        </w:p>
        <w:p w14:paraId="34F9D82C" w14:textId="6024FB60" w:rsidR="65B08F1D" w:rsidRDefault="12E62483" w:rsidP="65B08F1D">
          <w:pPr>
            <w:pStyle w:val="TOC3"/>
            <w:tabs>
              <w:tab w:val="right" w:leader="dot" w:pos="9015"/>
            </w:tabs>
            <w:rPr>
              <w:rStyle w:val="Hyperlink"/>
            </w:rPr>
          </w:pPr>
          <w:hyperlink w:anchor="_Toc903129799">
            <w:r w:rsidRPr="12E62483">
              <w:rPr>
                <w:rStyle w:val="Hyperlink"/>
              </w:rPr>
              <w:t>Examples from Your Articles</w:t>
            </w:r>
            <w:r w:rsidR="65B08F1D">
              <w:tab/>
            </w:r>
            <w:r w:rsidR="65B08F1D">
              <w:fldChar w:fldCharType="begin"/>
            </w:r>
            <w:r w:rsidR="65B08F1D">
              <w:instrText>PAGEREF _Toc903129799 \h</w:instrText>
            </w:r>
            <w:r w:rsidR="65B08F1D">
              <w:fldChar w:fldCharType="separate"/>
            </w:r>
            <w:r w:rsidRPr="12E62483">
              <w:rPr>
                <w:rStyle w:val="Hyperlink"/>
              </w:rPr>
              <w:t>24</w:t>
            </w:r>
            <w:r w:rsidR="65B08F1D">
              <w:fldChar w:fldCharType="end"/>
            </w:r>
          </w:hyperlink>
        </w:p>
        <w:p w14:paraId="72155374" w14:textId="42F10C28" w:rsidR="65B08F1D" w:rsidRDefault="12E62483" w:rsidP="12E62483">
          <w:pPr>
            <w:pStyle w:val="TOC3"/>
            <w:tabs>
              <w:tab w:val="right" w:leader="dot" w:pos="9015"/>
            </w:tabs>
            <w:rPr>
              <w:rStyle w:val="Hyperlink"/>
            </w:rPr>
          </w:pPr>
          <w:hyperlink w:anchor="_Toc323079613">
            <w:r w:rsidRPr="12E62483">
              <w:rPr>
                <w:rStyle w:val="Hyperlink"/>
              </w:rPr>
              <w:t>Conclusion</w:t>
            </w:r>
            <w:r w:rsidR="65B08F1D">
              <w:tab/>
            </w:r>
            <w:r w:rsidR="65B08F1D">
              <w:fldChar w:fldCharType="begin"/>
            </w:r>
            <w:r w:rsidR="65B08F1D">
              <w:instrText>PAGEREF _Toc323079613 \h</w:instrText>
            </w:r>
            <w:r w:rsidR="65B08F1D">
              <w:fldChar w:fldCharType="separate"/>
            </w:r>
            <w:r w:rsidRPr="12E62483">
              <w:rPr>
                <w:rStyle w:val="Hyperlink"/>
              </w:rPr>
              <w:t>24</w:t>
            </w:r>
            <w:r w:rsidR="65B08F1D">
              <w:fldChar w:fldCharType="end"/>
            </w:r>
          </w:hyperlink>
        </w:p>
        <w:p w14:paraId="44A436F0" w14:textId="5462E5C4" w:rsidR="65B08F1D" w:rsidRDefault="12E62483" w:rsidP="65B08F1D">
          <w:pPr>
            <w:pStyle w:val="TOC2"/>
            <w:tabs>
              <w:tab w:val="right" w:leader="dot" w:pos="9015"/>
            </w:tabs>
            <w:rPr>
              <w:rStyle w:val="Hyperlink"/>
            </w:rPr>
          </w:pPr>
          <w:hyperlink w:anchor="_Toc578652174">
            <w:r w:rsidRPr="12E62483">
              <w:rPr>
                <w:rStyle w:val="Hyperlink"/>
              </w:rPr>
              <w:t>4.4 THEME 2: Mistrust, Negative Experiences, and Lack of Cultural Competence</w:t>
            </w:r>
            <w:r w:rsidR="65B08F1D">
              <w:tab/>
            </w:r>
            <w:r w:rsidR="65B08F1D">
              <w:fldChar w:fldCharType="begin"/>
            </w:r>
            <w:r w:rsidR="65B08F1D">
              <w:instrText>PAGEREF _Toc578652174 \h</w:instrText>
            </w:r>
            <w:r w:rsidR="65B08F1D">
              <w:fldChar w:fldCharType="separate"/>
            </w:r>
            <w:r w:rsidRPr="12E62483">
              <w:rPr>
                <w:rStyle w:val="Hyperlink"/>
              </w:rPr>
              <w:t>25</w:t>
            </w:r>
            <w:r w:rsidR="65B08F1D">
              <w:fldChar w:fldCharType="end"/>
            </w:r>
          </w:hyperlink>
        </w:p>
        <w:p w14:paraId="027B1C86" w14:textId="727FC2C6" w:rsidR="65B08F1D" w:rsidRDefault="12E62483" w:rsidP="12E62483">
          <w:pPr>
            <w:pStyle w:val="TOC3"/>
            <w:tabs>
              <w:tab w:val="right" w:leader="dot" w:pos="9015"/>
            </w:tabs>
            <w:rPr>
              <w:rStyle w:val="Hyperlink"/>
            </w:rPr>
          </w:pPr>
          <w:hyperlink w:anchor="_Toc2058764522">
            <w:r w:rsidRPr="12E62483">
              <w:rPr>
                <w:rStyle w:val="Hyperlink"/>
              </w:rPr>
              <w:t>Definition</w:t>
            </w:r>
            <w:r w:rsidR="65B08F1D">
              <w:tab/>
            </w:r>
            <w:r w:rsidR="65B08F1D">
              <w:fldChar w:fldCharType="begin"/>
            </w:r>
            <w:r w:rsidR="65B08F1D">
              <w:instrText>PAGEREF _Toc2058764522 \h</w:instrText>
            </w:r>
            <w:r w:rsidR="65B08F1D">
              <w:fldChar w:fldCharType="separate"/>
            </w:r>
            <w:r w:rsidRPr="12E62483">
              <w:rPr>
                <w:rStyle w:val="Hyperlink"/>
              </w:rPr>
              <w:t>25</w:t>
            </w:r>
            <w:r w:rsidR="65B08F1D">
              <w:fldChar w:fldCharType="end"/>
            </w:r>
          </w:hyperlink>
        </w:p>
        <w:p w14:paraId="387F49F4" w14:textId="465E52F0" w:rsidR="65B08F1D" w:rsidRDefault="12E62483" w:rsidP="65B08F1D">
          <w:pPr>
            <w:pStyle w:val="TOC3"/>
            <w:tabs>
              <w:tab w:val="right" w:leader="dot" w:pos="9015"/>
            </w:tabs>
            <w:rPr>
              <w:rStyle w:val="Hyperlink"/>
            </w:rPr>
          </w:pPr>
          <w:hyperlink w:anchor="_Toc184305077">
            <w:r w:rsidRPr="12E62483">
              <w:rPr>
                <w:rStyle w:val="Hyperlink"/>
              </w:rPr>
              <w:t>Background Information</w:t>
            </w:r>
            <w:r w:rsidR="65B08F1D">
              <w:tab/>
            </w:r>
            <w:r w:rsidR="65B08F1D">
              <w:fldChar w:fldCharType="begin"/>
            </w:r>
            <w:r w:rsidR="65B08F1D">
              <w:instrText>PAGEREF _Toc184305077 \h</w:instrText>
            </w:r>
            <w:r w:rsidR="65B08F1D">
              <w:fldChar w:fldCharType="separate"/>
            </w:r>
            <w:r w:rsidRPr="12E62483">
              <w:rPr>
                <w:rStyle w:val="Hyperlink"/>
              </w:rPr>
              <w:t>25</w:t>
            </w:r>
            <w:r w:rsidR="65B08F1D">
              <w:fldChar w:fldCharType="end"/>
            </w:r>
          </w:hyperlink>
        </w:p>
        <w:p w14:paraId="6CFCDA3F" w14:textId="473AD1AB" w:rsidR="65B08F1D" w:rsidRDefault="12E62483" w:rsidP="65B08F1D">
          <w:pPr>
            <w:pStyle w:val="TOC3"/>
            <w:tabs>
              <w:tab w:val="right" w:leader="dot" w:pos="9015"/>
            </w:tabs>
            <w:rPr>
              <w:rStyle w:val="Hyperlink"/>
            </w:rPr>
          </w:pPr>
          <w:hyperlink w:anchor="_Toc1956222414">
            <w:r w:rsidRPr="12E62483">
              <w:rPr>
                <w:rStyle w:val="Hyperlink"/>
              </w:rPr>
              <w:t>Impact on Research Question</w:t>
            </w:r>
            <w:r w:rsidR="65B08F1D">
              <w:tab/>
            </w:r>
            <w:r w:rsidR="65B08F1D">
              <w:fldChar w:fldCharType="begin"/>
            </w:r>
            <w:r w:rsidR="65B08F1D">
              <w:instrText>PAGEREF _Toc1956222414 \h</w:instrText>
            </w:r>
            <w:r w:rsidR="65B08F1D">
              <w:fldChar w:fldCharType="separate"/>
            </w:r>
            <w:r w:rsidRPr="12E62483">
              <w:rPr>
                <w:rStyle w:val="Hyperlink"/>
              </w:rPr>
              <w:t>25</w:t>
            </w:r>
            <w:r w:rsidR="65B08F1D">
              <w:fldChar w:fldCharType="end"/>
            </w:r>
          </w:hyperlink>
        </w:p>
        <w:p w14:paraId="0DBA81FF" w14:textId="2DB98459" w:rsidR="65B08F1D" w:rsidRDefault="12E62483" w:rsidP="65B08F1D">
          <w:pPr>
            <w:pStyle w:val="TOC3"/>
            <w:tabs>
              <w:tab w:val="right" w:leader="dot" w:pos="9015"/>
            </w:tabs>
            <w:rPr>
              <w:rStyle w:val="Hyperlink"/>
            </w:rPr>
          </w:pPr>
          <w:hyperlink w:anchor="_Toc721001688">
            <w:r w:rsidRPr="12E62483">
              <w:rPr>
                <w:rStyle w:val="Hyperlink"/>
              </w:rPr>
              <w:t>Statistical Information</w:t>
            </w:r>
            <w:r w:rsidR="65B08F1D">
              <w:tab/>
            </w:r>
            <w:r w:rsidR="65B08F1D">
              <w:fldChar w:fldCharType="begin"/>
            </w:r>
            <w:r w:rsidR="65B08F1D">
              <w:instrText>PAGEREF _Toc721001688 \h</w:instrText>
            </w:r>
            <w:r w:rsidR="65B08F1D">
              <w:fldChar w:fldCharType="separate"/>
            </w:r>
            <w:r w:rsidRPr="12E62483">
              <w:rPr>
                <w:rStyle w:val="Hyperlink"/>
              </w:rPr>
              <w:t>26</w:t>
            </w:r>
            <w:r w:rsidR="65B08F1D">
              <w:fldChar w:fldCharType="end"/>
            </w:r>
          </w:hyperlink>
        </w:p>
        <w:p w14:paraId="07147AD3" w14:textId="60499D40" w:rsidR="12E62483" w:rsidRDefault="12E62483" w:rsidP="12E62483">
          <w:pPr>
            <w:pStyle w:val="TOC3"/>
            <w:tabs>
              <w:tab w:val="right" w:leader="dot" w:pos="9015"/>
            </w:tabs>
            <w:rPr>
              <w:rStyle w:val="Hyperlink"/>
            </w:rPr>
          </w:pPr>
          <w:hyperlink w:anchor="_Toc1450237418">
            <w:r w:rsidRPr="12E62483">
              <w:rPr>
                <w:rStyle w:val="Hyperlink"/>
              </w:rPr>
              <w:t>Theories, Policies, and Legislation</w:t>
            </w:r>
            <w:r>
              <w:tab/>
            </w:r>
            <w:r>
              <w:fldChar w:fldCharType="begin"/>
            </w:r>
            <w:r>
              <w:instrText>PAGEREF _Toc1450237418 \h</w:instrText>
            </w:r>
            <w:r>
              <w:fldChar w:fldCharType="separate"/>
            </w:r>
            <w:r w:rsidRPr="12E62483">
              <w:rPr>
                <w:rStyle w:val="Hyperlink"/>
              </w:rPr>
              <w:t>26</w:t>
            </w:r>
            <w:r>
              <w:fldChar w:fldCharType="end"/>
            </w:r>
          </w:hyperlink>
        </w:p>
        <w:p w14:paraId="2C979BB0" w14:textId="1CB95C10" w:rsidR="12E62483" w:rsidRDefault="12E62483" w:rsidP="12E62483">
          <w:pPr>
            <w:pStyle w:val="TOC4"/>
            <w:tabs>
              <w:tab w:val="right" w:leader="dot" w:pos="9015"/>
            </w:tabs>
            <w:rPr>
              <w:rStyle w:val="Hyperlink"/>
            </w:rPr>
          </w:pPr>
          <w:hyperlink w:anchor="_Toc183499283">
            <w:r w:rsidRPr="12E62483">
              <w:rPr>
                <w:rStyle w:val="Hyperlink"/>
              </w:rPr>
              <w:t>Theoretical Framework</w:t>
            </w:r>
            <w:r>
              <w:tab/>
            </w:r>
            <w:r>
              <w:fldChar w:fldCharType="begin"/>
            </w:r>
            <w:r>
              <w:instrText>PAGEREF _Toc183499283 \h</w:instrText>
            </w:r>
            <w:r>
              <w:fldChar w:fldCharType="separate"/>
            </w:r>
            <w:r w:rsidRPr="12E62483">
              <w:rPr>
                <w:rStyle w:val="Hyperlink"/>
              </w:rPr>
              <w:t>26</w:t>
            </w:r>
            <w:r>
              <w:fldChar w:fldCharType="end"/>
            </w:r>
          </w:hyperlink>
        </w:p>
        <w:p w14:paraId="080FB778" w14:textId="66E38395" w:rsidR="12E62483" w:rsidRDefault="12E62483" w:rsidP="12E62483">
          <w:pPr>
            <w:pStyle w:val="TOC4"/>
            <w:tabs>
              <w:tab w:val="right" w:leader="dot" w:pos="9015"/>
            </w:tabs>
            <w:rPr>
              <w:rStyle w:val="Hyperlink"/>
            </w:rPr>
          </w:pPr>
          <w:hyperlink w:anchor="_Toc1714875400">
            <w:r w:rsidRPr="12E62483">
              <w:rPr>
                <w:rStyle w:val="Hyperlink"/>
              </w:rPr>
              <w:t>Policy and Legislation</w:t>
            </w:r>
            <w:r>
              <w:tab/>
            </w:r>
            <w:r>
              <w:fldChar w:fldCharType="begin"/>
            </w:r>
            <w:r>
              <w:instrText>PAGEREF _Toc1714875400 \h</w:instrText>
            </w:r>
            <w:r>
              <w:fldChar w:fldCharType="separate"/>
            </w:r>
            <w:r w:rsidRPr="12E62483">
              <w:rPr>
                <w:rStyle w:val="Hyperlink"/>
              </w:rPr>
              <w:t>26</w:t>
            </w:r>
            <w:r>
              <w:fldChar w:fldCharType="end"/>
            </w:r>
          </w:hyperlink>
        </w:p>
        <w:p w14:paraId="06E1E23F" w14:textId="454741D8" w:rsidR="12E62483" w:rsidRDefault="12E62483" w:rsidP="12E62483">
          <w:pPr>
            <w:pStyle w:val="TOC3"/>
            <w:tabs>
              <w:tab w:val="right" w:leader="dot" w:pos="9015"/>
            </w:tabs>
            <w:rPr>
              <w:rStyle w:val="Hyperlink"/>
            </w:rPr>
          </w:pPr>
          <w:hyperlink w:anchor="_Toc1091736259">
            <w:r w:rsidRPr="12E62483">
              <w:rPr>
                <w:rStyle w:val="Hyperlink"/>
              </w:rPr>
              <w:t>Implications</w:t>
            </w:r>
            <w:r>
              <w:tab/>
            </w:r>
            <w:r>
              <w:fldChar w:fldCharType="begin"/>
            </w:r>
            <w:r>
              <w:instrText>PAGEREF _Toc1091736259 \h</w:instrText>
            </w:r>
            <w:r>
              <w:fldChar w:fldCharType="separate"/>
            </w:r>
            <w:r w:rsidRPr="12E62483">
              <w:rPr>
                <w:rStyle w:val="Hyperlink"/>
              </w:rPr>
              <w:t>27</w:t>
            </w:r>
            <w:r>
              <w:fldChar w:fldCharType="end"/>
            </w:r>
          </w:hyperlink>
        </w:p>
        <w:p w14:paraId="1C53D5EB" w14:textId="53EE2906" w:rsidR="12E62483" w:rsidRDefault="12E62483" w:rsidP="12E62483">
          <w:pPr>
            <w:pStyle w:val="TOC4"/>
            <w:tabs>
              <w:tab w:val="right" w:leader="dot" w:pos="9015"/>
            </w:tabs>
            <w:rPr>
              <w:rStyle w:val="Hyperlink"/>
            </w:rPr>
          </w:pPr>
          <w:hyperlink w:anchor="_Toc1785592808">
            <w:r w:rsidRPr="12E62483">
              <w:rPr>
                <w:rStyle w:val="Hyperlink"/>
              </w:rPr>
              <w:t>Positive Implications</w:t>
            </w:r>
            <w:r>
              <w:tab/>
            </w:r>
            <w:r>
              <w:fldChar w:fldCharType="begin"/>
            </w:r>
            <w:r>
              <w:instrText>PAGEREF _Toc1785592808 \h</w:instrText>
            </w:r>
            <w:r>
              <w:fldChar w:fldCharType="separate"/>
            </w:r>
            <w:r w:rsidRPr="12E62483">
              <w:rPr>
                <w:rStyle w:val="Hyperlink"/>
              </w:rPr>
              <w:t>27</w:t>
            </w:r>
            <w:r>
              <w:fldChar w:fldCharType="end"/>
            </w:r>
          </w:hyperlink>
        </w:p>
        <w:p w14:paraId="1EB11ED0" w14:textId="116D49B7" w:rsidR="12E62483" w:rsidRDefault="12E62483" w:rsidP="12E62483">
          <w:pPr>
            <w:pStyle w:val="TOC4"/>
            <w:tabs>
              <w:tab w:val="right" w:leader="dot" w:pos="9015"/>
            </w:tabs>
            <w:rPr>
              <w:rStyle w:val="Hyperlink"/>
            </w:rPr>
          </w:pPr>
          <w:hyperlink w:anchor="_Toc1267272471">
            <w:r w:rsidRPr="12E62483">
              <w:rPr>
                <w:rStyle w:val="Hyperlink"/>
              </w:rPr>
              <w:t>Negative Implications</w:t>
            </w:r>
            <w:r>
              <w:tab/>
            </w:r>
            <w:r>
              <w:fldChar w:fldCharType="begin"/>
            </w:r>
            <w:r>
              <w:instrText>PAGEREF _Toc1267272471 \h</w:instrText>
            </w:r>
            <w:r>
              <w:fldChar w:fldCharType="separate"/>
            </w:r>
            <w:r w:rsidRPr="12E62483">
              <w:rPr>
                <w:rStyle w:val="Hyperlink"/>
              </w:rPr>
              <w:t>27</w:t>
            </w:r>
            <w:r>
              <w:fldChar w:fldCharType="end"/>
            </w:r>
          </w:hyperlink>
        </w:p>
        <w:p w14:paraId="5A6DCB17" w14:textId="22F775B1" w:rsidR="12E62483" w:rsidRDefault="12E62483" w:rsidP="12E62483">
          <w:pPr>
            <w:pStyle w:val="TOC3"/>
            <w:tabs>
              <w:tab w:val="right" w:leader="dot" w:pos="9015"/>
            </w:tabs>
            <w:rPr>
              <w:rStyle w:val="Hyperlink"/>
            </w:rPr>
          </w:pPr>
          <w:hyperlink w:anchor="_Toc160109655">
            <w:r w:rsidRPr="12E62483">
              <w:rPr>
                <w:rStyle w:val="Hyperlink"/>
              </w:rPr>
              <w:t>Examples from Articles</w:t>
            </w:r>
            <w:r>
              <w:tab/>
            </w:r>
            <w:r>
              <w:fldChar w:fldCharType="begin"/>
            </w:r>
            <w:r>
              <w:instrText>PAGEREF _Toc160109655 \h</w:instrText>
            </w:r>
            <w:r>
              <w:fldChar w:fldCharType="separate"/>
            </w:r>
            <w:r w:rsidRPr="12E62483">
              <w:rPr>
                <w:rStyle w:val="Hyperlink"/>
              </w:rPr>
              <w:t>27</w:t>
            </w:r>
            <w:r>
              <w:fldChar w:fldCharType="end"/>
            </w:r>
          </w:hyperlink>
        </w:p>
        <w:p w14:paraId="515DD583" w14:textId="20AA66A3" w:rsidR="12E62483" w:rsidRDefault="12E62483" w:rsidP="12E62483">
          <w:pPr>
            <w:pStyle w:val="TOC3"/>
            <w:tabs>
              <w:tab w:val="right" w:leader="dot" w:pos="9015"/>
            </w:tabs>
            <w:rPr>
              <w:rStyle w:val="Hyperlink"/>
            </w:rPr>
          </w:pPr>
          <w:hyperlink w:anchor="_Toc727697227">
            <w:r w:rsidRPr="12E62483">
              <w:rPr>
                <w:rStyle w:val="Hyperlink"/>
              </w:rPr>
              <w:t>Conclusion</w:t>
            </w:r>
            <w:r>
              <w:tab/>
            </w:r>
            <w:r>
              <w:fldChar w:fldCharType="begin"/>
            </w:r>
            <w:r>
              <w:instrText>PAGEREF _Toc727697227 \h</w:instrText>
            </w:r>
            <w:r>
              <w:fldChar w:fldCharType="separate"/>
            </w:r>
            <w:r w:rsidRPr="12E62483">
              <w:rPr>
                <w:rStyle w:val="Hyperlink"/>
              </w:rPr>
              <w:t>28</w:t>
            </w:r>
            <w:r>
              <w:fldChar w:fldCharType="end"/>
            </w:r>
          </w:hyperlink>
        </w:p>
        <w:p w14:paraId="0E71C696" w14:textId="4074A43E" w:rsidR="12E62483" w:rsidRDefault="12E62483" w:rsidP="12E62483">
          <w:pPr>
            <w:pStyle w:val="TOC2"/>
            <w:tabs>
              <w:tab w:val="right" w:leader="dot" w:pos="9015"/>
            </w:tabs>
            <w:rPr>
              <w:rStyle w:val="Hyperlink"/>
            </w:rPr>
          </w:pPr>
          <w:hyperlink w:anchor="_Toc312635437">
            <w:r w:rsidRPr="12E62483">
              <w:rPr>
                <w:rStyle w:val="Hyperlink"/>
              </w:rPr>
              <w:t>4.5 THEME 3: Structural and Systemic Barriers</w:t>
            </w:r>
            <w:r>
              <w:tab/>
            </w:r>
            <w:r>
              <w:fldChar w:fldCharType="begin"/>
            </w:r>
            <w:r>
              <w:instrText>PAGEREF _Toc312635437 \h</w:instrText>
            </w:r>
            <w:r>
              <w:fldChar w:fldCharType="separate"/>
            </w:r>
            <w:r w:rsidRPr="12E62483">
              <w:rPr>
                <w:rStyle w:val="Hyperlink"/>
              </w:rPr>
              <w:t>28</w:t>
            </w:r>
            <w:r>
              <w:fldChar w:fldCharType="end"/>
            </w:r>
          </w:hyperlink>
        </w:p>
        <w:p w14:paraId="597A72F0" w14:textId="68A0738D" w:rsidR="12E62483" w:rsidRDefault="12E62483" w:rsidP="12E62483">
          <w:pPr>
            <w:pStyle w:val="TOC3"/>
            <w:tabs>
              <w:tab w:val="right" w:leader="dot" w:pos="9015"/>
            </w:tabs>
            <w:rPr>
              <w:rStyle w:val="Hyperlink"/>
            </w:rPr>
          </w:pPr>
          <w:hyperlink w:anchor="_Toc2128807660">
            <w:r w:rsidRPr="12E62483">
              <w:rPr>
                <w:rStyle w:val="Hyperlink"/>
              </w:rPr>
              <w:t>Definition</w:t>
            </w:r>
            <w:r>
              <w:tab/>
            </w:r>
            <w:r>
              <w:fldChar w:fldCharType="begin"/>
            </w:r>
            <w:r>
              <w:instrText>PAGEREF _Toc2128807660 \h</w:instrText>
            </w:r>
            <w:r>
              <w:fldChar w:fldCharType="separate"/>
            </w:r>
            <w:r w:rsidRPr="12E62483">
              <w:rPr>
                <w:rStyle w:val="Hyperlink"/>
              </w:rPr>
              <w:t>28</w:t>
            </w:r>
            <w:r>
              <w:fldChar w:fldCharType="end"/>
            </w:r>
          </w:hyperlink>
        </w:p>
        <w:p w14:paraId="71C8A6E3" w14:textId="0D5E0B65" w:rsidR="12E62483" w:rsidRDefault="12E62483" w:rsidP="12E62483">
          <w:pPr>
            <w:pStyle w:val="TOC3"/>
            <w:tabs>
              <w:tab w:val="right" w:leader="dot" w:pos="9015"/>
            </w:tabs>
            <w:rPr>
              <w:rStyle w:val="Hyperlink"/>
            </w:rPr>
          </w:pPr>
          <w:hyperlink w:anchor="_Toc1961759048">
            <w:r w:rsidRPr="12E62483">
              <w:rPr>
                <w:rStyle w:val="Hyperlink"/>
              </w:rPr>
              <w:t>Background Information</w:t>
            </w:r>
            <w:r>
              <w:tab/>
            </w:r>
            <w:r>
              <w:fldChar w:fldCharType="begin"/>
            </w:r>
            <w:r>
              <w:instrText>PAGEREF _Toc1961759048 \h</w:instrText>
            </w:r>
            <w:r>
              <w:fldChar w:fldCharType="separate"/>
            </w:r>
            <w:r w:rsidRPr="12E62483">
              <w:rPr>
                <w:rStyle w:val="Hyperlink"/>
              </w:rPr>
              <w:t>28</w:t>
            </w:r>
            <w:r>
              <w:fldChar w:fldCharType="end"/>
            </w:r>
          </w:hyperlink>
        </w:p>
        <w:p w14:paraId="544F9CAB" w14:textId="689C98F1" w:rsidR="12E62483" w:rsidRDefault="12E62483" w:rsidP="12E62483">
          <w:pPr>
            <w:pStyle w:val="TOC3"/>
            <w:tabs>
              <w:tab w:val="right" w:leader="dot" w:pos="9015"/>
            </w:tabs>
            <w:rPr>
              <w:rStyle w:val="Hyperlink"/>
            </w:rPr>
          </w:pPr>
          <w:hyperlink w:anchor="_Toc152349110">
            <w:r w:rsidRPr="12E62483">
              <w:rPr>
                <w:rStyle w:val="Hyperlink"/>
              </w:rPr>
              <w:t>Statistical Information</w:t>
            </w:r>
            <w:r>
              <w:tab/>
            </w:r>
            <w:r>
              <w:fldChar w:fldCharType="begin"/>
            </w:r>
            <w:r>
              <w:instrText>PAGEREF _Toc152349110 \h</w:instrText>
            </w:r>
            <w:r>
              <w:fldChar w:fldCharType="separate"/>
            </w:r>
            <w:r w:rsidRPr="12E62483">
              <w:rPr>
                <w:rStyle w:val="Hyperlink"/>
              </w:rPr>
              <w:t>29</w:t>
            </w:r>
            <w:r>
              <w:fldChar w:fldCharType="end"/>
            </w:r>
          </w:hyperlink>
        </w:p>
        <w:p w14:paraId="392AA8C7" w14:textId="797425D6" w:rsidR="12E62483" w:rsidRDefault="12E62483" w:rsidP="12E62483">
          <w:pPr>
            <w:pStyle w:val="TOC3"/>
            <w:tabs>
              <w:tab w:val="right" w:leader="dot" w:pos="9015"/>
            </w:tabs>
            <w:rPr>
              <w:rStyle w:val="Hyperlink"/>
            </w:rPr>
          </w:pPr>
          <w:hyperlink w:anchor="_Toc6092487">
            <w:r w:rsidRPr="12E62483">
              <w:rPr>
                <w:rStyle w:val="Hyperlink"/>
              </w:rPr>
              <w:t>Theories, Policies, and Legislation</w:t>
            </w:r>
            <w:r>
              <w:tab/>
            </w:r>
            <w:r>
              <w:fldChar w:fldCharType="begin"/>
            </w:r>
            <w:r>
              <w:instrText>PAGEREF _Toc6092487 \h</w:instrText>
            </w:r>
            <w:r>
              <w:fldChar w:fldCharType="separate"/>
            </w:r>
            <w:r w:rsidRPr="12E62483">
              <w:rPr>
                <w:rStyle w:val="Hyperlink"/>
              </w:rPr>
              <w:t>29</w:t>
            </w:r>
            <w:r>
              <w:fldChar w:fldCharType="end"/>
            </w:r>
          </w:hyperlink>
        </w:p>
        <w:p w14:paraId="39F1D096" w14:textId="0E482B2F" w:rsidR="12E62483" w:rsidRDefault="12E62483" w:rsidP="12E62483">
          <w:pPr>
            <w:pStyle w:val="TOC4"/>
            <w:tabs>
              <w:tab w:val="right" w:leader="dot" w:pos="9015"/>
            </w:tabs>
            <w:rPr>
              <w:rStyle w:val="Hyperlink"/>
            </w:rPr>
          </w:pPr>
          <w:hyperlink w:anchor="_Toc2117589551">
            <w:r w:rsidRPr="12E62483">
              <w:rPr>
                <w:rStyle w:val="Hyperlink"/>
              </w:rPr>
              <w:t>Theoretical Framework</w:t>
            </w:r>
            <w:r>
              <w:tab/>
            </w:r>
            <w:r>
              <w:fldChar w:fldCharType="begin"/>
            </w:r>
            <w:r>
              <w:instrText>PAGEREF _Toc2117589551 \h</w:instrText>
            </w:r>
            <w:r>
              <w:fldChar w:fldCharType="separate"/>
            </w:r>
            <w:r w:rsidRPr="12E62483">
              <w:rPr>
                <w:rStyle w:val="Hyperlink"/>
              </w:rPr>
              <w:t>29</w:t>
            </w:r>
            <w:r>
              <w:fldChar w:fldCharType="end"/>
            </w:r>
          </w:hyperlink>
        </w:p>
        <w:p w14:paraId="2520D02F" w14:textId="4386D7A0" w:rsidR="12E62483" w:rsidRDefault="12E62483" w:rsidP="12E62483">
          <w:pPr>
            <w:pStyle w:val="TOC4"/>
            <w:tabs>
              <w:tab w:val="right" w:leader="dot" w:pos="9015"/>
            </w:tabs>
            <w:rPr>
              <w:rStyle w:val="Hyperlink"/>
            </w:rPr>
          </w:pPr>
          <w:hyperlink w:anchor="_Toc627676016">
            <w:r w:rsidRPr="12E62483">
              <w:rPr>
                <w:rStyle w:val="Hyperlink"/>
              </w:rPr>
              <w:t>Policies</w:t>
            </w:r>
            <w:r>
              <w:tab/>
            </w:r>
            <w:r>
              <w:fldChar w:fldCharType="begin"/>
            </w:r>
            <w:r>
              <w:instrText>PAGEREF _Toc627676016 \h</w:instrText>
            </w:r>
            <w:r>
              <w:fldChar w:fldCharType="separate"/>
            </w:r>
            <w:r w:rsidRPr="12E62483">
              <w:rPr>
                <w:rStyle w:val="Hyperlink"/>
              </w:rPr>
              <w:t>29</w:t>
            </w:r>
            <w:r>
              <w:fldChar w:fldCharType="end"/>
            </w:r>
          </w:hyperlink>
        </w:p>
        <w:p w14:paraId="29E93F4A" w14:textId="5B0B4EDE" w:rsidR="12E62483" w:rsidRDefault="12E62483" w:rsidP="12E62483">
          <w:pPr>
            <w:pStyle w:val="TOC3"/>
            <w:tabs>
              <w:tab w:val="right" w:leader="dot" w:pos="9015"/>
            </w:tabs>
            <w:rPr>
              <w:rStyle w:val="Hyperlink"/>
            </w:rPr>
          </w:pPr>
          <w:hyperlink w:anchor="_Toc1131236377">
            <w:r w:rsidRPr="12E62483">
              <w:rPr>
                <w:rStyle w:val="Hyperlink"/>
              </w:rPr>
              <w:t>Implications</w:t>
            </w:r>
            <w:r>
              <w:tab/>
            </w:r>
            <w:r>
              <w:fldChar w:fldCharType="begin"/>
            </w:r>
            <w:r>
              <w:instrText>PAGEREF _Toc1131236377 \h</w:instrText>
            </w:r>
            <w:r>
              <w:fldChar w:fldCharType="separate"/>
            </w:r>
            <w:r w:rsidRPr="12E62483">
              <w:rPr>
                <w:rStyle w:val="Hyperlink"/>
              </w:rPr>
              <w:t>29</w:t>
            </w:r>
            <w:r>
              <w:fldChar w:fldCharType="end"/>
            </w:r>
          </w:hyperlink>
        </w:p>
        <w:p w14:paraId="45E38E43" w14:textId="532B1666" w:rsidR="12E62483" w:rsidRDefault="12E62483" w:rsidP="12E62483">
          <w:pPr>
            <w:pStyle w:val="TOC4"/>
            <w:tabs>
              <w:tab w:val="right" w:leader="dot" w:pos="9015"/>
            </w:tabs>
            <w:rPr>
              <w:rStyle w:val="Hyperlink"/>
            </w:rPr>
          </w:pPr>
          <w:hyperlink w:anchor="_Toc2100946552">
            <w:r w:rsidRPr="12E62483">
              <w:rPr>
                <w:rStyle w:val="Hyperlink"/>
              </w:rPr>
              <w:t>Positive Implications</w:t>
            </w:r>
            <w:r>
              <w:tab/>
            </w:r>
            <w:r>
              <w:fldChar w:fldCharType="begin"/>
            </w:r>
            <w:r>
              <w:instrText>PAGEREF _Toc2100946552 \h</w:instrText>
            </w:r>
            <w:r>
              <w:fldChar w:fldCharType="separate"/>
            </w:r>
            <w:r w:rsidRPr="12E62483">
              <w:rPr>
                <w:rStyle w:val="Hyperlink"/>
              </w:rPr>
              <w:t>30</w:t>
            </w:r>
            <w:r>
              <w:fldChar w:fldCharType="end"/>
            </w:r>
          </w:hyperlink>
        </w:p>
        <w:p w14:paraId="4CCF8A5D" w14:textId="44455C8A" w:rsidR="12E62483" w:rsidRDefault="12E62483" w:rsidP="12E62483">
          <w:pPr>
            <w:pStyle w:val="TOC4"/>
            <w:tabs>
              <w:tab w:val="right" w:leader="dot" w:pos="9015"/>
            </w:tabs>
            <w:rPr>
              <w:rStyle w:val="Hyperlink"/>
            </w:rPr>
          </w:pPr>
          <w:hyperlink w:anchor="_Toc1245188717">
            <w:r w:rsidRPr="12E62483">
              <w:rPr>
                <w:rStyle w:val="Hyperlink"/>
              </w:rPr>
              <w:t>Negative Implications</w:t>
            </w:r>
            <w:r>
              <w:tab/>
            </w:r>
            <w:r>
              <w:fldChar w:fldCharType="begin"/>
            </w:r>
            <w:r>
              <w:instrText>PAGEREF _Toc1245188717 \h</w:instrText>
            </w:r>
            <w:r>
              <w:fldChar w:fldCharType="separate"/>
            </w:r>
            <w:r w:rsidRPr="12E62483">
              <w:rPr>
                <w:rStyle w:val="Hyperlink"/>
              </w:rPr>
              <w:t>30</w:t>
            </w:r>
            <w:r>
              <w:fldChar w:fldCharType="end"/>
            </w:r>
          </w:hyperlink>
        </w:p>
        <w:p w14:paraId="024E761E" w14:textId="15E992FA" w:rsidR="12E62483" w:rsidRDefault="12E62483" w:rsidP="12E62483">
          <w:pPr>
            <w:pStyle w:val="TOC3"/>
            <w:tabs>
              <w:tab w:val="right" w:leader="dot" w:pos="9015"/>
            </w:tabs>
            <w:rPr>
              <w:rStyle w:val="Hyperlink"/>
            </w:rPr>
          </w:pPr>
          <w:hyperlink w:anchor="_Toc591881253">
            <w:r w:rsidRPr="12E62483">
              <w:rPr>
                <w:rStyle w:val="Hyperlink"/>
              </w:rPr>
              <w:t>Examples from Articles</w:t>
            </w:r>
            <w:r>
              <w:tab/>
            </w:r>
            <w:r>
              <w:fldChar w:fldCharType="begin"/>
            </w:r>
            <w:r>
              <w:instrText>PAGEREF _Toc591881253 \h</w:instrText>
            </w:r>
            <w:r>
              <w:fldChar w:fldCharType="separate"/>
            </w:r>
            <w:r w:rsidRPr="12E62483">
              <w:rPr>
                <w:rStyle w:val="Hyperlink"/>
              </w:rPr>
              <w:t>30</w:t>
            </w:r>
            <w:r>
              <w:fldChar w:fldCharType="end"/>
            </w:r>
          </w:hyperlink>
        </w:p>
        <w:p w14:paraId="7E78F45E" w14:textId="402897D5" w:rsidR="12E62483" w:rsidRDefault="12E62483" w:rsidP="12E62483">
          <w:pPr>
            <w:pStyle w:val="TOC3"/>
            <w:tabs>
              <w:tab w:val="right" w:leader="dot" w:pos="9015"/>
            </w:tabs>
            <w:rPr>
              <w:rStyle w:val="Hyperlink"/>
            </w:rPr>
          </w:pPr>
          <w:hyperlink w:anchor="_Toc1629851419">
            <w:r w:rsidRPr="12E62483">
              <w:rPr>
                <w:rStyle w:val="Hyperlink"/>
              </w:rPr>
              <w:t>Conclusion</w:t>
            </w:r>
            <w:r>
              <w:tab/>
            </w:r>
            <w:r>
              <w:fldChar w:fldCharType="begin"/>
            </w:r>
            <w:r>
              <w:instrText>PAGEREF _Toc1629851419 \h</w:instrText>
            </w:r>
            <w:r>
              <w:fldChar w:fldCharType="separate"/>
            </w:r>
            <w:r w:rsidRPr="12E62483">
              <w:rPr>
                <w:rStyle w:val="Hyperlink"/>
              </w:rPr>
              <w:t>30</w:t>
            </w:r>
            <w:r>
              <w:fldChar w:fldCharType="end"/>
            </w:r>
          </w:hyperlink>
        </w:p>
        <w:p w14:paraId="2ABFDD3E" w14:textId="39DABB27" w:rsidR="12E62483" w:rsidRDefault="12E62483" w:rsidP="12E62483">
          <w:pPr>
            <w:pStyle w:val="TOC2"/>
            <w:tabs>
              <w:tab w:val="right" w:leader="dot" w:pos="9015"/>
            </w:tabs>
            <w:rPr>
              <w:rStyle w:val="Hyperlink"/>
            </w:rPr>
          </w:pPr>
          <w:hyperlink w:anchor="_Toc1583473678">
            <w:r w:rsidRPr="12E62483">
              <w:rPr>
                <w:rStyle w:val="Hyperlink"/>
              </w:rPr>
              <w:t>4.6 Conclusion</w:t>
            </w:r>
            <w:r>
              <w:tab/>
            </w:r>
            <w:r>
              <w:fldChar w:fldCharType="begin"/>
            </w:r>
            <w:r>
              <w:instrText>PAGEREF _Toc1583473678 \h</w:instrText>
            </w:r>
            <w:r>
              <w:fldChar w:fldCharType="separate"/>
            </w:r>
            <w:r w:rsidRPr="12E62483">
              <w:rPr>
                <w:rStyle w:val="Hyperlink"/>
              </w:rPr>
              <w:t>30</w:t>
            </w:r>
            <w:r>
              <w:fldChar w:fldCharType="end"/>
            </w:r>
          </w:hyperlink>
        </w:p>
        <w:p w14:paraId="54E8B2DF" w14:textId="2FE7F79B" w:rsidR="12E62483" w:rsidRDefault="12E62483" w:rsidP="12E62483">
          <w:pPr>
            <w:pStyle w:val="TOC1"/>
            <w:tabs>
              <w:tab w:val="right" w:leader="dot" w:pos="9015"/>
            </w:tabs>
            <w:rPr>
              <w:rStyle w:val="Hyperlink"/>
            </w:rPr>
          </w:pPr>
          <w:hyperlink w:anchor="_Toc1896481357">
            <w:r w:rsidRPr="12E62483">
              <w:rPr>
                <w:rStyle w:val="Hyperlink"/>
              </w:rPr>
              <w:t>CHAPTER 5 CONCLUSION AND RECOMMENDATIONS</w:t>
            </w:r>
            <w:r>
              <w:tab/>
            </w:r>
            <w:r>
              <w:fldChar w:fldCharType="begin"/>
            </w:r>
            <w:r>
              <w:instrText>PAGEREF _Toc1896481357 \h</w:instrText>
            </w:r>
            <w:r>
              <w:fldChar w:fldCharType="separate"/>
            </w:r>
            <w:r w:rsidRPr="12E62483">
              <w:rPr>
                <w:rStyle w:val="Hyperlink"/>
              </w:rPr>
              <w:t>31</w:t>
            </w:r>
            <w:r>
              <w:fldChar w:fldCharType="end"/>
            </w:r>
          </w:hyperlink>
        </w:p>
        <w:p w14:paraId="252DD9F0" w14:textId="369DADD4" w:rsidR="12E62483" w:rsidRDefault="12E62483" w:rsidP="12E62483">
          <w:pPr>
            <w:pStyle w:val="TOC2"/>
            <w:tabs>
              <w:tab w:val="right" w:leader="dot" w:pos="9015"/>
            </w:tabs>
            <w:rPr>
              <w:rStyle w:val="Hyperlink"/>
            </w:rPr>
          </w:pPr>
          <w:hyperlink w:anchor="_Toc1837023377">
            <w:r w:rsidRPr="12E62483">
              <w:rPr>
                <w:rStyle w:val="Hyperlink"/>
              </w:rPr>
              <w:t>5.1 Overall Conclusion</w:t>
            </w:r>
            <w:r>
              <w:tab/>
            </w:r>
            <w:r>
              <w:fldChar w:fldCharType="begin"/>
            </w:r>
            <w:r>
              <w:instrText>PAGEREF _Toc1837023377 \h</w:instrText>
            </w:r>
            <w:r>
              <w:fldChar w:fldCharType="separate"/>
            </w:r>
            <w:r w:rsidRPr="12E62483">
              <w:rPr>
                <w:rStyle w:val="Hyperlink"/>
              </w:rPr>
              <w:t>31</w:t>
            </w:r>
            <w:r>
              <w:fldChar w:fldCharType="end"/>
            </w:r>
          </w:hyperlink>
        </w:p>
        <w:p w14:paraId="433EE1DF" w14:textId="79BBB27F" w:rsidR="12E62483" w:rsidRDefault="12E62483" w:rsidP="12E62483">
          <w:pPr>
            <w:pStyle w:val="TOC2"/>
            <w:tabs>
              <w:tab w:val="right" w:leader="dot" w:pos="9015"/>
            </w:tabs>
            <w:rPr>
              <w:rStyle w:val="Hyperlink"/>
            </w:rPr>
          </w:pPr>
          <w:hyperlink w:anchor="_Toc196058860">
            <w:r w:rsidRPr="12E62483">
              <w:rPr>
                <w:rStyle w:val="Hyperlink"/>
              </w:rPr>
              <w:t>5.2 Recommendations</w:t>
            </w:r>
            <w:r>
              <w:tab/>
            </w:r>
            <w:r>
              <w:fldChar w:fldCharType="begin"/>
            </w:r>
            <w:r>
              <w:instrText>PAGEREF _Toc196058860 \h</w:instrText>
            </w:r>
            <w:r>
              <w:fldChar w:fldCharType="separate"/>
            </w:r>
            <w:r w:rsidRPr="12E62483">
              <w:rPr>
                <w:rStyle w:val="Hyperlink"/>
              </w:rPr>
              <w:t>32</w:t>
            </w:r>
            <w:r>
              <w:fldChar w:fldCharType="end"/>
            </w:r>
          </w:hyperlink>
        </w:p>
        <w:p w14:paraId="26ABEDF1" w14:textId="0D8B01FE" w:rsidR="12E62483" w:rsidRDefault="12E62483" w:rsidP="12E62483">
          <w:pPr>
            <w:pStyle w:val="TOC3"/>
            <w:tabs>
              <w:tab w:val="right" w:leader="dot" w:pos="9015"/>
            </w:tabs>
            <w:rPr>
              <w:rStyle w:val="Hyperlink"/>
            </w:rPr>
          </w:pPr>
          <w:hyperlink w:anchor="_Toc1025438183">
            <w:r w:rsidRPr="12E62483">
              <w:rPr>
                <w:rStyle w:val="Hyperlink"/>
              </w:rPr>
              <w:t>5.2.1 Recommendation 1: Increase Culturally Competent Mental Health Services</w:t>
            </w:r>
            <w:r>
              <w:tab/>
            </w:r>
            <w:r>
              <w:fldChar w:fldCharType="begin"/>
            </w:r>
            <w:r>
              <w:instrText>PAGEREF _Toc1025438183 \h</w:instrText>
            </w:r>
            <w:r>
              <w:fldChar w:fldCharType="separate"/>
            </w:r>
            <w:r w:rsidRPr="12E62483">
              <w:rPr>
                <w:rStyle w:val="Hyperlink"/>
              </w:rPr>
              <w:t>32</w:t>
            </w:r>
            <w:r>
              <w:fldChar w:fldCharType="end"/>
            </w:r>
          </w:hyperlink>
        </w:p>
        <w:p w14:paraId="752F4BF0" w14:textId="4B7F9E62" w:rsidR="12E62483" w:rsidRDefault="12E62483" w:rsidP="12E62483">
          <w:pPr>
            <w:pStyle w:val="TOC3"/>
            <w:tabs>
              <w:tab w:val="right" w:leader="dot" w:pos="9015"/>
            </w:tabs>
            <w:rPr>
              <w:rStyle w:val="Hyperlink"/>
            </w:rPr>
          </w:pPr>
          <w:hyperlink w:anchor="_Toc1378470770">
            <w:r w:rsidRPr="12E62483">
              <w:rPr>
                <w:rStyle w:val="Hyperlink"/>
              </w:rPr>
              <w:t>5.2.2 Recommendation 2: Strengthen Community-Based Mental Health Outreach</w:t>
            </w:r>
            <w:r>
              <w:tab/>
            </w:r>
            <w:r>
              <w:fldChar w:fldCharType="begin"/>
            </w:r>
            <w:r>
              <w:instrText>PAGEREF _Toc1378470770 \h</w:instrText>
            </w:r>
            <w:r>
              <w:fldChar w:fldCharType="separate"/>
            </w:r>
            <w:r w:rsidRPr="12E62483">
              <w:rPr>
                <w:rStyle w:val="Hyperlink"/>
              </w:rPr>
              <w:t>33</w:t>
            </w:r>
            <w:r>
              <w:fldChar w:fldCharType="end"/>
            </w:r>
          </w:hyperlink>
        </w:p>
        <w:p w14:paraId="65F8C6AF" w14:textId="5E9F0BCE" w:rsidR="12E62483" w:rsidRDefault="12E62483" w:rsidP="12E62483">
          <w:pPr>
            <w:pStyle w:val="TOC3"/>
            <w:tabs>
              <w:tab w:val="right" w:leader="dot" w:pos="9015"/>
            </w:tabs>
            <w:rPr>
              <w:rStyle w:val="Hyperlink"/>
            </w:rPr>
          </w:pPr>
          <w:hyperlink w:anchor="_Toc1305420820">
            <w:r w:rsidRPr="12E62483">
              <w:rPr>
                <w:rStyle w:val="Hyperlink"/>
              </w:rPr>
              <w:t>5.2.3 Recommendation 3: Improve Representation and Inclusion in Mental Health Policy and Service Design</w:t>
            </w:r>
            <w:r>
              <w:tab/>
            </w:r>
            <w:r>
              <w:fldChar w:fldCharType="begin"/>
            </w:r>
            <w:r>
              <w:instrText>PAGEREF _Toc1305420820 \h</w:instrText>
            </w:r>
            <w:r>
              <w:fldChar w:fldCharType="separate"/>
            </w:r>
            <w:r w:rsidRPr="12E62483">
              <w:rPr>
                <w:rStyle w:val="Hyperlink"/>
              </w:rPr>
              <w:t>33</w:t>
            </w:r>
            <w:r>
              <w:fldChar w:fldCharType="end"/>
            </w:r>
          </w:hyperlink>
          <w:r>
            <w:fldChar w:fldCharType="end"/>
          </w:r>
        </w:p>
      </w:sdtContent>
    </w:sdt>
    <w:p w14:paraId="4A1843A0" w14:textId="25CEF254" w:rsidR="12E62483" w:rsidRDefault="12E62483" w:rsidP="12E62483">
      <w:pPr>
        <w:pStyle w:val="Heading1"/>
        <w:rPr>
          <w:rFonts w:asciiTheme="minorHAnsi" w:eastAsiaTheme="minorEastAsia" w:hAnsiTheme="minorHAnsi" w:cstheme="minorBidi"/>
          <w:b/>
          <w:bCs/>
          <w:color w:val="000000" w:themeColor="text1"/>
          <w:sz w:val="32"/>
          <w:szCs w:val="32"/>
          <w:lang w:val="en-US"/>
        </w:rPr>
      </w:pPr>
    </w:p>
    <w:p w14:paraId="75D43BCB" w14:textId="7D526EA9" w:rsidR="12E62483" w:rsidRDefault="12E62483" w:rsidP="12E62483">
      <w:pPr>
        <w:pStyle w:val="Heading1"/>
        <w:rPr>
          <w:rFonts w:asciiTheme="minorHAnsi" w:eastAsiaTheme="minorEastAsia" w:hAnsiTheme="minorHAnsi" w:cstheme="minorBidi"/>
          <w:b/>
          <w:bCs/>
          <w:color w:val="000000" w:themeColor="text1"/>
          <w:sz w:val="32"/>
          <w:szCs w:val="32"/>
          <w:lang w:val="en-US"/>
        </w:rPr>
      </w:pPr>
    </w:p>
    <w:p w14:paraId="0E7BF360" w14:textId="62019E03" w:rsidR="12E62483" w:rsidRDefault="12E62483" w:rsidP="6501C848">
      <w:pPr>
        <w:rPr>
          <w:lang w:val="en-US"/>
        </w:rPr>
      </w:pPr>
    </w:p>
    <w:p w14:paraId="25D50703" w14:textId="1E99C14A" w:rsidR="56487953" w:rsidRDefault="56487953" w:rsidP="6501C848">
      <w:pPr>
        <w:rPr>
          <w:lang w:val="en-US"/>
        </w:rPr>
      </w:pPr>
    </w:p>
    <w:p w14:paraId="773C5D22" w14:textId="375E0E64" w:rsidR="56487953" w:rsidRDefault="56487953" w:rsidP="6501C848">
      <w:pPr>
        <w:rPr>
          <w:lang w:val="en-US"/>
        </w:rPr>
      </w:pPr>
    </w:p>
    <w:p w14:paraId="5C8CB9C5" w14:textId="2D40A436" w:rsidR="6501C848" w:rsidRDefault="6501C848" w:rsidP="6501C848">
      <w:pPr>
        <w:rPr>
          <w:lang w:val="en-US"/>
        </w:rPr>
      </w:pPr>
    </w:p>
    <w:p w14:paraId="0D83CA28" w14:textId="2A2323D7" w:rsidR="6501C848" w:rsidRDefault="6501C848" w:rsidP="6501C848">
      <w:pPr>
        <w:rPr>
          <w:lang w:val="en-US"/>
        </w:rPr>
      </w:pPr>
    </w:p>
    <w:p w14:paraId="390528A7" w14:textId="30E85438" w:rsidR="6F418B2E" w:rsidRDefault="6F418B2E" w:rsidP="56487953">
      <w:pPr>
        <w:pStyle w:val="Heading1"/>
        <w:rPr>
          <w:rFonts w:asciiTheme="minorHAnsi" w:eastAsiaTheme="minorEastAsia" w:hAnsiTheme="minorHAnsi" w:cstheme="minorBidi"/>
          <w:b/>
          <w:bCs/>
          <w:color w:val="000000" w:themeColor="text1"/>
          <w:sz w:val="32"/>
          <w:szCs w:val="32"/>
          <w:lang w:val="en-US"/>
        </w:rPr>
      </w:pPr>
      <w:bookmarkStart w:id="0" w:name="_Toc1445001934"/>
      <w:r w:rsidRPr="56487953">
        <w:rPr>
          <w:rFonts w:asciiTheme="minorHAnsi" w:eastAsiaTheme="minorEastAsia" w:hAnsiTheme="minorHAnsi" w:cstheme="minorBidi"/>
          <w:b/>
          <w:bCs/>
          <w:color w:val="000000" w:themeColor="text1"/>
          <w:sz w:val="32"/>
          <w:szCs w:val="32"/>
          <w:lang w:val="en-US"/>
        </w:rPr>
        <w:t>CHAPTER 1 INTRODUCTION</w:t>
      </w:r>
      <w:bookmarkEnd w:id="0"/>
    </w:p>
    <w:p w14:paraId="791675D1" w14:textId="2C41E6E4" w:rsidR="16D93DD3" w:rsidRDefault="16D93DD3" w:rsidP="56487953">
      <w:pPr>
        <w:pStyle w:val="Heading2"/>
        <w:rPr>
          <w:rFonts w:asciiTheme="minorHAnsi" w:eastAsiaTheme="minorEastAsia" w:hAnsiTheme="minorHAnsi" w:cstheme="minorBidi"/>
          <w:b/>
          <w:bCs/>
          <w:color w:val="000000" w:themeColor="text1"/>
          <w:sz w:val="28"/>
          <w:szCs w:val="28"/>
          <w:lang w:val="en-US"/>
        </w:rPr>
      </w:pPr>
      <w:bookmarkStart w:id="1" w:name="_Toc1372023877"/>
      <w:r w:rsidRPr="56487953">
        <w:rPr>
          <w:rFonts w:asciiTheme="minorHAnsi" w:eastAsiaTheme="minorEastAsia" w:hAnsiTheme="minorHAnsi" w:cstheme="minorBidi"/>
          <w:b/>
          <w:bCs/>
          <w:color w:val="000000" w:themeColor="text1"/>
          <w:sz w:val="28"/>
          <w:szCs w:val="28"/>
          <w:lang w:val="en-US"/>
        </w:rPr>
        <w:t>1.1 Introduction</w:t>
      </w:r>
      <w:bookmarkEnd w:id="1"/>
    </w:p>
    <w:p w14:paraId="34CCD4BE" w14:textId="3A406102" w:rsidR="16D93DD3" w:rsidRDefault="2533A6E4" w:rsidP="1B5DD76D">
      <w:pPr>
        <w:spacing w:line="360" w:lineRule="auto"/>
      </w:pPr>
      <w:r w:rsidRPr="1B5DD76D">
        <w:rPr>
          <w:sz w:val="22"/>
          <w:szCs w:val="22"/>
        </w:rPr>
        <w:t xml:space="preserve">Mental health has become a central public health priority within the United Kingdom, with increasing attention directed towards inequalities in access, treatment, and outcomes among racially </w:t>
      </w:r>
      <w:proofErr w:type="spellStart"/>
      <w:r w:rsidRPr="1B5DD76D">
        <w:rPr>
          <w:sz w:val="22"/>
          <w:szCs w:val="22"/>
        </w:rPr>
        <w:t>minoritised</w:t>
      </w:r>
      <w:proofErr w:type="spellEnd"/>
      <w:r w:rsidRPr="1B5DD76D">
        <w:rPr>
          <w:sz w:val="22"/>
          <w:szCs w:val="22"/>
        </w:rPr>
        <w:t xml:space="preserve"> communities. Although the National Health Service (NHS) aspires to provide equitable healthcare for all, evidence shows that access to mental health services remains uneven across different ethnic groups (</w:t>
      </w:r>
      <w:proofErr w:type="spellStart"/>
      <w:r w:rsidRPr="1B5DD76D">
        <w:rPr>
          <w:sz w:val="22"/>
          <w:szCs w:val="22"/>
        </w:rPr>
        <w:t>Bamrah</w:t>
      </w:r>
      <w:proofErr w:type="spellEnd"/>
      <w:r w:rsidRPr="1B5DD76D">
        <w:rPr>
          <w:sz w:val="22"/>
          <w:szCs w:val="22"/>
        </w:rPr>
        <w:t xml:space="preserve">, Rodger and </w:t>
      </w:r>
      <w:proofErr w:type="spellStart"/>
      <w:r w:rsidRPr="1B5DD76D">
        <w:rPr>
          <w:sz w:val="22"/>
          <w:szCs w:val="22"/>
        </w:rPr>
        <w:t>Naqvi</w:t>
      </w:r>
      <w:proofErr w:type="spellEnd"/>
      <w:r w:rsidRPr="1B5DD76D">
        <w:rPr>
          <w:sz w:val="22"/>
          <w:szCs w:val="22"/>
        </w:rPr>
        <w:t>, 2024).</w:t>
      </w:r>
    </w:p>
    <w:p w14:paraId="7748D721" w14:textId="035A82C7" w:rsidR="16D93DD3" w:rsidRDefault="2533A6E4" w:rsidP="1B5DD76D">
      <w:pPr>
        <w:spacing w:line="360" w:lineRule="auto"/>
      </w:pPr>
      <w:r w:rsidRPr="1B5DD76D">
        <w:rPr>
          <w:sz w:val="22"/>
          <w:szCs w:val="22"/>
        </w:rPr>
        <w:t xml:space="preserve">Racially </w:t>
      </w:r>
      <w:proofErr w:type="spellStart"/>
      <w:r w:rsidRPr="1B5DD76D">
        <w:rPr>
          <w:sz w:val="22"/>
          <w:szCs w:val="22"/>
        </w:rPr>
        <w:t>minoritised</w:t>
      </w:r>
      <w:proofErr w:type="spellEnd"/>
      <w:r w:rsidRPr="1B5DD76D">
        <w:rPr>
          <w:sz w:val="22"/>
          <w:szCs w:val="22"/>
        </w:rPr>
        <w:t xml:space="preserve"> people in the UK often face multiple structural and cultural barriers that hinder access to formal mental health support (e.g., stigma, lack of culturally sensitive services, lack of awareness or trust) (Alam, </w:t>
      </w:r>
      <w:proofErr w:type="spellStart"/>
      <w:r w:rsidRPr="1B5DD76D">
        <w:rPr>
          <w:sz w:val="22"/>
          <w:szCs w:val="22"/>
        </w:rPr>
        <w:t>O’Halloran</w:t>
      </w:r>
      <w:proofErr w:type="spellEnd"/>
      <w:r w:rsidRPr="1B5DD76D">
        <w:rPr>
          <w:sz w:val="22"/>
          <w:szCs w:val="22"/>
        </w:rPr>
        <w:t xml:space="preserve"> and </w:t>
      </w:r>
      <w:proofErr w:type="spellStart"/>
      <w:r w:rsidRPr="1B5DD76D">
        <w:rPr>
          <w:sz w:val="22"/>
          <w:szCs w:val="22"/>
        </w:rPr>
        <w:t>Fowke</w:t>
      </w:r>
      <w:proofErr w:type="spellEnd"/>
      <w:r w:rsidRPr="1B5DD76D">
        <w:rPr>
          <w:sz w:val="22"/>
          <w:szCs w:val="22"/>
        </w:rPr>
        <w:t xml:space="preserve">, 2024). These disparities highlight persistent structural and institutional challenges within the UK mental health system that disproportionately affect racially </w:t>
      </w:r>
      <w:proofErr w:type="spellStart"/>
      <w:r w:rsidRPr="1B5DD76D">
        <w:rPr>
          <w:sz w:val="22"/>
          <w:szCs w:val="22"/>
        </w:rPr>
        <w:t>minoritised</w:t>
      </w:r>
      <w:proofErr w:type="spellEnd"/>
      <w:r w:rsidRPr="1B5DD76D">
        <w:rPr>
          <w:sz w:val="22"/>
          <w:szCs w:val="22"/>
        </w:rPr>
        <w:t xml:space="preserve"> people.</w:t>
      </w:r>
    </w:p>
    <w:p w14:paraId="697D18FC" w14:textId="6A4FAC57" w:rsidR="16D93DD3" w:rsidRDefault="2533A6E4" w:rsidP="1B5DD76D">
      <w:pPr>
        <w:spacing w:line="360" w:lineRule="auto"/>
      </w:pPr>
      <w:r w:rsidRPr="1B5DD76D">
        <w:rPr>
          <w:sz w:val="22"/>
          <w:szCs w:val="22"/>
        </w:rPr>
        <w:t xml:space="preserve">Understanding these inequalities requires situating mental health within broader social, cultural, and economic frameworks. Mental health is not solely the absence of illness; it encompasses emotional, psychological, and social well-being (World Health </w:t>
      </w:r>
      <w:proofErr w:type="spellStart"/>
      <w:r w:rsidRPr="1B5DD76D">
        <w:rPr>
          <w:sz w:val="22"/>
          <w:szCs w:val="22"/>
        </w:rPr>
        <w:t>Organization</w:t>
      </w:r>
      <w:proofErr w:type="spellEnd"/>
      <w:r w:rsidRPr="1B5DD76D">
        <w:rPr>
          <w:sz w:val="22"/>
          <w:szCs w:val="22"/>
        </w:rPr>
        <w:t>, 2022). Access to mental health services in the UK remains unequal for many groups, meaning that some individuals may not receive timely support when their mental health affects their thinking, behaviour, relationships, or quality of life (</w:t>
      </w:r>
      <w:proofErr w:type="spellStart"/>
      <w:r w:rsidRPr="1B5DD76D">
        <w:rPr>
          <w:sz w:val="22"/>
          <w:szCs w:val="22"/>
        </w:rPr>
        <w:t>Lowther-Payne</w:t>
      </w:r>
      <w:proofErr w:type="spellEnd"/>
      <w:r w:rsidRPr="1B5DD76D">
        <w:rPr>
          <w:sz w:val="22"/>
          <w:szCs w:val="22"/>
        </w:rPr>
        <w:t xml:space="preserve"> et al., 2023). African communities in the UK represent a highly diverse population, characterised by wide variations in cultural belief systems, migration trajectories, linguistic backgrounds, and socioeconomic circumstances. This diversity means that experiences of health, illness, and help-seeking cannot be understood through a single lens. However, despite this heterogeneity, existing research consistently shows that members of these communities encounter multiple, overlapping barriers that restrict their ability to engage effectively with mental health services. These barriers operate at individual, community, and structural levels and collectively contribute to lower utilisation of available support (Bassey and </w:t>
      </w:r>
      <w:proofErr w:type="spellStart"/>
      <w:r w:rsidRPr="1B5DD76D">
        <w:rPr>
          <w:sz w:val="22"/>
          <w:szCs w:val="22"/>
        </w:rPr>
        <w:t>Zaka</w:t>
      </w:r>
      <w:proofErr w:type="spellEnd"/>
      <w:r w:rsidRPr="1B5DD76D">
        <w:rPr>
          <w:sz w:val="22"/>
          <w:szCs w:val="22"/>
        </w:rPr>
        <w:t>, 2024). This leads to a reluctance to seek help through formal channels, resulting in individuals presenting at crisis points and increasing the likelihood of coercive interventions.</w:t>
      </w:r>
    </w:p>
    <w:p w14:paraId="597CA4C2" w14:textId="4704729E" w:rsidR="16D93DD3" w:rsidRDefault="16D93DD3" w:rsidP="56487953">
      <w:pPr>
        <w:spacing w:line="360" w:lineRule="auto"/>
      </w:pPr>
      <w:r w:rsidRPr="24E8B661">
        <w:rPr>
          <w:sz w:val="22"/>
          <w:szCs w:val="22"/>
        </w:rPr>
        <w:t xml:space="preserve">The significance of </w:t>
      </w:r>
      <w:r w:rsidR="2533A6E4" w:rsidRPr="1B5DD76D">
        <w:rPr>
          <w:sz w:val="22"/>
          <w:szCs w:val="22"/>
        </w:rPr>
        <w:t>examining</w:t>
      </w:r>
      <w:r w:rsidRPr="24E8B661">
        <w:rPr>
          <w:sz w:val="22"/>
          <w:szCs w:val="22"/>
        </w:rPr>
        <w:t xml:space="preserve"> mental health access among African </w:t>
      </w:r>
      <w:r w:rsidR="2533A6E4" w:rsidRPr="1B5DD76D">
        <w:rPr>
          <w:sz w:val="22"/>
          <w:szCs w:val="22"/>
        </w:rPr>
        <w:t xml:space="preserve">and other </w:t>
      </w:r>
      <w:proofErr w:type="spellStart"/>
      <w:r w:rsidR="2533A6E4" w:rsidRPr="1B5DD76D">
        <w:rPr>
          <w:sz w:val="22"/>
          <w:szCs w:val="22"/>
        </w:rPr>
        <w:t>minoritised</w:t>
      </w:r>
      <w:proofErr w:type="spellEnd"/>
      <w:r w:rsidR="2533A6E4" w:rsidRPr="1B5DD76D">
        <w:rPr>
          <w:sz w:val="22"/>
          <w:szCs w:val="22"/>
        </w:rPr>
        <w:t xml:space="preserve"> </w:t>
      </w:r>
      <w:r w:rsidRPr="24E8B661">
        <w:rPr>
          <w:sz w:val="22"/>
          <w:szCs w:val="22"/>
        </w:rPr>
        <w:t xml:space="preserve">communities lies in the potential </w:t>
      </w:r>
      <w:r w:rsidR="2533A6E4" w:rsidRPr="1B5DD76D">
        <w:rPr>
          <w:sz w:val="22"/>
          <w:szCs w:val="22"/>
        </w:rPr>
        <w:t xml:space="preserve">to improve culturally responsive </w:t>
      </w:r>
      <w:r w:rsidRPr="24E8B661">
        <w:rPr>
          <w:sz w:val="22"/>
          <w:szCs w:val="22"/>
        </w:rPr>
        <w:t xml:space="preserve">service delivery, </w:t>
      </w:r>
      <w:r w:rsidR="2533A6E4" w:rsidRPr="1B5DD76D">
        <w:rPr>
          <w:sz w:val="22"/>
          <w:szCs w:val="22"/>
        </w:rPr>
        <w:t>reduce entrenched</w:t>
      </w:r>
      <w:r w:rsidRPr="24E8B661">
        <w:rPr>
          <w:sz w:val="22"/>
          <w:szCs w:val="22"/>
        </w:rPr>
        <w:t xml:space="preserve"> inequalities</w:t>
      </w:r>
      <w:r w:rsidR="2533A6E4" w:rsidRPr="1B5DD76D">
        <w:rPr>
          <w:sz w:val="22"/>
          <w:szCs w:val="22"/>
        </w:rPr>
        <w:t xml:space="preserve"> in care, </w:t>
      </w:r>
      <w:r w:rsidRPr="24E8B661">
        <w:rPr>
          <w:sz w:val="22"/>
          <w:szCs w:val="22"/>
        </w:rPr>
        <w:t xml:space="preserve">and </w:t>
      </w:r>
      <w:r w:rsidR="2533A6E4" w:rsidRPr="1B5DD76D">
        <w:rPr>
          <w:sz w:val="22"/>
          <w:szCs w:val="22"/>
        </w:rPr>
        <w:t xml:space="preserve">confront </w:t>
      </w:r>
      <w:r w:rsidRPr="24E8B661">
        <w:rPr>
          <w:sz w:val="22"/>
          <w:szCs w:val="22"/>
        </w:rPr>
        <w:t xml:space="preserve">systemic </w:t>
      </w:r>
      <w:r w:rsidR="2533A6E4" w:rsidRPr="1B5DD76D">
        <w:rPr>
          <w:sz w:val="22"/>
          <w:szCs w:val="22"/>
        </w:rPr>
        <w:t>injustice</w:t>
      </w:r>
      <w:r w:rsidRPr="24E8B661">
        <w:rPr>
          <w:sz w:val="22"/>
          <w:szCs w:val="22"/>
        </w:rPr>
        <w:t xml:space="preserve"> within </w:t>
      </w:r>
      <w:r w:rsidR="2533A6E4" w:rsidRPr="1B5DD76D">
        <w:rPr>
          <w:sz w:val="22"/>
          <w:szCs w:val="22"/>
        </w:rPr>
        <w:t>mental health services (Care Quality Commission, 2023). It is also underlined by data showing that people from Black and ethnic minority backgrounds continue to face worse access, lower referral to therapy, and poorer outcomes in psychological treatment compared with White British populations (</w:t>
      </w:r>
      <w:proofErr w:type="spellStart"/>
      <w:r w:rsidR="2533A6E4" w:rsidRPr="1B5DD76D">
        <w:rPr>
          <w:sz w:val="22"/>
          <w:szCs w:val="22"/>
        </w:rPr>
        <w:t>Bamrah</w:t>
      </w:r>
      <w:proofErr w:type="spellEnd"/>
      <w:r w:rsidR="2533A6E4" w:rsidRPr="1B5DD76D">
        <w:rPr>
          <w:sz w:val="22"/>
          <w:szCs w:val="22"/>
        </w:rPr>
        <w:t xml:space="preserve">, Rodger and </w:t>
      </w:r>
      <w:proofErr w:type="spellStart"/>
      <w:r w:rsidR="2533A6E4" w:rsidRPr="1B5DD76D">
        <w:rPr>
          <w:sz w:val="22"/>
          <w:szCs w:val="22"/>
        </w:rPr>
        <w:t>Naqvi</w:t>
      </w:r>
      <w:proofErr w:type="spellEnd"/>
      <w:r w:rsidR="2533A6E4" w:rsidRPr="1B5DD76D">
        <w:rPr>
          <w:sz w:val="22"/>
          <w:szCs w:val="22"/>
        </w:rPr>
        <w:t>, 2024).</w:t>
      </w:r>
      <w:r w:rsidRPr="24E8B661">
        <w:rPr>
          <w:sz w:val="22"/>
          <w:szCs w:val="22"/>
        </w:rPr>
        <w:t xml:space="preserve"> Understanding how these forces shape African individuals’ experiences of mental healthcare is therefore vital for informing policy, developing culturally responsive services, and ensuring equitable treatment and support.</w:t>
      </w:r>
    </w:p>
    <w:p w14:paraId="0A46AF0B" w14:textId="3FE7EB1C" w:rsidR="5D95C5F5" w:rsidRDefault="5D95C5F5" w:rsidP="5D95C5F5">
      <w:pPr>
        <w:spacing w:line="360" w:lineRule="auto"/>
        <w:rPr>
          <w:sz w:val="22"/>
          <w:szCs w:val="22"/>
          <w:lang w:val="en-US"/>
        </w:rPr>
      </w:pPr>
    </w:p>
    <w:p w14:paraId="3385778D" w14:textId="3B465B02" w:rsidR="5D95C5F5" w:rsidRDefault="5D95C5F5" w:rsidP="5D95C5F5">
      <w:pPr>
        <w:spacing w:line="360" w:lineRule="auto"/>
        <w:rPr>
          <w:sz w:val="22"/>
          <w:szCs w:val="22"/>
          <w:lang w:val="en-US"/>
        </w:rPr>
      </w:pPr>
    </w:p>
    <w:p w14:paraId="0ECF635D" w14:textId="3314B741" w:rsidR="13A438CE" w:rsidRDefault="13A438CE" w:rsidP="56487953">
      <w:pPr>
        <w:pStyle w:val="Heading2"/>
        <w:rPr>
          <w:rFonts w:ascii="Arial" w:eastAsia="Arial" w:hAnsi="Arial" w:cs="Arial"/>
          <w:color w:val="000000" w:themeColor="text1"/>
          <w:sz w:val="28"/>
          <w:szCs w:val="28"/>
        </w:rPr>
      </w:pPr>
      <w:bookmarkStart w:id="2" w:name="_Toc1721589783"/>
      <w:r w:rsidRPr="7EDA300F">
        <w:rPr>
          <w:rFonts w:ascii="Arial" w:eastAsia="Arial" w:hAnsi="Arial" w:cs="Arial"/>
          <w:b/>
          <w:bCs/>
          <w:color w:val="000000" w:themeColor="text1"/>
          <w:sz w:val="28"/>
          <w:szCs w:val="28"/>
          <w:lang w:val="en-US"/>
        </w:rPr>
        <w:t>1.2 Defining Key Concepts</w:t>
      </w:r>
      <w:bookmarkEnd w:id="2"/>
      <w:r w:rsidRPr="7EDA300F">
        <w:rPr>
          <w:rFonts w:ascii="Arial" w:eastAsia="Arial" w:hAnsi="Arial" w:cs="Arial"/>
          <w:b/>
          <w:bCs/>
          <w:color w:val="000000" w:themeColor="text1"/>
          <w:sz w:val="28"/>
          <w:szCs w:val="28"/>
          <w:lang w:val="en-US"/>
        </w:rPr>
        <w:t xml:space="preserve"> </w:t>
      </w:r>
    </w:p>
    <w:p w14:paraId="658B0716" w14:textId="5CEC7F04" w:rsidR="13A438CE" w:rsidRDefault="13A438CE" w:rsidP="56487953">
      <w:p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Given the complexity of mental health systems, clarifying key concepts helps establish clear parameters for this study. </w:t>
      </w:r>
    </w:p>
    <w:p w14:paraId="0E1AB4AE" w14:textId="4A259D23" w:rsidR="21C987E1" w:rsidRDefault="21C987E1" w:rsidP="1B5DD76D">
      <w:pPr>
        <w:spacing w:line="360" w:lineRule="auto"/>
        <w:rPr>
          <w:rFonts w:ascii="Arial" w:eastAsia="Arial" w:hAnsi="Arial" w:cs="Arial"/>
          <w:color w:val="000000" w:themeColor="text1"/>
          <w:sz w:val="22"/>
          <w:szCs w:val="22"/>
          <w:lang w:val="en-US"/>
        </w:rPr>
      </w:pPr>
      <w:r w:rsidRPr="1B5DD76D">
        <w:rPr>
          <w:rFonts w:ascii="Arial" w:eastAsia="Arial" w:hAnsi="Arial" w:cs="Arial"/>
          <w:color w:val="000000" w:themeColor="text1"/>
          <w:sz w:val="22"/>
          <w:szCs w:val="22"/>
          <w:u w:val="single"/>
          <w:lang w:val="en-US"/>
        </w:rPr>
        <w:t>Mental health</w:t>
      </w:r>
      <w:r w:rsidRPr="1B5DD76D">
        <w:rPr>
          <w:rFonts w:ascii="Arial" w:eastAsia="Arial" w:hAnsi="Arial" w:cs="Arial"/>
          <w:color w:val="000000" w:themeColor="text1"/>
          <w:sz w:val="22"/>
          <w:szCs w:val="22"/>
          <w:lang w:val="en-US"/>
        </w:rPr>
        <w:t xml:space="preserve"> describes a state where an individual surrounded by their social world  has a strong sense of self and others, is able to form and maintain positive relationships, functions well socially, and is comfortable both with others and in their own company; it enables a person to carry out social roles, manage change, and look after both basic and higher-order needs (</w:t>
      </w:r>
      <w:proofErr w:type="spellStart"/>
      <w:r w:rsidRPr="1B5DD76D">
        <w:rPr>
          <w:rFonts w:ascii="Arial" w:eastAsia="Arial" w:hAnsi="Arial" w:cs="Arial"/>
          <w:color w:val="000000" w:themeColor="text1"/>
          <w:sz w:val="22"/>
          <w:szCs w:val="22"/>
          <w:lang w:val="en-US"/>
        </w:rPr>
        <w:t>Bhugra</w:t>
      </w:r>
      <w:proofErr w:type="spellEnd"/>
      <w:r w:rsidRPr="1B5DD76D">
        <w:rPr>
          <w:rFonts w:ascii="Arial" w:eastAsia="Arial" w:hAnsi="Arial" w:cs="Arial"/>
          <w:color w:val="000000" w:themeColor="text1"/>
          <w:sz w:val="22"/>
          <w:szCs w:val="22"/>
          <w:lang w:val="en-US"/>
        </w:rPr>
        <w:t xml:space="preserve">, Till &amp; </w:t>
      </w:r>
      <w:proofErr w:type="spellStart"/>
      <w:r w:rsidRPr="1B5DD76D">
        <w:rPr>
          <w:rFonts w:ascii="Arial" w:eastAsia="Arial" w:hAnsi="Arial" w:cs="Arial"/>
          <w:color w:val="000000" w:themeColor="text1"/>
          <w:sz w:val="22"/>
          <w:szCs w:val="22"/>
          <w:lang w:val="en-US"/>
        </w:rPr>
        <w:t>Sartorius</w:t>
      </w:r>
      <w:proofErr w:type="spellEnd"/>
      <w:r w:rsidRPr="1B5DD76D">
        <w:rPr>
          <w:rFonts w:ascii="Arial" w:eastAsia="Arial" w:hAnsi="Arial" w:cs="Arial"/>
          <w:color w:val="000000" w:themeColor="text1"/>
          <w:sz w:val="22"/>
          <w:szCs w:val="22"/>
          <w:lang w:val="en-US"/>
        </w:rPr>
        <w:t>, 2013). In this view, mental health is not merely the absence of mental illness but a state of balance and positive functioning that allows psychological, emotional and social growth.</w:t>
      </w:r>
    </w:p>
    <w:p w14:paraId="073889BF" w14:textId="3BB94DA2" w:rsidR="730A8DF5" w:rsidRDefault="730A8DF5" w:rsidP="1B5DD76D">
      <w:pPr>
        <w:spacing w:line="360" w:lineRule="auto"/>
        <w:rPr>
          <w:rFonts w:ascii="Arial" w:eastAsia="Arial" w:hAnsi="Arial" w:cs="Arial"/>
          <w:color w:val="000000" w:themeColor="text1"/>
          <w:sz w:val="22"/>
          <w:szCs w:val="22"/>
          <w:lang w:val="en-US"/>
        </w:rPr>
      </w:pPr>
      <w:r w:rsidRPr="6501C848">
        <w:rPr>
          <w:rFonts w:ascii="Arial" w:eastAsia="Arial" w:hAnsi="Arial" w:cs="Arial"/>
          <w:color w:val="000000" w:themeColor="text1"/>
          <w:sz w:val="22"/>
          <w:szCs w:val="22"/>
          <w:u w:val="single"/>
          <w:lang w:val="en-US"/>
        </w:rPr>
        <w:t>BAME</w:t>
      </w:r>
      <w:r w:rsidR="418A6842" w:rsidRPr="6501C848">
        <w:rPr>
          <w:rFonts w:ascii="Arial" w:eastAsia="Arial" w:hAnsi="Arial" w:cs="Arial"/>
          <w:color w:val="000000" w:themeColor="text1"/>
          <w:sz w:val="22"/>
          <w:szCs w:val="22"/>
          <w:u w:val="single"/>
          <w:lang w:val="en-US"/>
        </w:rPr>
        <w:t xml:space="preserve"> </w:t>
      </w:r>
      <w:r w:rsidR="418A6842" w:rsidRPr="6501C848">
        <w:rPr>
          <w:rFonts w:ascii="Arial" w:eastAsia="Arial" w:hAnsi="Arial" w:cs="Arial"/>
          <w:color w:val="000000" w:themeColor="text1"/>
          <w:sz w:val="22"/>
          <w:szCs w:val="22"/>
          <w:lang w:val="en-US"/>
        </w:rPr>
        <w:t>stands for “Black, Asian and Minority Ethnic” — a common UK-based umbrella term used to refer to people from non-White ethnic or racial backgrounds. (GOV.UK, 2024)</w:t>
      </w:r>
    </w:p>
    <w:p w14:paraId="5329C626" w14:textId="2BC8CE27" w:rsidR="13A438CE" w:rsidRDefault="13A438CE" w:rsidP="56487953">
      <w:p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u w:val="single"/>
          <w:lang w:val="en-US"/>
        </w:rPr>
        <w:t>Socio-economic</w:t>
      </w:r>
      <w:r w:rsidRPr="56487953">
        <w:rPr>
          <w:rFonts w:ascii="Arial" w:eastAsia="Arial" w:hAnsi="Arial" w:cs="Arial"/>
          <w:color w:val="000000" w:themeColor="text1"/>
          <w:sz w:val="22"/>
          <w:szCs w:val="22"/>
          <w:lang w:val="en-US"/>
        </w:rPr>
        <w:t xml:space="preserve"> disadvantage also contributes to inequalities, as people experiencing poverty, insecure housing, unemployment, or immigration </w:t>
      </w:r>
      <w:proofErr w:type="spellStart"/>
      <w:r w:rsidRPr="56487953">
        <w:rPr>
          <w:rFonts w:ascii="Arial" w:eastAsia="Arial" w:hAnsi="Arial" w:cs="Arial"/>
          <w:color w:val="000000" w:themeColor="text1"/>
          <w:sz w:val="22"/>
          <w:szCs w:val="22"/>
          <w:lang w:val="en-US"/>
        </w:rPr>
        <w:t>precarity</w:t>
      </w:r>
      <w:proofErr w:type="spellEnd"/>
      <w:r w:rsidRPr="56487953">
        <w:rPr>
          <w:rFonts w:ascii="Arial" w:eastAsia="Arial" w:hAnsi="Arial" w:cs="Arial"/>
          <w:color w:val="000000" w:themeColor="text1"/>
          <w:sz w:val="22"/>
          <w:szCs w:val="22"/>
          <w:lang w:val="en-US"/>
        </w:rPr>
        <w:t xml:space="preserve"> face greater exposure to mental health stressors and fewer opportunities for intervention (</w:t>
      </w:r>
      <w:r w:rsidR="24D3FAB3" w:rsidRPr="6501C848">
        <w:rPr>
          <w:rFonts w:ascii="Arial" w:eastAsia="Arial" w:hAnsi="Arial" w:cs="Arial"/>
          <w:color w:val="000000" w:themeColor="text1"/>
          <w:sz w:val="22"/>
          <w:szCs w:val="22"/>
          <w:lang w:val="en-US"/>
        </w:rPr>
        <w:t>Alegría et al., 2018)</w:t>
      </w:r>
    </w:p>
    <w:p w14:paraId="202E0FE7" w14:textId="6261BF1D" w:rsidR="13A438CE" w:rsidRDefault="13A438CE" w:rsidP="56487953">
      <w:p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These concepts reflect the multifaceted nature of mental health access and highlight why African communities continue to be underserved by mainstream services. </w:t>
      </w:r>
    </w:p>
    <w:p w14:paraId="1D147B04" w14:textId="52D7D4A5" w:rsidR="13A438CE" w:rsidRDefault="13A438CE" w:rsidP="56487953">
      <w:pPr>
        <w:spacing w:line="360" w:lineRule="auto"/>
        <w:jc w:val="both"/>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 </w:t>
      </w:r>
    </w:p>
    <w:p w14:paraId="5D13F5A3" w14:textId="66A30736" w:rsidR="13A438CE" w:rsidRDefault="13A438CE" w:rsidP="24E8B661">
      <w:pPr>
        <w:pStyle w:val="Heading2"/>
        <w:rPr>
          <w:rFonts w:asciiTheme="minorHAnsi" w:eastAsiaTheme="minorEastAsia" w:hAnsiTheme="minorHAnsi" w:cstheme="minorBidi"/>
          <w:b/>
          <w:bCs/>
          <w:color w:val="auto"/>
          <w:sz w:val="28"/>
          <w:szCs w:val="28"/>
        </w:rPr>
      </w:pPr>
      <w:bookmarkStart w:id="3" w:name="_Toc1104833250"/>
      <w:r w:rsidRPr="24E8B661">
        <w:rPr>
          <w:rFonts w:asciiTheme="minorHAnsi" w:eastAsiaTheme="minorEastAsia" w:hAnsiTheme="minorHAnsi" w:cstheme="minorBidi"/>
          <w:b/>
          <w:bCs/>
          <w:color w:val="auto"/>
          <w:sz w:val="28"/>
          <w:szCs w:val="28"/>
          <w:lang w:val="en-US"/>
        </w:rPr>
        <w:t>1.3 Rationale for Research</w:t>
      </w:r>
      <w:bookmarkEnd w:id="3"/>
    </w:p>
    <w:p w14:paraId="61BE10C3" w14:textId="3AC3A419" w:rsidR="760D6903" w:rsidRDefault="760D6903" w:rsidP="6501C848">
      <w:pPr>
        <w:spacing w:line="360" w:lineRule="auto"/>
        <w:rPr>
          <w:sz w:val="22"/>
          <w:szCs w:val="22"/>
          <w:lang w:val="en-US"/>
        </w:rPr>
      </w:pPr>
      <w:r w:rsidRPr="6501C848">
        <w:rPr>
          <w:sz w:val="22"/>
          <w:szCs w:val="22"/>
          <w:lang w:val="en-US"/>
        </w:rPr>
        <w:t xml:space="preserve">There is a growing body of literature on racial inequalities in mental health. However, much of this work groups multiple </w:t>
      </w:r>
      <w:proofErr w:type="spellStart"/>
      <w:r w:rsidRPr="6501C848">
        <w:rPr>
          <w:sz w:val="22"/>
          <w:szCs w:val="22"/>
          <w:lang w:val="en-US"/>
        </w:rPr>
        <w:t>minoritized</w:t>
      </w:r>
      <w:proofErr w:type="spellEnd"/>
      <w:r w:rsidRPr="6501C848">
        <w:rPr>
          <w:sz w:val="22"/>
          <w:szCs w:val="22"/>
          <w:lang w:val="en-US"/>
        </w:rPr>
        <w:t xml:space="preserve"> populations together under broad labels such as “BAME.” While this helps highlight general disparities, it masks important differences between communities that have distinct cultural norms, migration histories, and relationships with institutions. As Shah Alam, </w:t>
      </w:r>
      <w:proofErr w:type="spellStart"/>
      <w:r w:rsidRPr="6501C848">
        <w:rPr>
          <w:sz w:val="22"/>
          <w:szCs w:val="22"/>
          <w:lang w:val="en-US"/>
        </w:rPr>
        <w:t>O’Halloran</w:t>
      </w:r>
      <w:proofErr w:type="spellEnd"/>
      <w:r w:rsidRPr="6501C848">
        <w:rPr>
          <w:sz w:val="22"/>
          <w:szCs w:val="22"/>
          <w:lang w:val="en-US"/>
        </w:rPr>
        <w:t xml:space="preserve"> and </w:t>
      </w:r>
      <w:proofErr w:type="spellStart"/>
      <w:r w:rsidRPr="6501C848">
        <w:rPr>
          <w:sz w:val="22"/>
          <w:szCs w:val="22"/>
          <w:lang w:val="en-US"/>
        </w:rPr>
        <w:t>Fowke</w:t>
      </w:r>
      <w:proofErr w:type="spellEnd"/>
      <w:r w:rsidRPr="6501C848">
        <w:rPr>
          <w:sz w:val="22"/>
          <w:szCs w:val="22"/>
          <w:lang w:val="en-US"/>
        </w:rPr>
        <w:t xml:space="preserve"> (2024) argue, African communities possess unique experiences that warrant separate examination rather than being treated as part of a homogeneous category.</w:t>
      </w:r>
    </w:p>
    <w:p w14:paraId="7654F99F" w14:textId="740B1C22" w:rsidR="760D6903" w:rsidRDefault="760D6903" w:rsidP="6501C848">
      <w:pPr>
        <w:spacing w:line="360" w:lineRule="auto"/>
        <w:rPr>
          <w:sz w:val="22"/>
          <w:szCs w:val="22"/>
          <w:lang w:val="en-US"/>
        </w:rPr>
      </w:pPr>
      <w:r w:rsidRPr="6501C848">
        <w:rPr>
          <w:sz w:val="22"/>
          <w:szCs w:val="22"/>
          <w:lang w:val="en-US"/>
        </w:rPr>
        <w:t xml:space="preserve">Evidence shows that African people, like other Black groups in the UK, are more likely to encounter mental health services at the point of crisis rather than through routine or preventative pathways. This increases their likelihood of involuntary admission under the Mental Health Act — a trend reflected in nationwide patterns of </w:t>
      </w:r>
      <w:proofErr w:type="spellStart"/>
      <w:r w:rsidRPr="6501C848">
        <w:rPr>
          <w:sz w:val="22"/>
          <w:szCs w:val="22"/>
          <w:lang w:val="en-US"/>
        </w:rPr>
        <w:t>racialized</w:t>
      </w:r>
      <w:proofErr w:type="spellEnd"/>
      <w:r w:rsidRPr="6501C848">
        <w:rPr>
          <w:sz w:val="22"/>
          <w:szCs w:val="22"/>
          <w:lang w:val="en-US"/>
        </w:rPr>
        <w:t xml:space="preserve"> disparities in compulsory detention (BMC Health Services Research, 2023).</w:t>
      </w:r>
    </w:p>
    <w:p w14:paraId="3DE2BD2A" w14:textId="585E39CD" w:rsidR="760D6903" w:rsidRDefault="760D6903" w:rsidP="6501C848">
      <w:pPr>
        <w:spacing w:line="360" w:lineRule="auto"/>
        <w:rPr>
          <w:sz w:val="22"/>
          <w:szCs w:val="22"/>
          <w:lang w:val="en-US"/>
        </w:rPr>
      </w:pPr>
      <w:r w:rsidRPr="3D581D49">
        <w:rPr>
          <w:sz w:val="22"/>
          <w:szCs w:val="22"/>
          <w:lang w:val="en-US"/>
        </w:rPr>
        <w:t>National data further illustrate the scale of this inequality. In the year to March 2023, Black or Black British people were detained under the Mental Health Act at a rate of 228 per 100,000, compared with 64 per 100,000 for White people — over 3.5 times higher (Ethnicity Facts and Figures). Within Black ethnic subgroups, those classified as “Any Other Black Background” had the highest detention rate of any ethnic category at 715 per 100,000 in 2022/23 (NHS England Digital). Such figures demonstrate how broad racial labels obscure significant variation within the category “Black”.</w:t>
      </w:r>
    </w:p>
    <w:p w14:paraId="0AB0BD15" w14:textId="4CC571CE" w:rsidR="760D6903" w:rsidRDefault="760D6903" w:rsidP="6501C848">
      <w:pPr>
        <w:spacing w:line="360" w:lineRule="auto"/>
        <w:rPr>
          <w:sz w:val="22"/>
          <w:szCs w:val="22"/>
          <w:lang w:val="en-US"/>
        </w:rPr>
      </w:pPr>
      <w:r w:rsidRPr="3D581D49">
        <w:rPr>
          <w:sz w:val="22"/>
          <w:szCs w:val="22"/>
          <w:lang w:val="en-US"/>
        </w:rPr>
        <w:t xml:space="preserve">Despite this over-representation in coercive and crisis-driven care, many </w:t>
      </w:r>
      <w:proofErr w:type="spellStart"/>
      <w:r w:rsidRPr="3D581D49">
        <w:rPr>
          <w:sz w:val="22"/>
          <w:szCs w:val="22"/>
          <w:lang w:val="en-US"/>
        </w:rPr>
        <w:t>minoriti</w:t>
      </w:r>
      <w:r w:rsidR="587487C0" w:rsidRPr="3D581D49">
        <w:rPr>
          <w:sz w:val="22"/>
          <w:szCs w:val="22"/>
          <w:lang w:val="en-US"/>
        </w:rPr>
        <w:t>z</w:t>
      </w:r>
      <w:r w:rsidRPr="3D581D49">
        <w:rPr>
          <w:sz w:val="22"/>
          <w:szCs w:val="22"/>
          <w:lang w:val="en-US"/>
        </w:rPr>
        <w:t>ed</w:t>
      </w:r>
      <w:proofErr w:type="spellEnd"/>
      <w:r w:rsidRPr="3D581D49">
        <w:rPr>
          <w:sz w:val="22"/>
          <w:szCs w:val="22"/>
          <w:lang w:val="en-US"/>
        </w:rPr>
        <w:t xml:space="preserve"> communities — including Black African groups — continue to face persistent barriers to accessing timely and culturally appropriate mental health support. Research and regulatory reports point to common obstacles such as cultural stigma surrounding mental illness, distrust of statutory services, limited availability of culturally sensitive care models, communication difficulties, and challenges navigating the health system (Care Quality Commission). These barriers operate across individual, community, and structural levels, often deterring people from seeking help until situations escalate, thereby contributing to the disproportionate use of detention under the Mental Health Act.</w:t>
      </w:r>
    </w:p>
    <w:p w14:paraId="0794777A" w14:textId="55CA39FE" w:rsidR="760D6903" w:rsidRDefault="760D6903" w:rsidP="6501C848">
      <w:pPr>
        <w:spacing w:line="360" w:lineRule="auto"/>
        <w:rPr>
          <w:sz w:val="22"/>
          <w:szCs w:val="22"/>
          <w:lang w:val="en-US"/>
        </w:rPr>
      </w:pPr>
      <w:r w:rsidRPr="6501C848">
        <w:rPr>
          <w:sz w:val="22"/>
          <w:szCs w:val="22"/>
          <w:lang w:val="en-US"/>
        </w:rPr>
        <w:t xml:space="preserve">This study responds to these gaps by focusing specifically on African individuals in the UK. It examines the barriers that prevent early access to mental health services and explores how cultural and systemic factors shape engagement with statutory provision. The aim is to develop insights that can inform culturally responsive, community-led service models — approaches that move beyond broad “ethnic minority” categories and instead </w:t>
      </w:r>
      <w:proofErr w:type="spellStart"/>
      <w:r w:rsidRPr="6501C848">
        <w:rPr>
          <w:sz w:val="22"/>
          <w:szCs w:val="22"/>
          <w:lang w:val="en-US"/>
        </w:rPr>
        <w:t>recognise</w:t>
      </w:r>
      <w:proofErr w:type="spellEnd"/>
      <w:r w:rsidRPr="6501C848">
        <w:rPr>
          <w:sz w:val="22"/>
          <w:szCs w:val="22"/>
          <w:lang w:val="en-US"/>
        </w:rPr>
        <w:t xml:space="preserve"> the diverse ways different African communities understand, experience, and seek support for mental health challenges.</w:t>
      </w:r>
    </w:p>
    <w:p w14:paraId="04A51987" w14:textId="1D08F2BF" w:rsidR="6501C848" w:rsidRDefault="6501C848" w:rsidP="6501C848">
      <w:pPr>
        <w:rPr>
          <w:lang w:val="en-US"/>
        </w:rPr>
      </w:pPr>
    </w:p>
    <w:p w14:paraId="21D68328" w14:textId="6254B6DD" w:rsidR="56487953" w:rsidRDefault="2D55A843" w:rsidP="1B5DD76D">
      <w:pPr>
        <w:spacing w:before="240" w:after="240" w:line="360" w:lineRule="auto"/>
      </w:pPr>
      <w:r w:rsidRPr="1B5DD76D">
        <w:rPr>
          <w:rFonts w:ascii="Arial" w:eastAsia="Arial" w:hAnsi="Arial" w:cs="Arial"/>
          <w:sz w:val="22"/>
          <w:szCs w:val="22"/>
          <w:lang w:val="en-US"/>
        </w:rPr>
        <w:t>.</w:t>
      </w:r>
    </w:p>
    <w:p w14:paraId="434385BC" w14:textId="3E320CB6" w:rsidR="56487953" w:rsidRDefault="50DAC90D" w:rsidP="1B5DD76D">
      <w:pPr>
        <w:spacing w:line="360" w:lineRule="auto"/>
        <w:rPr>
          <w:b/>
          <w:color w:val="000000" w:themeColor="text1"/>
          <w:sz w:val="28"/>
          <w:szCs w:val="28"/>
        </w:rPr>
      </w:pPr>
      <w:r w:rsidRPr="1B62D44F">
        <w:rPr>
          <w:rFonts w:ascii="Arial" w:eastAsia="Arial" w:hAnsi="Arial" w:cs="Arial"/>
          <w:color w:val="000000" w:themeColor="text1"/>
          <w:sz w:val="22"/>
          <w:szCs w:val="22"/>
          <w:lang w:val="en-US"/>
        </w:rPr>
        <w:t xml:space="preserve"> </w:t>
      </w:r>
      <w:r w:rsidR="13A438CE" w:rsidRPr="1B62D44F">
        <w:rPr>
          <w:b/>
          <w:sz w:val="28"/>
          <w:szCs w:val="28"/>
          <w:lang w:val="en-US"/>
        </w:rPr>
        <w:t xml:space="preserve">1.4 Aim and Objectives </w:t>
      </w:r>
    </w:p>
    <w:p w14:paraId="252B4535" w14:textId="2755CC0C" w:rsidR="13A438CE" w:rsidRDefault="13A438CE" w:rsidP="15AEAD91">
      <w:pPr>
        <w:pStyle w:val="Heading3"/>
        <w:rPr>
          <w:rFonts w:ascii="Arial" w:eastAsia="Arial" w:hAnsi="Arial" w:cs="Arial"/>
          <w:sz w:val="24"/>
          <w:szCs w:val="24"/>
        </w:rPr>
      </w:pPr>
      <w:bookmarkStart w:id="4" w:name="_Toc1042361480"/>
      <w:r w:rsidRPr="15AEAD91">
        <w:rPr>
          <w:b/>
          <w:color w:val="auto"/>
          <w:lang w:val="en-US"/>
        </w:rPr>
        <w:t>Research Aim</w:t>
      </w:r>
      <w:bookmarkEnd w:id="4"/>
      <w:r w:rsidRPr="15AEAD91">
        <w:rPr>
          <w:lang w:val="en-US"/>
        </w:rPr>
        <w:t xml:space="preserve"> </w:t>
      </w:r>
    </w:p>
    <w:p w14:paraId="53B4EBE8" w14:textId="2BE82C1A" w:rsidR="13A438CE" w:rsidRDefault="13A438CE" w:rsidP="15AEAD91">
      <w:p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To critically explore the barriers that African communities in the United Kingdom face when accessing mental health services, with a view to understanding how systemic, cultural, and socio-economic factors contribute to inequalities in mental health experiences and outcomes. </w:t>
      </w:r>
    </w:p>
    <w:p w14:paraId="6F075895" w14:textId="4C73FC8E" w:rsidR="13A438CE" w:rsidRDefault="13A438CE" w:rsidP="15AEAD91">
      <w:pPr>
        <w:pStyle w:val="Heading3"/>
        <w:rPr>
          <w:rFonts w:ascii="Arial" w:eastAsia="Arial" w:hAnsi="Arial" w:cs="Arial"/>
          <w:b/>
          <w:color w:val="auto"/>
        </w:rPr>
      </w:pPr>
      <w:bookmarkStart w:id="5" w:name="_Toc2130155477"/>
      <w:r w:rsidRPr="15AEAD91">
        <w:rPr>
          <w:b/>
          <w:color w:val="auto"/>
          <w:lang w:val="en-US"/>
        </w:rPr>
        <w:t>Objectives</w:t>
      </w:r>
      <w:bookmarkEnd w:id="5"/>
      <w:r w:rsidRPr="15AEAD91">
        <w:rPr>
          <w:b/>
          <w:color w:val="auto"/>
          <w:lang w:val="en-US"/>
        </w:rPr>
        <w:t xml:space="preserve"> </w:t>
      </w:r>
    </w:p>
    <w:p w14:paraId="27BB5A11" w14:textId="7D895B96" w:rsidR="13A438CE" w:rsidRDefault="13A438CE" w:rsidP="56487953">
      <w:pPr>
        <w:pStyle w:val="ListParagraph"/>
        <w:numPr>
          <w:ilvl w:val="0"/>
          <w:numId w:val="10"/>
        </w:num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To examine pathways of access, referral, and engagement with mental health services among African communities in the UK. </w:t>
      </w:r>
    </w:p>
    <w:p w14:paraId="1C5AABCD" w14:textId="191AEFBB" w:rsidR="13A438CE" w:rsidRDefault="13A438CE" w:rsidP="56487953">
      <w:pPr>
        <w:pStyle w:val="ListParagraph"/>
        <w:numPr>
          <w:ilvl w:val="0"/>
          <w:numId w:val="10"/>
        </w:num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To explore </w:t>
      </w:r>
      <w:r w:rsidR="00F37096" w:rsidRPr="56487953">
        <w:rPr>
          <w:rFonts w:ascii="Arial" w:eastAsia="Arial" w:hAnsi="Arial" w:cs="Arial"/>
          <w:color w:val="000000" w:themeColor="text1"/>
          <w:sz w:val="22"/>
          <w:szCs w:val="22"/>
          <w:lang w:val="en-US"/>
        </w:rPr>
        <w:t>beliefs</w:t>
      </w:r>
      <w:r w:rsidRPr="56487953">
        <w:rPr>
          <w:rFonts w:ascii="Arial" w:eastAsia="Arial" w:hAnsi="Arial" w:cs="Arial"/>
          <w:color w:val="000000" w:themeColor="text1"/>
          <w:sz w:val="22"/>
          <w:szCs w:val="22"/>
          <w:lang w:val="en-US"/>
        </w:rPr>
        <w:t xml:space="preserve"> of stigma, trust, cultural competence, and therapeutic relationships among African service users. </w:t>
      </w:r>
    </w:p>
    <w:p w14:paraId="057C0041" w14:textId="0D1A203A" w:rsidR="13A438CE" w:rsidRDefault="13A438CE" w:rsidP="56487953">
      <w:pPr>
        <w:pStyle w:val="ListParagraph"/>
        <w:numPr>
          <w:ilvl w:val="0"/>
          <w:numId w:val="10"/>
        </w:num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To investigate institutional and structural factors that contribute to unequal mental health outcomes and increased coercive interventions. </w:t>
      </w:r>
    </w:p>
    <w:p w14:paraId="536A93A4" w14:textId="700A31E3" w:rsidR="13A438CE" w:rsidRDefault="13A438CE" w:rsidP="56487953">
      <w:pPr>
        <w:pStyle w:val="ListParagraph"/>
        <w:numPr>
          <w:ilvl w:val="0"/>
          <w:numId w:val="10"/>
        </w:numPr>
        <w:spacing w:line="360" w:lineRule="auto"/>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To evaluate existing interventions and suggest evidence-based strategies for culturally competent, </w:t>
      </w:r>
      <w:r w:rsidR="00F37096" w:rsidRPr="56487953">
        <w:rPr>
          <w:rFonts w:ascii="Arial" w:eastAsia="Arial" w:hAnsi="Arial" w:cs="Arial"/>
          <w:color w:val="000000" w:themeColor="text1"/>
          <w:sz w:val="22"/>
          <w:szCs w:val="22"/>
          <w:lang w:val="en-US"/>
        </w:rPr>
        <w:t>fair</w:t>
      </w:r>
      <w:r w:rsidRPr="56487953">
        <w:rPr>
          <w:rFonts w:ascii="Arial" w:eastAsia="Arial" w:hAnsi="Arial" w:cs="Arial"/>
          <w:color w:val="000000" w:themeColor="text1"/>
          <w:sz w:val="22"/>
          <w:szCs w:val="22"/>
          <w:lang w:val="en-US"/>
        </w:rPr>
        <w:t xml:space="preserve"> mental health services. </w:t>
      </w:r>
    </w:p>
    <w:p w14:paraId="13DE41A7" w14:textId="13678605" w:rsidR="13A438CE" w:rsidRDefault="13A438CE" w:rsidP="56487953">
      <w:pPr>
        <w:spacing w:line="360" w:lineRule="auto"/>
        <w:jc w:val="both"/>
        <w:rPr>
          <w:rFonts w:ascii="Arial" w:eastAsia="Arial" w:hAnsi="Arial" w:cs="Arial"/>
          <w:color w:val="000000" w:themeColor="text1"/>
          <w:sz w:val="22"/>
          <w:szCs w:val="22"/>
        </w:rPr>
      </w:pPr>
      <w:r w:rsidRPr="56487953">
        <w:rPr>
          <w:rFonts w:ascii="Arial" w:eastAsia="Arial" w:hAnsi="Arial" w:cs="Arial"/>
          <w:color w:val="000000" w:themeColor="text1"/>
          <w:sz w:val="22"/>
          <w:szCs w:val="22"/>
          <w:lang w:val="en-US"/>
        </w:rPr>
        <w:t xml:space="preserve"> </w:t>
      </w:r>
    </w:p>
    <w:p w14:paraId="0FE42E4B" w14:textId="5972CED1" w:rsidR="13A438CE" w:rsidRDefault="13A438CE" w:rsidP="15AEAD91">
      <w:pPr>
        <w:pStyle w:val="Heading2"/>
        <w:rPr>
          <w:rFonts w:asciiTheme="minorHAnsi" w:eastAsiaTheme="minorEastAsia" w:hAnsiTheme="minorHAnsi" w:cstheme="minorBidi"/>
          <w:b/>
          <w:color w:val="auto"/>
          <w:sz w:val="28"/>
          <w:szCs w:val="28"/>
        </w:rPr>
      </w:pPr>
      <w:bookmarkStart w:id="6" w:name="_Toc405132207"/>
      <w:r w:rsidRPr="15AEAD91">
        <w:rPr>
          <w:rFonts w:asciiTheme="minorHAnsi" w:eastAsiaTheme="minorEastAsia" w:hAnsiTheme="minorHAnsi" w:cstheme="minorBidi"/>
          <w:b/>
          <w:color w:val="auto"/>
          <w:sz w:val="28"/>
          <w:szCs w:val="28"/>
          <w:lang w:val="en-US"/>
        </w:rPr>
        <w:t>1.5 Conclusion</w:t>
      </w:r>
      <w:bookmarkEnd w:id="6"/>
      <w:r w:rsidRPr="15AEAD91">
        <w:rPr>
          <w:rFonts w:asciiTheme="minorHAnsi" w:eastAsiaTheme="minorEastAsia" w:hAnsiTheme="minorHAnsi" w:cstheme="minorBidi"/>
          <w:b/>
          <w:color w:val="auto"/>
          <w:sz w:val="28"/>
          <w:szCs w:val="28"/>
          <w:lang w:val="en-US"/>
        </w:rPr>
        <w:t xml:space="preserve"> </w:t>
      </w:r>
    </w:p>
    <w:p w14:paraId="46511F5D" w14:textId="54504A35" w:rsidR="6501C848" w:rsidRDefault="55C19266" w:rsidP="055A00D7">
      <w:pPr>
        <w:spacing w:line="360" w:lineRule="auto"/>
        <w:rPr>
          <w:sz w:val="22"/>
          <w:szCs w:val="22"/>
        </w:rPr>
      </w:pPr>
      <w:r w:rsidRPr="055A00D7">
        <w:rPr>
          <w:sz w:val="22"/>
          <w:szCs w:val="22"/>
        </w:rPr>
        <w:t>This chapter has outlined the context, significance, and aims of this research. While the UK aspires to provide fair and universally accessible healthcare, African communities continue to face profound barriers rooted in cultural stigma, mistrust of statutory services, socio-economic disadvantage, and systemic inequality. These challenges do not simply limit access to mental health support they also influence how mental distress is understood, expressed, and treated within these communities. As a result, many individuals either delay seeking help or disengage prematurely, reinforcing cycles of poor health outcomes and marginalisation. By identifying, examining, and critically analysing these obstacles, this study seeks to illuminate the structural and cultural dynamics that shape African communities’ interactions with mental health services. In doing so, it aims not only to highlight gaps within current provision but also to contribute to the development of culturally responsive, community-informed, and inclusive mental health services. Ultimately, the intention is to support approaches that promote equity, empowerment, and improved health outcomes for African communities ensuring that mental healthcare within the UK moves beyond aspiration toward meaningful and measurable change.</w:t>
      </w:r>
    </w:p>
    <w:p w14:paraId="02B27FDB" w14:textId="0D74C9A4" w:rsidR="6501C848" w:rsidRDefault="6501C848" w:rsidP="6501C848">
      <w:pPr>
        <w:spacing w:line="360" w:lineRule="auto"/>
        <w:rPr>
          <w:b/>
          <w:bCs/>
          <w:sz w:val="32"/>
          <w:szCs w:val="32"/>
        </w:rPr>
      </w:pPr>
    </w:p>
    <w:p w14:paraId="0B66D492" w14:textId="506E8CEC" w:rsidR="6501C848" w:rsidRDefault="6501C848" w:rsidP="6501C848">
      <w:pPr>
        <w:spacing w:line="360" w:lineRule="auto"/>
        <w:rPr>
          <w:b/>
          <w:bCs/>
          <w:sz w:val="32"/>
          <w:szCs w:val="32"/>
        </w:rPr>
      </w:pPr>
    </w:p>
    <w:p w14:paraId="4E9E924A" w14:textId="2AB2C92F" w:rsidR="6501C848" w:rsidRDefault="6501C848" w:rsidP="6501C848">
      <w:pPr>
        <w:spacing w:line="360" w:lineRule="auto"/>
        <w:rPr>
          <w:b/>
          <w:bCs/>
          <w:sz w:val="32"/>
          <w:szCs w:val="32"/>
        </w:rPr>
      </w:pPr>
    </w:p>
    <w:p w14:paraId="1806832B" w14:textId="2185CBA2" w:rsidR="6501C848" w:rsidRDefault="6501C848" w:rsidP="6501C848">
      <w:pPr>
        <w:spacing w:line="360" w:lineRule="auto"/>
        <w:rPr>
          <w:b/>
          <w:bCs/>
          <w:sz w:val="32"/>
          <w:szCs w:val="32"/>
        </w:rPr>
      </w:pPr>
    </w:p>
    <w:p w14:paraId="1074C13B" w14:textId="540A6736" w:rsidR="6501C848" w:rsidRDefault="6501C848" w:rsidP="6501C848">
      <w:pPr>
        <w:spacing w:line="360" w:lineRule="auto"/>
        <w:rPr>
          <w:b/>
          <w:bCs/>
          <w:sz w:val="32"/>
          <w:szCs w:val="32"/>
        </w:rPr>
      </w:pPr>
    </w:p>
    <w:p w14:paraId="1ECD02AC" w14:textId="404E52D1" w:rsidR="6501C848" w:rsidRDefault="6501C848" w:rsidP="6501C848">
      <w:pPr>
        <w:spacing w:line="360" w:lineRule="auto"/>
        <w:rPr>
          <w:b/>
          <w:bCs/>
          <w:sz w:val="32"/>
          <w:szCs w:val="32"/>
        </w:rPr>
      </w:pPr>
    </w:p>
    <w:p w14:paraId="47EE9C6E" w14:textId="33C6B8BA" w:rsidR="6501C848" w:rsidRDefault="6501C848" w:rsidP="6501C848">
      <w:pPr>
        <w:spacing w:line="360" w:lineRule="auto"/>
        <w:rPr>
          <w:b/>
          <w:bCs/>
          <w:sz w:val="32"/>
          <w:szCs w:val="32"/>
        </w:rPr>
      </w:pPr>
    </w:p>
    <w:p w14:paraId="3A1513DC" w14:textId="578DA6D1" w:rsidR="6501C848" w:rsidRDefault="6501C848" w:rsidP="6501C848">
      <w:pPr>
        <w:spacing w:line="360" w:lineRule="auto"/>
        <w:rPr>
          <w:b/>
          <w:bCs/>
          <w:sz w:val="32"/>
          <w:szCs w:val="32"/>
        </w:rPr>
      </w:pPr>
    </w:p>
    <w:p w14:paraId="66F2ED32" w14:textId="0FC72BD1" w:rsidR="6501C848" w:rsidRDefault="6501C848" w:rsidP="6501C848">
      <w:pPr>
        <w:spacing w:line="360" w:lineRule="auto"/>
        <w:rPr>
          <w:b/>
          <w:bCs/>
          <w:sz w:val="32"/>
          <w:szCs w:val="32"/>
        </w:rPr>
      </w:pPr>
    </w:p>
    <w:p w14:paraId="0BD01A5E" w14:textId="28F55163" w:rsidR="6501C848" w:rsidRDefault="6501C848" w:rsidP="6501C848">
      <w:pPr>
        <w:spacing w:line="360" w:lineRule="auto"/>
        <w:rPr>
          <w:b/>
          <w:bCs/>
          <w:sz w:val="32"/>
          <w:szCs w:val="32"/>
        </w:rPr>
      </w:pPr>
    </w:p>
    <w:p w14:paraId="6E16004D" w14:textId="5630B055" w:rsidR="090F8708" w:rsidRDefault="090F8708" w:rsidP="1B5DD76D">
      <w:pPr>
        <w:spacing w:line="360" w:lineRule="auto"/>
        <w:rPr>
          <w:b/>
          <w:sz w:val="32"/>
          <w:szCs w:val="32"/>
        </w:rPr>
      </w:pPr>
      <w:r w:rsidRPr="65B08F1D">
        <w:rPr>
          <w:b/>
          <w:sz w:val="32"/>
          <w:szCs w:val="32"/>
        </w:rPr>
        <w:t>CHAPTER 2: BACKGROUND</w:t>
      </w:r>
    </w:p>
    <w:p w14:paraId="147501F2" w14:textId="03209390" w:rsidR="15AEAD91" w:rsidRDefault="15AEAD91" w:rsidP="15AEAD91"/>
    <w:p w14:paraId="26A916B1" w14:textId="24C45469" w:rsidR="090F8708" w:rsidRDefault="5438D203" w:rsidP="15AEAD91">
      <w:pPr>
        <w:pStyle w:val="Heading2"/>
        <w:rPr>
          <w:rFonts w:asciiTheme="minorHAnsi" w:eastAsiaTheme="minorEastAsia" w:hAnsiTheme="minorHAnsi" w:cstheme="minorBidi"/>
          <w:b/>
          <w:color w:val="auto"/>
          <w:sz w:val="28"/>
          <w:szCs w:val="28"/>
        </w:rPr>
      </w:pPr>
      <w:bookmarkStart w:id="7" w:name="_Toc895321879"/>
      <w:r w:rsidRPr="15AEAD91">
        <w:rPr>
          <w:rFonts w:asciiTheme="minorHAnsi" w:eastAsiaTheme="minorEastAsia" w:hAnsiTheme="minorHAnsi" w:cstheme="minorBidi"/>
          <w:b/>
          <w:bCs/>
          <w:color w:val="auto"/>
          <w:sz w:val="28"/>
          <w:szCs w:val="28"/>
        </w:rPr>
        <w:t xml:space="preserve">2.1 </w:t>
      </w:r>
      <w:r w:rsidR="090F8708" w:rsidRPr="15AEAD91">
        <w:rPr>
          <w:rFonts w:asciiTheme="minorHAnsi" w:eastAsiaTheme="minorEastAsia" w:hAnsiTheme="minorHAnsi" w:cstheme="minorBidi"/>
          <w:b/>
          <w:color w:val="auto"/>
          <w:sz w:val="28"/>
          <w:szCs w:val="28"/>
        </w:rPr>
        <w:t>Introduction</w:t>
      </w:r>
      <w:bookmarkEnd w:id="7"/>
    </w:p>
    <w:p w14:paraId="0C66E0E2" w14:textId="2241BED1" w:rsidR="50EBD1E7" w:rsidRDefault="0F7159CF" w:rsidP="6501C848">
      <w:pPr>
        <w:spacing w:line="360" w:lineRule="auto"/>
        <w:rPr>
          <w:sz w:val="22"/>
          <w:szCs w:val="22"/>
        </w:rPr>
      </w:pPr>
      <w:r w:rsidRPr="00F37855">
        <w:rPr>
          <w:sz w:val="22"/>
          <w:szCs w:val="22"/>
        </w:rPr>
        <w:t xml:space="preserve">This chapter sets out the historical, theoretical and contextual background necessary to understand barriers to mental health care among African communities living in the United Kingdom. Its purpose is to synthesise evidence on how structural, cultural, linguistic and service-level factors shape help-seeking, access and outcomes for people of African heritage, and to identify the policy and practice responses that have emerged. The chapter begins with a short historical background tracing how the UK mental health system has engaged with racially </w:t>
      </w:r>
      <w:proofErr w:type="spellStart"/>
      <w:r w:rsidRPr="00F37855">
        <w:rPr>
          <w:sz w:val="22"/>
          <w:szCs w:val="22"/>
        </w:rPr>
        <w:t>minoritised</w:t>
      </w:r>
      <w:proofErr w:type="spellEnd"/>
      <w:r w:rsidRPr="00F37855">
        <w:rPr>
          <w:sz w:val="22"/>
          <w:szCs w:val="22"/>
        </w:rPr>
        <w:t xml:space="preserve"> groups, moves on to the key theoretical frameworks used to interpret barriers (e.g., stigma, cultural competency, structural racism and social determinants), then examines international and UK-specific evidence and policy initiatives. This background is intended to situate the research question within an evidence base that highlights both systemic inequalities and local community experiences, providing the foundation for the methodology chapter that follows.</w:t>
      </w:r>
      <w:r w:rsidR="21CF2462" w:rsidRPr="00F37855">
        <w:rPr>
          <w:sz w:val="22"/>
          <w:szCs w:val="22"/>
        </w:rPr>
        <w:t xml:space="preserve"> (</w:t>
      </w:r>
      <w:proofErr w:type="spellStart"/>
      <w:r w:rsidR="21CF2462" w:rsidRPr="00F37855">
        <w:rPr>
          <w:sz w:val="22"/>
          <w:szCs w:val="22"/>
        </w:rPr>
        <w:t>Bansal</w:t>
      </w:r>
      <w:proofErr w:type="spellEnd"/>
      <w:r w:rsidR="21CF2462" w:rsidRPr="00F37855">
        <w:rPr>
          <w:sz w:val="22"/>
          <w:szCs w:val="22"/>
        </w:rPr>
        <w:t xml:space="preserve"> et al., 2022)</w:t>
      </w:r>
    </w:p>
    <w:p w14:paraId="75AD7282" w14:textId="145A3D65" w:rsidR="00F37855" w:rsidRDefault="00F37855" w:rsidP="00F37855">
      <w:pPr>
        <w:pStyle w:val="Heading2"/>
        <w:spacing w:before="240" w:after="240" w:line="360" w:lineRule="auto"/>
        <w:rPr>
          <w:rFonts w:asciiTheme="minorHAnsi" w:eastAsiaTheme="minorEastAsia" w:hAnsiTheme="minorHAnsi" w:cstheme="minorBidi"/>
          <w:b/>
          <w:bCs/>
          <w:color w:val="auto"/>
          <w:sz w:val="28"/>
          <w:szCs w:val="28"/>
        </w:rPr>
      </w:pPr>
    </w:p>
    <w:p w14:paraId="7FBA85E0" w14:textId="0A54DA26" w:rsidR="090F8708" w:rsidRDefault="090F8708" w:rsidP="6501C848">
      <w:pPr>
        <w:pStyle w:val="Heading2"/>
        <w:spacing w:before="240" w:after="240" w:line="360" w:lineRule="auto"/>
        <w:rPr>
          <w:rFonts w:asciiTheme="minorHAnsi" w:eastAsiaTheme="minorEastAsia" w:hAnsiTheme="minorHAnsi" w:cstheme="minorBidi"/>
          <w:b/>
          <w:color w:val="auto"/>
          <w:sz w:val="28"/>
          <w:szCs w:val="28"/>
        </w:rPr>
      </w:pPr>
      <w:bookmarkStart w:id="8" w:name="_Toc2002123656"/>
      <w:r w:rsidRPr="15AEAD91">
        <w:rPr>
          <w:rFonts w:asciiTheme="minorHAnsi" w:eastAsiaTheme="minorEastAsia" w:hAnsiTheme="minorHAnsi" w:cstheme="minorBidi"/>
          <w:b/>
          <w:color w:val="auto"/>
          <w:sz w:val="28"/>
          <w:szCs w:val="28"/>
        </w:rPr>
        <w:t>2.2 Historical Background</w:t>
      </w:r>
      <w:bookmarkEnd w:id="8"/>
    </w:p>
    <w:p w14:paraId="4BE0B731" w14:textId="3878A5B5" w:rsidR="56487953" w:rsidRDefault="7E528FD9" w:rsidP="00F37855">
      <w:pPr>
        <w:spacing w:before="240" w:after="240" w:line="360" w:lineRule="auto"/>
        <w:rPr>
          <w:color w:val="000000" w:themeColor="text1"/>
          <w:sz w:val="22"/>
          <w:szCs w:val="22"/>
        </w:rPr>
      </w:pPr>
      <w:r w:rsidRPr="00F37855">
        <w:rPr>
          <w:color w:val="000000" w:themeColor="text1"/>
          <w:sz w:val="22"/>
          <w:szCs w:val="22"/>
        </w:rPr>
        <w:t>Concerns about ethnic inequalities in UK mental health care have a long history. Since at least the late 20th century, evidence accumulated showing disproportionate rates of psychosis diagnoses, compulsory detention and criminal-justice referrals among Black communities compared with White British populations. Early epidemiological studies and service audits documented over-representation of Black Caribbean and African people in higher-security services and involuntary pathways into care, prompting decades of review and reform attempts.</w:t>
      </w:r>
      <w:r w:rsidR="5701F720" w:rsidRPr="00F37855">
        <w:rPr>
          <w:color w:val="000000" w:themeColor="text1"/>
          <w:sz w:val="22"/>
          <w:szCs w:val="22"/>
        </w:rPr>
        <w:t xml:space="preserve"> (</w:t>
      </w:r>
      <w:proofErr w:type="spellStart"/>
      <w:r w:rsidR="5701F720" w:rsidRPr="00F37855">
        <w:rPr>
          <w:color w:val="000000" w:themeColor="text1"/>
          <w:sz w:val="22"/>
          <w:szCs w:val="22"/>
        </w:rPr>
        <w:t>Kapadia</w:t>
      </w:r>
      <w:proofErr w:type="spellEnd"/>
      <w:r w:rsidR="5701F720" w:rsidRPr="00F37855">
        <w:rPr>
          <w:color w:val="000000" w:themeColor="text1"/>
          <w:sz w:val="22"/>
          <w:szCs w:val="22"/>
        </w:rPr>
        <w:t xml:space="preserve"> et al., 2022)</w:t>
      </w:r>
    </w:p>
    <w:p w14:paraId="2121381F" w14:textId="34BD8E0B" w:rsidR="56487953" w:rsidRDefault="721CD1C7" w:rsidP="6501C848">
      <w:pPr>
        <w:spacing w:before="240" w:after="240" w:line="360" w:lineRule="auto"/>
      </w:pPr>
      <w:r w:rsidRPr="6501C848">
        <w:rPr>
          <w:color w:val="000000" w:themeColor="text1"/>
          <w:sz w:val="22"/>
          <w:szCs w:val="22"/>
        </w:rPr>
        <w:t>Key milestones include the periodic national reviews by policy bodies and professional colleges (for example, reviews leading to the creation of the NHS Race and Health Observatory), and successive reports highlighting inequalities in access to primary care, psychological therapies and community supports. In recent years, the Improving Access to Psychological Therapies (IAPT — now “Talking Therapies”) programme produced routine data demonstrating ethnic differences in referrals and outcomes, which prompted targeted guidance (e.g., the IAPT Positive Practice Guide) and research into culturally adapted interventions. More recently, national attention has focused on systemic drivers of disparity (e.g., policing, detention rates and use of force in inpatient settings) and on how service design may reinforce exclusion. NHS</w:t>
      </w:r>
    </w:p>
    <w:p w14:paraId="57379F81" w14:textId="5B3E01A0" w:rsidR="56487953" w:rsidRDefault="721CD1C7" w:rsidP="6501C848">
      <w:pPr>
        <w:spacing w:before="240" w:after="240" w:line="360" w:lineRule="auto"/>
      </w:pPr>
      <w:r w:rsidRPr="6501C848">
        <w:rPr>
          <w:color w:val="000000" w:themeColor="text1"/>
          <w:sz w:val="22"/>
          <w:szCs w:val="22"/>
        </w:rPr>
        <w:t>Significant historical figures and contributions</w:t>
      </w:r>
    </w:p>
    <w:p w14:paraId="0AAC6CAA" w14:textId="4E67E16B" w:rsidR="56487953" w:rsidRDefault="721CD1C7" w:rsidP="6501C848">
      <w:pPr>
        <w:spacing w:before="240" w:after="240" w:line="360" w:lineRule="auto"/>
      </w:pPr>
      <w:r w:rsidRPr="6501C848">
        <w:rPr>
          <w:color w:val="000000" w:themeColor="text1"/>
          <w:sz w:val="22"/>
          <w:szCs w:val="22"/>
        </w:rPr>
        <w:t>A range of academics, community advocates and institutions have shaped understanding and responses. Researchers in social psychiatry and public health (e.g., teams publishing through King’s College London, the Race Equality Foundation and the NHS Race and Health Observatory) have produced influential evidence reviews and policy briefs that linked social determinants (poverty, housing, racism) with mental health inequalities and service barriers. Professional bodies such as the Royal College of Psychiatrists have produced best-practice guidance and equality action plans designed to improve cultural competence and service responsiveness. Community activists and faith-based organisations (notably within Black African churches and community groups) have also been central — both in identifying culturally specific needs and in designing community-based awareness and stigma-reduction programmes. Together these actors have moved the conversation from individual explanatory models to structural and service-level reform agendas.</w:t>
      </w:r>
    </w:p>
    <w:p w14:paraId="4C356A94" w14:textId="5342BADA" w:rsidR="56487953" w:rsidRDefault="56487953" w:rsidP="1B5DD76D">
      <w:pPr>
        <w:spacing w:before="240" w:after="240" w:line="360" w:lineRule="auto"/>
        <w:rPr>
          <w:color w:val="000000" w:themeColor="text1"/>
          <w:sz w:val="22"/>
          <w:szCs w:val="22"/>
        </w:rPr>
      </w:pPr>
    </w:p>
    <w:p w14:paraId="12EB2317" w14:textId="2C935F6B" w:rsidR="090F8708" w:rsidRDefault="090F8708" w:rsidP="1B62D44F">
      <w:pPr>
        <w:pStyle w:val="Heading2"/>
        <w:rPr>
          <w:rFonts w:asciiTheme="minorHAnsi" w:eastAsiaTheme="minorEastAsia" w:hAnsiTheme="minorHAnsi" w:cstheme="minorBidi"/>
          <w:b/>
          <w:color w:val="auto"/>
          <w:sz w:val="28"/>
          <w:szCs w:val="28"/>
        </w:rPr>
      </w:pPr>
      <w:bookmarkStart w:id="9" w:name="_Toc984730689"/>
      <w:r w:rsidRPr="1B62D44F">
        <w:rPr>
          <w:rFonts w:asciiTheme="minorHAnsi" w:eastAsiaTheme="minorEastAsia" w:hAnsiTheme="minorHAnsi" w:cstheme="minorBidi"/>
          <w:b/>
          <w:color w:val="auto"/>
          <w:sz w:val="28"/>
          <w:szCs w:val="28"/>
        </w:rPr>
        <w:t>2.3 Theoretical Background</w:t>
      </w:r>
      <w:bookmarkEnd w:id="9"/>
    </w:p>
    <w:p w14:paraId="113357CB" w14:textId="47B836D4" w:rsidR="090F8708" w:rsidRDefault="090F8708" w:rsidP="1B62D44F">
      <w:pPr>
        <w:spacing w:before="240" w:after="240" w:line="360" w:lineRule="auto"/>
        <w:rPr>
          <w:color w:val="000000" w:themeColor="text1"/>
          <w:sz w:val="22"/>
          <w:szCs w:val="22"/>
        </w:rPr>
      </w:pPr>
      <w:r w:rsidRPr="1B62D44F">
        <w:rPr>
          <w:color w:val="000000" w:themeColor="text1"/>
          <w:sz w:val="22"/>
          <w:szCs w:val="22"/>
        </w:rPr>
        <w:t>The Social Determinants of Health argue that mental health outcomes are shaped by social and economic structures rather than individual choices alone (Marmot, 2010). African communities face poverty, housing insecurity, unemployment, and discrimination, creating cumulative disadvantages that increase vulnerability to mental distress while limiting access to care (Williams, Lawrence and Davis, 2019).</w:t>
      </w:r>
    </w:p>
    <w:p w14:paraId="0F7DBAE1" w14:textId="65C7A1E3" w:rsidR="090F8708" w:rsidRDefault="090F8708" w:rsidP="1B62D44F">
      <w:pPr>
        <w:spacing w:before="240" w:after="240" w:line="360" w:lineRule="auto"/>
        <w:rPr>
          <w:color w:val="000000" w:themeColor="text1"/>
          <w:sz w:val="22"/>
          <w:szCs w:val="22"/>
        </w:rPr>
      </w:pPr>
      <w:r w:rsidRPr="1B62D44F">
        <w:rPr>
          <w:color w:val="000000" w:themeColor="text1"/>
          <w:sz w:val="22"/>
          <w:szCs w:val="22"/>
        </w:rPr>
        <w:t>Cultural Competence Theory emphasises the need for healthcare professionals to understand the cultural identities of service users (Betancourt et al., 2003). Without such understanding, diagnoses become inaccurate, communication breaks down, and engagement decreases, particularly for African individuals whose perceptions of mental health often incorporate spiritual or communal interpretations (Fernando, 2010).</w:t>
      </w:r>
    </w:p>
    <w:p w14:paraId="5ACCC079" w14:textId="04BBC2BE" w:rsidR="090F8708" w:rsidRDefault="090F8708" w:rsidP="1B62D44F">
      <w:pPr>
        <w:spacing w:before="240" w:after="240" w:line="360" w:lineRule="auto"/>
        <w:rPr>
          <w:color w:val="000000" w:themeColor="text1"/>
          <w:sz w:val="22"/>
          <w:szCs w:val="22"/>
        </w:rPr>
      </w:pPr>
      <w:r w:rsidRPr="1B62D44F">
        <w:rPr>
          <w:color w:val="000000" w:themeColor="text1"/>
          <w:sz w:val="22"/>
          <w:szCs w:val="22"/>
        </w:rPr>
        <w:t>Institutional Racism Theory explains how discriminatory outcomes can be embedded within organisational structures and policies (</w:t>
      </w:r>
      <w:proofErr w:type="spellStart"/>
      <w:r w:rsidRPr="1B62D44F">
        <w:rPr>
          <w:color w:val="000000" w:themeColor="text1"/>
          <w:sz w:val="22"/>
          <w:szCs w:val="22"/>
        </w:rPr>
        <w:t>Macpherson</w:t>
      </w:r>
      <w:proofErr w:type="spellEnd"/>
      <w:r w:rsidRPr="1B62D44F">
        <w:rPr>
          <w:color w:val="000000" w:themeColor="text1"/>
          <w:sz w:val="22"/>
          <w:szCs w:val="22"/>
        </w:rPr>
        <w:t>, 1999). Evidence from UK mental health settings shows higher rates of detention, reduced access to talking therapies, and increased coercive interventions among African populations (NHS Digital, 2023; Fernando, 2017).</w:t>
      </w:r>
    </w:p>
    <w:p w14:paraId="318D2107" w14:textId="7B64A61D" w:rsidR="090F8708" w:rsidRDefault="090F8708" w:rsidP="1B62D44F">
      <w:pPr>
        <w:spacing w:before="240" w:after="240" w:line="360" w:lineRule="auto"/>
        <w:rPr>
          <w:color w:val="000000" w:themeColor="text1"/>
          <w:sz w:val="22"/>
          <w:szCs w:val="22"/>
        </w:rPr>
      </w:pPr>
      <w:r w:rsidRPr="1B62D44F">
        <w:rPr>
          <w:color w:val="000000" w:themeColor="text1"/>
          <w:sz w:val="22"/>
          <w:szCs w:val="22"/>
        </w:rPr>
        <w:t>Models of Help-Seeking Behaviour illustrate how cultural norms, stigma, and previous negative experiences shape willingness to access services (Andersen, 1995; Snowden and Yamada, 2005). Many African individuals rely initially on informal networks such as faith organisations rather than statutory services, reflecting rational responses to mistrust rather than resistance to treatment (</w:t>
      </w:r>
      <w:proofErr w:type="spellStart"/>
      <w:r w:rsidRPr="1B62D44F">
        <w:rPr>
          <w:color w:val="000000" w:themeColor="text1"/>
          <w:sz w:val="22"/>
          <w:szCs w:val="22"/>
        </w:rPr>
        <w:t>Memon</w:t>
      </w:r>
      <w:proofErr w:type="spellEnd"/>
      <w:r w:rsidRPr="1B62D44F">
        <w:rPr>
          <w:color w:val="000000" w:themeColor="text1"/>
          <w:sz w:val="22"/>
          <w:szCs w:val="22"/>
        </w:rPr>
        <w:t xml:space="preserve"> et al., 2016).</w:t>
      </w:r>
    </w:p>
    <w:p w14:paraId="0EE4544D" w14:textId="746E1025" w:rsidR="090F8708" w:rsidRDefault="090F8708" w:rsidP="1B62D44F">
      <w:pPr>
        <w:spacing w:before="240" w:after="240" w:line="360" w:lineRule="auto"/>
        <w:rPr>
          <w:color w:val="000000" w:themeColor="text1"/>
          <w:sz w:val="22"/>
          <w:szCs w:val="22"/>
        </w:rPr>
      </w:pPr>
      <w:r w:rsidRPr="1B62D44F">
        <w:rPr>
          <w:color w:val="000000" w:themeColor="text1"/>
          <w:sz w:val="22"/>
          <w:szCs w:val="22"/>
        </w:rPr>
        <w:t>Together, these theories demonstrate that mental health barriers stem from interacting cultural, structural, and historical forces, rather than individual deficiencies (Williams, Lawrence and Davis, 2019).</w:t>
      </w:r>
    </w:p>
    <w:p w14:paraId="000F3C89" w14:textId="49772552" w:rsidR="1B62D44F" w:rsidRDefault="1B62D44F" w:rsidP="1B62D44F">
      <w:pPr>
        <w:spacing w:before="240" w:after="240" w:line="360" w:lineRule="auto"/>
        <w:rPr>
          <w:color w:val="000000" w:themeColor="text1"/>
          <w:sz w:val="22"/>
          <w:szCs w:val="22"/>
        </w:rPr>
      </w:pPr>
    </w:p>
    <w:p w14:paraId="7DD80E87" w14:textId="68947E88" w:rsidR="56487953" w:rsidRDefault="56487953" w:rsidP="56487953">
      <w:pPr>
        <w:rPr>
          <w:rFonts w:ascii="Arial" w:eastAsia="Arial" w:hAnsi="Arial" w:cs="Arial"/>
          <w:color w:val="000000" w:themeColor="text1"/>
        </w:rPr>
      </w:pPr>
    </w:p>
    <w:p w14:paraId="558F5065" w14:textId="15765AEF" w:rsidR="1B62D44F" w:rsidRDefault="1B62D44F" w:rsidP="1B62D44F">
      <w:pPr>
        <w:pStyle w:val="Heading2"/>
        <w:rPr>
          <w:rFonts w:asciiTheme="minorHAnsi" w:eastAsiaTheme="minorEastAsia" w:hAnsiTheme="minorHAnsi" w:cstheme="minorBidi"/>
          <w:b/>
          <w:bCs/>
          <w:color w:val="auto"/>
          <w:sz w:val="28"/>
          <w:szCs w:val="28"/>
        </w:rPr>
      </w:pPr>
    </w:p>
    <w:p w14:paraId="2E41167D" w14:textId="6ADD166E" w:rsidR="090F8708" w:rsidRDefault="090F8708" w:rsidP="1B62D44F">
      <w:pPr>
        <w:pStyle w:val="Heading2"/>
        <w:rPr>
          <w:rFonts w:asciiTheme="minorHAnsi" w:eastAsiaTheme="minorEastAsia" w:hAnsiTheme="minorHAnsi" w:cstheme="minorBidi"/>
          <w:b/>
          <w:color w:val="auto"/>
          <w:sz w:val="28"/>
          <w:szCs w:val="28"/>
        </w:rPr>
      </w:pPr>
      <w:bookmarkStart w:id="10" w:name="_Toc1905500009"/>
      <w:r w:rsidRPr="1B62D44F">
        <w:rPr>
          <w:rFonts w:asciiTheme="minorHAnsi" w:eastAsiaTheme="minorEastAsia" w:hAnsiTheme="minorHAnsi" w:cstheme="minorBidi"/>
          <w:b/>
          <w:color w:val="auto"/>
          <w:sz w:val="28"/>
          <w:szCs w:val="28"/>
        </w:rPr>
        <w:t>2.4 International Context</w:t>
      </w:r>
      <w:bookmarkEnd w:id="10"/>
    </w:p>
    <w:p w14:paraId="3975104F" w14:textId="1BE74616" w:rsidR="090F8708" w:rsidRDefault="090F8708" w:rsidP="1B62D44F">
      <w:pPr>
        <w:spacing w:before="240" w:after="240" w:line="360" w:lineRule="auto"/>
        <w:rPr>
          <w:color w:val="000000" w:themeColor="text1"/>
          <w:sz w:val="22"/>
          <w:szCs w:val="22"/>
        </w:rPr>
      </w:pPr>
      <w:r w:rsidRPr="1B62D44F">
        <w:rPr>
          <w:color w:val="000000" w:themeColor="text1"/>
          <w:sz w:val="22"/>
          <w:szCs w:val="22"/>
        </w:rPr>
        <w:t>Similar mental health access challenges are found across Europe, North America, and other regions with African diasporic communities (</w:t>
      </w:r>
      <w:proofErr w:type="spellStart"/>
      <w:r w:rsidRPr="1B62D44F">
        <w:rPr>
          <w:color w:val="000000" w:themeColor="text1"/>
          <w:sz w:val="22"/>
          <w:szCs w:val="22"/>
        </w:rPr>
        <w:t>Priebe</w:t>
      </w:r>
      <w:proofErr w:type="spellEnd"/>
      <w:r w:rsidRPr="1B62D44F">
        <w:rPr>
          <w:color w:val="000000" w:themeColor="text1"/>
          <w:sz w:val="22"/>
          <w:szCs w:val="22"/>
        </w:rPr>
        <w:t xml:space="preserve">, </w:t>
      </w:r>
      <w:proofErr w:type="spellStart"/>
      <w:r w:rsidRPr="1B62D44F">
        <w:rPr>
          <w:color w:val="000000" w:themeColor="text1"/>
          <w:sz w:val="22"/>
          <w:szCs w:val="22"/>
        </w:rPr>
        <w:t>Giacco</w:t>
      </w:r>
      <w:proofErr w:type="spellEnd"/>
      <w:r w:rsidRPr="1B62D44F">
        <w:rPr>
          <w:color w:val="000000" w:themeColor="text1"/>
          <w:sz w:val="22"/>
          <w:szCs w:val="22"/>
        </w:rPr>
        <w:t xml:space="preserve"> and </w:t>
      </w:r>
      <w:proofErr w:type="spellStart"/>
      <w:r w:rsidRPr="1B62D44F">
        <w:rPr>
          <w:color w:val="000000" w:themeColor="text1"/>
          <w:sz w:val="22"/>
          <w:szCs w:val="22"/>
        </w:rPr>
        <w:t>El-Nagib</w:t>
      </w:r>
      <w:proofErr w:type="spellEnd"/>
      <w:r w:rsidRPr="1B62D44F">
        <w:rPr>
          <w:color w:val="000000" w:themeColor="text1"/>
          <w:sz w:val="22"/>
          <w:szCs w:val="22"/>
        </w:rPr>
        <w:t>, 2016). In the United States, African immigrants experience systemic racism, distrust of healthcare institutions, and stigma, compounded by high financial costs of treatment (Williams, Lawrence and Davis, 2019). Community-based interventions rooted in African cultural frameworks have improved engagement and outcomes (Snowden and Yamada, 2005).</w:t>
      </w:r>
    </w:p>
    <w:p w14:paraId="55B693E8" w14:textId="1B1523E9" w:rsidR="090F8708" w:rsidRDefault="090F8708" w:rsidP="1B62D44F">
      <w:pPr>
        <w:spacing w:before="240" w:after="240" w:line="360" w:lineRule="auto"/>
        <w:rPr>
          <w:color w:val="000000" w:themeColor="text1"/>
          <w:sz w:val="22"/>
          <w:szCs w:val="22"/>
        </w:rPr>
      </w:pPr>
      <w:r w:rsidRPr="1B62D44F">
        <w:rPr>
          <w:color w:val="000000" w:themeColor="text1"/>
          <w:sz w:val="22"/>
          <w:szCs w:val="22"/>
        </w:rPr>
        <w:t>In Canada, African and Black communities experience language barriers, immigration stress, and social isolation (</w:t>
      </w:r>
      <w:proofErr w:type="spellStart"/>
      <w:r w:rsidRPr="1B62D44F">
        <w:rPr>
          <w:color w:val="000000" w:themeColor="text1"/>
          <w:sz w:val="22"/>
          <w:szCs w:val="22"/>
        </w:rPr>
        <w:t>Etowa</w:t>
      </w:r>
      <w:proofErr w:type="spellEnd"/>
      <w:r w:rsidRPr="1B62D44F">
        <w:rPr>
          <w:color w:val="000000" w:themeColor="text1"/>
          <w:sz w:val="22"/>
          <w:szCs w:val="22"/>
        </w:rPr>
        <w:t xml:space="preserve">, Hyman and </w:t>
      </w:r>
      <w:proofErr w:type="spellStart"/>
      <w:r w:rsidRPr="1B62D44F">
        <w:rPr>
          <w:color w:val="000000" w:themeColor="text1"/>
          <w:sz w:val="22"/>
          <w:szCs w:val="22"/>
        </w:rPr>
        <w:t>Dabelo</w:t>
      </w:r>
      <w:proofErr w:type="spellEnd"/>
      <w:r w:rsidRPr="1B62D44F">
        <w:rPr>
          <w:color w:val="000000" w:themeColor="text1"/>
          <w:sz w:val="22"/>
          <w:szCs w:val="22"/>
        </w:rPr>
        <w:t>, 2021). However, partnerships between community organisations and mental health providers have led to culturally adapted services that foster trust (</w:t>
      </w:r>
      <w:proofErr w:type="spellStart"/>
      <w:r w:rsidRPr="1B62D44F">
        <w:rPr>
          <w:color w:val="000000" w:themeColor="text1"/>
          <w:sz w:val="22"/>
          <w:szCs w:val="22"/>
        </w:rPr>
        <w:t>Bignall</w:t>
      </w:r>
      <w:proofErr w:type="spellEnd"/>
      <w:r w:rsidRPr="1B62D44F">
        <w:rPr>
          <w:color w:val="000000" w:themeColor="text1"/>
          <w:sz w:val="22"/>
          <w:szCs w:val="22"/>
        </w:rPr>
        <w:t xml:space="preserve"> et al., 2019).</w:t>
      </w:r>
    </w:p>
    <w:p w14:paraId="331000FD" w14:textId="56F40055" w:rsidR="1B62D44F" w:rsidRDefault="090F8708" w:rsidP="1B62D44F">
      <w:pPr>
        <w:spacing w:before="240" w:after="240" w:line="360" w:lineRule="auto"/>
        <w:rPr>
          <w:color w:val="000000" w:themeColor="text1"/>
          <w:sz w:val="22"/>
          <w:szCs w:val="22"/>
        </w:rPr>
      </w:pPr>
      <w:r w:rsidRPr="1B62D44F">
        <w:rPr>
          <w:color w:val="000000" w:themeColor="text1"/>
          <w:sz w:val="22"/>
          <w:szCs w:val="22"/>
        </w:rPr>
        <w:t>Across Europe, African migrants face precarious living conditions, racism, and limited culturally informed care (</w:t>
      </w:r>
      <w:proofErr w:type="spellStart"/>
      <w:r w:rsidRPr="1B62D44F">
        <w:rPr>
          <w:color w:val="000000" w:themeColor="text1"/>
          <w:sz w:val="22"/>
          <w:szCs w:val="22"/>
        </w:rPr>
        <w:t>Priebe</w:t>
      </w:r>
      <w:proofErr w:type="spellEnd"/>
      <w:r w:rsidRPr="1B62D44F">
        <w:rPr>
          <w:color w:val="000000" w:themeColor="text1"/>
          <w:sz w:val="22"/>
          <w:szCs w:val="22"/>
        </w:rPr>
        <w:t xml:space="preserve">, </w:t>
      </w:r>
      <w:proofErr w:type="spellStart"/>
      <w:r w:rsidRPr="1B62D44F">
        <w:rPr>
          <w:color w:val="000000" w:themeColor="text1"/>
          <w:sz w:val="22"/>
          <w:szCs w:val="22"/>
        </w:rPr>
        <w:t>Giacco</w:t>
      </w:r>
      <w:proofErr w:type="spellEnd"/>
      <w:r w:rsidRPr="1B62D44F">
        <w:rPr>
          <w:color w:val="000000" w:themeColor="text1"/>
          <w:sz w:val="22"/>
          <w:szCs w:val="22"/>
        </w:rPr>
        <w:t xml:space="preserve"> and </w:t>
      </w:r>
      <w:proofErr w:type="spellStart"/>
      <w:r w:rsidRPr="1B62D44F">
        <w:rPr>
          <w:color w:val="000000" w:themeColor="text1"/>
          <w:sz w:val="22"/>
          <w:szCs w:val="22"/>
        </w:rPr>
        <w:t>El-Nagib</w:t>
      </w:r>
      <w:proofErr w:type="spellEnd"/>
      <w:r w:rsidRPr="1B62D44F">
        <w:rPr>
          <w:color w:val="000000" w:themeColor="text1"/>
          <w:sz w:val="22"/>
          <w:szCs w:val="22"/>
        </w:rPr>
        <w:t>, 2016). While national contexts differ, a consistent pattern emerges: African individuals engage with mental health services only at crisis point and rarely receive early intervention (</w:t>
      </w:r>
      <w:proofErr w:type="spellStart"/>
      <w:r w:rsidRPr="1B62D44F">
        <w:rPr>
          <w:color w:val="000000" w:themeColor="text1"/>
          <w:sz w:val="22"/>
          <w:szCs w:val="22"/>
        </w:rPr>
        <w:t>Memon</w:t>
      </w:r>
      <w:proofErr w:type="spellEnd"/>
      <w:r w:rsidRPr="1B62D44F">
        <w:rPr>
          <w:color w:val="000000" w:themeColor="text1"/>
          <w:sz w:val="22"/>
          <w:szCs w:val="22"/>
        </w:rPr>
        <w:t xml:space="preserve"> et al., 2016). Compared with other countries, the UK displays particularly high compulsory detention rates among African populations (NHS Digital, 2023).</w:t>
      </w:r>
    </w:p>
    <w:p w14:paraId="06B95C01" w14:textId="6445A75D" w:rsidR="56487953" w:rsidRDefault="56487953" w:rsidP="56487953">
      <w:pPr>
        <w:rPr>
          <w:rFonts w:ascii="Arial" w:eastAsia="Arial" w:hAnsi="Arial" w:cs="Arial"/>
          <w:color w:val="000000" w:themeColor="text1"/>
        </w:rPr>
      </w:pPr>
    </w:p>
    <w:p w14:paraId="26E0C74C" w14:textId="369AF979" w:rsidR="090F8708" w:rsidRDefault="090F8708" w:rsidP="1B62D44F">
      <w:pPr>
        <w:pStyle w:val="Heading2"/>
        <w:rPr>
          <w:rFonts w:asciiTheme="minorHAnsi" w:eastAsiaTheme="minorEastAsia" w:hAnsiTheme="minorHAnsi" w:cstheme="minorBidi"/>
          <w:b/>
          <w:color w:val="auto"/>
          <w:sz w:val="28"/>
          <w:szCs w:val="28"/>
        </w:rPr>
      </w:pPr>
      <w:bookmarkStart w:id="11" w:name="_Toc154309711"/>
      <w:r w:rsidRPr="1B62D44F">
        <w:rPr>
          <w:rFonts w:asciiTheme="minorHAnsi" w:eastAsiaTheme="minorEastAsia" w:hAnsiTheme="minorHAnsi" w:cstheme="minorBidi"/>
          <w:b/>
          <w:color w:val="auto"/>
          <w:sz w:val="28"/>
          <w:szCs w:val="28"/>
        </w:rPr>
        <w:t>2.5 National and Local UK Context</w:t>
      </w:r>
      <w:bookmarkEnd w:id="11"/>
    </w:p>
    <w:p w14:paraId="1092634C" w14:textId="1BD6E50E" w:rsidR="090F8708" w:rsidRDefault="090F8708" w:rsidP="1B62D44F">
      <w:pPr>
        <w:spacing w:before="240" w:after="240" w:line="360" w:lineRule="auto"/>
        <w:rPr>
          <w:color w:val="000000" w:themeColor="text1"/>
          <w:sz w:val="22"/>
          <w:szCs w:val="22"/>
        </w:rPr>
      </w:pPr>
      <w:r w:rsidRPr="1B62D44F">
        <w:rPr>
          <w:color w:val="000000" w:themeColor="text1"/>
          <w:sz w:val="22"/>
          <w:szCs w:val="22"/>
        </w:rPr>
        <w:t>African communities in the UK are less likely to access preventative mental health services yet more likely to be detained under mental health legislation (NHS Digital, 2023). Policies acknowledge racial disparities, but implementation remains inconsistent (NHS Race and Health Observatory, 2022).</w:t>
      </w:r>
    </w:p>
    <w:p w14:paraId="7D60219A" w14:textId="65B9A28A" w:rsidR="090F8708" w:rsidRDefault="090F8708" w:rsidP="1B62D44F">
      <w:pPr>
        <w:spacing w:before="240" w:after="240" w:line="360" w:lineRule="auto"/>
        <w:rPr>
          <w:color w:val="000000" w:themeColor="text1"/>
          <w:sz w:val="22"/>
          <w:szCs w:val="22"/>
        </w:rPr>
      </w:pPr>
      <w:r w:rsidRPr="1B62D44F">
        <w:rPr>
          <w:color w:val="000000" w:themeColor="text1"/>
          <w:sz w:val="22"/>
          <w:szCs w:val="22"/>
        </w:rPr>
        <w:t>Locally, cities with large African populations have developed community mental health hubs and collaborative initiatives with African-led organisations to improve access (</w:t>
      </w:r>
      <w:proofErr w:type="spellStart"/>
      <w:r w:rsidRPr="1B62D44F">
        <w:rPr>
          <w:color w:val="000000" w:themeColor="text1"/>
          <w:sz w:val="22"/>
          <w:szCs w:val="22"/>
        </w:rPr>
        <w:t>Bignall</w:t>
      </w:r>
      <w:proofErr w:type="spellEnd"/>
      <w:r w:rsidRPr="1B62D44F">
        <w:rPr>
          <w:color w:val="000000" w:themeColor="text1"/>
          <w:sz w:val="22"/>
          <w:szCs w:val="22"/>
        </w:rPr>
        <w:t xml:space="preserve"> et al., 2019). However, regions with smaller African communities lack such provision, reinforcing regional inequalities (Keating, 2015).</w:t>
      </w:r>
    </w:p>
    <w:p w14:paraId="2454BA39" w14:textId="442FB5EE" w:rsidR="090F8708" w:rsidRDefault="090F8708" w:rsidP="1B62D44F">
      <w:pPr>
        <w:spacing w:before="240" w:after="240" w:line="360" w:lineRule="auto"/>
        <w:rPr>
          <w:color w:val="000000" w:themeColor="text1"/>
          <w:sz w:val="22"/>
          <w:szCs w:val="22"/>
        </w:rPr>
      </w:pPr>
      <w:r w:rsidRPr="1B62D44F">
        <w:rPr>
          <w:color w:val="000000" w:themeColor="text1"/>
          <w:sz w:val="22"/>
          <w:szCs w:val="22"/>
        </w:rPr>
        <w:t>Community organisations play a vital bridging role by offering culturally sensitive support and helping individuals navigate statutory systems (Fernando, 2017). Yet structural barriers, including under-representation of African professionals and language differences, continue to hinder engagement (Williams, Lawrence and Davis, 2019).</w:t>
      </w:r>
    </w:p>
    <w:p w14:paraId="23EB7B93" w14:textId="0C4C5B03" w:rsidR="090F8708" w:rsidRDefault="090F8708" w:rsidP="1B62D44F">
      <w:pPr>
        <w:spacing w:before="240" w:after="240" w:line="360" w:lineRule="auto"/>
        <w:rPr>
          <w:color w:val="000000" w:themeColor="text1"/>
          <w:sz w:val="22"/>
          <w:szCs w:val="22"/>
        </w:rPr>
      </w:pPr>
      <w:r w:rsidRPr="1B62D44F">
        <w:rPr>
          <w:color w:val="000000" w:themeColor="text1"/>
          <w:sz w:val="22"/>
          <w:szCs w:val="22"/>
        </w:rPr>
        <w:t>Meaningful change requires sustained investment, cultural responsiveness, and structural reform; without these, disparities in mental health access will persist (Marmot, 2010).</w:t>
      </w:r>
    </w:p>
    <w:p w14:paraId="494D9C75" w14:textId="428ECB64" w:rsidR="56487953" w:rsidRDefault="56487953" w:rsidP="56487953">
      <w:pPr>
        <w:rPr>
          <w:rFonts w:ascii="Arial" w:eastAsia="Arial" w:hAnsi="Arial" w:cs="Arial"/>
          <w:color w:val="000000" w:themeColor="text1"/>
        </w:rPr>
      </w:pPr>
    </w:p>
    <w:p w14:paraId="1FC49146" w14:textId="3F8632BF" w:rsidR="090F8708" w:rsidRDefault="5B8493D1" w:rsidP="1B62D44F">
      <w:pPr>
        <w:pStyle w:val="Heading2"/>
        <w:rPr>
          <w:rFonts w:asciiTheme="minorHAnsi" w:eastAsiaTheme="minorEastAsia" w:hAnsiTheme="minorHAnsi" w:cstheme="minorBidi"/>
          <w:b/>
          <w:color w:val="auto"/>
          <w:sz w:val="28"/>
          <w:szCs w:val="28"/>
        </w:rPr>
      </w:pPr>
      <w:bookmarkStart w:id="12" w:name="_Toc612972203"/>
      <w:r w:rsidRPr="1B62D44F">
        <w:rPr>
          <w:rFonts w:asciiTheme="minorHAnsi" w:eastAsiaTheme="minorEastAsia" w:hAnsiTheme="minorHAnsi" w:cstheme="minorBidi"/>
          <w:b/>
          <w:bCs/>
          <w:color w:val="auto"/>
          <w:sz w:val="28"/>
          <w:szCs w:val="28"/>
        </w:rPr>
        <w:t xml:space="preserve">2.6 </w:t>
      </w:r>
      <w:r w:rsidR="090F8708" w:rsidRPr="1B62D44F">
        <w:rPr>
          <w:rFonts w:asciiTheme="minorHAnsi" w:eastAsiaTheme="minorEastAsia" w:hAnsiTheme="minorHAnsi" w:cstheme="minorBidi"/>
          <w:b/>
          <w:color w:val="auto"/>
          <w:sz w:val="28"/>
          <w:szCs w:val="28"/>
        </w:rPr>
        <w:t>Conclusion</w:t>
      </w:r>
      <w:bookmarkEnd w:id="12"/>
    </w:p>
    <w:p w14:paraId="50242F46" w14:textId="5D76F2F5" w:rsidR="090F8708" w:rsidRDefault="090F8708" w:rsidP="1B62D44F">
      <w:pPr>
        <w:spacing w:before="240" w:after="240" w:line="360" w:lineRule="auto"/>
        <w:rPr>
          <w:color w:val="000000" w:themeColor="text1"/>
          <w:sz w:val="22"/>
          <w:szCs w:val="22"/>
        </w:rPr>
      </w:pPr>
      <w:r w:rsidRPr="1B62D44F">
        <w:rPr>
          <w:color w:val="000000" w:themeColor="text1"/>
          <w:sz w:val="22"/>
          <w:szCs w:val="22"/>
        </w:rPr>
        <w:t>This chapter has examined the historical, theoretical, international, and UK dimensions that shape mental health experiences for African communities. The evidence shows that current barriers result from historical inequalities, cultural misunderstandings, and systemic practices that marginalise African populations (</w:t>
      </w:r>
      <w:proofErr w:type="spellStart"/>
      <w:r w:rsidRPr="1B62D44F">
        <w:rPr>
          <w:color w:val="000000" w:themeColor="text1"/>
          <w:sz w:val="22"/>
          <w:szCs w:val="22"/>
        </w:rPr>
        <w:t>Macpherson</w:t>
      </w:r>
      <w:proofErr w:type="spellEnd"/>
      <w:r w:rsidRPr="1B62D44F">
        <w:rPr>
          <w:color w:val="000000" w:themeColor="text1"/>
          <w:sz w:val="22"/>
          <w:szCs w:val="22"/>
        </w:rPr>
        <w:t>, 1999; Fernando, 2010). Understanding these factors provides a foundation for analysing lived experiences and identifying strategies to create culturally grounded, equitable mental health services.</w:t>
      </w:r>
    </w:p>
    <w:p w14:paraId="42446F38" w14:textId="5E49862E" w:rsidR="65B08F1D" w:rsidRDefault="65B08F1D" w:rsidP="65B08F1D">
      <w:pPr>
        <w:spacing w:before="240" w:after="240" w:line="360" w:lineRule="auto"/>
        <w:rPr>
          <w:color w:val="000000" w:themeColor="text1"/>
          <w:sz w:val="22"/>
          <w:szCs w:val="22"/>
        </w:rPr>
      </w:pPr>
    </w:p>
    <w:p w14:paraId="2BF97D10" w14:textId="47F502DE" w:rsidR="65B08F1D" w:rsidRDefault="65B08F1D" w:rsidP="65B08F1D">
      <w:pPr>
        <w:spacing w:before="240" w:after="240" w:line="360" w:lineRule="auto"/>
        <w:rPr>
          <w:color w:val="000000" w:themeColor="text1"/>
          <w:sz w:val="22"/>
          <w:szCs w:val="22"/>
        </w:rPr>
      </w:pPr>
    </w:p>
    <w:p w14:paraId="54307F69" w14:textId="1F75B24A" w:rsidR="65B08F1D" w:rsidRDefault="65B08F1D" w:rsidP="65B08F1D">
      <w:pPr>
        <w:spacing w:before="240" w:after="240" w:line="360" w:lineRule="auto"/>
        <w:rPr>
          <w:color w:val="000000" w:themeColor="text1"/>
          <w:sz w:val="22"/>
          <w:szCs w:val="22"/>
        </w:rPr>
      </w:pPr>
    </w:p>
    <w:p w14:paraId="2713903E" w14:textId="19B96E3E" w:rsidR="65B08F1D" w:rsidRDefault="65B08F1D" w:rsidP="65B08F1D">
      <w:pPr>
        <w:spacing w:before="240" w:after="240" w:line="360" w:lineRule="auto"/>
        <w:rPr>
          <w:color w:val="000000" w:themeColor="text1"/>
          <w:sz w:val="22"/>
          <w:szCs w:val="22"/>
        </w:rPr>
      </w:pPr>
    </w:p>
    <w:p w14:paraId="2C3D1664" w14:textId="001E125E" w:rsidR="65B08F1D" w:rsidRDefault="65B08F1D" w:rsidP="65B08F1D">
      <w:pPr>
        <w:spacing w:before="240" w:after="240" w:line="360" w:lineRule="auto"/>
        <w:rPr>
          <w:color w:val="000000" w:themeColor="text1"/>
          <w:sz w:val="22"/>
          <w:szCs w:val="22"/>
        </w:rPr>
      </w:pPr>
    </w:p>
    <w:p w14:paraId="0AA54E18" w14:textId="10ACB6C3" w:rsidR="65B08F1D" w:rsidRDefault="65B08F1D" w:rsidP="65B08F1D">
      <w:pPr>
        <w:spacing w:before="240" w:after="240" w:line="360" w:lineRule="auto"/>
        <w:rPr>
          <w:color w:val="000000" w:themeColor="text1"/>
          <w:sz w:val="22"/>
          <w:szCs w:val="22"/>
        </w:rPr>
      </w:pPr>
    </w:p>
    <w:p w14:paraId="4C64162B" w14:textId="0D37231F" w:rsidR="65B08F1D" w:rsidRDefault="65B08F1D" w:rsidP="65B08F1D">
      <w:pPr>
        <w:spacing w:before="240" w:after="240" w:line="360" w:lineRule="auto"/>
        <w:rPr>
          <w:color w:val="000000" w:themeColor="text1"/>
          <w:sz w:val="22"/>
          <w:szCs w:val="22"/>
        </w:rPr>
      </w:pPr>
    </w:p>
    <w:p w14:paraId="0157652D" w14:textId="55608110" w:rsidR="65B08F1D" w:rsidRDefault="65B08F1D" w:rsidP="65B08F1D">
      <w:pPr>
        <w:spacing w:before="240" w:after="240" w:line="360" w:lineRule="auto"/>
        <w:rPr>
          <w:color w:val="000000" w:themeColor="text1"/>
          <w:sz w:val="22"/>
          <w:szCs w:val="22"/>
        </w:rPr>
      </w:pPr>
    </w:p>
    <w:p w14:paraId="16DC8E4D" w14:textId="4D159707" w:rsidR="65B08F1D" w:rsidRDefault="65B08F1D" w:rsidP="65B08F1D">
      <w:pPr>
        <w:spacing w:before="240" w:after="240" w:line="360" w:lineRule="auto"/>
        <w:rPr>
          <w:color w:val="000000" w:themeColor="text1"/>
          <w:sz w:val="22"/>
          <w:szCs w:val="22"/>
        </w:rPr>
      </w:pPr>
    </w:p>
    <w:p w14:paraId="7FDDFA93" w14:textId="4B7C4A3E" w:rsidR="65B08F1D" w:rsidRDefault="65B08F1D" w:rsidP="65B08F1D">
      <w:pPr>
        <w:spacing w:before="240" w:after="240" w:line="360" w:lineRule="auto"/>
        <w:rPr>
          <w:color w:val="000000" w:themeColor="text1"/>
          <w:sz w:val="22"/>
          <w:szCs w:val="22"/>
        </w:rPr>
      </w:pPr>
    </w:p>
    <w:p w14:paraId="03BDF152" w14:textId="529BE894" w:rsidR="316FEB9E" w:rsidRDefault="316FEB9E" w:rsidP="1B62D44F">
      <w:pPr>
        <w:spacing w:before="240" w:after="240" w:line="360" w:lineRule="auto"/>
        <w:rPr>
          <w:color w:val="000000" w:themeColor="text1"/>
          <w:sz w:val="22"/>
          <w:szCs w:val="22"/>
        </w:rPr>
      </w:pPr>
    </w:p>
    <w:p w14:paraId="6D0325A5" w14:textId="06E79FCA" w:rsidR="316FEB9E" w:rsidRDefault="316FEB9E" w:rsidP="1B62D44F">
      <w:pPr>
        <w:pStyle w:val="Heading1"/>
        <w:spacing w:after="0" w:line="240" w:lineRule="auto"/>
        <w:rPr>
          <w:rFonts w:ascii="Segoe UI" w:eastAsia="Segoe UI" w:hAnsi="Segoe UI" w:cs="Segoe UI"/>
          <w:color w:val="000000" w:themeColor="text1"/>
          <w:sz w:val="36"/>
          <w:szCs w:val="36"/>
          <w:lang w:val="en-US"/>
        </w:rPr>
      </w:pPr>
      <w:bookmarkStart w:id="13" w:name="_Toc1441290676"/>
      <w:r w:rsidRPr="1B62D44F">
        <w:rPr>
          <w:rFonts w:asciiTheme="minorHAnsi" w:eastAsiaTheme="minorEastAsia" w:hAnsiTheme="minorHAnsi" w:cstheme="minorBidi"/>
          <w:b/>
          <w:color w:val="auto"/>
          <w:sz w:val="32"/>
          <w:szCs w:val="32"/>
        </w:rPr>
        <w:t>CHAPTER 3 – Methods and Search Strategy</w:t>
      </w:r>
      <w:bookmarkEnd w:id="13"/>
    </w:p>
    <w:p w14:paraId="36C35566" w14:textId="0915A76D" w:rsidR="316FEB9E" w:rsidRDefault="316FEB9E" w:rsidP="1B62D44F">
      <w:pPr>
        <w:pStyle w:val="Heading2"/>
        <w:rPr>
          <w:rFonts w:ascii="Segoe UI" w:eastAsia="Segoe UI" w:hAnsi="Segoe UI" w:cs="Segoe UI"/>
          <w:color w:val="000000" w:themeColor="text1"/>
          <w:sz w:val="36"/>
          <w:szCs w:val="36"/>
          <w:lang w:val="en-US"/>
        </w:rPr>
      </w:pPr>
      <w:bookmarkStart w:id="14" w:name="_Toc932641723"/>
      <w:r w:rsidRPr="1B62D44F">
        <w:rPr>
          <w:rFonts w:asciiTheme="minorHAnsi" w:eastAsiaTheme="minorEastAsia" w:hAnsiTheme="minorHAnsi" w:cstheme="minorBidi"/>
          <w:b/>
          <w:color w:val="auto"/>
          <w:sz w:val="28"/>
          <w:szCs w:val="28"/>
        </w:rPr>
        <w:t>3.1 Introduction</w:t>
      </w:r>
      <w:bookmarkEnd w:id="14"/>
    </w:p>
    <w:p w14:paraId="1F466A4F" w14:textId="19443B4C" w:rsidR="62729BB4" w:rsidRDefault="62729BB4" w:rsidP="00F37855">
      <w:pPr>
        <w:spacing w:after="0" w:line="360" w:lineRule="auto"/>
      </w:pPr>
      <w:r w:rsidRPr="00F37855">
        <w:rPr>
          <w:rFonts w:ascii="Arial" w:eastAsia="Arial" w:hAnsi="Arial" w:cs="Arial"/>
          <w:color w:val="000000" w:themeColor="text1"/>
          <w:sz w:val="22"/>
          <w:szCs w:val="22"/>
        </w:rPr>
        <w:t>This chapter outlines the methodology employed to investigate barriers to accessing mental health care services among the African community in the United Kingdom. The study adopts a secondary research design, developed to critically analyse existing scholarly literature rather than conduct primary data collection. This approach was considered appropriate given the extensive body of work already available on mental health inequalities, cultural perceptions, and service utilisation patterns among minority groups.</w:t>
      </w:r>
    </w:p>
    <w:p w14:paraId="7ADC2C91" w14:textId="0E851EA6" w:rsidR="62729BB4" w:rsidRDefault="62729BB4" w:rsidP="00F37855">
      <w:pPr>
        <w:spacing w:after="0" w:line="360" w:lineRule="auto"/>
      </w:pPr>
      <w:r w:rsidRPr="00F37855">
        <w:rPr>
          <w:rFonts w:ascii="Arial" w:eastAsia="Arial" w:hAnsi="Arial" w:cs="Arial"/>
          <w:color w:val="000000" w:themeColor="text1"/>
          <w:sz w:val="22"/>
          <w:szCs w:val="22"/>
        </w:rPr>
        <w:t>The research design was guided by an academic method framework that structured the process into distinct stages: identifying keywords, developing a comprehensive search strategy, applying inclusion and exclusion criteria, and thematically analysing the selected literature. Relevant academic databases such as Google Scholar, PubMed, and JSTOR were searched using predefined keywords related to African communities, mental health access, stigma, cultural beliefs, and health service provision in the UK. Additional sources, including policy reports and governmental publications, were reviewed to provide contextual grounding and strengthen the evidence base.</w:t>
      </w:r>
    </w:p>
    <w:p w14:paraId="33802925" w14:textId="4B261777" w:rsidR="62729BB4" w:rsidRDefault="62729BB4" w:rsidP="00F37855">
      <w:pPr>
        <w:spacing w:after="0" w:line="360" w:lineRule="auto"/>
      </w:pPr>
      <w:r w:rsidRPr="00F37855">
        <w:rPr>
          <w:rFonts w:ascii="Arial" w:eastAsia="Arial" w:hAnsi="Arial" w:cs="Arial"/>
          <w:color w:val="000000" w:themeColor="text1"/>
          <w:sz w:val="22"/>
          <w:szCs w:val="22"/>
        </w:rPr>
        <w:t>Inclusion criteria were applied to ensure that only peer-reviewed literature published within the last ten years and directly related to mental health access among African populations in the UK, was incorporated. Studies focusing solely on other ethnic groups, unrelated health conditions, or research conducted outside the UK were excluded. This filtering process enabled a focused and credible synthesis of evidence.</w:t>
      </w:r>
    </w:p>
    <w:p w14:paraId="0D812DAD" w14:textId="6B5D71C0" w:rsidR="65B08F1D" w:rsidRDefault="62729BB4" w:rsidP="00F37855">
      <w:pPr>
        <w:spacing w:after="0" w:line="360" w:lineRule="auto"/>
        <w:rPr>
          <w:rFonts w:ascii="Arial" w:eastAsia="Arial" w:hAnsi="Arial" w:cs="Arial"/>
          <w:color w:val="000000" w:themeColor="text1"/>
          <w:sz w:val="22"/>
          <w:szCs w:val="22"/>
        </w:rPr>
      </w:pPr>
      <w:r w:rsidRPr="00F37855">
        <w:rPr>
          <w:rFonts w:ascii="Arial" w:eastAsia="Arial" w:hAnsi="Arial" w:cs="Arial"/>
          <w:color w:val="000000" w:themeColor="text1"/>
          <w:sz w:val="22"/>
          <w:szCs w:val="22"/>
        </w:rPr>
        <w:t xml:space="preserve">Once the literature was selected, a thematic analysis was conducted to identify recurring patterns, concepts, and barriers highlighted across studies. Themes such as stigma, cultural misconceptions, distrust of healthcare institutions, and structural inequalities emerged as central issues. This systematic and transparent methodology ensured the credibility, relevance, and rigour of the review process, thereby underpinning the findings presented in Chapter </w:t>
      </w:r>
      <w:r w:rsidR="12153B22" w:rsidRPr="00F37855">
        <w:rPr>
          <w:rFonts w:ascii="Arial" w:eastAsia="Arial" w:hAnsi="Arial" w:cs="Arial"/>
          <w:color w:val="000000" w:themeColor="text1"/>
          <w:sz w:val="22"/>
          <w:szCs w:val="22"/>
        </w:rPr>
        <w:t>4</w:t>
      </w:r>
      <w:r w:rsidR="53DE51E4" w:rsidRPr="00F37855">
        <w:rPr>
          <w:rFonts w:ascii="Arial" w:eastAsia="Arial" w:hAnsi="Arial" w:cs="Arial"/>
          <w:color w:val="000000" w:themeColor="text1"/>
          <w:sz w:val="22"/>
          <w:szCs w:val="22"/>
        </w:rPr>
        <w:t>.</w:t>
      </w:r>
    </w:p>
    <w:p w14:paraId="2C7E0DFB" w14:textId="2C425D24" w:rsidR="65B08F1D" w:rsidRDefault="65B08F1D" w:rsidP="65B08F1D">
      <w:pPr>
        <w:spacing w:after="0" w:line="360" w:lineRule="auto"/>
        <w:rPr>
          <w:b/>
          <w:bCs/>
          <w:sz w:val="28"/>
          <w:szCs w:val="28"/>
        </w:rPr>
      </w:pPr>
    </w:p>
    <w:p w14:paraId="2689D235" w14:textId="5B806AFD" w:rsidR="65B08F1D" w:rsidRDefault="65B08F1D" w:rsidP="65B08F1D">
      <w:pPr>
        <w:spacing w:after="0" w:line="360" w:lineRule="auto"/>
        <w:rPr>
          <w:b/>
          <w:bCs/>
          <w:sz w:val="28"/>
          <w:szCs w:val="28"/>
        </w:rPr>
      </w:pPr>
    </w:p>
    <w:p w14:paraId="15ECF162" w14:textId="14A0C2E0" w:rsidR="65B08F1D" w:rsidRDefault="65B08F1D" w:rsidP="65B08F1D">
      <w:pPr>
        <w:spacing w:after="0" w:line="360" w:lineRule="auto"/>
        <w:rPr>
          <w:b/>
          <w:bCs/>
          <w:sz w:val="28"/>
          <w:szCs w:val="28"/>
        </w:rPr>
      </w:pPr>
    </w:p>
    <w:p w14:paraId="0647AACD" w14:textId="57EACA82" w:rsidR="65B08F1D" w:rsidRDefault="65B08F1D" w:rsidP="65B08F1D">
      <w:pPr>
        <w:spacing w:after="0" w:line="360" w:lineRule="auto"/>
        <w:rPr>
          <w:b/>
          <w:bCs/>
          <w:sz w:val="28"/>
          <w:szCs w:val="28"/>
        </w:rPr>
      </w:pPr>
    </w:p>
    <w:p w14:paraId="0CF523C4" w14:textId="4031A52E" w:rsidR="65B08F1D" w:rsidRDefault="65B08F1D" w:rsidP="65B08F1D">
      <w:pPr>
        <w:spacing w:after="0" w:line="360" w:lineRule="auto"/>
        <w:rPr>
          <w:b/>
          <w:bCs/>
          <w:sz w:val="28"/>
          <w:szCs w:val="28"/>
        </w:rPr>
      </w:pPr>
    </w:p>
    <w:p w14:paraId="44D99DF9" w14:textId="4BECB776" w:rsidR="316FEB9E" w:rsidRDefault="316FEB9E" w:rsidP="1B62D44F">
      <w:pPr>
        <w:spacing w:after="0" w:line="360" w:lineRule="auto"/>
        <w:rPr>
          <w:b/>
          <w:sz w:val="28"/>
          <w:szCs w:val="28"/>
        </w:rPr>
      </w:pPr>
    </w:p>
    <w:p w14:paraId="18842F1A" w14:textId="4D8AC910" w:rsidR="316FEB9E" w:rsidRDefault="316FEB9E" w:rsidP="1B62D44F">
      <w:pPr>
        <w:spacing w:after="0" w:line="360" w:lineRule="auto"/>
        <w:rPr>
          <w:rFonts w:ascii="Arial" w:eastAsia="Arial" w:hAnsi="Arial" w:cs="Arial"/>
          <w:color w:val="000000" w:themeColor="text1"/>
          <w:sz w:val="22"/>
          <w:szCs w:val="22"/>
        </w:rPr>
      </w:pPr>
      <w:r w:rsidRPr="1B62D44F">
        <w:rPr>
          <w:b/>
          <w:sz w:val="28"/>
          <w:szCs w:val="28"/>
        </w:rPr>
        <w:t>3.2 Search Strategy</w:t>
      </w:r>
    </w:p>
    <w:p w14:paraId="6758DCB4" w14:textId="0C239FA7" w:rsidR="316FEB9E" w:rsidRDefault="316FEB9E" w:rsidP="1B62D44F">
      <w:pPr>
        <w:pStyle w:val="Heading3"/>
        <w:rPr>
          <w:rFonts w:ascii="Segoe UI" w:eastAsia="Segoe UI" w:hAnsi="Segoe UI" w:cs="Segoe UI"/>
          <w:color w:val="000000" w:themeColor="text1"/>
          <w:sz w:val="36"/>
          <w:szCs w:val="36"/>
          <w:lang w:val="en-US"/>
        </w:rPr>
      </w:pPr>
      <w:bookmarkStart w:id="15" w:name="_Toc676779668"/>
      <w:r w:rsidRPr="1B62D44F">
        <w:rPr>
          <w:b/>
          <w:color w:val="auto"/>
          <w:sz w:val="24"/>
          <w:szCs w:val="24"/>
        </w:rPr>
        <w:t>Developing Keywords</w:t>
      </w:r>
      <w:bookmarkEnd w:id="15"/>
    </w:p>
    <w:p w14:paraId="7A770607" w14:textId="603A03BA" w:rsidR="316FEB9E" w:rsidRDefault="316FEB9E" w:rsidP="65B08F1D">
      <w:pPr>
        <w:spacing w:before="240" w:after="240" w:line="360" w:lineRule="auto"/>
        <w:rPr>
          <w:rFonts w:ascii="Arial" w:eastAsia="Arial" w:hAnsi="Arial" w:cs="Arial"/>
          <w:color w:val="000000" w:themeColor="text1"/>
          <w:sz w:val="22"/>
          <w:szCs w:val="22"/>
          <w:lang w:val="en-US"/>
        </w:rPr>
      </w:pPr>
      <w:r w:rsidRPr="65B08F1D">
        <w:rPr>
          <w:rFonts w:ascii="Arial" w:eastAsia="Arial" w:hAnsi="Arial" w:cs="Arial"/>
          <w:color w:val="000000" w:themeColor="text1"/>
          <w:sz w:val="22"/>
          <w:szCs w:val="22"/>
        </w:rPr>
        <w:t xml:space="preserve"> </w:t>
      </w:r>
      <w:r w:rsidRPr="65B08F1D">
        <w:rPr>
          <w:rFonts w:ascii="Arial" w:eastAsia="Arial" w:hAnsi="Arial" w:cs="Arial"/>
          <w:sz w:val="22"/>
          <w:szCs w:val="22"/>
        </w:rPr>
        <w:t xml:space="preserve">Keywords were directly derived from the dissertation title, </w:t>
      </w:r>
      <w:r w:rsidRPr="65B08F1D">
        <w:rPr>
          <w:rFonts w:ascii="Arial" w:eastAsia="Arial" w:hAnsi="Arial" w:cs="Arial"/>
          <w:i/>
          <w:sz w:val="22"/>
          <w:szCs w:val="22"/>
        </w:rPr>
        <w:t>“Barriers in accessing health care services for mental health in the African community in the UK.”</w:t>
      </w:r>
      <w:r w:rsidRPr="65B08F1D">
        <w:rPr>
          <w:rFonts w:ascii="Arial" w:eastAsia="Arial" w:hAnsi="Arial" w:cs="Arial"/>
          <w:sz w:val="22"/>
          <w:szCs w:val="22"/>
        </w:rPr>
        <w:t xml:space="preserve"> Primary terms included “mental health,” “healthcare,” “African community,” and “UK.” </w:t>
      </w:r>
      <w:r w:rsidR="1F7A44B6" w:rsidRPr="65B08F1D">
        <w:rPr>
          <w:rFonts w:ascii="Arial" w:eastAsia="Arial" w:hAnsi="Arial" w:cs="Arial"/>
          <w:sz w:val="22"/>
          <w:szCs w:val="22"/>
        </w:rPr>
        <w:t xml:space="preserve">These core concepts ensured that the search remained aligned with the central focus of the study. </w:t>
      </w:r>
      <w:r w:rsidRPr="65B08F1D">
        <w:rPr>
          <w:rFonts w:ascii="Arial" w:eastAsia="Arial" w:hAnsi="Arial" w:cs="Arial"/>
          <w:sz w:val="22"/>
          <w:szCs w:val="22"/>
        </w:rPr>
        <w:t>To enhance comprehensiveness</w:t>
      </w:r>
      <w:r w:rsidR="1F7A44B6" w:rsidRPr="65B08F1D">
        <w:rPr>
          <w:rFonts w:ascii="Arial" w:eastAsia="Arial" w:hAnsi="Arial" w:cs="Arial"/>
          <w:sz w:val="22"/>
          <w:szCs w:val="22"/>
        </w:rPr>
        <w:t xml:space="preserve"> and capture a broader range of relevant literature</w:t>
      </w:r>
      <w:r w:rsidRPr="65B08F1D">
        <w:rPr>
          <w:rFonts w:ascii="Arial" w:eastAsia="Arial" w:hAnsi="Arial" w:cs="Arial"/>
          <w:sz w:val="22"/>
          <w:szCs w:val="22"/>
        </w:rPr>
        <w:t>, synonyms and related phrases such as “health services,” “medical access,” “cultural barriers,” and “ethnic minority health” were also integrated</w:t>
      </w:r>
      <w:r w:rsidR="1F7A44B6" w:rsidRPr="65B08F1D">
        <w:rPr>
          <w:rFonts w:ascii="Arial" w:eastAsia="Arial" w:hAnsi="Arial" w:cs="Arial"/>
          <w:sz w:val="22"/>
          <w:szCs w:val="22"/>
        </w:rPr>
        <w:t>.</w:t>
      </w:r>
    </w:p>
    <w:p w14:paraId="02DB09B9" w14:textId="316FEBAF" w:rsidR="316FEB9E" w:rsidRDefault="1F7A44B6" w:rsidP="65B08F1D">
      <w:pPr>
        <w:spacing w:before="240" w:after="240" w:line="360" w:lineRule="auto"/>
      </w:pPr>
      <w:r w:rsidRPr="65B08F1D">
        <w:rPr>
          <w:rFonts w:ascii="Arial" w:eastAsia="Arial" w:hAnsi="Arial" w:cs="Arial"/>
          <w:sz w:val="22"/>
          <w:szCs w:val="22"/>
        </w:rPr>
        <w:t>Additionally, alternative expressions such as “Black African populations,” “psychological support,” “mental health provision,” and “service utilisation” were incorporated to reflect terminology used across different academic disciplines and policy documents. Including these variations helped minimise the risk of overlooking studies that addressed similar themes but employed different wording. By employing a diverse array of keywords, the search strategy was able to retrieve a more exhaustive set of sources, ensuring that the literature review was both inclusive and reflective of the multifaceted nature of mental health access within the African community in the UK.</w:t>
      </w:r>
    </w:p>
    <w:p w14:paraId="6DD03134" w14:textId="654E3D73" w:rsidR="316FEB9E" w:rsidRDefault="316FEB9E" w:rsidP="1B62D44F">
      <w:pPr>
        <w:spacing w:after="0" w:line="360" w:lineRule="auto"/>
        <w:rPr>
          <w:rFonts w:ascii="Arial" w:eastAsia="Arial" w:hAnsi="Arial" w:cs="Arial"/>
          <w:color w:val="000000" w:themeColor="text1"/>
          <w:sz w:val="22"/>
          <w:szCs w:val="22"/>
          <w:lang w:val="en-US"/>
        </w:rPr>
      </w:pPr>
    </w:p>
    <w:p w14:paraId="39703F5A" w14:textId="75957314" w:rsidR="316FEB9E" w:rsidRDefault="316FEB9E" w:rsidP="1B62D44F">
      <w:pPr>
        <w:pStyle w:val="Heading3"/>
        <w:rPr>
          <w:rFonts w:ascii="Segoe UI" w:eastAsia="Segoe UI" w:hAnsi="Segoe UI" w:cs="Segoe UI"/>
          <w:color w:val="000000" w:themeColor="text1"/>
          <w:sz w:val="36"/>
          <w:szCs w:val="36"/>
          <w:lang w:val="en-US"/>
        </w:rPr>
      </w:pPr>
      <w:bookmarkStart w:id="16" w:name="_Toc1962167140"/>
      <w:r w:rsidRPr="1B62D44F">
        <w:rPr>
          <w:rFonts w:eastAsiaTheme="minorEastAsia" w:cstheme="minorBidi"/>
          <w:b/>
          <w:color w:val="auto"/>
          <w:sz w:val="24"/>
          <w:szCs w:val="24"/>
        </w:rPr>
        <w:t>Boolean Operators</w:t>
      </w:r>
      <w:bookmarkEnd w:id="16"/>
    </w:p>
    <w:p w14:paraId="3175CEBC" w14:textId="6290DD84" w:rsidR="316FEB9E" w:rsidRDefault="316FEB9E" w:rsidP="1B62D44F">
      <w:pPr>
        <w:spacing w:after="0" w:line="360" w:lineRule="auto"/>
        <w:rPr>
          <w:color w:val="000000" w:themeColor="text1"/>
          <w:sz w:val="22"/>
          <w:szCs w:val="22"/>
          <w:lang w:val="en-US"/>
        </w:rPr>
      </w:pPr>
      <w:r w:rsidRPr="1B62D44F">
        <w:rPr>
          <w:color w:val="000000" w:themeColor="text1"/>
          <w:sz w:val="22"/>
          <w:szCs w:val="22"/>
        </w:rPr>
        <w:t>Boolean operators such as AND, OR, and NOT were used to refine search results For example, searches like </w:t>
      </w:r>
      <w:r w:rsidRPr="1B62D44F">
        <w:rPr>
          <w:i/>
          <w:color w:val="000000" w:themeColor="text1"/>
          <w:sz w:val="22"/>
          <w:szCs w:val="22"/>
        </w:rPr>
        <w:t>“mental health AND healthcare AND UK”</w:t>
      </w:r>
      <w:r w:rsidRPr="1B62D44F">
        <w:rPr>
          <w:rStyle w:val="apple-converted-space"/>
          <w:color w:val="000000" w:themeColor="text1"/>
          <w:sz w:val="22"/>
          <w:szCs w:val="22"/>
        </w:rPr>
        <w:t> focused results, while </w:t>
      </w:r>
      <w:r w:rsidRPr="1B62D44F">
        <w:rPr>
          <w:i/>
          <w:color w:val="000000" w:themeColor="text1"/>
          <w:sz w:val="22"/>
          <w:szCs w:val="22"/>
        </w:rPr>
        <w:t>“African OR Black British</w:t>
      </w:r>
      <w:r w:rsidR="4E8AF2C9" w:rsidRPr="1B62D44F">
        <w:rPr>
          <w:i/>
          <w:iCs/>
          <w:color w:val="000000" w:themeColor="text1"/>
          <w:sz w:val="22"/>
          <w:szCs w:val="22"/>
        </w:rPr>
        <w:t xml:space="preserve"> "</w:t>
      </w:r>
      <w:r w:rsidRPr="1B62D44F">
        <w:rPr>
          <w:i/>
          <w:color w:val="000000" w:themeColor="text1"/>
          <w:sz w:val="22"/>
          <w:szCs w:val="22"/>
        </w:rPr>
        <w:t>expanded</w:t>
      </w:r>
      <w:r w:rsidRPr="1B62D44F">
        <w:rPr>
          <w:color w:val="000000" w:themeColor="text1"/>
          <w:sz w:val="22"/>
          <w:szCs w:val="22"/>
        </w:rPr>
        <w:t xml:space="preserve"> the scope to include related ethnic descriptors. The NOT operator excluded irrelevant studies (e.g., those focused on non-UK populations). This systematic combination of terms ensured relevant literature.</w:t>
      </w:r>
    </w:p>
    <w:p w14:paraId="6A54A522" w14:textId="48122643" w:rsidR="1B62D44F" w:rsidRDefault="1B62D44F" w:rsidP="1B62D44F">
      <w:pPr>
        <w:spacing w:after="0" w:line="360" w:lineRule="auto"/>
        <w:rPr>
          <w:color w:val="000000" w:themeColor="text1"/>
          <w:sz w:val="22"/>
          <w:szCs w:val="22"/>
        </w:rPr>
      </w:pPr>
    </w:p>
    <w:p w14:paraId="2E4A900D" w14:textId="0FD9F6E1" w:rsidR="1B5DD76D" w:rsidRDefault="1B5DD76D" w:rsidP="1B5DD76D">
      <w:pPr>
        <w:pStyle w:val="Heading3"/>
        <w:rPr>
          <w:rFonts w:eastAsiaTheme="minorEastAsia" w:cstheme="minorBidi"/>
          <w:b/>
          <w:bCs/>
          <w:color w:val="auto"/>
          <w:sz w:val="24"/>
          <w:szCs w:val="24"/>
        </w:rPr>
      </w:pPr>
    </w:p>
    <w:p w14:paraId="614625FB" w14:textId="173CDF27" w:rsidR="1B5DD76D" w:rsidRDefault="1B5DD76D" w:rsidP="1B5DD76D">
      <w:pPr>
        <w:pStyle w:val="Heading3"/>
        <w:rPr>
          <w:rFonts w:eastAsiaTheme="minorEastAsia" w:cstheme="minorBidi"/>
          <w:b/>
          <w:bCs/>
          <w:color w:val="auto"/>
          <w:sz w:val="24"/>
          <w:szCs w:val="24"/>
        </w:rPr>
      </w:pPr>
    </w:p>
    <w:p w14:paraId="0FB32C0D" w14:textId="0F0221AE" w:rsidR="316FEB9E" w:rsidRDefault="316FEB9E" w:rsidP="1B62D44F">
      <w:pPr>
        <w:pStyle w:val="Heading3"/>
        <w:rPr>
          <w:rFonts w:ascii="Segoe UI" w:eastAsia="Segoe UI" w:hAnsi="Segoe UI" w:cs="Segoe UI"/>
          <w:color w:val="000000" w:themeColor="text1"/>
          <w:sz w:val="36"/>
          <w:szCs w:val="36"/>
          <w:lang w:val="en-US"/>
        </w:rPr>
      </w:pPr>
      <w:bookmarkStart w:id="17" w:name="_Toc1340692770"/>
      <w:r w:rsidRPr="1B62D44F">
        <w:rPr>
          <w:rFonts w:eastAsiaTheme="minorEastAsia" w:cstheme="minorBidi"/>
          <w:b/>
          <w:color w:val="auto"/>
          <w:sz w:val="24"/>
          <w:szCs w:val="24"/>
        </w:rPr>
        <w:t>Structured Search Plan</w:t>
      </w:r>
      <w:bookmarkEnd w:id="17"/>
    </w:p>
    <w:p w14:paraId="749E1DCB" w14:textId="7998A3B4" w:rsidR="316FEB9E" w:rsidRDefault="316FEB9E" w:rsidP="1B62D44F">
      <w:pPr>
        <w:spacing w:after="0" w:line="360" w:lineRule="auto"/>
        <w:rPr>
          <w:color w:val="000000" w:themeColor="text1"/>
          <w:sz w:val="22"/>
          <w:szCs w:val="22"/>
          <w:lang w:val="en-US"/>
        </w:rPr>
      </w:pPr>
      <w:r w:rsidRPr="1B62D44F">
        <w:rPr>
          <w:color w:val="000000" w:themeColor="text1"/>
          <w:sz w:val="22"/>
          <w:szCs w:val="22"/>
        </w:rPr>
        <w:t>A structured plan was created to track keywords, database usage, and successful search combinations. This log allowed iterative refinement as new terms or themes appeared (Hart, 2018). Recording search outcomes also improved research transparency and reproducibility.</w:t>
      </w:r>
    </w:p>
    <w:p w14:paraId="6FC5CDF1" w14:textId="5B9EFB74" w:rsidR="316FEB9E" w:rsidRDefault="316FEB9E" w:rsidP="1B62D44F">
      <w:pPr>
        <w:spacing w:after="0" w:line="360" w:lineRule="auto"/>
        <w:rPr>
          <w:b/>
          <w:bCs/>
          <w:sz w:val="28"/>
          <w:szCs w:val="28"/>
        </w:rPr>
      </w:pPr>
    </w:p>
    <w:p w14:paraId="2461A96A" w14:textId="1B28A3AF" w:rsidR="316FEB9E" w:rsidRDefault="316FEB9E" w:rsidP="1B62D44F">
      <w:pPr>
        <w:spacing w:after="0" w:line="360" w:lineRule="auto"/>
        <w:rPr>
          <w:color w:val="000000" w:themeColor="text1"/>
          <w:sz w:val="22"/>
          <w:szCs w:val="22"/>
          <w:lang w:val="en-US"/>
        </w:rPr>
      </w:pPr>
      <w:r w:rsidRPr="1B62D44F">
        <w:rPr>
          <w:b/>
          <w:sz w:val="28"/>
          <w:szCs w:val="28"/>
        </w:rPr>
        <w:t>3.3 Searching for Information</w:t>
      </w:r>
    </w:p>
    <w:p w14:paraId="1988F0ED" w14:textId="6C51CE9D" w:rsidR="1B62D44F" w:rsidRDefault="1B62D44F" w:rsidP="1B62D44F"/>
    <w:p w14:paraId="0D5C1E20" w14:textId="237D3595" w:rsidR="316FEB9E" w:rsidRDefault="316FEB9E" w:rsidP="1B62D44F">
      <w:pPr>
        <w:pStyle w:val="Heading3"/>
        <w:rPr>
          <w:rFonts w:ascii="Segoe UI" w:eastAsia="Segoe UI" w:hAnsi="Segoe UI" w:cs="Segoe UI"/>
          <w:color w:val="000000" w:themeColor="text1"/>
          <w:sz w:val="36"/>
          <w:szCs w:val="36"/>
          <w:lang w:val="en-US"/>
        </w:rPr>
      </w:pPr>
      <w:bookmarkStart w:id="18" w:name="_Toc555398365"/>
      <w:r w:rsidRPr="1B62D44F">
        <w:rPr>
          <w:rFonts w:eastAsiaTheme="minorEastAsia" w:cstheme="minorBidi"/>
          <w:b/>
          <w:color w:val="auto"/>
        </w:rPr>
        <w:t>Databases and Platforms</w:t>
      </w:r>
      <w:bookmarkEnd w:id="18"/>
    </w:p>
    <w:p w14:paraId="3D584D87" w14:textId="5D5B341A"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Sources were gathered from credible academic databases including Google Scholar, PubMed, and the University of Wales Trinity Saint David (UWTSD) Library. Google Scholar offered a wide disciplinary scope, while PubMed provided access to health and psychology-focused studies. The UWTSD Library helped access to subscription-based, peer-reviewed journals ensuring academic integrity (Grant and Booth, 2009).</w:t>
      </w:r>
    </w:p>
    <w:p w14:paraId="0545ACFD" w14:textId="23000B06" w:rsidR="1B62D44F" w:rsidRDefault="1B62D44F" w:rsidP="1B62D44F">
      <w:pPr>
        <w:spacing w:after="0" w:line="360" w:lineRule="auto"/>
        <w:rPr>
          <w:rFonts w:ascii="Arial" w:eastAsia="Arial" w:hAnsi="Arial" w:cs="Arial"/>
          <w:color w:val="000000" w:themeColor="text1"/>
          <w:sz w:val="22"/>
          <w:szCs w:val="22"/>
        </w:rPr>
      </w:pPr>
    </w:p>
    <w:p w14:paraId="368B18DD" w14:textId="4D470EE6" w:rsidR="316FEB9E" w:rsidRDefault="316FEB9E" w:rsidP="1B62D44F">
      <w:pPr>
        <w:pStyle w:val="Heading3"/>
        <w:rPr>
          <w:rFonts w:ascii="Segoe UI" w:eastAsia="Segoe UI" w:hAnsi="Segoe UI" w:cs="Segoe UI"/>
          <w:color w:val="000000" w:themeColor="text1"/>
          <w:sz w:val="36"/>
          <w:szCs w:val="36"/>
          <w:lang w:val="en-US"/>
        </w:rPr>
      </w:pPr>
      <w:bookmarkStart w:id="19" w:name="_Toc728423497"/>
      <w:r w:rsidRPr="1B62D44F">
        <w:rPr>
          <w:rFonts w:eastAsiaTheme="minorEastAsia" w:cstheme="minorBidi"/>
          <w:b/>
          <w:color w:val="auto"/>
        </w:rPr>
        <w:t>Using Filters</w:t>
      </w:r>
      <w:bookmarkEnd w:id="19"/>
    </w:p>
    <w:p w14:paraId="4B3078C8" w14:textId="3C9CE92D"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Filters were applied to limit results to publications from 2015–2025, prioritising peer-reviewed articles and UK-based research for contextual relevance. Country and date filters ensured that the literature reflected current healthcare structures, policies, and sociocultural dynamics.</w:t>
      </w:r>
    </w:p>
    <w:p w14:paraId="1AE5AEA3" w14:textId="4E7C44DB" w:rsidR="316FEB9E" w:rsidRDefault="316FEB9E" w:rsidP="1B62D44F">
      <w:pPr>
        <w:pStyle w:val="Heading3"/>
        <w:rPr>
          <w:rFonts w:ascii="Segoe UI" w:eastAsia="Segoe UI" w:hAnsi="Segoe UI" w:cs="Segoe UI"/>
          <w:color w:val="000000" w:themeColor="text1"/>
          <w:sz w:val="36"/>
          <w:szCs w:val="36"/>
          <w:lang w:val="en-US"/>
        </w:rPr>
      </w:pPr>
      <w:bookmarkStart w:id="20" w:name="_Toc1799087069"/>
      <w:r w:rsidRPr="1B62D44F">
        <w:rPr>
          <w:rFonts w:eastAsiaTheme="minorEastAsia" w:cstheme="minorBidi"/>
          <w:b/>
          <w:color w:val="auto"/>
        </w:rPr>
        <w:t>Search Process</w:t>
      </w:r>
      <w:bookmarkEnd w:id="20"/>
    </w:p>
    <w:p w14:paraId="59BAC2AA" w14:textId="3CFF165D" w:rsidR="316FEB9E" w:rsidRDefault="316FEB9E" w:rsidP="1B62D44F">
      <w:pPr>
        <w:spacing w:after="0" w:line="360" w:lineRule="auto"/>
        <w:rPr>
          <w:rStyle w:val="apple-converted-space"/>
          <w:color w:val="000000" w:themeColor="text1"/>
          <w:sz w:val="22"/>
          <w:szCs w:val="22"/>
        </w:rPr>
      </w:pPr>
      <w:r w:rsidRPr="1B62D44F">
        <w:rPr>
          <w:color w:val="000000" w:themeColor="text1"/>
          <w:sz w:val="22"/>
          <w:szCs w:val="22"/>
        </w:rPr>
        <w:t>The search process was repetitive. Initial searches often produced overly broad results, needing refinement by adding contextual keywords like </w:t>
      </w:r>
      <w:r w:rsidRPr="1B62D44F">
        <w:rPr>
          <w:i/>
          <w:color w:val="000000" w:themeColor="text1"/>
          <w:sz w:val="22"/>
          <w:szCs w:val="22"/>
        </w:rPr>
        <w:t>“access barriers,” “ethnic disparities,”</w:t>
      </w:r>
      <w:r w:rsidRPr="1B62D44F">
        <w:rPr>
          <w:rStyle w:val="apple-converted-space"/>
          <w:color w:val="000000" w:themeColor="text1"/>
          <w:sz w:val="22"/>
          <w:szCs w:val="22"/>
        </w:rPr>
        <w:t> or </w:t>
      </w:r>
      <w:r w:rsidRPr="1B62D44F">
        <w:rPr>
          <w:i/>
          <w:color w:val="000000" w:themeColor="text1"/>
          <w:sz w:val="22"/>
          <w:szCs w:val="22"/>
        </w:rPr>
        <w:t>“mental health stigma.”</w:t>
      </w:r>
      <w:r w:rsidRPr="1B62D44F">
        <w:rPr>
          <w:rStyle w:val="apple-converted-space"/>
          <w:color w:val="000000" w:themeColor="text1"/>
          <w:sz w:val="22"/>
          <w:szCs w:val="22"/>
        </w:rPr>
        <w:t xml:space="preserve"> Citation tracking was also used to find seminal and highly cited works (Denyer and </w:t>
      </w:r>
      <w:proofErr w:type="spellStart"/>
      <w:r w:rsidRPr="1B62D44F">
        <w:rPr>
          <w:rStyle w:val="apple-converted-space"/>
          <w:color w:val="000000" w:themeColor="text1"/>
          <w:sz w:val="22"/>
          <w:szCs w:val="22"/>
        </w:rPr>
        <w:t>Tranfield</w:t>
      </w:r>
      <w:proofErr w:type="spellEnd"/>
      <w:r w:rsidRPr="1B62D44F">
        <w:rPr>
          <w:rStyle w:val="apple-converted-space"/>
          <w:color w:val="000000" w:themeColor="text1"/>
          <w:sz w:val="22"/>
          <w:szCs w:val="22"/>
        </w:rPr>
        <w:t>, 2009). A source tracking table was developed to summarise each study’s relevance, methodology, and key findings.</w:t>
      </w:r>
    </w:p>
    <w:p w14:paraId="11A88684" w14:textId="13C12B79" w:rsidR="316FEB9E" w:rsidRDefault="316FEB9E" w:rsidP="1B62D44F">
      <w:pPr>
        <w:spacing w:after="0" w:line="360" w:lineRule="auto"/>
        <w:rPr>
          <w:rStyle w:val="apple-converted-space"/>
          <w:color w:val="000000" w:themeColor="text1"/>
          <w:sz w:val="22"/>
          <w:szCs w:val="22"/>
        </w:rPr>
      </w:pPr>
    </w:p>
    <w:p w14:paraId="647F103F" w14:textId="7A5BC0E5" w:rsidR="316FEB9E" w:rsidRDefault="316FEB9E" w:rsidP="1B62D44F">
      <w:pPr>
        <w:spacing w:after="0" w:line="360" w:lineRule="auto"/>
        <w:rPr>
          <w:b/>
          <w:color w:val="000000" w:themeColor="text1"/>
          <w:sz w:val="28"/>
          <w:szCs w:val="28"/>
          <w:lang w:val="en-US"/>
        </w:rPr>
      </w:pPr>
      <w:r w:rsidRPr="1B62D44F">
        <w:rPr>
          <w:b/>
          <w:sz w:val="28"/>
          <w:szCs w:val="28"/>
        </w:rPr>
        <w:t>3.4 Research Validation</w:t>
      </w:r>
    </w:p>
    <w:p w14:paraId="36BB455D" w14:textId="6781E7E6" w:rsidR="316FEB9E" w:rsidRDefault="316FEB9E" w:rsidP="1B62D44F">
      <w:pPr>
        <w:pStyle w:val="Heading3"/>
        <w:rPr>
          <w:rFonts w:ascii="Segoe UI" w:eastAsia="Segoe UI" w:hAnsi="Segoe UI" w:cs="Segoe UI"/>
          <w:color w:val="000000" w:themeColor="text1"/>
          <w:sz w:val="36"/>
          <w:szCs w:val="36"/>
          <w:lang w:val="en-US"/>
        </w:rPr>
      </w:pPr>
      <w:bookmarkStart w:id="21" w:name="_Toc92742924"/>
      <w:r w:rsidRPr="1B62D44F">
        <w:rPr>
          <w:b/>
          <w:color w:val="auto"/>
        </w:rPr>
        <w:t>Skimming and Screening</w:t>
      </w:r>
      <w:bookmarkEnd w:id="21"/>
    </w:p>
    <w:p w14:paraId="65903E76" w14:textId="0AA9FAF5"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Each identified article was initially skimmed by reviewing its title, abstract, and conclusion to assess relevance. Only articles that directly addressed mental health care access or cultural factors influencing African or minority communities in the UK were kept.</w:t>
      </w:r>
    </w:p>
    <w:p w14:paraId="538BE952" w14:textId="16861BAD"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CRAAP Test Application</w:t>
      </w:r>
    </w:p>
    <w:p w14:paraId="4359F341" w14:textId="442A5393"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The CRAAP test—Currency, Relevance, Authority, Accuracy, and Purpose—was applied to assess quality (</w:t>
      </w:r>
      <w:proofErr w:type="spellStart"/>
      <w:r w:rsidRPr="1B62D44F">
        <w:rPr>
          <w:rFonts w:ascii="Arial" w:eastAsia="Arial" w:hAnsi="Arial" w:cs="Arial"/>
          <w:color w:val="000000" w:themeColor="text1"/>
          <w:sz w:val="22"/>
          <w:szCs w:val="22"/>
        </w:rPr>
        <w:t>Blakeslee</w:t>
      </w:r>
      <w:proofErr w:type="spellEnd"/>
      <w:r w:rsidRPr="1B62D44F">
        <w:rPr>
          <w:rFonts w:ascii="Arial" w:eastAsia="Arial" w:hAnsi="Arial" w:cs="Arial"/>
          <w:color w:val="000000" w:themeColor="text1"/>
          <w:sz w:val="22"/>
          <w:szCs w:val="22"/>
        </w:rPr>
        <w:t>, 2004). Currency and relevance were prioritised, excluding outdated studies unless foundational. Authority ensured that sources were authored by experts in healthcare, sociology, or psychology.</w:t>
      </w:r>
    </w:p>
    <w:p w14:paraId="2D78DE31" w14:textId="4D99DD8E" w:rsidR="1B62D44F" w:rsidRDefault="1B62D44F" w:rsidP="1B62D44F">
      <w:pPr>
        <w:spacing w:after="0" w:line="360" w:lineRule="auto"/>
        <w:rPr>
          <w:rFonts w:ascii="Arial" w:eastAsia="Arial" w:hAnsi="Arial" w:cs="Arial"/>
          <w:color w:val="000000" w:themeColor="text1"/>
          <w:sz w:val="22"/>
          <w:szCs w:val="22"/>
        </w:rPr>
      </w:pPr>
    </w:p>
    <w:p w14:paraId="340A3B9D" w14:textId="1410EBE1" w:rsidR="316FEB9E" w:rsidRDefault="316FEB9E" w:rsidP="1B62D44F">
      <w:pPr>
        <w:pStyle w:val="Heading3"/>
        <w:rPr>
          <w:rFonts w:ascii="Segoe UI" w:eastAsia="Segoe UI" w:hAnsi="Segoe UI" w:cs="Segoe UI"/>
          <w:color w:val="000000" w:themeColor="text1"/>
          <w:sz w:val="36"/>
          <w:szCs w:val="36"/>
          <w:lang w:val="en-US"/>
        </w:rPr>
      </w:pPr>
      <w:bookmarkStart w:id="22" w:name="_Toc1393152085"/>
      <w:r w:rsidRPr="00F37855">
        <w:rPr>
          <w:rFonts w:eastAsiaTheme="minorEastAsia" w:cstheme="minorBidi"/>
          <w:b/>
          <w:bCs/>
          <w:color w:val="auto"/>
        </w:rPr>
        <w:t>Decision-Making</w:t>
      </w:r>
      <w:bookmarkEnd w:id="22"/>
    </w:p>
    <w:p w14:paraId="0BD606E3" w14:textId="7B2BBE9D" w:rsidR="316FEB9E" w:rsidRDefault="577B4A4B" w:rsidP="1B62D44F">
      <w:pPr>
        <w:spacing w:after="0" w:line="360" w:lineRule="auto"/>
        <w:rPr>
          <w:rFonts w:ascii="Arial" w:eastAsia="Arial" w:hAnsi="Arial" w:cs="Arial"/>
          <w:color w:val="000000" w:themeColor="text1"/>
          <w:sz w:val="22"/>
          <w:szCs w:val="22"/>
        </w:rPr>
      </w:pPr>
      <w:r w:rsidRPr="00F37855">
        <w:rPr>
          <w:rFonts w:ascii="Arial" w:eastAsia="Arial" w:hAnsi="Arial" w:cs="Arial"/>
          <w:color w:val="000000" w:themeColor="text1"/>
          <w:sz w:val="22"/>
          <w:szCs w:val="22"/>
        </w:rPr>
        <w:t xml:space="preserve">Due application of the CAAP test highlighted that were lacking peer review or academic credibility were </w:t>
      </w:r>
      <w:r w:rsidR="45496AB2" w:rsidRPr="00F37855">
        <w:rPr>
          <w:rFonts w:ascii="Arial" w:eastAsia="Arial" w:hAnsi="Arial" w:cs="Arial"/>
          <w:color w:val="000000" w:themeColor="text1"/>
          <w:sz w:val="22"/>
          <w:szCs w:val="22"/>
        </w:rPr>
        <w:t>excluded from the research. Preference was given to studies offering empirical data, conceptual clarity, or strong theoretical frameworks relevant to UK healthcare access.</w:t>
      </w:r>
    </w:p>
    <w:p w14:paraId="1DCA6CFB" w14:textId="6921F77D" w:rsidR="316FEB9E" w:rsidRDefault="316FEB9E" w:rsidP="1B62D44F">
      <w:pPr>
        <w:pStyle w:val="Heading2"/>
        <w:rPr>
          <w:rFonts w:ascii="Segoe UI" w:eastAsia="Segoe UI" w:hAnsi="Segoe UI" w:cs="Segoe UI"/>
          <w:color w:val="000000" w:themeColor="text1"/>
          <w:sz w:val="36"/>
          <w:szCs w:val="36"/>
          <w:lang w:val="en-US"/>
        </w:rPr>
      </w:pPr>
      <w:bookmarkStart w:id="23" w:name="_Toc60260976"/>
      <w:r w:rsidRPr="1B62D44F">
        <w:rPr>
          <w:rFonts w:asciiTheme="minorHAnsi" w:eastAsiaTheme="minorEastAsia" w:hAnsiTheme="minorHAnsi" w:cstheme="minorBidi"/>
          <w:b/>
          <w:color w:val="auto"/>
          <w:sz w:val="28"/>
          <w:szCs w:val="28"/>
        </w:rPr>
        <w:t>3.5 Inclusion and Exclusion Criteria</w:t>
      </w:r>
      <w:bookmarkEnd w:id="23"/>
    </w:p>
    <w:p w14:paraId="3FB723EA" w14:textId="5360425A" w:rsidR="316FEB9E" w:rsidRDefault="316FEB9E" w:rsidP="1B62D44F">
      <w:pPr>
        <w:pStyle w:val="Heading3"/>
        <w:rPr>
          <w:rFonts w:eastAsiaTheme="minorEastAsia" w:cstheme="minorBidi"/>
          <w:b/>
          <w:color w:val="auto"/>
          <w:lang w:val="en-US"/>
        </w:rPr>
      </w:pPr>
      <w:bookmarkStart w:id="24" w:name="_Toc1864203157"/>
      <w:r w:rsidRPr="1B62D44F">
        <w:rPr>
          <w:rFonts w:eastAsiaTheme="minorEastAsia" w:cstheme="minorBidi"/>
          <w:b/>
          <w:color w:val="auto"/>
        </w:rPr>
        <w:t>Inclusion Criteria</w:t>
      </w:r>
      <w:bookmarkEnd w:id="24"/>
    </w:p>
    <w:p w14:paraId="748F8E4D" w14:textId="72E24870" w:rsidR="316FEB9E" w:rsidRDefault="316FEB9E" w:rsidP="1B62D44F">
      <w:pPr>
        <w:pStyle w:val="ListParagraph"/>
        <w:numPr>
          <w:ilvl w:val="0"/>
          <w:numId w:val="14"/>
        </w:numPr>
        <w:spacing w:after="0" w:line="360" w:lineRule="auto"/>
        <w:rPr>
          <w:color w:val="000000" w:themeColor="text1"/>
          <w:sz w:val="22"/>
          <w:szCs w:val="22"/>
          <w:lang w:val="en-US"/>
        </w:rPr>
      </w:pPr>
      <w:r w:rsidRPr="1B62D44F">
        <w:rPr>
          <w:color w:val="000000" w:themeColor="text1"/>
          <w:sz w:val="22"/>
          <w:szCs w:val="22"/>
        </w:rPr>
        <w:t>  Peer-reviewed journal articles (2015–2025).</w:t>
      </w:r>
    </w:p>
    <w:p w14:paraId="555E3C31" w14:textId="1E49501C" w:rsidR="316FEB9E" w:rsidRDefault="316FEB9E" w:rsidP="1B62D44F">
      <w:pPr>
        <w:pStyle w:val="ListParagraph"/>
        <w:numPr>
          <w:ilvl w:val="0"/>
          <w:numId w:val="14"/>
        </w:numPr>
        <w:spacing w:after="0" w:line="360" w:lineRule="auto"/>
        <w:rPr>
          <w:color w:val="000000" w:themeColor="text1"/>
          <w:sz w:val="22"/>
          <w:szCs w:val="22"/>
          <w:lang w:val="en-US"/>
        </w:rPr>
      </w:pPr>
      <w:r w:rsidRPr="1B62D44F">
        <w:rPr>
          <w:color w:val="000000" w:themeColor="text1"/>
          <w:sz w:val="22"/>
          <w:szCs w:val="22"/>
        </w:rPr>
        <w:t>  Focused on mental health care access, patient experience, or healthcare outcomes.</w:t>
      </w:r>
    </w:p>
    <w:p w14:paraId="69B7CCD8" w14:textId="76E0B098" w:rsidR="316FEB9E" w:rsidRDefault="316FEB9E" w:rsidP="1B62D44F">
      <w:pPr>
        <w:pStyle w:val="ListParagraph"/>
        <w:numPr>
          <w:ilvl w:val="0"/>
          <w:numId w:val="14"/>
        </w:numPr>
        <w:spacing w:after="0" w:line="360" w:lineRule="auto"/>
        <w:rPr>
          <w:color w:val="000000" w:themeColor="text1"/>
          <w:sz w:val="22"/>
          <w:szCs w:val="22"/>
          <w:lang w:val="en-US"/>
        </w:rPr>
      </w:pPr>
      <w:r w:rsidRPr="1B62D44F">
        <w:rPr>
          <w:color w:val="000000" w:themeColor="text1"/>
          <w:sz w:val="22"/>
          <w:szCs w:val="22"/>
        </w:rPr>
        <w:t>Conducted in UK settings or comparable health systems.</w:t>
      </w:r>
    </w:p>
    <w:p w14:paraId="08FE9805" w14:textId="7C61A2EE" w:rsidR="316FEB9E" w:rsidRDefault="316FEB9E" w:rsidP="1B62D44F">
      <w:pPr>
        <w:pStyle w:val="ListParagraph"/>
        <w:numPr>
          <w:ilvl w:val="0"/>
          <w:numId w:val="14"/>
        </w:numPr>
        <w:spacing w:after="0" w:line="360" w:lineRule="auto"/>
        <w:rPr>
          <w:color w:val="000000" w:themeColor="text1"/>
          <w:sz w:val="22"/>
          <w:szCs w:val="22"/>
          <w:lang w:val="en-US"/>
        </w:rPr>
      </w:pPr>
      <w:r w:rsidRPr="1B62D44F">
        <w:rPr>
          <w:color w:val="000000" w:themeColor="text1"/>
          <w:sz w:val="22"/>
          <w:szCs w:val="22"/>
        </w:rPr>
        <w:t>  Written in English and offering cultural or systemic insights related to the African community.</w:t>
      </w:r>
    </w:p>
    <w:p w14:paraId="0913ACB7" w14:textId="493C14E7" w:rsidR="1B62D44F" w:rsidRDefault="1B62D44F" w:rsidP="1B62D44F">
      <w:pPr>
        <w:pStyle w:val="ListParagraph"/>
        <w:spacing w:after="0" w:line="360" w:lineRule="auto"/>
        <w:ind w:left="1080"/>
        <w:rPr>
          <w:color w:val="000000" w:themeColor="text1"/>
          <w:sz w:val="22"/>
          <w:szCs w:val="22"/>
          <w:lang w:val="en-US"/>
        </w:rPr>
      </w:pPr>
    </w:p>
    <w:p w14:paraId="26F738CC" w14:textId="794C3AC5" w:rsidR="316FEB9E" w:rsidRDefault="316FEB9E" w:rsidP="1B62D44F">
      <w:pPr>
        <w:pStyle w:val="Heading3"/>
        <w:rPr>
          <w:rFonts w:ascii="Segoe UI" w:eastAsia="Segoe UI" w:hAnsi="Segoe UI" w:cs="Segoe UI"/>
          <w:color w:val="000000" w:themeColor="text1"/>
          <w:sz w:val="36"/>
          <w:szCs w:val="36"/>
          <w:lang w:val="en-US"/>
        </w:rPr>
      </w:pPr>
      <w:bookmarkStart w:id="25" w:name="_Toc1301907430"/>
      <w:r w:rsidRPr="1B62D44F">
        <w:rPr>
          <w:rFonts w:eastAsiaTheme="minorEastAsia" w:cstheme="minorBidi"/>
          <w:b/>
          <w:color w:val="auto"/>
        </w:rPr>
        <w:t>Exclusion Criteria</w:t>
      </w:r>
      <w:bookmarkEnd w:id="25"/>
    </w:p>
    <w:p w14:paraId="5F238974" w14:textId="623C4ACD" w:rsidR="316FEB9E" w:rsidRDefault="316FEB9E" w:rsidP="1B62D44F">
      <w:pPr>
        <w:pStyle w:val="ListParagraph"/>
        <w:numPr>
          <w:ilvl w:val="0"/>
          <w:numId w:val="11"/>
        </w:numPr>
        <w:spacing w:after="0" w:line="360" w:lineRule="auto"/>
        <w:rPr>
          <w:color w:val="000000" w:themeColor="text1"/>
          <w:sz w:val="22"/>
          <w:szCs w:val="22"/>
          <w:lang w:val="en-US"/>
        </w:rPr>
      </w:pPr>
      <w:r w:rsidRPr="1B62D44F">
        <w:rPr>
          <w:color w:val="000000" w:themeColor="text1"/>
          <w:sz w:val="22"/>
          <w:szCs w:val="22"/>
        </w:rPr>
        <w:t> Non-academic materials such as blogs or non-peer-reviewed reports.</w:t>
      </w:r>
    </w:p>
    <w:p w14:paraId="2EE19F63" w14:textId="3E1779B2" w:rsidR="316FEB9E" w:rsidRDefault="316FEB9E" w:rsidP="1B62D44F">
      <w:pPr>
        <w:pStyle w:val="ListParagraph"/>
        <w:numPr>
          <w:ilvl w:val="0"/>
          <w:numId w:val="11"/>
        </w:numPr>
        <w:spacing w:after="0" w:line="360" w:lineRule="auto"/>
        <w:rPr>
          <w:color w:val="000000" w:themeColor="text1"/>
          <w:sz w:val="22"/>
          <w:szCs w:val="22"/>
          <w:lang w:val="en-US"/>
        </w:rPr>
      </w:pPr>
      <w:r w:rsidRPr="1B62D44F">
        <w:rPr>
          <w:color w:val="000000" w:themeColor="text1"/>
          <w:sz w:val="22"/>
          <w:szCs w:val="22"/>
        </w:rPr>
        <w:t>Outdated studies (pre-2015) without historical value.</w:t>
      </w:r>
    </w:p>
    <w:p w14:paraId="457AA0B1" w14:textId="733F3081" w:rsidR="316FEB9E" w:rsidRDefault="316FEB9E" w:rsidP="1B62D44F">
      <w:pPr>
        <w:pStyle w:val="ListParagraph"/>
        <w:numPr>
          <w:ilvl w:val="0"/>
          <w:numId w:val="11"/>
        </w:numPr>
        <w:spacing w:after="0" w:line="360" w:lineRule="auto"/>
        <w:rPr>
          <w:color w:val="000000" w:themeColor="text1"/>
          <w:sz w:val="22"/>
          <w:szCs w:val="22"/>
          <w:lang w:val="en-US"/>
        </w:rPr>
      </w:pPr>
      <w:r w:rsidRPr="1B62D44F">
        <w:rPr>
          <w:color w:val="000000" w:themeColor="text1"/>
          <w:sz w:val="22"/>
          <w:szCs w:val="22"/>
        </w:rPr>
        <w:t>    Research unrelated to the UK or not addressing ethnic minority populations.</w:t>
      </w:r>
    </w:p>
    <w:p w14:paraId="086E55B5" w14:textId="77D36A47" w:rsidR="1B62D44F" w:rsidRDefault="1B62D44F" w:rsidP="1B62D44F">
      <w:pPr>
        <w:spacing w:after="0" w:line="360" w:lineRule="auto"/>
        <w:rPr>
          <w:color w:val="000000" w:themeColor="text1"/>
          <w:sz w:val="22"/>
          <w:szCs w:val="22"/>
          <w:lang w:val="en-US"/>
        </w:rPr>
      </w:pPr>
    </w:p>
    <w:p w14:paraId="27C606A6" w14:textId="7F4E2B7B" w:rsidR="316FEB9E" w:rsidRDefault="316FEB9E" w:rsidP="1B62D44F">
      <w:pPr>
        <w:pStyle w:val="Heading3"/>
        <w:rPr>
          <w:rFonts w:ascii="Segoe UI" w:eastAsia="Segoe UI" w:hAnsi="Segoe UI" w:cs="Segoe UI"/>
          <w:color w:val="000000" w:themeColor="text1"/>
          <w:sz w:val="36"/>
          <w:szCs w:val="36"/>
          <w:lang w:val="en-US"/>
        </w:rPr>
      </w:pPr>
      <w:bookmarkStart w:id="26" w:name="_Toc1899044629"/>
      <w:r w:rsidRPr="1B62D44F">
        <w:rPr>
          <w:rFonts w:eastAsiaTheme="minorEastAsia" w:cstheme="minorBidi"/>
          <w:b/>
          <w:color w:val="auto"/>
        </w:rPr>
        <w:t>Justification</w:t>
      </w:r>
      <w:bookmarkEnd w:id="26"/>
    </w:p>
    <w:p w14:paraId="71BE57CA" w14:textId="0FBBAF0A"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These criteria ensured the inclusion of credible, current, and contextually relevant research to support valid conclusions and maintain methodological rigour (</w:t>
      </w:r>
      <w:proofErr w:type="spellStart"/>
      <w:r w:rsidRPr="1B62D44F">
        <w:rPr>
          <w:rFonts w:ascii="Arial" w:eastAsia="Arial" w:hAnsi="Arial" w:cs="Arial"/>
          <w:color w:val="000000" w:themeColor="text1"/>
          <w:sz w:val="22"/>
          <w:szCs w:val="22"/>
        </w:rPr>
        <w:t>Jesson</w:t>
      </w:r>
      <w:proofErr w:type="spellEnd"/>
      <w:r w:rsidRPr="1B62D44F">
        <w:rPr>
          <w:rFonts w:ascii="Arial" w:eastAsia="Arial" w:hAnsi="Arial" w:cs="Arial"/>
          <w:color w:val="000000" w:themeColor="text1"/>
          <w:sz w:val="22"/>
          <w:szCs w:val="22"/>
        </w:rPr>
        <w:t xml:space="preserve"> et al., 2011).</w:t>
      </w:r>
    </w:p>
    <w:p w14:paraId="1895CB10" w14:textId="6CB91503" w:rsidR="1B62D44F" w:rsidRDefault="1B62D44F" w:rsidP="1B62D44F">
      <w:pPr>
        <w:spacing w:after="0" w:line="240" w:lineRule="auto"/>
        <w:rPr>
          <w:rFonts w:ascii="Arial" w:eastAsia="Arial" w:hAnsi="Arial" w:cs="Arial"/>
          <w:color w:val="000000" w:themeColor="text1"/>
          <w:sz w:val="36"/>
          <w:szCs w:val="36"/>
        </w:rPr>
      </w:pPr>
    </w:p>
    <w:p w14:paraId="2D85E02E" w14:textId="72802BDE" w:rsidR="316FEB9E" w:rsidRDefault="316FEB9E" w:rsidP="1B62D44F">
      <w:pPr>
        <w:pStyle w:val="Heading2"/>
        <w:rPr>
          <w:rFonts w:ascii="Segoe UI" w:eastAsia="Segoe UI" w:hAnsi="Segoe UI" w:cs="Segoe UI"/>
          <w:color w:val="000000" w:themeColor="text1"/>
          <w:sz w:val="36"/>
          <w:szCs w:val="36"/>
          <w:lang w:val="en-US"/>
        </w:rPr>
      </w:pPr>
      <w:bookmarkStart w:id="27" w:name="_Toc154672767"/>
      <w:r w:rsidRPr="1B62D44F">
        <w:rPr>
          <w:rFonts w:asciiTheme="minorHAnsi" w:eastAsiaTheme="minorEastAsia" w:hAnsiTheme="minorHAnsi" w:cstheme="minorBidi"/>
          <w:b/>
          <w:color w:val="auto"/>
          <w:sz w:val="28"/>
          <w:szCs w:val="28"/>
        </w:rPr>
        <w:t>3.6 Analysing Research</w:t>
      </w:r>
      <w:bookmarkEnd w:id="27"/>
    </w:p>
    <w:p w14:paraId="0387841C" w14:textId="3D6F2D99" w:rsidR="316FEB9E" w:rsidRDefault="316FEB9E" w:rsidP="1B62D44F">
      <w:pPr>
        <w:pStyle w:val="Heading3"/>
        <w:rPr>
          <w:rFonts w:ascii="Segoe UI" w:eastAsia="Segoe UI" w:hAnsi="Segoe UI" w:cs="Segoe UI"/>
          <w:color w:val="000000" w:themeColor="text1"/>
          <w:sz w:val="36"/>
          <w:szCs w:val="36"/>
          <w:lang w:val="en-US"/>
        </w:rPr>
      </w:pPr>
      <w:bookmarkStart w:id="28" w:name="_Toc1973983825"/>
      <w:r w:rsidRPr="1B62D44F">
        <w:rPr>
          <w:rFonts w:eastAsiaTheme="minorEastAsia" w:cstheme="minorBidi"/>
          <w:b/>
          <w:color w:val="auto"/>
        </w:rPr>
        <w:t>Thematic Coding Approach</w:t>
      </w:r>
      <w:bookmarkEnd w:id="28"/>
    </w:p>
    <w:p w14:paraId="0890E272" w14:textId="58C7E6F1" w:rsidR="316FEB9E" w:rsidRDefault="316FEB9E" w:rsidP="1B62D44F">
      <w:pPr>
        <w:spacing w:after="0" w:line="360" w:lineRule="auto"/>
        <w:rPr>
          <w:color w:val="000000" w:themeColor="text1"/>
          <w:sz w:val="22"/>
          <w:szCs w:val="22"/>
          <w:lang w:val="en-US"/>
        </w:rPr>
      </w:pPr>
      <w:r w:rsidRPr="1B62D44F">
        <w:rPr>
          <w:color w:val="000000" w:themeColor="text1"/>
          <w:sz w:val="22"/>
          <w:szCs w:val="22"/>
        </w:rPr>
        <w:t>The analysis adopted a thematic coding</w:t>
      </w:r>
      <w:r w:rsidRPr="1B62D44F">
        <w:rPr>
          <w:rStyle w:val="apple-converted-space"/>
          <w:color w:val="000000" w:themeColor="text1"/>
          <w:sz w:val="22"/>
          <w:szCs w:val="22"/>
        </w:rPr>
        <w:t> method, allowing systematic identification of recurring concepts and patterns across the literature (Braun and Clarke, 2019). Initial codes, such as </w:t>
      </w:r>
      <w:r w:rsidRPr="1B62D44F">
        <w:rPr>
          <w:i/>
          <w:color w:val="000000" w:themeColor="text1"/>
          <w:sz w:val="22"/>
          <w:szCs w:val="22"/>
        </w:rPr>
        <w:t>“stigma,” “systemic barriers</w:t>
      </w:r>
      <w:r w:rsidR="76F39415" w:rsidRPr="65B08F1D">
        <w:rPr>
          <w:i/>
          <w:iCs/>
          <w:color w:val="000000" w:themeColor="text1"/>
          <w:sz w:val="22"/>
          <w:szCs w:val="22"/>
        </w:rPr>
        <w:t>, "</w:t>
      </w:r>
      <w:r w:rsidRPr="65B08F1D">
        <w:rPr>
          <w:i/>
          <w:color w:val="000000" w:themeColor="text1"/>
          <w:sz w:val="22"/>
          <w:szCs w:val="22"/>
        </w:rPr>
        <w:t>and</w:t>
      </w:r>
      <w:r w:rsidRPr="1B62D44F">
        <w:rPr>
          <w:color w:val="000000" w:themeColor="text1"/>
          <w:sz w:val="22"/>
          <w:szCs w:val="22"/>
        </w:rPr>
        <w:t> </w:t>
      </w:r>
      <w:r w:rsidRPr="1B62D44F">
        <w:rPr>
          <w:i/>
          <w:color w:val="000000" w:themeColor="text1"/>
          <w:sz w:val="22"/>
          <w:szCs w:val="22"/>
        </w:rPr>
        <w:t>“trust in healthcare,”</w:t>
      </w:r>
      <w:r w:rsidRPr="1B62D44F">
        <w:rPr>
          <w:rStyle w:val="apple-converted-space"/>
          <w:color w:val="000000" w:themeColor="text1"/>
          <w:sz w:val="22"/>
          <w:szCs w:val="22"/>
        </w:rPr>
        <w:t> were extracted from the data and then clustered into broader themes.</w:t>
      </w:r>
    </w:p>
    <w:p w14:paraId="1113F0F5" w14:textId="5F770BBA" w:rsidR="316FEB9E" w:rsidRDefault="316FEB9E" w:rsidP="1B62D44F">
      <w:pPr>
        <w:pStyle w:val="Heading2"/>
        <w:spacing w:after="0" w:line="360" w:lineRule="auto"/>
        <w:rPr>
          <w:rFonts w:asciiTheme="minorHAnsi" w:eastAsiaTheme="minorEastAsia" w:hAnsiTheme="minorHAnsi" w:cstheme="minorBidi"/>
          <w:b/>
          <w:bCs/>
          <w:color w:val="auto"/>
          <w:sz w:val="28"/>
          <w:szCs w:val="28"/>
        </w:rPr>
      </w:pPr>
    </w:p>
    <w:p w14:paraId="28F614E0" w14:textId="7D548FB4" w:rsidR="316FEB9E" w:rsidRDefault="316FEB9E" w:rsidP="1B62D44F">
      <w:pPr>
        <w:pStyle w:val="Heading2"/>
        <w:spacing w:after="0" w:line="360" w:lineRule="auto"/>
        <w:rPr>
          <w:rFonts w:ascii="Segoe UI" w:eastAsia="Segoe UI" w:hAnsi="Segoe UI" w:cs="Segoe UI"/>
          <w:color w:val="000000" w:themeColor="text1"/>
          <w:sz w:val="36"/>
          <w:szCs w:val="36"/>
          <w:lang w:val="en-US"/>
        </w:rPr>
      </w:pPr>
      <w:bookmarkStart w:id="29" w:name="_Toc243214358"/>
      <w:r w:rsidRPr="1B62D44F">
        <w:rPr>
          <w:rFonts w:asciiTheme="minorHAnsi" w:eastAsiaTheme="minorEastAsia" w:hAnsiTheme="minorHAnsi" w:cstheme="minorBidi"/>
          <w:b/>
          <w:color w:val="auto"/>
          <w:sz w:val="28"/>
          <w:szCs w:val="28"/>
        </w:rPr>
        <w:t>Developing Themes</w:t>
      </w:r>
      <w:bookmarkEnd w:id="29"/>
    </w:p>
    <w:p w14:paraId="3547DBEF" w14:textId="737E1280" w:rsidR="316FEB9E" w:rsidRDefault="316FEB9E" w:rsidP="1B62D44F">
      <w:pPr>
        <w:spacing w:after="0" w:line="360" w:lineRule="auto"/>
        <w:rPr>
          <w:color w:val="000000" w:themeColor="text1"/>
          <w:sz w:val="22"/>
          <w:szCs w:val="22"/>
          <w:lang w:val="en-US"/>
        </w:rPr>
      </w:pPr>
      <w:r w:rsidRPr="00F37855">
        <w:rPr>
          <w:color w:val="000000" w:themeColor="text1"/>
          <w:sz w:val="22"/>
          <w:szCs w:val="22"/>
        </w:rPr>
        <w:t>Themes were refined to align with the central research objectives. For example, codes on </w:t>
      </w:r>
      <w:r w:rsidRPr="00F37855">
        <w:rPr>
          <w:i/>
          <w:iCs/>
          <w:color w:val="000000" w:themeColor="text1"/>
          <w:sz w:val="22"/>
          <w:szCs w:val="22"/>
        </w:rPr>
        <w:t>“patient satisfaction”</w:t>
      </w:r>
      <w:r w:rsidRPr="00F37855">
        <w:rPr>
          <w:rStyle w:val="apple-converted-space"/>
          <w:color w:val="000000" w:themeColor="text1"/>
          <w:sz w:val="22"/>
          <w:szCs w:val="22"/>
        </w:rPr>
        <w:t> and </w:t>
      </w:r>
      <w:r w:rsidRPr="00F37855">
        <w:rPr>
          <w:i/>
          <w:iCs/>
          <w:color w:val="000000" w:themeColor="text1"/>
          <w:sz w:val="22"/>
          <w:szCs w:val="22"/>
        </w:rPr>
        <w:t>“care quality</w:t>
      </w:r>
      <w:r w:rsidR="48C675E1" w:rsidRPr="00F37855">
        <w:rPr>
          <w:i/>
          <w:iCs/>
          <w:color w:val="000000" w:themeColor="text1"/>
          <w:sz w:val="22"/>
          <w:szCs w:val="22"/>
        </w:rPr>
        <w:t xml:space="preserve"> "</w:t>
      </w:r>
      <w:r w:rsidRPr="00F37855">
        <w:rPr>
          <w:i/>
          <w:iCs/>
          <w:color w:val="000000" w:themeColor="text1"/>
          <w:sz w:val="22"/>
          <w:szCs w:val="22"/>
        </w:rPr>
        <w:t>were</w:t>
      </w:r>
      <w:r w:rsidRPr="00F37855">
        <w:rPr>
          <w:color w:val="000000" w:themeColor="text1"/>
          <w:sz w:val="22"/>
          <w:szCs w:val="22"/>
        </w:rPr>
        <w:t xml:space="preserve"> merged under </w:t>
      </w:r>
      <w:r w:rsidRPr="00F37855">
        <w:rPr>
          <w:i/>
          <w:iCs/>
          <w:color w:val="000000" w:themeColor="text1"/>
          <w:sz w:val="22"/>
          <w:szCs w:val="22"/>
        </w:rPr>
        <w:t>“Healthcare Experience.”</w:t>
      </w:r>
      <w:r w:rsidR="00A03B02" w:rsidRPr="00F37855">
        <w:rPr>
          <w:i/>
          <w:iCs/>
          <w:color w:val="000000" w:themeColor="text1"/>
          <w:sz w:val="22"/>
          <w:szCs w:val="22"/>
        </w:rPr>
        <w:t xml:space="preserve"> </w:t>
      </w:r>
      <w:r w:rsidR="0792087F" w:rsidRPr="00F37855">
        <w:rPr>
          <w:color w:val="000000" w:themeColor="text1"/>
          <w:sz w:val="22"/>
          <w:szCs w:val="22"/>
        </w:rPr>
        <w:t xml:space="preserve">due </w:t>
      </w:r>
      <w:r w:rsidR="00A10CBC">
        <w:rPr>
          <w:color w:val="000000" w:themeColor="text1"/>
          <w:sz w:val="22"/>
          <w:szCs w:val="22"/>
        </w:rPr>
        <w:t xml:space="preserve">similarity </w:t>
      </w:r>
      <w:r w:rsidR="0792087F" w:rsidRPr="00F37855">
        <w:rPr>
          <w:color w:val="000000" w:themeColor="text1"/>
          <w:sz w:val="22"/>
          <w:szCs w:val="22"/>
        </w:rPr>
        <w:t xml:space="preserve">topic </w:t>
      </w:r>
      <w:r w:rsidRPr="00F37855">
        <w:rPr>
          <w:rStyle w:val="apple-converted-space"/>
          <w:color w:val="000000" w:themeColor="text1"/>
          <w:sz w:val="22"/>
          <w:szCs w:val="22"/>
        </w:rPr>
        <w:t>were iteratively reviewed to ensure internal consistency and conceptual clarity (</w:t>
      </w:r>
      <w:proofErr w:type="spellStart"/>
      <w:r w:rsidRPr="00F37855">
        <w:rPr>
          <w:rStyle w:val="apple-converted-space"/>
          <w:color w:val="000000" w:themeColor="text1"/>
          <w:sz w:val="22"/>
          <w:szCs w:val="22"/>
        </w:rPr>
        <w:t>Nowell</w:t>
      </w:r>
      <w:proofErr w:type="spellEnd"/>
      <w:r w:rsidRPr="00F37855">
        <w:rPr>
          <w:rStyle w:val="apple-converted-space"/>
          <w:color w:val="000000" w:themeColor="text1"/>
          <w:sz w:val="22"/>
          <w:szCs w:val="22"/>
        </w:rPr>
        <w:t xml:space="preserve"> et al., 2017).</w:t>
      </w:r>
    </w:p>
    <w:p w14:paraId="201F8CD4" w14:textId="7C446A71" w:rsidR="316FEB9E" w:rsidRDefault="316FEB9E" w:rsidP="1B62D44F">
      <w:pPr>
        <w:pStyle w:val="Heading2"/>
        <w:rPr>
          <w:rFonts w:ascii="Segoe UI" w:eastAsia="Segoe UI" w:hAnsi="Segoe UI" w:cs="Segoe UI"/>
          <w:color w:val="000000" w:themeColor="text1"/>
          <w:sz w:val="36"/>
          <w:szCs w:val="36"/>
          <w:lang w:val="en-US"/>
        </w:rPr>
      </w:pPr>
      <w:bookmarkStart w:id="30" w:name="_Toc582724045"/>
      <w:r w:rsidRPr="1B62D44F">
        <w:rPr>
          <w:rFonts w:asciiTheme="minorHAnsi" w:eastAsiaTheme="minorEastAsia" w:hAnsiTheme="minorHAnsi" w:cstheme="minorBidi"/>
          <w:b/>
          <w:color w:val="auto"/>
          <w:sz w:val="28"/>
          <w:szCs w:val="28"/>
        </w:rPr>
        <w:t>Organisation</w:t>
      </w:r>
      <w:bookmarkEnd w:id="30"/>
    </w:p>
    <w:p w14:paraId="4381C89C" w14:textId="1AAE9BB3" w:rsidR="316FEB9E" w:rsidRDefault="316FEB9E" w:rsidP="00F37855">
      <w:pPr>
        <w:spacing w:after="0" w:line="360" w:lineRule="auto"/>
        <w:rPr>
          <w:rFonts w:ascii="Arial" w:eastAsia="Arial" w:hAnsi="Arial" w:cs="Arial"/>
          <w:color w:val="000000" w:themeColor="text1"/>
          <w:sz w:val="22"/>
          <w:szCs w:val="22"/>
          <w:lang w:val="en-US"/>
        </w:rPr>
      </w:pPr>
      <w:r w:rsidRPr="00F37855">
        <w:rPr>
          <w:rFonts w:ascii="Arial" w:eastAsia="Arial" w:hAnsi="Arial" w:cs="Arial"/>
          <w:color w:val="000000" w:themeColor="text1"/>
          <w:sz w:val="22"/>
          <w:szCs w:val="22"/>
        </w:rPr>
        <w:t>Spreadsheets and colour-coded tables were used to track articles and highlight thematic connections. This organisational strategy improved analytical transparency and facilitated the synthesis presented in Chapter 4.</w:t>
      </w:r>
      <w:r w:rsidR="2ACCF53D" w:rsidRPr="00F37855">
        <w:rPr>
          <w:rFonts w:ascii="Arial" w:eastAsia="Arial" w:hAnsi="Arial" w:cs="Arial"/>
          <w:color w:val="000000" w:themeColor="text1"/>
          <w:sz w:val="22"/>
          <w:szCs w:val="22"/>
        </w:rPr>
        <w:t xml:space="preserve"> </w:t>
      </w:r>
      <w:r w:rsidR="74BBE815" w:rsidRPr="00F37855">
        <w:rPr>
          <w:rFonts w:ascii="Arial" w:eastAsia="Arial" w:hAnsi="Arial" w:cs="Arial"/>
          <w:color w:val="000000" w:themeColor="text1"/>
          <w:sz w:val="22"/>
          <w:szCs w:val="22"/>
        </w:rPr>
        <w:t>This was done through the source tracking table see APPENDIX A and result tabl</w:t>
      </w:r>
      <w:r w:rsidR="07C01E20" w:rsidRPr="00F37855">
        <w:rPr>
          <w:rFonts w:ascii="Arial" w:eastAsia="Arial" w:hAnsi="Arial" w:cs="Arial"/>
          <w:color w:val="000000" w:themeColor="text1"/>
          <w:sz w:val="22"/>
          <w:szCs w:val="22"/>
        </w:rPr>
        <w:t>e see APPENDIX B</w:t>
      </w:r>
    </w:p>
    <w:p w14:paraId="08E53CEF" w14:textId="6216F59D" w:rsidR="316FEB9E" w:rsidRDefault="316FEB9E" w:rsidP="1B62D44F">
      <w:pPr>
        <w:spacing w:after="0" w:line="360" w:lineRule="auto"/>
        <w:rPr>
          <w:rFonts w:ascii="Arial" w:eastAsia="Arial" w:hAnsi="Arial" w:cs="Arial"/>
          <w:color w:val="000000" w:themeColor="text1"/>
          <w:sz w:val="22"/>
          <w:szCs w:val="22"/>
        </w:rPr>
      </w:pPr>
    </w:p>
    <w:p w14:paraId="289A414B" w14:textId="0F3CD57E" w:rsidR="316FEB9E" w:rsidRDefault="316FEB9E" w:rsidP="1B62D44F">
      <w:pPr>
        <w:spacing w:after="0" w:line="360" w:lineRule="auto"/>
        <w:rPr>
          <w:rFonts w:ascii="Arial" w:eastAsia="Arial" w:hAnsi="Arial" w:cs="Arial"/>
          <w:color w:val="000000" w:themeColor="text1"/>
          <w:sz w:val="22"/>
          <w:szCs w:val="22"/>
        </w:rPr>
      </w:pPr>
    </w:p>
    <w:p w14:paraId="59AAE1B3" w14:textId="501E1D4E" w:rsidR="316FEB9E" w:rsidRDefault="316FEB9E" w:rsidP="1B62D44F">
      <w:pPr>
        <w:spacing w:after="0" w:line="360" w:lineRule="auto"/>
        <w:rPr>
          <w:rFonts w:ascii="Arial" w:eastAsia="Arial" w:hAnsi="Arial" w:cs="Arial"/>
          <w:color w:val="000000" w:themeColor="text1"/>
          <w:sz w:val="22"/>
          <w:szCs w:val="22"/>
        </w:rPr>
      </w:pPr>
    </w:p>
    <w:p w14:paraId="030EFD5F" w14:textId="566EB989" w:rsidR="316FEB9E" w:rsidRDefault="316FEB9E" w:rsidP="1B62D44F">
      <w:pPr>
        <w:spacing w:after="0" w:line="360" w:lineRule="auto"/>
        <w:rPr>
          <w:rFonts w:ascii="Arial" w:eastAsia="Arial" w:hAnsi="Arial" w:cs="Arial"/>
          <w:color w:val="000000" w:themeColor="text1"/>
          <w:sz w:val="22"/>
          <w:szCs w:val="22"/>
        </w:rPr>
      </w:pPr>
    </w:p>
    <w:p w14:paraId="504942D7" w14:textId="7C5F2493" w:rsidR="316FEB9E" w:rsidRDefault="316FEB9E" w:rsidP="1B62D44F">
      <w:pPr>
        <w:spacing w:after="0" w:line="360" w:lineRule="auto"/>
        <w:rPr>
          <w:rFonts w:ascii="Arial" w:eastAsia="Arial" w:hAnsi="Arial" w:cs="Arial"/>
          <w:color w:val="000000" w:themeColor="text1"/>
          <w:sz w:val="22"/>
          <w:szCs w:val="22"/>
        </w:rPr>
      </w:pPr>
    </w:p>
    <w:p w14:paraId="1D8AA639" w14:textId="6832590C" w:rsidR="316FEB9E" w:rsidRDefault="316FEB9E" w:rsidP="1B62D44F">
      <w:pPr>
        <w:spacing w:after="0" w:line="360" w:lineRule="auto"/>
        <w:rPr>
          <w:rFonts w:ascii="Arial" w:eastAsia="Arial" w:hAnsi="Arial" w:cs="Arial"/>
          <w:color w:val="000000" w:themeColor="text1"/>
          <w:sz w:val="22"/>
          <w:szCs w:val="22"/>
        </w:rPr>
      </w:pPr>
    </w:p>
    <w:p w14:paraId="50BBBC23" w14:textId="039A34FF" w:rsidR="316FEB9E" w:rsidRDefault="316FEB9E" w:rsidP="1B62D44F">
      <w:pPr>
        <w:spacing w:after="0" w:line="360" w:lineRule="auto"/>
        <w:rPr>
          <w:rFonts w:ascii="Arial" w:eastAsia="Arial" w:hAnsi="Arial" w:cs="Arial"/>
          <w:color w:val="000000" w:themeColor="text1"/>
          <w:sz w:val="22"/>
          <w:szCs w:val="22"/>
        </w:rPr>
      </w:pPr>
    </w:p>
    <w:p w14:paraId="22C407D6" w14:textId="5718C8E3" w:rsidR="316FEB9E" w:rsidRDefault="316FEB9E" w:rsidP="1B62D44F">
      <w:pPr>
        <w:spacing w:after="0" w:line="360" w:lineRule="auto"/>
        <w:rPr>
          <w:rFonts w:ascii="Arial" w:eastAsia="Arial" w:hAnsi="Arial" w:cs="Arial"/>
          <w:color w:val="000000" w:themeColor="text1"/>
          <w:sz w:val="22"/>
          <w:szCs w:val="22"/>
        </w:rPr>
      </w:pPr>
    </w:p>
    <w:p w14:paraId="431EAA3D" w14:textId="1A9F46F9" w:rsidR="316FEB9E" w:rsidRDefault="316FEB9E" w:rsidP="1B62D44F">
      <w:pPr>
        <w:spacing w:after="0" w:line="360" w:lineRule="auto"/>
        <w:rPr>
          <w:rFonts w:ascii="Arial" w:eastAsia="Arial" w:hAnsi="Arial" w:cs="Arial"/>
          <w:color w:val="000000" w:themeColor="text1"/>
          <w:sz w:val="22"/>
          <w:szCs w:val="22"/>
        </w:rPr>
      </w:pPr>
    </w:p>
    <w:p w14:paraId="27571F70" w14:textId="7B346749" w:rsidR="316FEB9E" w:rsidRDefault="316FEB9E" w:rsidP="1B62D44F">
      <w:pPr>
        <w:spacing w:after="0" w:line="360" w:lineRule="auto"/>
        <w:rPr>
          <w:rFonts w:ascii="Arial" w:eastAsia="Arial" w:hAnsi="Arial" w:cs="Arial"/>
          <w:color w:val="000000" w:themeColor="text1"/>
          <w:sz w:val="22"/>
          <w:szCs w:val="22"/>
        </w:rPr>
      </w:pPr>
    </w:p>
    <w:p w14:paraId="6DE3BB18" w14:textId="073C0FE2" w:rsidR="316FEB9E" w:rsidRDefault="316FEB9E" w:rsidP="1B62D44F">
      <w:pPr>
        <w:spacing w:after="0" w:line="360" w:lineRule="auto"/>
        <w:rPr>
          <w:rFonts w:ascii="Arial" w:eastAsia="Arial" w:hAnsi="Arial" w:cs="Arial"/>
          <w:color w:val="000000" w:themeColor="text1"/>
          <w:sz w:val="22"/>
          <w:szCs w:val="22"/>
        </w:rPr>
      </w:pPr>
    </w:p>
    <w:p w14:paraId="741C53FD" w14:textId="7FECDC16" w:rsidR="316FEB9E" w:rsidRDefault="316FEB9E" w:rsidP="1B62D44F">
      <w:pPr>
        <w:spacing w:after="0" w:line="360" w:lineRule="auto"/>
        <w:rPr>
          <w:rFonts w:ascii="Arial" w:eastAsia="Arial" w:hAnsi="Arial" w:cs="Arial"/>
          <w:color w:val="000000" w:themeColor="text1"/>
          <w:sz w:val="22"/>
          <w:szCs w:val="22"/>
        </w:rPr>
      </w:pPr>
    </w:p>
    <w:p w14:paraId="6E34890E" w14:textId="4EC741E6" w:rsidR="316FEB9E" w:rsidRDefault="316FEB9E" w:rsidP="1B62D44F">
      <w:pPr>
        <w:spacing w:after="0" w:line="360" w:lineRule="auto"/>
        <w:rPr>
          <w:rFonts w:ascii="Arial" w:eastAsia="Arial" w:hAnsi="Arial" w:cs="Arial"/>
          <w:color w:val="000000" w:themeColor="text1"/>
          <w:sz w:val="22"/>
          <w:szCs w:val="22"/>
        </w:rPr>
      </w:pPr>
    </w:p>
    <w:p w14:paraId="5765AE4B" w14:textId="7406E7A7" w:rsidR="316FEB9E" w:rsidRDefault="316FEB9E" w:rsidP="1B62D44F">
      <w:pPr>
        <w:spacing w:after="0" w:line="360" w:lineRule="auto"/>
        <w:rPr>
          <w:rFonts w:ascii="Arial" w:eastAsia="Arial" w:hAnsi="Arial" w:cs="Arial"/>
          <w:color w:val="000000" w:themeColor="text1"/>
          <w:sz w:val="22"/>
          <w:szCs w:val="22"/>
        </w:rPr>
      </w:pPr>
    </w:p>
    <w:p w14:paraId="59C3074F" w14:textId="650E8ADB" w:rsidR="316FEB9E" w:rsidRDefault="316FEB9E" w:rsidP="1B62D44F">
      <w:pPr>
        <w:spacing w:after="0" w:line="360" w:lineRule="auto"/>
        <w:rPr>
          <w:rFonts w:ascii="Arial" w:eastAsia="Arial" w:hAnsi="Arial" w:cs="Arial"/>
          <w:color w:val="000000" w:themeColor="text1"/>
          <w:sz w:val="22"/>
          <w:szCs w:val="22"/>
        </w:rPr>
      </w:pPr>
    </w:p>
    <w:p w14:paraId="11772266" w14:textId="065B223B" w:rsidR="316FEB9E" w:rsidRDefault="316FEB9E" w:rsidP="1B62D44F">
      <w:pPr>
        <w:spacing w:after="0" w:line="360" w:lineRule="auto"/>
        <w:rPr>
          <w:rFonts w:ascii="Arial" w:eastAsia="Arial" w:hAnsi="Arial" w:cs="Arial"/>
          <w:color w:val="000000" w:themeColor="text1"/>
          <w:sz w:val="22"/>
          <w:szCs w:val="22"/>
        </w:rPr>
      </w:pPr>
    </w:p>
    <w:p w14:paraId="724C53F9" w14:textId="2FF8EF74" w:rsidR="316FEB9E" w:rsidRDefault="316FEB9E" w:rsidP="1B62D44F">
      <w:pPr>
        <w:spacing w:after="0" w:line="360" w:lineRule="auto"/>
        <w:rPr>
          <w:rFonts w:ascii="Segoe UI" w:eastAsia="Segoe UI" w:hAnsi="Segoe UI" w:cs="Segoe UI"/>
          <w:b/>
          <w:bCs/>
          <w:color w:val="000000" w:themeColor="text1"/>
          <w:sz w:val="36"/>
          <w:szCs w:val="36"/>
        </w:rPr>
      </w:pPr>
    </w:p>
    <w:p w14:paraId="72D4C507" w14:textId="2630E7CA" w:rsidR="316FEB9E" w:rsidRDefault="316FEB9E" w:rsidP="1B62D44F">
      <w:pPr>
        <w:pStyle w:val="Heading2"/>
        <w:rPr>
          <w:rFonts w:ascii="Segoe UI" w:eastAsia="Segoe UI" w:hAnsi="Segoe UI" w:cs="Segoe UI"/>
          <w:color w:val="000000" w:themeColor="text1"/>
          <w:sz w:val="36"/>
          <w:szCs w:val="36"/>
          <w:lang w:val="en-US"/>
        </w:rPr>
      </w:pPr>
      <w:bookmarkStart w:id="31" w:name="_Toc1694398672"/>
      <w:r w:rsidRPr="1B62D44F">
        <w:rPr>
          <w:rFonts w:asciiTheme="minorHAnsi" w:eastAsiaTheme="minorEastAsia" w:hAnsiTheme="minorHAnsi" w:cstheme="minorBidi"/>
          <w:b/>
          <w:color w:val="auto"/>
          <w:sz w:val="28"/>
          <w:szCs w:val="28"/>
        </w:rPr>
        <w:t>3.7 Ethical Considerations</w:t>
      </w:r>
      <w:bookmarkEnd w:id="31"/>
    </w:p>
    <w:p w14:paraId="7A8565AE" w14:textId="34930A9F" w:rsidR="316FEB9E" w:rsidRDefault="316FEB9E" w:rsidP="1B62D44F">
      <w:pPr>
        <w:pStyle w:val="Heading2"/>
        <w:rPr>
          <w:rFonts w:ascii="Segoe UI" w:eastAsia="Segoe UI" w:hAnsi="Segoe UI" w:cs="Segoe UI"/>
          <w:color w:val="000000" w:themeColor="text1"/>
          <w:sz w:val="36"/>
          <w:szCs w:val="36"/>
          <w:lang w:val="en-US"/>
        </w:rPr>
      </w:pPr>
      <w:bookmarkStart w:id="32" w:name="_Toc838927139"/>
      <w:r w:rsidRPr="1B62D44F">
        <w:rPr>
          <w:rFonts w:asciiTheme="minorHAnsi" w:eastAsiaTheme="minorEastAsia" w:hAnsiTheme="minorHAnsi" w:cstheme="minorBidi"/>
          <w:b/>
          <w:color w:val="auto"/>
          <w:sz w:val="28"/>
          <w:szCs w:val="28"/>
        </w:rPr>
        <w:t>Secondary Research Ethics</w:t>
      </w:r>
      <w:bookmarkEnd w:id="32"/>
    </w:p>
    <w:p w14:paraId="7EBEE4DB" w14:textId="28825E0E" w:rsidR="316FEB9E" w:rsidRDefault="316FEB9E" w:rsidP="1B62D44F">
      <w:pPr>
        <w:spacing w:after="0" w:line="360" w:lineRule="auto"/>
        <w:rPr>
          <w:color w:val="000000" w:themeColor="text1"/>
          <w:sz w:val="22"/>
          <w:szCs w:val="22"/>
          <w:lang w:val="en-US"/>
        </w:rPr>
      </w:pPr>
      <w:r w:rsidRPr="1B62D44F">
        <w:rPr>
          <w:color w:val="000000" w:themeColor="text1"/>
          <w:sz w:val="22"/>
          <w:szCs w:val="22"/>
        </w:rPr>
        <w:t>As this study relies solely on secondary data, no direct contact with participants occurred. However, ethical principles guided the research, ensuring respect for data, integrity, and accurate citation (BERA, 2018).</w:t>
      </w:r>
    </w:p>
    <w:p w14:paraId="3FF36210" w14:textId="3FBD3A28" w:rsidR="1B62D44F" w:rsidRDefault="1B62D44F" w:rsidP="1B62D44F">
      <w:pPr>
        <w:spacing w:after="0" w:line="360" w:lineRule="auto"/>
        <w:rPr>
          <w:color w:val="000000" w:themeColor="text1"/>
          <w:sz w:val="22"/>
          <w:szCs w:val="22"/>
        </w:rPr>
      </w:pPr>
    </w:p>
    <w:p w14:paraId="71913837" w14:textId="5FD3A95B" w:rsidR="316FEB9E" w:rsidRDefault="316FEB9E" w:rsidP="1B62D44F">
      <w:pPr>
        <w:pStyle w:val="Heading2"/>
        <w:rPr>
          <w:rFonts w:ascii="Segoe UI" w:eastAsia="Segoe UI" w:hAnsi="Segoe UI" w:cs="Segoe UI"/>
          <w:color w:val="000000" w:themeColor="text1"/>
          <w:sz w:val="36"/>
          <w:szCs w:val="36"/>
          <w:lang w:val="en-US"/>
        </w:rPr>
      </w:pPr>
      <w:bookmarkStart w:id="33" w:name="_Toc919548643"/>
      <w:r w:rsidRPr="1B62D44F">
        <w:rPr>
          <w:rFonts w:asciiTheme="minorHAnsi" w:eastAsiaTheme="minorEastAsia" w:hAnsiTheme="minorHAnsi" w:cstheme="minorBidi"/>
          <w:b/>
          <w:color w:val="auto"/>
          <w:sz w:val="28"/>
          <w:szCs w:val="28"/>
        </w:rPr>
        <w:t>Academic Integrity and Transparency</w:t>
      </w:r>
      <w:bookmarkEnd w:id="33"/>
    </w:p>
    <w:p w14:paraId="23E3F8BA" w14:textId="31265DBA" w:rsidR="316FEB9E" w:rsidRDefault="316FEB9E" w:rsidP="1B62D44F">
      <w:pPr>
        <w:spacing w:after="0" w:line="360" w:lineRule="auto"/>
        <w:rPr>
          <w:color w:val="000000" w:themeColor="text1"/>
          <w:sz w:val="22"/>
          <w:szCs w:val="22"/>
          <w:lang w:val="en-US"/>
        </w:rPr>
      </w:pPr>
      <w:r w:rsidRPr="1B62D44F">
        <w:rPr>
          <w:color w:val="000000" w:themeColor="text1"/>
          <w:sz w:val="22"/>
          <w:szCs w:val="22"/>
        </w:rPr>
        <w:t>All ideas, data, and quotations were appropriately referenced following the Harvard referencing style. The analysis was conducted without bias, prioritising objectivity in data interpretation.</w:t>
      </w:r>
    </w:p>
    <w:p w14:paraId="52132C77" w14:textId="29E15D4B" w:rsidR="1B62D44F" w:rsidRDefault="1B62D44F" w:rsidP="1B62D44F">
      <w:pPr>
        <w:spacing w:after="0" w:line="360" w:lineRule="auto"/>
        <w:rPr>
          <w:color w:val="000000" w:themeColor="text1"/>
          <w:sz w:val="22"/>
          <w:szCs w:val="22"/>
        </w:rPr>
      </w:pPr>
    </w:p>
    <w:p w14:paraId="354F16AF" w14:textId="39D10748" w:rsidR="316FEB9E" w:rsidRDefault="316FEB9E" w:rsidP="1B62D44F">
      <w:pPr>
        <w:pStyle w:val="Heading2"/>
        <w:rPr>
          <w:rFonts w:ascii="Segoe UI" w:eastAsia="Segoe UI" w:hAnsi="Segoe UI" w:cs="Segoe UI"/>
          <w:color w:val="000000" w:themeColor="text1"/>
          <w:sz w:val="36"/>
          <w:szCs w:val="36"/>
          <w:lang w:val="en-US"/>
        </w:rPr>
      </w:pPr>
      <w:bookmarkStart w:id="34" w:name="_Toc149987004"/>
      <w:r w:rsidRPr="1B62D44F">
        <w:rPr>
          <w:rFonts w:asciiTheme="minorHAnsi" w:eastAsiaTheme="minorEastAsia" w:hAnsiTheme="minorHAnsi" w:cstheme="minorBidi"/>
          <w:b/>
          <w:color w:val="auto"/>
          <w:sz w:val="28"/>
          <w:szCs w:val="28"/>
        </w:rPr>
        <w:t>Data Protection and Research Standards</w:t>
      </w:r>
      <w:bookmarkEnd w:id="34"/>
    </w:p>
    <w:p w14:paraId="45A223FA" w14:textId="7DB738DC"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The research adhered to the UK General Data Protection Regulation (GDPR) and the Data Protection Act 2018, ensuring compliance with national ethical standards (GOV.UK, 2024). Preference was given to studies showing informed consent, confidentiality, and harm reduction (Xu et al., 2020). Institutional ethical clearance was granted prior to the commencement of the study.</w:t>
      </w:r>
    </w:p>
    <w:p w14:paraId="41FA78AE" w14:textId="32B836DA" w:rsidR="316FEB9E" w:rsidRDefault="316FEB9E" w:rsidP="56487953">
      <w:pPr>
        <w:spacing w:after="0" w:line="240" w:lineRule="auto"/>
        <w:rPr>
          <w:rFonts w:ascii="Arial" w:eastAsia="Arial" w:hAnsi="Arial" w:cs="Arial"/>
          <w:color w:val="000000" w:themeColor="text1"/>
          <w:sz w:val="36"/>
          <w:szCs w:val="36"/>
          <w:lang w:val="en-US"/>
        </w:rPr>
      </w:pPr>
      <w:r w:rsidRPr="56487953">
        <w:rPr>
          <w:rFonts w:ascii="Arial" w:eastAsia="Arial" w:hAnsi="Arial" w:cs="Arial"/>
          <w:color w:val="000000" w:themeColor="text1"/>
          <w:sz w:val="36"/>
          <w:szCs w:val="36"/>
        </w:rPr>
        <w:t> </w:t>
      </w:r>
    </w:p>
    <w:p w14:paraId="414F6670" w14:textId="1EB03978" w:rsidR="316FEB9E" w:rsidRDefault="316FEB9E" w:rsidP="1B62D44F">
      <w:pPr>
        <w:pStyle w:val="Heading2"/>
        <w:rPr>
          <w:rFonts w:ascii="Segoe UI" w:eastAsia="Segoe UI" w:hAnsi="Segoe UI" w:cs="Segoe UI"/>
          <w:color w:val="000000" w:themeColor="text1"/>
          <w:sz w:val="36"/>
          <w:szCs w:val="36"/>
          <w:lang w:val="en-US"/>
        </w:rPr>
      </w:pPr>
      <w:bookmarkStart w:id="35" w:name="_Toc634399169"/>
      <w:r w:rsidRPr="1B62D44F">
        <w:rPr>
          <w:rFonts w:asciiTheme="minorHAnsi" w:eastAsiaTheme="minorEastAsia" w:hAnsiTheme="minorHAnsi" w:cstheme="minorBidi"/>
          <w:b/>
          <w:color w:val="auto"/>
          <w:sz w:val="28"/>
          <w:szCs w:val="28"/>
        </w:rPr>
        <w:t>3.8 Chapter Conclusion</w:t>
      </w:r>
      <w:bookmarkEnd w:id="35"/>
    </w:p>
    <w:p w14:paraId="3A456545" w14:textId="145E46E3" w:rsidR="316FEB9E" w:rsidRDefault="316FEB9E" w:rsidP="1B62D44F">
      <w:pPr>
        <w:spacing w:after="0" w:line="360" w:lineRule="auto"/>
        <w:rPr>
          <w:rFonts w:ascii="Arial" w:eastAsia="Arial" w:hAnsi="Arial" w:cs="Arial"/>
          <w:color w:val="000000" w:themeColor="text1"/>
          <w:sz w:val="22"/>
          <w:szCs w:val="22"/>
          <w:lang w:val="en-US"/>
        </w:rPr>
      </w:pPr>
      <w:r w:rsidRPr="1B62D44F">
        <w:rPr>
          <w:rFonts w:ascii="Arial" w:eastAsia="Arial" w:hAnsi="Arial" w:cs="Arial"/>
          <w:color w:val="000000" w:themeColor="text1"/>
          <w:sz w:val="22"/>
          <w:szCs w:val="22"/>
        </w:rPr>
        <w:t>In summary, this chapter detailed the desk-based methodological approach employed to explore barriers to mental health care access among the African community in the UK. Through a systematic search strategy, rigorous screening, and thematic analysis, the study ensured the inclusion of relevant and credible sources. Ethical principles, academic integrity, and transparency were central to each stage of the research process. The themes emerging from this methodology form the foundation for the findings and discussion presented in Chapter 4.</w:t>
      </w:r>
    </w:p>
    <w:p w14:paraId="6086613E" w14:textId="7B7B13FE" w:rsidR="1B62D44F" w:rsidRDefault="1B62D44F" w:rsidP="1B62D44F">
      <w:pPr>
        <w:spacing w:after="0" w:line="240" w:lineRule="auto"/>
        <w:rPr>
          <w:rFonts w:ascii="Arial" w:eastAsia="Arial" w:hAnsi="Arial" w:cs="Arial"/>
          <w:color w:val="000000" w:themeColor="text1"/>
          <w:sz w:val="36"/>
          <w:szCs w:val="36"/>
        </w:rPr>
      </w:pPr>
    </w:p>
    <w:p w14:paraId="4C014992" w14:textId="22D2D40A" w:rsidR="1B62D44F" w:rsidRDefault="1B62D44F" w:rsidP="1B62D44F">
      <w:pPr>
        <w:spacing w:after="0" w:line="240" w:lineRule="auto"/>
        <w:rPr>
          <w:rFonts w:ascii="Arial" w:eastAsia="Arial" w:hAnsi="Arial" w:cs="Arial"/>
          <w:color w:val="000000" w:themeColor="text1"/>
          <w:sz w:val="36"/>
          <w:szCs w:val="36"/>
        </w:rPr>
      </w:pPr>
    </w:p>
    <w:p w14:paraId="1EFCAAC6" w14:textId="7587F55B" w:rsidR="1B62D44F" w:rsidRDefault="1B62D44F" w:rsidP="1B62D44F">
      <w:pPr>
        <w:spacing w:after="0" w:line="240" w:lineRule="auto"/>
        <w:rPr>
          <w:rFonts w:ascii="Arial" w:eastAsia="Arial" w:hAnsi="Arial" w:cs="Arial"/>
          <w:color w:val="000000" w:themeColor="text1"/>
          <w:sz w:val="36"/>
          <w:szCs w:val="36"/>
        </w:rPr>
      </w:pPr>
    </w:p>
    <w:p w14:paraId="0A3B8D12" w14:textId="2E395208" w:rsidR="1B62D44F" w:rsidRDefault="1B62D44F" w:rsidP="1B62D44F">
      <w:pPr>
        <w:spacing w:after="0" w:line="240" w:lineRule="auto"/>
        <w:rPr>
          <w:rFonts w:ascii="Arial" w:eastAsia="Arial" w:hAnsi="Arial" w:cs="Arial"/>
          <w:color w:val="000000" w:themeColor="text1"/>
          <w:sz w:val="36"/>
          <w:szCs w:val="36"/>
        </w:rPr>
      </w:pPr>
    </w:p>
    <w:p w14:paraId="42EA36CE" w14:textId="27A96D63" w:rsidR="1B62D44F" w:rsidRDefault="1B62D44F" w:rsidP="1B62D44F">
      <w:pPr>
        <w:spacing w:after="0" w:line="240" w:lineRule="auto"/>
        <w:rPr>
          <w:rFonts w:ascii="Arial" w:eastAsia="Arial" w:hAnsi="Arial" w:cs="Arial"/>
          <w:color w:val="000000" w:themeColor="text1"/>
          <w:sz w:val="36"/>
          <w:szCs w:val="36"/>
        </w:rPr>
      </w:pPr>
    </w:p>
    <w:p w14:paraId="1556D209" w14:textId="0A5AA845" w:rsidR="1B62D44F" w:rsidRDefault="1B62D44F" w:rsidP="1B62D44F">
      <w:pPr>
        <w:spacing w:after="0" w:line="240" w:lineRule="auto"/>
        <w:rPr>
          <w:rFonts w:ascii="Arial" w:eastAsia="Arial" w:hAnsi="Arial" w:cs="Arial"/>
          <w:color w:val="000000" w:themeColor="text1"/>
          <w:sz w:val="36"/>
          <w:szCs w:val="36"/>
        </w:rPr>
      </w:pPr>
    </w:p>
    <w:p w14:paraId="0EF478E7" w14:textId="377C46CD" w:rsidR="1B62D44F" w:rsidRDefault="1B62D44F" w:rsidP="1B62D44F">
      <w:pPr>
        <w:spacing w:after="0" w:line="240" w:lineRule="auto"/>
        <w:rPr>
          <w:rFonts w:ascii="Arial" w:eastAsia="Arial" w:hAnsi="Arial" w:cs="Arial"/>
          <w:color w:val="000000" w:themeColor="text1"/>
          <w:sz w:val="36"/>
          <w:szCs w:val="36"/>
        </w:rPr>
      </w:pPr>
    </w:p>
    <w:p w14:paraId="36EAD22E" w14:textId="5D292E92" w:rsidR="0D1A91F8" w:rsidRDefault="0D1A91F8" w:rsidP="1B62D44F">
      <w:pPr>
        <w:pStyle w:val="Heading1"/>
        <w:rPr>
          <w:rFonts w:asciiTheme="minorHAnsi" w:eastAsiaTheme="minorEastAsia" w:hAnsiTheme="minorHAnsi" w:cstheme="minorBidi"/>
          <w:b/>
          <w:bCs/>
          <w:color w:val="auto"/>
          <w:sz w:val="32"/>
          <w:szCs w:val="32"/>
        </w:rPr>
      </w:pPr>
      <w:bookmarkStart w:id="36" w:name="_Toc726476382"/>
      <w:r w:rsidRPr="1B62D44F">
        <w:rPr>
          <w:rFonts w:asciiTheme="minorHAnsi" w:eastAsiaTheme="minorEastAsia" w:hAnsiTheme="minorHAnsi" w:cstheme="minorBidi"/>
          <w:b/>
          <w:bCs/>
          <w:color w:val="auto"/>
          <w:sz w:val="32"/>
          <w:szCs w:val="32"/>
        </w:rPr>
        <w:t>CHAPTER 4 Finding and Discussion</w:t>
      </w:r>
      <w:bookmarkEnd w:id="36"/>
    </w:p>
    <w:p w14:paraId="5AC165B8" w14:textId="2C775DA0" w:rsidR="0D1A91F8" w:rsidRDefault="0D1A91F8" w:rsidP="1B62D44F">
      <w:pPr>
        <w:pStyle w:val="Heading1"/>
        <w:rPr>
          <w:rFonts w:asciiTheme="minorHAnsi" w:eastAsiaTheme="minorEastAsia" w:hAnsiTheme="minorHAnsi" w:cstheme="minorBidi"/>
          <w:b/>
          <w:bCs/>
          <w:color w:val="auto"/>
          <w:sz w:val="28"/>
          <w:szCs w:val="28"/>
        </w:rPr>
      </w:pPr>
      <w:bookmarkStart w:id="37" w:name="_Toc1554830769"/>
      <w:r w:rsidRPr="1B62D44F">
        <w:rPr>
          <w:rFonts w:asciiTheme="minorHAnsi" w:eastAsiaTheme="minorEastAsia" w:hAnsiTheme="minorHAnsi" w:cstheme="minorBidi"/>
          <w:b/>
          <w:bCs/>
          <w:color w:val="auto"/>
          <w:sz w:val="28"/>
          <w:szCs w:val="28"/>
        </w:rPr>
        <w:t>4.1 Introduction</w:t>
      </w:r>
      <w:bookmarkEnd w:id="37"/>
    </w:p>
    <w:p w14:paraId="73F4E2BD" w14:textId="15AC78EA" w:rsidR="1B62D44F" w:rsidRDefault="1DC4DA2A" w:rsidP="38958F80">
      <w:pPr>
        <w:spacing w:line="360" w:lineRule="auto"/>
        <w:rPr>
          <w:sz w:val="22"/>
          <w:szCs w:val="22"/>
        </w:rPr>
      </w:pPr>
      <w:r w:rsidRPr="38958F80">
        <w:rPr>
          <w:sz w:val="22"/>
          <w:szCs w:val="22"/>
        </w:rPr>
        <w:t>This chapter presents the findings and discussion of the secondary research conducted for this study. It evaluates the existing literature using a structured thematic approach to identify, analyse, and interpret recurring ideas related to the research aim. The chapter begins by outlining the thematic analysis process used to organise the reviewed data, followed by a detailed exploration of the key themes that emerged. Each theme is discussed in relation to the research question, supported by relevant academic sources. The chapter concludes with a synthesis of the findings, highlighting their significance and how they contribute to a deeper understanding of the topic</w:t>
      </w:r>
    </w:p>
    <w:p w14:paraId="72AFB50E" w14:textId="3EA660CE" w:rsidR="0D1A91F8" w:rsidRDefault="0D1A91F8" w:rsidP="1B62D44F">
      <w:pPr>
        <w:pStyle w:val="Heading2"/>
        <w:rPr>
          <w:rFonts w:asciiTheme="minorHAnsi" w:eastAsiaTheme="minorEastAsia" w:hAnsiTheme="minorHAnsi" w:cstheme="minorBidi"/>
          <w:b/>
          <w:bCs/>
          <w:color w:val="auto"/>
          <w:sz w:val="28"/>
          <w:szCs w:val="28"/>
        </w:rPr>
      </w:pPr>
      <w:bookmarkStart w:id="38" w:name="_Toc995564634"/>
      <w:r w:rsidRPr="38958F80">
        <w:rPr>
          <w:rFonts w:asciiTheme="minorHAnsi" w:eastAsiaTheme="minorEastAsia" w:hAnsiTheme="minorHAnsi" w:cstheme="minorBidi"/>
          <w:b/>
          <w:bCs/>
          <w:color w:val="auto"/>
          <w:sz w:val="28"/>
          <w:szCs w:val="28"/>
        </w:rPr>
        <w:t>4.2 Thematic Analysis</w:t>
      </w:r>
      <w:bookmarkEnd w:id="38"/>
    </w:p>
    <w:p w14:paraId="4E37B122" w14:textId="19BE962F" w:rsidR="1B62D44F" w:rsidRDefault="0702C19A" w:rsidP="38958F80">
      <w:pPr>
        <w:spacing w:line="360" w:lineRule="auto"/>
        <w:rPr>
          <w:sz w:val="22"/>
          <w:szCs w:val="22"/>
        </w:rPr>
      </w:pPr>
      <w:r w:rsidRPr="38958F80">
        <w:rPr>
          <w:sz w:val="22"/>
          <w:szCs w:val="22"/>
        </w:rPr>
        <w:t>Thematic analysis is a qualitative method used to identify, organise, and interpret patterns within collected data. In secondary research, it enables researchers to examine existing literature systematically to uncover recurring ideas linked to the research aim. Braun and Clarke (2006) define thematic analysis as a method for “pinpointing, examining and recording patterns or themes within data,” making it an effective approach for synthesising diverse academic sources and identifying common trends across the literature.</w:t>
      </w:r>
    </w:p>
    <w:p w14:paraId="29AC293B" w14:textId="2C660E65" w:rsidR="1B62D44F" w:rsidRDefault="0702C19A" w:rsidP="38958F80">
      <w:pPr>
        <w:spacing w:line="360" w:lineRule="auto"/>
        <w:rPr>
          <w:sz w:val="22"/>
          <w:szCs w:val="22"/>
        </w:rPr>
      </w:pPr>
      <w:r w:rsidRPr="38958F80">
        <w:rPr>
          <w:sz w:val="22"/>
          <w:szCs w:val="22"/>
        </w:rPr>
        <w:t>In this study, thematic analysis was applied through a structured coding process. Coding involves assigning labels to significant pieces of information found in the literature, allowing concepts to be categorised and compared. The coding table presented in Appendix A summarises how data from the reviewed sources were coded. Each extracted idea was assigned a code, and similar or related codes were then grouped into broader categories. This process enabled the identification of patterns and relationships across the data.</w:t>
      </w:r>
    </w:p>
    <w:p w14:paraId="1BCDED8E" w14:textId="451BA754" w:rsidR="1B62D44F" w:rsidRDefault="0702C19A" w:rsidP="38958F80">
      <w:pPr>
        <w:spacing w:line="360" w:lineRule="auto"/>
      </w:pPr>
      <w:r w:rsidRPr="00F37855">
        <w:rPr>
          <w:sz w:val="22"/>
          <w:szCs w:val="22"/>
        </w:rPr>
        <w:t xml:space="preserve">The themes presented in this chapter were developed directly from the coded data summarised in the table below. Similar codes were clustered into categories, which subsequently informed the final thematic structure. As a result, the themes that emerged— </w:t>
      </w:r>
      <w:r w:rsidR="7DD3C96C" w:rsidRPr="00F37855">
        <w:rPr>
          <w:sz w:val="22"/>
          <w:szCs w:val="22"/>
        </w:rPr>
        <w:t xml:space="preserve">Stigma &amp; Cultural Beliefs, Mistrust &amp; Poor Service Experience and </w:t>
      </w:r>
      <w:r w:rsidR="3B275B0E" w:rsidRPr="00F37855">
        <w:rPr>
          <w:sz w:val="22"/>
          <w:szCs w:val="22"/>
        </w:rPr>
        <w:t xml:space="preserve">Structural/Systemic Barriers </w:t>
      </w:r>
      <w:r w:rsidRPr="00F37855">
        <w:rPr>
          <w:sz w:val="22"/>
          <w:szCs w:val="22"/>
        </w:rPr>
        <w:t>are firmly grounded in the literature and provide a clear foundation for the discussion in the following sections</w:t>
      </w:r>
      <w:r>
        <w:t>.</w:t>
      </w:r>
    </w:p>
    <w:p w14:paraId="02907687" w14:textId="43E030EB" w:rsidR="1B62D44F" w:rsidRDefault="1B62D44F" w:rsidP="65B08F1D"/>
    <w:p w14:paraId="7DFA5D35" w14:textId="5A610450" w:rsidR="38958F80" w:rsidRDefault="38958F80"/>
    <w:p w14:paraId="046F9E12" w14:textId="708B594D" w:rsidR="38958F80" w:rsidRDefault="38958F80"/>
    <w:p w14:paraId="57DA9918" w14:textId="24DA1BC9" w:rsidR="38958F80" w:rsidRDefault="38958F80"/>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2430"/>
        <w:gridCol w:w="3525"/>
        <w:gridCol w:w="3045"/>
      </w:tblGrid>
      <w:tr w:rsidR="65B08F1D" w14:paraId="14450AC1" w14:textId="77777777" w:rsidTr="38958F80">
        <w:trPr>
          <w:trHeight w:val="300"/>
        </w:trPr>
        <w:tc>
          <w:tcPr>
            <w:tcW w:w="2430" w:type="dxa"/>
            <w:vAlign w:val="center"/>
          </w:tcPr>
          <w:p w14:paraId="6E3ED776" w14:textId="0BFDF536" w:rsidR="65B08F1D" w:rsidRDefault="65B08F1D" w:rsidP="65B08F1D">
            <w:pPr>
              <w:spacing w:before="100" w:after="100" w:line="240" w:lineRule="auto"/>
              <w:jc w:val="center"/>
              <w:rPr>
                <w:rFonts w:ascii="Times New Roman" w:eastAsia="Times New Roman" w:hAnsi="Times New Roman" w:cs="Times New Roman"/>
              </w:rPr>
            </w:pPr>
            <w:r w:rsidRPr="65B08F1D">
              <w:rPr>
                <w:rFonts w:ascii="Times New Roman" w:eastAsia="Times New Roman" w:hAnsi="Times New Roman" w:cs="Times New Roman"/>
                <w:b/>
                <w:bCs/>
              </w:rPr>
              <w:t>Theme</w:t>
            </w:r>
          </w:p>
        </w:tc>
        <w:tc>
          <w:tcPr>
            <w:tcW w:w="3525" w:type="dxa"/>
            <w:vAlign w:val="center"/>
          </w:tcPr>
          <w:p w14:paraId="74079234" w14:textId="5BCDE89B" w:rsidR="65B08F1D" w:rsidRDefault="65B08F1D" w:rsidP="65B08F1D">
            <w:pPr>
              <w:spacing w:before="100" w:after="100" w:line="240" w:lineRule="auto"/>
              <w:jc w:val="center"/>
              <w:rPr>
                <w:rFonts w:ascii="Times New Roman" w:eastAsia="Times New Roman" w:hAnsi="Times New Roman" w:cs="Times New Roman"/>
              </w:rPr>
            </w:pPr>
            <w:r w:rsidRPr="65B08F1D">
              <w:rPr>
                <w:rFonts w:ascii="Times New Roman" w:eastAsia="Times New Roman" w:hAnsi="Times New Roman" w:cs="Times New Roman"/>
                <w:b/>
                <w:bCs/>
              </w:rPr>
              <w:t>Description</w:t>
            </w:r>
          </w:p>
        </w:tc>
        <w:tc>
          <w:tcPr>
            <w:tcW w:w="3045" w:type="dxa"/>
            <w:vAlign w:val="center"/>
          </w:tcPr>
          <w:p w14:paraId="52607931" w14:textId="4BD57B1F" w:rsidR="65B08F1D" w:rsidRDefault="65B08F1D" w:rsidP="65B08F1D">
            <w:pPr>
              <w:spacing w:before="100" w:after="100" w:line="240" w:lineRule="auto"/>
              <w:jc w:val="center"/>
              <w:rPr>
                <w:rFonts w:ascii="Times New Roman" w:eastAsia="Times New Roman" w:hAnsi="Times New Roman" w:cs="Times New Roman"/>
              </w:rPr>
            </w:pPr>
            <w:r w:rsidRPr="65B08F1D">
              <w:rPr>
                <w:rFonts w:ascii="Times New Roman" w:eastAsia="Times New Roman" w:hAnsi="Times New Roman" w:cs="Times New Roman"/>
                <w:b/>
                <w:bCs/>
              </w:rPr>
              <w:t>Supporting Articles</w:t>
            </w:r>
          </w:p>
        </w:tc>
      </w:tr>
      <w:tr w:rsidR="65B08F1D" w14:paraId="19D854A9" w14:textId="77777777" w:rsidTr="38958F80">
        <w:trPr>
          <w:trHeight w:val="300"/>
        </w:trPr>
        <w:tc>
          <w:tcPr>
            <w:tcW w:w="2430" w:type="dxa"/>
            <w:vAlign w:val="center"/>
          </w:tcPr>
          <w:p w14:paraId="6BA361D0" w14:textId="137E61D7"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1. Stigma &amp; Cultural Beliefs</w:t>
            </w:r>
          </w:p>
        </w:tc>
        <w:tc>
          <w:tcPr>
            <w:tcW w:w="3525" w:type="dxa"/>
            <w:vAlign w:val="center"/>
          </w:tcPr>
          <w:p w14:paraId="2BD2524F" w14:textId="1C7E0C7E"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Stigma, spiritual explanations, shame, and cultural interpretations reduce help-seeking.</w:t>
            </w:r>
          </w:p>
        </w:tc>
        <w:tc>
          <w:tcPr>
            <w:tcW w:w="3045" w:type="dxa"/>
            <w:vAlign w:val="center"/>
          </w:tcPr>
          <w:p w14:paraId="77C51825" w14:textId="6ABDAB11"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 xml:space="preserve">Mantovani 2017, </w:t>
            </w:r>
            <w:proofErr w:type="spellStart"/>
            <w:r w:rsidRPr="65B08F1D">
              <w:rPr>
                <w:rFonts w:ascii="Times New Roman" w:eastAsia="Times New Roman" w:hAnsi="Times New Roman" w:cs="Times New Roman"/>
              </w:rPr>
              <w:t>Memon</w:t>
            </w:r>
            <w:proofErr w:type="spellEnd"/>
            <w:r w:rsidRPr="65B08F1D">
              <w:rPr>
                <w:rFonts w:ascii="Times New Roman" w:eastAsia="Times New Roman" w:hAnsi="Times New Roman" w:cs="Times New Roman"/>
              </w:rPr>
              <w:t xml:space="preserve"> 2016, Bassey 2024, Alam 2024, REF 2024</w:t>
            </w:r>
          </w:p>
        </w:tc>
      </w:tr>
      <w:tr w:rsidR="65B08F1D" w14:paraId="559312B0" w14:textId="77777777" w:rsidTr="38958F80">
        <w:trPr>
          <w:trHeight w:val="300"/>
        </w:trPr>
        <w:tc>
          <w:tcPr>
            <w:tcW w:w="2430" w:type="dxa"/>
            <w:vAlign w:val="center"/>
          </w:tcPr>
          <w:p w14:paraId="56BAA2FD" w14:textId="0C812EAA"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2. Mistrust &amp; Poor Service Experience</w:t>
            </w:r>
          </w:p>
        </w:tc>
        <w:tc>
          <w:tcPr>
            <w:tcW w:w="3525" w:type="dxa"/>
            <w:vAlign w:val="center"/>
          </w:tcPr>
          <w:p w14:paraId="48B004DD" w14:textId="57B38AE2"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Perceived discrimination, lack of cultural competence, past negative interactions create mistrust.</w:t>
            </w:r>
          </w:p>
        </w:tc>
        <w:tc>
          <w:tcPr>
            <w:tcW w:w="3045" w:type="dxa"/>
            <w:vAlign w:val="center"/>
          </w:tcPr>
          <w:p w14:paraId="10E684B2" w14:textId="01BC40BF" w:rsidR="65B08F1D" w:rsidRDefault="65B08F1D" w:rsidP="65B08F1D">
            <w:pPr>
              <w:spacing w:before="100" w:after="100" w:line="240" w:lineRule="auto"/>
              <w:rPr>
                <w:rFonts w:ascii="Times New Roman" w:eastAsia="Times New Roman" w:hAnsi="Times New Roman" w:cs="Times New Roman"/>
              </w:rPr>
            </w:pPr>
            <w:r w:rsidRPr="38958F80">
              <w:rPr>
                <w:rFonts w:ascii="Times New Roman" w:eastAsia="Times New Roman" w:hAnsi="Times New Roman" w:cs="Times New Roman"/>
              </w:rPr>
              <w:t xml:space="preserve">McLean 2003, </w:t>
            </w:r>
            <w:proofErr w:type="spellStart"/>
            <w:r w:rsidRPr="38958F80">
              <w:rPr>
                <w:rFonts w:ascii="Times New Roman" w:eastAsia="Times New Roman" w:hAnsi="Times New Roman" w:cs="Times New Roman"/>
              </w:rPr>
              <w:t>Bansal</w:t>
            </w:r>
            <w:proofErr w:type="spellEnd"/>
            <w:r w:rsidRPr="38958F80">
              <w:rPr>
                <w:rFonts w:ascii="Times New Roman" w:eastAsia="Times New Roman" w:hAnsi="Times New Roman" w:cs="Times New Roman"/>
              </w:rPr>
              <w:t xml:space="preserve"> 2022, NIHR 2025, </w:t>
            </w:r>
            <w:proofErr w:type="spellStart"/>
            <w:r w:rsidRPr="38958F80">
              <w:rPr>
                <w:rFonts w:ascii="Times New Roman" w:eastAsia="Times New Roman" w:hAnsi="Times New Roman" w:cs="Times New Roman"/>
              </w:rPr>
              <w:t>Memon</w:t>
            </w:r>
            <w:proofErr w:type="spellEnd"/>
            <w:r w:rsidRPr="38958F80">
              <w:rPr>
                <w:rFonts w:ascii="Times New Roman" w:eastAsia="Times New Roman" w:hAnsi="Times New Roman" w:cs="Times New Roman"/>
              </w:rPr>
              <w:t xml:space="preserve"> 2016</w:t>
            </w:r>
          </w:p>
        </w:tc>
      </w:tr>
      <w:tr w:rsidR="65B08F1D" w14:paraId="33B25400" w14:textId="77777777" w:rsidTr="38958F80">
        <w:trPr>
          <w:trHeight w:val="300"/>
        </w:trPr>
        <w:tc>
          <w:tcPr>
            <w:tcW w:w="2430" w:type="dxa"/>
            <w:vAlign w:val="center"/>
          </w:tcPr>
          <w:p w14:paraId="5E8CA38A" w14:textId="0091EAA5"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3. Structural/Systemic Barriers</w:t>
            </w:r>
          </w:p>
        </w:tc>
        <w:tc>
          <w:tcPr>
            <w:tcW w:w="3525" w:type="dxa"/>
            <w:vAlign w:val="center"/>
          </w:tcPr>
          <w:p w14:paraId="59B08E55" w14:textId="5C3D04BF" w:rsidR="65B08F1D" w:rsidRDefault="65B08F1D" w:rsidP="65B08F1D">
            <w:pPr>
              <w:spacing w:before="100" w:after="100" w:line="240" w:lineRule="auto"/>
              <w:rPr>
                <w:rFonts w:ascii="Times New Roman" w:eastAsia="Times New Roman" w:hAnsi="Times New Roman" w:cs="Times New Roman"/>
              </w:rPr>
            </w:pPr>
            <w:r w:rsidRPr="65B08F1D">
              <w:rPr>
                <w:rFonts w:ascii="Times New Roman" w:eastAsia="Times New Roman" w:hAnsi="Times New Roman" w:cs="Times New Roman"/>
              </w:rPr>
              <w:t>Socioeconomic barriers, long waits, lack of awareness, and poor service design limit access.</w:t>
            </w:r>
          </w:p>
        </w:tc>
        <w:tc>
          <w:tcPr>
            <w:tcW w:w="3045" w:type="dxa"/>
            <w:vAlign w:val="center"/>
          </w:tcPr>
          <w:p w14:paraId="0F2E14D6" w14:textId="09D3F43C" w:rsidR="65B08F1D" w:rsidRDefault="65B08F1D" w:rsidP="65B08F1D">
            <w:pPr>
              <w:spacing w:before="100" w:after="100" w:line="240" w:lineRule="auto"/>
              <w:rPr>
                <w:rFonts w:ascii="Times New Roman" w:eastAsia="Times New Roman" w:hAnsi="Times New Roman" w:cs="Times New Roman"/>
              </w:rPr>
            </w:pPr>
            <w:proofErr w:type="spellStart"/>
            <w:r w:rsidRPr="38958F80">
              <w:rPr>
                <w:rFonts w:ascii="Times New Roman" w:eastAsia="Times New Roman" w:hAnsi="Times New Roman" w:cs="Times New Roman"/>
              </w:rPr>
              <w:t>Bansal</w:t>
            </w:r>
            <w:proofErr w:type="spellEnd"/>
            <w:r w:rsidRPr="38958F80">
              <w:rPr>
                <w:rFonts w:ascii="Times New Roman" w:eastAsia="Times New Roman" w:hAnsi="Times New Roman" w:cs="Times New Roman"/>
              </w:rPr>
              <w:t xml:space="preserve"> 2022, Alam 2024, </w:t>
            </w:r>
            <w:proofErr w:type="spellStart"/>
            <w:r w:rsidRPr="38958F80">
              <w:rPr>
                <w:rFonts w:ascii="Times New Roman" w:eastAsia="Times New Roman" w:hAnsi="Times New Roman" w:cs="Times New Roman"/>
              </w:rPr>
              <w:t>Memon</w:t>
            </w:r>
            <w:proofErr w:type="spellEnd"/>
            <w:r w:rsidRPr="38958F80">
              <w:rPr>
                <w:rFonts w:ascii="Times New Roman" w:eastAsia="Times New Roman" w:hAnsi="Times New Roman" w:cs="Times New Roman"/>
              </w:rPr>
              <w:t xml:space="preserve"> 2016, REF 2024, Bassey 202</w:t>
            </w:r>
            <w:r w:rsidR="03A2F5D4" w:rsidRPr="38958F80">
              <w:rPr>
                <w:rFonts w:ascii="Times New Roman" w:eastAsia="Times New Roman" w:hAnsi="Times New Roman" w:cs="Times New Roman"/>
              </w:rPr>
              <w:t>2</w:t>
            </w:r>
          </w:p>
        </w:tc>
      </w:tr>
    </w:tbl>
    <w:p w14:paraId="14E756F9" w14:textId="444CD348" w:rsidR="1B62D44F" w:rsidRDefault="1B62D44F" w:rsidP="1B62D44F"/>
    <w:p w14:paraId="2884E9FC" w14:textId="2577D0F9" w:rsidR="1B62D44F" w:rsidRDefault="1B62D44F" w:rsidP="1B62D44F"/>
    <w:p w14:paraId="1DDCB434" w14:textId="1B04991B" w:rsidR="1B62D44F" w:rsidRDefault="1B62D44F" w:rsidP="1B62D44F"/>
    <w:p w14:paraId="265D1C35" w14:textId="7FDA628C" w:rsidR="1B62D44F" w:rsidRDefault="1B62D44F" w:rsidP="1B62D44F"/>
    <w:p w14:paraId="6FABC2D3" w14:textId="278C57FD" w:rsidR="1B62D44F" w:rsidRDefault="1B62D44F" w:rsidP="1B62D44F"/>
    <w:p w14:paraId="37440FBD" w14:textId="4B86991A" w:rsidR="1B62D44F" w:rsidRDefault="1B62D44F" w:rsidP="1B62D44F"/>
    <w:p w14:paraId="6640C28B" w14:textId="5ABC2138" w:rsidR="1B62D44F" w:rsidRDefault="1B62D44F" w:rsidP="1B62D44F"/>
    <w:p w14:paraId="45BA3F33" w14:textId="16145C08" w:rsidR="1B62D44F" w:rsidRDefault="5A28B280" w:rsidP="65B08F1D">
      <w:pPr>
        <w:pStyle w:val="Heading2"/>
        <w:rPr>
          <w:rFonts w:asciiTheme="minorHAnsi" w:eastAsiaTheme="minorEastAsia" w:hAnsiTheme="minorHAnsi" w:cstheme="minorBidi"/>
          <w:b/>
          <w:bCs/>
          <w:color w:val="auto"/>
          <w:sz w:val="28"/>
          <w:szCs w:val="28"/>
        </w:rPr>
      </w:pPr>
      <w:bookmarkStart w:id="39" w:name="_Toc829691203"/>
      <w:r w:rsidRPr="65B08F1D">
        <w:rPr>
          <w:rFonts w:asciiTheme="minorHAnsi" w:eastAsiaTheme="minorEastAsia" w:hAnsiTheme="minorHAnsi" w:cstheme="minorBidi"/>
          <w:b/>
          <w:bCs/>
          <w:color w:val="auto"/>
          <w:sz w:val="28"/>
          <w:szCs w:val="28"/>
        </w:rPr>
        <w:t>4.3 Theme 1: Stigma, Cultural Beliefs, and Help-Seeking</w:t>
      </w:r>
      <w:bookmarkEnd w:id="39"/>
    </w:p>
    <w:p w14:paraId="2C24ED3D" w14:textId="34CC85CA" w:rsidR="1B62D44F" w:rsidRDefault="1B62D44F" w:rsidP="65B08F1D">
      <w:pPr>
        <w:spacing w:before="100" w:after="100" w:line="240" w:lineRule="auto"/>
        <w:rPr>
          <w:rFonts w:ascii="Times New Roman" w:eastAsia="Times New Roman" w:hAnsi="Times New Roman" w:cs="Times New Roman"/>
          <w:color w:val="000000" w:themeColor="text1"/>
        </w:rPr>
      </w:pPr>
    </w:p>
    <w:p w14:paraId="780A6667" w14:textId="7CBA509E" w:rsidR="1B62D44F" w:rsidRDefault="1002619F" w:rsidP="65B08F1D">
      <w:pPr>
        <w:pStyle w:val="Heading3"/>
        <w:rPr>
          <w:rFonts w:eastAsiaTheme="minorEastAsia" w:cstheme="minorBidi"/>
          <w:b/>
          <w:bCs/>
          <w:color w:val="auto"/>
        </w:rPr>
      </w:pPr>
      <w:bookmarkStart w:id="40" w:name="_Toc278687193"/>
      <w:r w:rsidRPr="65B08F1D">
        <w:rPr>
          <w:rFonts w:eastAsiaTheme="minorEastAsia" w:cstheme="minorBidi"/>
          <w:b/>
          <w:bCs/>
          <w:color w:val="auto"/>
        </w:rPr>
        <w:t>Definition</w:t>
      </w:r>
      <w:bookmarkEnd w:id="40"/>
      <w:r w:rsidRPr="65B08F1D">
        <w:rPr>
          <w:rFonts w:eastAsiaTheme="minorEastAsia" w:cstheme="minorBidi"/>
          <w:b/>
          <w:bCs/>
          <w:color w:val="auto"/>
        </w:rPr>
        <w:t xml:space="preserve"> </w:t>
      </w:r>
    </w:p>
    <w:p w14:paraId="0A303D5D" w14:textId="0201AD72" w:rsidR="2293A868" w:rsidRDefault="2293A868" w:rsidP="37759C21">
      <w:pPr>
        <w:spacing w:line="360" w:lineRule="auto"/>
        <w:rPr>
          <w:sz w:val="22"/>
          <w:szCs w:val="22"/>
        </w:rPr>
      </w:pPr>
      <w:r w:rsidRPr="37759C21">
        <w:rPr>
          <w:sz w:val="22"/>
          <w:szCs w:val="22"/>
        </w:rPr>
        <w:t>Stigma continues to deter African individuals from seeking mental health support, as negative societal perceptions produce shame and avoidance of services (</w:t>
      </w:r>
      <w:proofErr w:type="spellStart"/>
      <w:r w:rsidRPr="37759C21">
        <w:rPr>
          <w:sz w:val="22"/>
          <w:szCs w:val="22"/>
        </w:rPr>
        <w:t>Corrigan</w:t>
      </w:r>
      <w:proofErr w:type="spellEnd"/>
      <w:r w:rsidRPr="37759C21">
        <w:rPr>
          <w:sz w:val="22"/>
          <w:szCs w:val="22"/>
        </w:rPr>
        <w:t xml:space="preserve"> and Watson, 2002; </w:t>
      </w:r>
      <w:proofErr w:type="spellStart"/>
      <w:r w:rsidRPr="37759C21">
        <w:rPr>
          <w:sz w:val="22"/>
          <w:szCs w:val="22"/>
        </w:rPr>
        <w:t>Thornicroft</w:t>
      </w:r>
      <w:proofErr w:type="spellEnd"/>
      <w:r w:rsidRPr="37759C21">
        <w:rPr>
          <w:sz w:val="22"/>
          <w:szCs w:val="22"/>
        </w:rPr>
        <w:t>, 2008).</w:t>
      </w:r>
      <w:r w:rsidR="0304B2C8" w:rsidRPr="37759C21">
        <w:rPr>
          <w:rFonts w:ascii="Arial" w:eastAsia="Arial" w:hAnsi="Arial" w:cs="Arial"/>
          <w:sz w:val="22"/>
          <w:szCs w:val="22"/>
        </w:rPr>
        <w:t xml:space="preserve"> Cultural interpretations of mental distress, particularly spiritual or traditional explanations, strongly influence how African communities understand and respond to mental illness (Murray and </w:t>
      </w:r>
      <w:proofErr w:type="spellStart"/>
      <w:r w:rsidR="0304B2C8" w:rsidRPr="37759C21">
        <w:rPr>
          <w:rFonts w:ascii="Arial" w:eastAsia="Arial" w:hAnsi="Arial" w:cs="Arial"/>
          <w:sz w:val="22"/>
          <w:szCs w:val="22"/>
        </w:rPr>
        <w:t>Kagee</w:t>
      </w:r>
      <w:proofErr w:type="spellEnd"/>
      <w:r w:rsidR="0304B2C8" w:rsidRPr="37759C21">
        <w:rPr>
          <w:rFonts w:ascii="Arial" w:eastAsia="Arial" w:hAnsi="Arial" w:cs="Arial"/>
          <w:sz w:val="22"/>
          <w:szCs w:val="22"/>
        </w:rPr>
        <w:t xml:space="preserve">, 2019; </w:t>
      </w:r>
      <w:proofErr w:type="spellStart"/>
      <w:r w:rsidR="0304B2C8" w:rsidRPr="37759C21">
        <w:rPr>
          <w:rFonts w:ascii="Arial" w:eastAsia="Arial" w:hAnsi="Arial" w:cs="Arial"/>
          <w:sz w:val="22"/>
          <w:szCs w:val="22"/>
        </w:rPr>
        <w:t>Kapungwe</w:t>
      </w:r>
      <w:proofErr w:type="spellEnd"/>
      <w:r w:rsidR="0304B2C8" w:rsidRPr="37759C21">
        <w:rPr>
          <w:rFonts w:ascii="Arial" w:eastAsia="Arial" w:hAnsi="Arial" w:cs="Arial"/>
          <w:sz w:val="22"/>
          <w:szCs w:val="22"/>
        </w:rPr>
        <w:t xml:space="preserve"> et al., 2010)</w:t>
      </w:r>
    </w:p>
    <w:p w14:paraId="38ED2480" w14:textId="13233280" w:rsidR="1B62D44F" w:rsidRDefault="1002619F" w:rsidP="65B08F1D">
      <w:pPr>
        <w:spacing w:line="360" w:lineRule="auto"/>
        <w:rPr>
          <w:sz w:val="22"/>
          <w:szCs w:val="22"/>
        </w:rPr>
      </w:pPr>
      <w:r w:rsidRPr="65B08F1D">
        <w:rPr>
          <w:sz w:val="22"/>
          <w:szCs w:val="22"/>
        </w:rPr>
        <w:t xml:space="preserve">Stigma refers to the negative social attitudes, stereotypes and prejudices attached to mental illness that </w:t>
      </w:r>
      <w:r w:rsidR="64DF8996" w:rsidRPr="65B08F1D">
        <w:rPr>
          <w:sz w:val="22"/>
          <w:szCs w:val="22"/>
        </w:rPr>
        <w:t>lead</w:t>
      </w:r>
      <w:r w:rsidRPr="65B08F1D">
        <w:rPr>
          <w:sz w:val="22"/>
          <w:szCs w:val="22"/>
        </w:rPr>
        <w:t xml:space="preserve"> individuals to internalise shame, avoid disclosure and resist seeking help. </w:t>
      </w:r>
    </w:p>
    <w:p w14:paraId="66B04423" w14:textId="03A9E27A" w:rsidR="1B62D44F" w:rsidRDefault="1002619F" w:rsidP="65B08F1D">
      <w:pPr>
        <w:spacing w:line="360" w:lineRule="auto"/>
        <w:rPr>
          <w:sz w:val="22"/>
          <w:szCs w:val="22"/>
        </w:rPr>
      </w:pPr>
      <w:r w:rsidRPr="38958F80">
        <w:rPr>
          <w:sz w:val="22"/>
          <w:szCs w:val="22"/>
        </w:rPr>
        <w:t xml:space="preserve"> In African communities, stigma often intersects with cultural beliefs, religious interpretations, and community expectations. Cultural beliefs within African populations may include spiritual explanations for mental illness, </w:t>
      </w:r>
      <w:r w:rsidR="00FC3256" w:rsidRPr="38958F80">
        <w:rPr>
          <w:sz w:val="22"/>
          <w:szCs w:val="22"/>
        </w:rPr>
        <w:t>beliefs</w:t>
      </w:r>
      <w:r w:rsidRPr="38958F80">
        <w:rPr>
          <w:sz w:val="22"/>
          <w:szCs w:val="22"/>
        </w:rPr>
        <w:t xml:space="preserve"> of psychological distress as a moral failing, or assumptions that emotional problems should be managed privately within the family. These beliefs influence how mental health problems are interpreted, who is approached for help, and whether formal mental health services are perceived as appropriate or necessary. </w:t>
      </w:r>
    </w:p>
    <w:p w14:paraId="303CC5C2" w14:textId="46AB357E" w:rsidR="1B62D44F" w:rsidRDefault="1002619F" w:rsidP="65B08F1D">
      <w:pPr>
        <w:pStyle w:val="Heading3"/>
        <w:rPr>
          <w:b/>
          <w:bCs/>
          <w:color w:val="auto"/>
        </w:rPr>
      </w:pPr>
      <w:r w:rsidRPr="65B08F1D">
        <w:rPr>
          <w:b/>
          <w:bCs/>
          <w:color w:val="auto"/>
        </w:rPr>
        <w:t xml:space="preserve"> </w:t>
      </w:r>
    </w:p>
    <w:p w14:paraId="66A9536C" w14:textId="484CF613" w:rsidR="1B62D44F" w:rsidRDefault="1002619F" w:rsidP="65B08F1D">
      <w:pPr>
        <w:pStyle w:val="Heading3"/>
        <w:rPr>
          <w:b/>
          <w:bCs/>
          <w:color w:val="auto"/>
        </w:rPr>
      </w:pPr>
      <w:bookmarkStart w:id="41" w:name="_Toc1865144675"/>
      <w:r w:rsidRPr="65B08F1D">
        <w:rPr>
          <w:b/>
          <w:bCs/>
          <w:color w:val="auto"/>
        </w:rPr>
        <w:t>Background Information</w:t>
      </w:r>
      <w:bookmarkEnd w:id="41"/>
      <w:r w:rsidRPr="65B08F1D">
        <w:rPr>
          <w:b/>
          <w:bCs/>
          <w:color w:val="auto"/>
        </w:rPr>
        <w:t xml:space="preserve"> </w:t>
      </w:r>
    </w:p>
    <w:p w14:paraId="7F5C5C1A" w14:textId="7752D724" w:rsidR="1B62D44F" w:rsidRDefault="1002619F" w:rsidP="65B08F1D">
      <w:pPr>
        <w:spacing w:line="360" w:lineRule="auto"/>
        <w:rPr>
          <w:sz w:val="22"/>
          <w:szCs w:val="22"/>
        </w:rPr>
      </w:pPr>
      <w:r w:rsidRPr="38958F80">
        <w:rPr>
          <w:sz w:val="22"/>
          <w:szCs w:val="22"/>
        </w:rPr>
        <w:t xml:space="preserve">Stigma surrounding mental illness has historical roots across African contexts, tracing back to traditional interpretations of health that often combine spiritual, communal, and moral frameworks. Colonisation, migration, and racialised experiences in the UK have shaped how African communities perceive institutional systems—including healthcare. Historically, African migrants in Britain experienced discrimination, unequal treatment, and racial stereotyping in mental health services, shaping long-held distrust and stigma within communities. In many African cultures, mental illness can carry significant social consequences such as isolation, reduced marriage prospects, or damage to family reputation. These beliefs have been reinforced </w:t>
      </w:r>
      <w:r w:rsidR="00FC3256" w:rsidRPr="38958F80">
        <w:rPr>
          <w:sz w:val="22"/>
          <w:szCs w:val="22"/>
        </w:rPr>
        <w:t>intergenerational</w:t>
      </w:r>
      <w:r w:rsidRPr="38958F80">
        <w:rPr>
          <w:sz w:val="22"/>
          <w:szCs w:val="22"/>
        </w:rPr>
        <w:t xml:space="preserve"> and remain prevalent among African communities in the UK today, shaping help-seeking behaviours. </w:t>
      </w:r>
    </w:p>
    <w:p w14:paraId="59AE4643" w14:textId="5C91D8CA" w:rsidR="1B62D44F" w:rsidRDefault="1002619F" w:rsidP="65B08F1D">
      <w:pPr>
        <w:spacing w:line="360" w:lineRule="auto"/>
        <w:rPr>
          <w:sz w:val="22"/>
          <w:szCs w:val="22"/>
        </w:rPr>
      </w:pPr>
      <w:r w:rsidRPr="65B08F1D">
        <w:rPr>
          <w:sz w:val="22"/>
          <w:szCs w:val="22"/>
        </w:rPr>
        <w:t xml:space="preserve"> As newer waves of migrants arrive from various African countries, including Nigeria, Ghana, Somalia, and Eritrea, cultural explanations for mental health continue to interact with UK mental health narratives, sometimes creating confusion, conflict, or resistance. These cultural foundations, combined with experiences of racism and discrimination in British society, contribute to a hegemonic stigma that </w:t>
      </w:r>
      <w:bookmarkStart w:id="42" w:name="_Int_4rWpvogU"/>
      <w:r w:rsidRPr="65B08F1D">
        <w:rPr>
          <w:sz w:val="22"/>
          <w:szCs w:val="22"/>
        </w:rPr>
        <w:t>is deeply embedded</w:t>
      </w:r>
      <w:bookmarkEnd w:id="42"/>
      <w:r w:rsidRPr="65B08F1D">
        <w:rPr>
          <w:sz w:val="22"/>
          <w:szCs w:val="22"/>
        </w:rPr>
        <w:t xml:space="preserve"> and difficult to challenge. </w:t>
      </w:r>
    </w:p>
    <w:p w14:paraId="3E044027" w14:textId="31626502" w:rsidR="1B62D44F" w:rsidRDefault="1002619F" w:rsidP="65B08F1D">
      <w:pPr>
        <w:spacing w:line="360" w:lineRule="auto"/>
        <w:rPr>
          <w:sz w:val="22"/>
          <w:szCs w:val="22"/>
        </w:rPr>
      </w:pPr>
      <w:r w:rsidRPr="65B08F1D">
        <w:rPr>
          <w:sz w:val="22"/>
          <w:szCs w:val="22"/>
        </w:rPr>
        <w:t xml:space="preserve"> </w:t>
      </w:r>
    </w:p>
    <w:p w14:paraId="0C7E746B" w14:textId="3FF6EC31" w:rsidR="1B62D44F" w:rsidRDefault="1B62D44F" w:rsidP="65B08F1D">
      <w:pPr>
        <w:spacing w:line="360" w:lineRule="auto"/>
        <w:rPr>
          <w:sz w:val="22"/>
          <w:szCs w:val="22"/>
        </w:rPr>
      </w:pPr>
    </w:p>
    <w:p w14:paraId="2DA3B2B9" w14:textId="76CD5E83" w:rsidR="1B62D44F" w:rsidRDefault="1002619F" w:rsidP="65B08F1D">
      <w:pPr>
        <w:pStyle w:val="Heading3"/>
        <w:spacing w:line="360" w:lineRule="auto"/>
        <w:rPr>
          <w:b/>
          <w:bCs/>
          <w:color w:val="auto"/>
        </w:rPr>
      </w:pPr>
      <w:bookmarkStart w:id="43" w:name="_Toc1326475891"/>
      <w:r w:rsidRPr="65B08F1D">
        <w:rPr>
          <w:b/>
          <w:bCs/>
          <w:color w:val="auto"/>
        </w:rPr>
        <w:t>Impact on Research Question</w:t>
      </w:r>
      <w:bookmarkEnd w:id="43"/>
      <w:r w:rsidRPr="65B08F1D">
        <w:rPr>
          <w:b/>
          <w:bCs/>
          <w:color w:val="auto"/>
        </w:rPr>
        <w:t xml:space="preserve"> </w:t>
      </w:r>
    </w:p>
    <w:p w14:paraId="7546C136" w14:textId="76981F4C" w:rsidR="1B62D44F" w:rsidRDefault="1002619F" w:rsidP="65B08F1D">
      <w:pPr>
        <w:spacing w:line="360" w:lineRule="auto"/>
        <w:rPr>
          <w:sz w:val="22"/>
          <w:szCs w:val="22"/>
        </w:rPr>
      </w:pPr>
      <w:r w:rsidRPr="65B08F1D">
        <w:rPr>
          <w:sz w:val="22"/>
          <w:szCs w:val="22"/>
        </w:rPr>
        <w:t xml:space="preserve">This theme directly impacts your dissertation question: “Barriers to accessing mental health services for African communities in the UK?” Stigma has repeatedly been identified as one of the most powerful and pervasive barriers. If individuals fear judgement, rejection, or negative labelling, they are significantly less likely to seek support from mental health services. This avoidance can delay diagnosis, treatment, and early intervention.  </w:t>
      </w:r>
    </w:p>
    <w:p w14:paraId="75153E33" w14:textId="7E73E593" w:rsidR="1B62D44F" w:rsidRDefault="1002619F" w:rsidP="65B08F1D">
      <w:pPr>
        <w:spacing w:line="360" w:lineRule="auto"/>
        <w:rPr>
          <w:sz w:val="22"/>
          <w:szCs w:val="22"/>
        </w:rPr>
      </w:pPr>
      <w:r w:rsidRPr="65B08F1D">
        <w:rPr>
          <w:sz w:val="22"/>
          <w:szCs w:val="22"/>
        </w:rPr>
        <w:t xml:space="preserve">Cultural beliefs also influence whether mental health symptoms are recognised as medical conditions or interpreted as spiritual, family-related, or social issues. Where belief systems do not align with biomedical understandings, individuals may be less likely to engage with NHS mental health services. Therefore, understanding stigma and cultural beliefs is essential to explaining why African communities remain underrepresented in accessing mental health care despite high levels of need. </w:t>
      </w:r>
    </w:p>
    <w:p w14:paraId="097C8344" w14:textId="4F425BE9" w:rsidR="1B62D44F" w:rsidRDefault="1002619F" w:rsidP="65B08F1D">
      <w:pPr>
        <w:spacing w:line="360" w:lineRule="auto"/>
        <w:rPr>
          <w:sz w:val="22"/>
          <w:szCs w:val="22"/>
        </w:rPr>
      </w:pPr>
      <w:r w:rsidRPr="65B08F1D">
        <w:rPr>
          <w:sz w:val="22"/>
          <w:szCs w:val="22"/>
        </w:rPr>
        <w:t xml:space="preserve"> </w:t>
      </w:r>
    </w:p>
    <w:p w14:paraId="4E67DCF2" w14:textId="0DA8340F" w:rsidR="1B62D44F" w:rsidRDefault="1002619F" w:rsidP="65B08F1D">
      <w:pPr>
        <w:pStyle w:val="Heading3"/>
        <w:rPr>
          <w:sz w:val="22"/>
          <w:szCs w:val="22"/>
        </w:rPr>
      </w:pPr>
      <w:bookmarkStart w:id="44" w:name="_Toc1879174899"/>
      <w:r w:rsidRPr="65B08F1D">
        <w:rPr>
          <w:b/>
          <w:bCs/>
          <w:color w:val="auto"/>
        </w:rPr>
        <w:t>Statistical Information</w:t>
      </w:r>
      <w:bookmarkEnd w:id="44"/>
      <w:r w:rsidRPr="65B08F1D">
        <w:rPr>
          <w:b/>
          <w:bCs/>
          <w:color w:val="auto"/>
        </w:rPr>
        <w:t xml:space="preserve"> </w:t>
      </w:r>
      <w:r w:rsidRPr="65B08F1D">
        <w:rPr>
          <w:sz w:val="22"/>
          <w:szCs w:val="22"/>
        </w:rPr>
        <w:t xml:space="preserve"> </w:t>
      </w:r>
    </w:p>
    <w:p w14:paraId="327AFFBF" w14:textId="768C5318" w:rsidR="1B62D44F" w:rsidRDefault="1002619F" w:rsidP="65B08F1D">
      <w:pPr>
        <w:spacing w:line="360" w:lineRule="auto"/>
        <w:rPr>
          <w:sz w:val="22"/>
          <w:szCs w:val="22"/>
        </w:rPr>
      </w:pPr>
      <w:r w:rsidRPr="65B08F1D">
        <w:rPr>
          <w:sz w:val="22"/>
          <w:szCs w:val="22"/>
        </w:rPr>
        <w:t xml:space="preserve">Research has consistently shown lower rates of help-seeking among African individuals despite disproportionately high levels of psychological distress. While Black African groups are more likely to experience common mental disorders, they are less likely to access primary mental health support such as talking therapies. Mantovani et al. (2017) found high levels of internalised stigma and shame among African-descended participants, resulting in delayed help-seeking. Public Health England reports similarly indicate that stigma remains a central reason for non-engagement among Black African communities.  </w:t>
      </w:r>
    </w:p>
    <w:p w14:paraId="5D12EAD2" w14:textId="7D041C55" w:rsidR="1B62D44F" w:rsidRDefault="1002619F" w:rsidP="65B08F1D">
      <w:pPr>
        <w:spacing w:line="360" w:lineRule="auto"/>
        <w:rPr>
          <w:sz w:val="22"/>
          <w:szCs w:val="22"/>
        </w:rPr>
      </w:pPr>
      <w:r w:rsidRPr="65B08F1D">
        <w:rPr>
          <w:sz w:val="22"/>
          <w:szCs w:val="22"/>
        </w:rPr>
        <w:t xml:space="preserve">Furthermore, </w:t>
      </w:r>
      <w:proofErr w:type="spellStart"/>
      <w:r w:rsidRPr="65B08F1D">
        <w:rPr>
          <w:sz w:val="22"/>
          <w:szCs w:val="22"/>
        </w:rPr>
        <w:t>Bansal</w:t>
      </w:r>
      <w:proofErr w:type="spellEnd"/>
      <w:r w:rsidRPr="65B08F1D">
        <w:rPr>
          <w:sz w:val="22"/>
          <w:szCs w:val="22"/>
        </w:rPr>
        <w:t xml:space="preserve"> et al. (2022) found that Black communities experience higher rates of crisis-based contact, meaning that individuals often reach services only when symptoms escalate severely. This pattern suggests that stigma-driven avoidance may contribute to late intervention, worsening outcomes and increasing reliance on emergency or compulsory services. </w:t>
      </w:r>
    </w:p>
    <w:p w14:paraId="02D41B3A" w14:textId="1ACA9C0A" w:rsidR="1B62D44F" w:rsidRDefault="1002619F" w:rsidP="65B08F1D">
      <w:pPr>
        <w:spacing w:line="360" w:lineRule="auto"/>
        <w:rPr>
          <w:sz w:val="22"/>
          <w:szCs w:val="22"/>
        </w:rPr>
      </w:pPr>
      <w:r w:rsidRPr="65B08F1D">
        <w:rPr>
          <w:sz w:val="22"/>
          <w:szCs w:val="22"/>
        </w:rPr>
        <w:t xml:space="preserve"> </w:t>
      </w:r>
    </w:p>
    <w:p w14:paraId="4EB0FA1C" w14:textId="65DB4C41" w:rsidR="1B62D44F" w:rsidRDefault="1B62D44F" w:rsidP="65B08F1D">
      <w:pPr>
        <w:spacing w:line="360" w:lineRule="auto"/>
        <w:rPr>
          <w:sz w:val="22"/>
          <w:szCs w:val="22"/>
        </w:rPr>
      </w:pPr>
    </w:p>
    <w:p w14:paraId="666F0B22" w14:textId="22177AA7" w:rsidR="1B62D44F" w:rsidRDefault="1B62D44F" w:rsidP="65B08F1D">
      <w:pPr>
        <w:spacing w:line="360" w:lineRule="auto"/>
        <w:rPr>
          <w:sz w:val="22"/>
          <w:szCs w:val="22"/>
        </w:rPr>
      </w:pPr>
    </w:p>
    <w:p w14:paraId="35C9D617" w14:textId="16C1206B" w:rsidR="1B62D44F" w:rsidRDefault="1B62D44F" w:rsidP="65B08F1D">
      <w:pPr>
        <w:spacing w:line="360" w:lineRule="auto"/>
        <w:rPr>
          <w:sz w:val="22"/>
          <w:szCs w:val="22"/>
        </w:rPr>
      </w:pPr>
    </w:p>
    <w:p w14:paraId="44D4B2FE" w14:textId="3E45FD26" w:rsidR="1B62D44F" w:rsidRDefault="1B62D44F" w:rsidP="65B08F1D">
      <w:pPr>
        <w:spacing w:line="360" w:lineRule="auto"/>
        <w:rPr>
          <w:sz w:val="22"/>
          <w:szCs w:val="22"/>
        </w:rPr>
      </w:pPr>
    </w:p>
    <w:p w14:paraId="7FD1475A" w14:textId="0BD99F00" w:rsidR="1B62D44F" w:rsidRDefault="1B62D44F" w:rsidP="65B08F1D">
      <w:pPr>
        <w:spacing w:line="360" w:lineRule="auto"/>
        <w:rPr>
          <w:sz w:val="22"/>
          <w:szCs w:val="22"/>
        </w:rPr>
      </w:pPr>
    </w:p>
    <w:p w14:paraId="4D8E7044" w14:textId="6B9E1EF7" w:rsidR="1B62D44F" w:rsidRDefault="1002619F" w:rsidP="65B08F1D">
      <w:pPr>
        <w:pStyle w:val="Heading3"/>
        <w:rPr>
          <w:b/>
          <w:bCs/>
          <w:color w:val="auto"/>
        </w:rPr>
      </w:pPr>
      <w:bookmarkStart w:id="45" w:name="_Toc1883019392"/>
      <w:r w:rsidRPr="65B08F1D">
        <w:rPr>
          <w:b/>
          <w:bCs/>
          <w:color w:val="auto"/>
        </w:rPr>
        <w:t>Theories, Policies, and Legislation</w:t>
      </w:r>
      <w:bookmarkEnd w:id="45"/>
      <w:r w:rsidRPr="65B08F1D">
        <w:rPr>
          <w:b/>
          <w:bCs/>
          <w:color w:val="auto"/>
        </w:rPr>
        <w:t xml:space="preserve"> </w:t>
      </w:r>
    </w:p>
    <w:p w14:paraId="1D9B83F5" w14:textId="6397FD2F" w:rsidR="1B62D44F" w:rsidRDefault="1002619F" w:rsidP="65B08F1D">
      <w:pPr>
        <w:spacing w:line="360" w:lineRule="auto"/>
        <w:rPr>
          <w:b/>
          <w:bCs/>
        </w:rPr>
      </w:pPr>
      <w:r w:rsidRPr="65B08F1D">
        <w:rPr>
          <w:sz w:val="22"/>
          <w:szCs w:val="22"/>
        </w:rPr>
        <w:t xml:space="preserve"> </w:t>
      </w:r>
    </w:p>
    <w:p w14:paraId="3CF26040" w14:textId="69B88C93" w:rsidR="1B62D44F" w:rsidRDefault="1002619F" w:rsidP="65B08F1D">
      <w:pPr>
        <w:spacing w:line="360" w:lineRule="auto"/>
        <w:rPr>
          <w:b/>
          <w:bCs/>
        </w:rPr>
      </w:pPr>
      <w:r w:rsidRPr="65B08F1D">
        <w:rPr>
          <w:b/>
          <w:bCs/>
        </w:rPr>
        <w:t xml:space="preserve">Theoretical Framework </w:t>
      </w:r>
    </w:p>
    <w:p w14:paraId="3C8DA504" w14:textId="25594E10" w:rsidR="1B62D44F" w:rsidRDefault="1002619F" w:rsidP="65B08F1D">
      <w:pPr>
        <w:spacing w:line="360" w:lineRule="auto"/>
        <w:rPr>
          <w:sz w:val="22"/>
          <w:szCs w:val="22"/>
        </w:rPr>
      </w:pPr>
      <w:r w:rsidRPr="65B08F1D">
        <w:rPr>
          <w:sz w:val="22"/>
          <w:szCs w:val="22"/>
        </w:rPr>
        <w:t xml:space="preserve">The Health Belief Model and the Stigma Theory by Erving </w:t>
      </w:r>
      <w:proofErr w:type="spellStart"/>
      <w:r w:rsidRPr="65B08F1D">
        <w:rPr>
          <w:sz w:val="22"/>
          <w:szCs w:val="22"/>
        </w:rPr>
        <w:t>Goffman</w:t>
      </w:r>
      <w:proofErr w:type="spellEnd"/>
      <w:r w:rsidRPr="65B08F1D">
        <w:rPr>
          <w:sz w:val="22"/>
          <w:szCs w:val="22"/>
        </w:rPr>
        <w:t xml:space="preserve"> provide useful theoretical grounding. </w:t>
      </w:r>
      <w:proofErr w:type="spellStart"/>
      <w:r w:rsidRPr="65B08F1D">
        <w:rPr>
          <w:sz w:val="22"/>
          <w:szCs w:val="22"/>
        </w:rPr>
        <w:t>Goffman’s</w:t>
      </w:r>
      <w:proofErr w:type="spellEnd"/>
      <w:r w:rsidRPr="65B08F1D">
        <w:rPr>
          <w:sz w:val="22"/>
          <w:szCs w:val="22"/>
        </w:rPr>
        <w:t xml:space="preserve"> Stigma Theory explains how individuals internalise negative social messages, creating barriers to disclosure and help-seeking. The Health Belief Model explains how perceptions of severity, susceptibility, and cultural beliefs shape whether individuals believe treatment is necessary. These theories highlight how cultural interpretations and fear of social judgement directly shape help-seeking pathways among African populations. </w:t>
      </w:r>
    </w:p>
    <w:p w14:paraId="6075E856" w14:textId="13292C6E" w:rsidR="1B62D44F" w:rsidRDefault="1002619F" w:rsidP="65B08F1D">
      <w:pPr>
        <w:spacing w:line="360" w:lineRule="auto"/>
        <w:rPr>
          <w:sz w:val="22"/>
          <w:szCs w:val="22"/>
        </w:rPr>
      </w:pPr>
      <w:r w:rsidRPr="65B08F1D">
        <w:rPr>
          <w:sz w:val="22"/>
          <w:szCs w:val="22"/>
        </w:rPr>
        <w:t xml:space="preserve"> </w:t>
      </w:r>
    </w:p>
    <w:p w14:paraId="140CC355" w14:textId="534B4739" w:rsidR="1B62D44F" w:rsidRDefault="1002619F" w:rsidP="65B08F1D">
      <w:pPr>
        <w:pStyle w:val="Heading4"/>
        <w:rPr>
          <w:b/>
          <w:bCs/>
          <w:i w:val="0"/>
          <w:iCs w:val="0"/>
          <w:color w:val="auto"/>
        </w:rPr>
      </w:pPr>
      <w:bookmarkStart w:id="46" w:name="_Toc2147472989"/>
      <w:r w:rsidRPr="65B08F1D">
        <w:rPr>
          <w:b/>
          <w:bCs/>
          <w:i w:val="0"/>
          <w:iCs w:val="0"/>
          <w:color w:val="auto"/>
        </w:rPr>
        <w:t>Policy and Legislation</w:t>
      </w:r>
      <w:bookmarkEnd w:id="46"/>
      <w:r w:rsidRPr="65B08F1D">
        <w:rPr>
          <w:b/>
          <w:bCs/>
          <w:i w:val="0"/>
          <w:iCs w:val="0"/>
          <w:color w:val="auto"/>
        </w:rPr>
        <w:t xml:space="preserve"> </w:t>
      </w:r>
    </w:p>
    <w:p w14:paraId="2BE50EF5" w14:textId="18BC92B5" w:rsidR="1B62D44F" w:rsidRDefault="1002619F" w:rsidP="65B08F1D">
      <w:pPr>
        <w:spacing w:line="360" w:lineRule="auto"/>
        <w:rPr>
          <w:sz w:val="22"/>
          <w:szCs w:val="22"/>
        </w:rPr>
      </w:pPr>
      <w:r w:rsidRPr="65B08F1D">
        <w:rPr>
          <w:sz w:val="22"/>
          <w:szCs w:val="22"/>
        </w:rPr>
        <w:t xml:space="preserve">UK mental health policy encourages culturally competent practice through frameworks such as the NHS Long Term Plan (2019), the Equality Act (2010), and the Advancing Mental Health Equalities Strategy. These policies acknowledge stigma but often do not fully integrate African cultural contexts. Although policies advocate for anti-stigma interventions (e.g., Time to Change), studies such as Bassey et al. (2024) suggest that these campaigns have limited reach into African communities due to cultural and linguistic barriers. </w:t>
      </w:r>
    </w:p>
    <w:p w14:paraId="59AB396B" w14:textId="57B76523" w:rsidR="1B62D44F" w:rsidRDefault="1002619F" w:rsidP="65B08F1D">
      <w:pPr>
        <w:spacing w:line="360" w:lineRule="auto"/>
        <w:rPr>
          <w:sz w:val="22"/>
          <w:szCs w:val="22"/>
        </w:rPr>
      </w:pPr>
      <w:r w:rsidRPr="65B08F1D">
        <w:rPr>
          <w:sz w:val="22"/>
          <w:szCs w:val="22"/>
        </w:rPr>
        <w:t xml:space="preserve"> </w:t>
      </w:r>
    </w:p>
    <w:p w14:paraId="18B6F0FE" w14:textId="3FDF8D48" w:rsidR="1B62D44F" w:rsidRDefault="1002619F" w:rsidP="65B08F1D">
      <w:pPr>
        <w:pStyle w:val="Heading3"/>
        <w:rPr>
          <w:b/>
          <w:bCs/>
          <w:color w:val="auto"/>
        </w:rPr>
      </w:pPr>
      <w:bookmarkStart w:id="47" w:name="_Toc1829065819"/>
      <w:r w:rsidRPr="65B08F1D">
        <w:rPr>
          <w:b/>
          <w:bCs/>
          <w:color w:val="auto"/>
        </w:rPr>
        <w:t>Implications</w:t>
      </w:r>
      <w:bookmarkEnd w:id="47"/>
      <w:r w:rsidRPr="65B08F1D">
        <w:rPr>
          <w:b/>
          <w:bCs/>
          <w:color w:val="auto"/>
        </w:rPr>
        <w:t xml:space="preserve"> </w:t>
      </w:r>
    </w:p>
    <w:p w14:paraId="49B13086" w14:textId="64B24459" w:rsidR="1B62D44F" w:rsidRDefault="1B62D44F" w:rsidP="65B08F1D"/>
    <w:p w14:paraId="0D6F6070" w14:textId="4569D615" w:rsidR="1B62D44F" w:rsidRDefault="1002619F" w:rsidP="65B08F1D">
      <w:pPr>
        <w:pStyle w:val="Heading4"/>
        <w:rPr>
          <w:b/>
          <w:bCs/>
          <w:i w:val="0"/>
          <w:iCs w:val="0"/>
          <w:color w:val="auto"/>
        </w:rPr>
      </w:pPr>
      <w:bookmarkStart w:id="48" w:name="_Toc1098599216"/>
      <w:r w:rsidRPr="65B08F1D">
        <w:rPr>
          <w:b/>
          <w:bCs/>
          <w:i w:val="0"/>
          <w:iCs w:val="0"/>
          <w:color w:val="auto"/>
        </w:rPr>
        <w:t>Positive Implications</w:t>
      </w:r>
      <w:bookmarkEnd w:id="48"/>
      <w:r w:rsidRPr="65B08F1D">
        <w:rPr>
          <w:b/>
          <w:bCs/>
          <w:i w:val="0"/>
          <w:iCs w:val="0"/>
          <w:color w:val="auto"/>
        </w:rPr>
        <w:t xml:space="preserve"> </w:t>
      </w:r>
    </w:p>
    <w:p w14:paraId="6BC96121" w14:textId="4B7F9E9C" w:rsidR="1B62D44F" w:rsidRDefault="1002619F" w:rsidP="65B08F1D">
      <w:pPr>
        <w:spacing w:line="360" w:lineRule="auto"/>
        <w:rPr>
          <w:sz w:val="22"/>
          <w:szCs w:val="22"/>
        </w:rPr>
      </w:pPr>
      <w:r w:rsidRPr="65B08F1D">
        <w:rPr>
          <w:sz w:val="22"/>
          <w:szCs w:val="22"/>
        </w:rPr>
        <w:t xml:space="preserve">Increasing awareness of how stigma operates can inform targeted mental health promotion. Community-led anti-stigma campaigns can empower African groups to reshape conversations around mental health. Collaboration with churches, cultural organisations, and African-led charities can help reframe mental illness in culturally </w:t>
      </w:r>
      <w:r w:rsidR="002C7F20" w:rsidRPr="65B08F1D">
        <w:rPr>
          <w:sz w:val="22"/>
          <w:szCs w:val="22"/>
        </w:rPr>
        <w:t>right ways</w:t>
      </w:r>
      <w:r w:rsidRPr="65B08F1D">
        <w:rPr>
          <w:sz w:val="22"/>
          <w:szCs w:val="22"/>
        </w:rPr>
        <w:t>.</w:t>
      </w:r>
    </w:p>
    <w:p w14:paraId="26C913E9" w14:textId="15E1CCC7" w:rsidR="1B62D44F" w:rsidRDefault="1002619F" w:rsidP="65B08F1D">
      <w:pPr>
        <w:pStyle w:val="Heading4"/>
        <w:rPr>
          <w:b/>
          <w:bCs/>
          <w:i w:val="0"/>
          <w:iCs w:val="0"/>
          <w:color w:val="auto"/>
        </w:rPr>
      </w:pPr>
      <w:bookmarkStart w:id="49" w:name="_Toc2125810814"/>
      <w:r w:rsidRPr="65B08F1D">
        <w:rPr>
          <w:b/>
          <w:bCs/>
          <w:i w:val="0"/>
          <w:iCs w:val="0"/>
          <w:color w:val="auto"/>
        </w:rPr>
        <w:t>Negative Implications</w:t>
      </w:r>
      <w:bookmarkEnd w:id="49"/>
      <w:r w:rsidRPr="65B08F1D">
        <w:rPr>
          <w:b/>
          <w:bCs/>
          <w:i w:val="0"/>
          <w:iCs w:val="0"/>
          <w:color w:val="auto"/>
        </w:rPr>
        <w:t xml:space="preserve"> </w:t>
      </w:r>
    </w:p>
    <w:p w14:paraId="5FF59F89" w14:textId="1548508E" w:rsidR="1B62D44F" w:rsidRDefault="1002619F" w:rsidP="65B08F1D">
      <w:pPr>
        <w:spacing w:line="360" w:lineRule="auto"/>
        <w:rPr>
          <w:sz w:val="22"/>
          <w:szCs w:val="22"/>
        </w:rPr>
      </w:pPr>
      <w:r w:rsidRPr="65B08F1D">
        <w:rPr>
          <w:sz w:val="22"/>
          <w:szCs w:val="22"/>
        </w:rPr>
        <w:t xml:space="preserve">Stigma prevents early intervention and delays access to treatment. Individuals may </w:t>
      </w:r>
      <w:r w:rsidR="002C7F20" w:rsidRPr="65B08F1D">
        <w:rPr>
          <w:sz w:val="22"/>
          <w:szCs w:val="22"/>
        </w:rPr>
        <w:t>look for</w:t>
      </w:r>
      <w:r w:rsidRPr="65B08F1D">
        <w:rPr>
          <w:sz w:val="22"/>
          <w:szCs w:val="22"/>
        </w:rPr>
        <w:t xml:space="preserve"> unregulated or unsafe alternative remedies. Shame and secrecy can exacerbate symptoms and worsen family relationships. Stigma interacts with mistrust, deepening disengagement from formal services and contributing to crisis-driven interactions. </w:t>
      </w:r>
    </w:p>
    <w:p w14:paraId="7F29BFA9" w14:textId="66DBD598" w:rsidR="1B62D44F" w:rsidRPr="002C7F20" w:rsidRDefault="1002619F" w:rsidP="002C7F20">
      <w:pPr>
        <w:pStyle w:val="Heading3"/>
        <w:rPr>
          <w:b/>
          <w:color w:val="auto"/>
        </w:rPr>
      </w:pPr>
      <w:bookmarkStart w:id="50" w:name="_Toc903129799"/>
      <w:r w:rsidRPr="38958F80">
        <w:rPr>
          <w:b/>
          <w:bCs/>
          <w:color w:val="auto"/>
        </w:rPr>
        <w:t>Examples from Your Articles</w:t>
      </w:r>
      <w:bookmarkEnd w:id="50"/>
      <w:r w:rsidRPr="38958F80">
        <w:rPr>
          <w:b/>
          <w:bCs/>
          <w:color w:val="auto"/>
        </w:rPr>
        <w:t xml:space="preserve"> </w:t>
      </w:r>
    </w:p>
    <w:p w14:paraId="6B75A51D" w14:textId="30FDEE47" w:rsidR="1B62D44F" w:rsidRDefault="6644465D" w:rsidP="38958F80">
      <w:pPr>
        <w:spacing w:line="360" w:lineRule="auto"/>
      </w:pPr>
      <w:r w:rsidRPr="38958F80">
        <w:rPr>
          <w:sz w:val="22"/>
          <w:szCs w:val="22"/>
        </w:rPr>
        <w:t>Mantovani et al. (2017) found that stigma was a major barrier in African-descended populations, with participants expressing fear of being labelled “mad” and concerns about community judgement. Such responses illustrate how shame, negative social perceptions, and cultural beliefs can discourage individuals from acknowledging mental health difficulties or seeking professional support. This pattern is reinforced by Bassey et al. (2024), who explored African community experiences and reported that many participants interpreted mental illness through spiritual or cultural frameworks. As a result, individuals were more likely to delay accessing formal services and instead turn to religious or community-based healing practices. Together, these studies demonstrate that stigma is not only prevalent but culturally embedded across African groups, powerfully shaping attitudes toward mental illness and consistently hindering help-seeking behaviour.</w:t>
      </w:r>
    </w:p>
    <w:p w14:paraId="5B6F0BC4" w14:textId="44BF19EB" w:rsidR="1B62D44F" w:rsidRDefault="1B62D44F" w:rsidP="65B08F1D">
      <w:pPr>
        <w:spacing w:line="360" w:lineRule="auto"/>
        <w:rPr>
          <w:sz w:val="22"/>
          <w:szCs w:val="22"/>
        </w:rPr>
      </w:pPr>
    </w:p>
    <w:p w14:paraId="48AF8437" w14:textId="2EF33966" w:rsidR="1B62D44F" w:rsidRDefault="1B62D44F" w:rsidP="65B08F1D">
      <w:pPr>
        <w:spacing w:line="360" w:lineRule="auto"/>
        <w:rPr>
          <w:sz w:val="22"/>
          <w:szCs w:val="22"/>
        </w:rPr>
      </w:pPr>
    </w:p>
    <w:p w14:paraId="2A349878" w14:textId="71C5BB72" w:rsidR="65B08F1D" w:rsidRDefault="41B30BA7" w:rsidP="38958F80">
      <w:pPr>
        <w:pStyle w:val="Heading3"/>
        <w:spacing w:line="360" w:lineRule="auto"/>
        <w:rPr>
          <w:b/>
          <w:bCs/>
          <w:color w:val="auto"/>
        </w:rPr>
      </w:pPr>
      <w:bookmarkStart w:id="51" w:name="_Toc323079613"/>
      <w:r w:rsidRPr="38958F80">
        <w:rPr>
          <w:b/>
          <w:bCs/>
          <w:color w:val="auto"/>
        </w:rPr>
        <w:t>Conclusion</w:t>
      </w:r>
      <w:bookmarkEnd w:id="51"/>
    </w:p>
    <w:p w14:paraId="10598029" w14:textId="05A80E4A" w:rsidR="65B08F1D" w:rsidRDefault="10CEBA01" w:rsidP="38958F80">
      <w:pPr>
        <w:spacing w:line="360" w:lineRule="auto"/>
        <w:rPr>
          <w:color w:val="000000" w:themeColor="text1"/>
          <w:sz w:val="22"/>
          <w:szCs w:val="22"/>
        </w:rPr>
      </w:pPr>
      <w:r w:rsidRPr="38958F80">
        <w:rPr>
          <w:color w:val="000000" w:themeColor="text1"/>
          <w:sz w:val="22"/>
          <w:szCs w:val="22"/>
        </w:rPr>
        <w:t>Stigma interacts strongly with the second theme, mistrust, because cultural beliefs and community narratives often reinforce perceptions that mental health services are not safe, culturally compatible, or trustworthy. When individuals fear being labelled as “weak,” “mad,” or spiritually afflicted, they are less likely to believe that Western mental health professionals can understand their experiences or offer meaningful support. This mistrust is not simply an emotional reaction—it is embedded in historical experiences of discrimination, culturally incongruent treatment models, and a perceived lack of respect for traditional belief systems. As a result, stigma strengthens the assumption that seeking help from mainstream services is both socially risky and culturally inappropriate.</w:t>
      </w:r>
    </w:p>
    <w:p w14:paraId="07975ADB" w14:textId="5C386387" w:rsidR="65B08F1D" w:rsidRDefault="10CEBA01" w:rsidP="38958F80">
      <w:pPr>
        <w:spacing w:line="360" w:lineRule="auto"/>
        <w:rPr>
          <w:color w:val="000000" w:themeColor="text1"/>
          <w:sz w:val="22"/>
          <w:szCs w:val="22"/>
        </w:rPr>
      </w:pPr>
      <w:r w:rsidRPr="38958F80">
        <w:rPr>
          <w:color w:val="000000" w:themeColor="text1"/>
          <w:sz w:val="22"/>
          <w:szCs w:val="22"/>
        </w:rPr>
        <w:t>Stigma also intersects significantly with the structural barriers identified in Theme 3. Individuals who already face poverty, immigration stress, language difficulties, or long waiting times may be even less motivated to navigate these systems when cultural shame or fear of judgement is present. For some, the risk of encountering stigma within their community outweighs any potential benefits of treatment, amplifying avoidance behaviours. Thus, stigma not only operates as an attitudinal barrier but also magnifies existing systemic inequalities, making the pathway to care feel both burdensome and socially dangerous.</w:t>
      </w:r>
    </w:p>
    <w:p w14:paraId="0402BF64" w14:textId="3B6A7DC4" w:rsidR="65B08F1D" w:rsidRDefault="65B08F1D" w:rsidP="38958F80">
      <w:pPr>
        <w:spacing w:line="360" w:lineRule="auto"/>
        <w:rPr>
          <w:b/>
          <w:bCs/>
          <w:color w:val="000000" w:themeColor="text1"/>
          <w:sz w:val="28"/>
          <w:szCs w:val="28"/>
        </w:rPr>
      </w:pPr>
    </w:p>
    <w:p w14:paraId="4290311B" w14:textId="5FBE613B" w:rsidR="65B08F1D" w:rsidRDefault="65B08F1D" w:rsidP="3D4EE2BB">
      <w:pPr>
        <w:spacing w:line="360" w:lineRule="auto"/>
        <w:rPr>
          <w:b/>
          <w:color w:val="000000" w:themeColor="text1"/>
          <w:sz w:val="28"/>
          <w:szCs w:val="28"/>
        </w:rPr>
      </w:pPr>
    </w:p>
    <w:p w14:paraId="7B683684" w14:textId="49AD359B" w:rsidR="65B08F1D" w:rsidRDefault="65B08F1D" w:rsidP="3D4EE2BB">
      <w:pPr>
        <w:spacing w:line="360" w:lineRule="auto"/>
        <w:rPr>
          <w:b/>
          <w:color w:val="000000" w:themeColor="text1"/>
          <w:sz w:val="28"/>
          <w:szCs w:val="28"/>
        </w:rPr>
      </w:pPr>
    </w:p>
    <w:p w14:paraId="4EF1E67C" w14:textId="7BC138E8" w:rsidR="65B08F1D" w:rsidRDefault="65B08F1D" w:rsidP="3D4EE2BB">
      <w:pPr>
        <w:spacing w:line="360" w:lineRule="auto"/>
        <w:rPr>
          <w:b/>
          <w:color w:val="000000" w:themeColor="text1"/>
          <w:sz w:val="28"/>
          <w:szCs w:val="28"/>
        </w:rPr>
      </w:pPr>
    </w:p>
    <w:p w14:paraId="73580417" w14:textId="0632C91B" w:rsidR="65B08F1D" w:rsidRDefault="65B08F1D" w:rsidP="3D4EE2BB">
      <w:pPr>
        <w:spacing w:line="360" w:lineRule="auto"/>
        <w:rPr>
          <w:b/>
          <w:color w:val="000000" w:themeColor="text1"/>
          <w:sz w:val="28"/>
          <w:szCs w:val="28"/>
        </w:rPr>
      </w:pPr>
    </w:p>
    <w:p w14:paraId="4705E507" w14:textId="27128800" w:rsidR="65B08F1D" w:rsidRDefault="65B08F1D" w:rsidP="3D4EE2BB">
      <w:pPr>
        <w:spacing w:line="360" w:lineRule="auto"/>
        <w:rPr>
          <w:b/>
          <w:color w:val="000000" w:themeColor="text1"/>
          <w:sz w:val="28"/>
          <w:szCs w:val="28"/>
        </w:rPr>
      </w:pPr>
    </w:p>
    <w:p w14:paraId="13D2A62B" w14:textId="14EAE113" w:rsidR="1002619F" w:rsidRDefault="1002619F" w:rsidP="38958F80">
      <w:pPr>
        <w:pStyle w:val="Heading2"/>
        <w:rPr>
          <w:b/>
          <w:bCs/>
          <w:color w:val="000000" w:themeColor="text1"/>
          <w:sz w:val="28"/>
          <w:szCs w:val="28"/>
        </w:rPr>
      </w:pPr>
    </w:p>
    <w:p w14:paraId="70F4578D" w14:textId="5CE9A0FB" w:rsidR="1002619F" w:rsidRDefault="1002619F" w:rsidP="38958F80">
      <w:pPr>
        <w:pStyle w:val="Heading2"/>
        <w:rPr>
          <w:b/>
          <w:bCs/>
          <w:color w:val="000000" w:themeColor="text1"/>
          <w:sz w:val="28"/>
          <w:szCs w:val="28"/>
        </w:rPr>
      </w:pPr>
    </w:p>
    <w:p w14:paraId="76B27B6A" w14:textId="2DD451C5" w:rsidR="1002619F" w:rsidRDefault="1002619F" w:rsidP="38958F80">
      <w:pPr>
        <w:pStyle w:val="Heading2"/>
        <w:rPr>
          <w:b/>
          <w:bCs/>
          <w:color w:val="000000" w:themeColor="text1"/>
          <w:sz w:val="28"/>
          <w:szCs w:val="28"/>
        </w:rPr>
      </w:pPr>
    </w:p>
    <w:p w14:paraId="14162D21" w14:textId="05BBF215" w:rsidR="1002619F" w:rsidRDefault="00645A7B" w:rsidP="38958F80">
      <w:pPr>
        <w:pStyle w:val="Heading2"/>
        <w:rPr>
          <w:b/>
          <w:bCs/>
          <w:color w:val="000000" w:themeColor="text1"/>
          <w:sz w:val="28"/>
          <w:szCs w:val="28"/>
        </w:rPr>
      </w:pPr>
      <w:bookmarkStart w:id="52" w:name="_Toc578652174"/>
      <w:r w:rsidRPr="38958F80">
        <w:rPr>
          <w:b/>
          <w:bCs/>
          <w:color w:val="000000" w:themeColor="text1"/>
          <w:sz w:val="28"/>
          <w:szCs w:val="28"/>
        </w:rPr>
        <w:t xml:space="preserve">4.4 </w:t>
      </w:r>
      <w:r w:rsidR="1002619F" w:rsidRPr="38958F80">
        <w:rPr>
          <w:b/>
          <w:bCs/>
          <w:color w:val="000000" w:themeColor="text1"/>
          <w:sz w:val="28"/>
          <w:szCs w:val="28"/>
        </w:rPr>
        <w:t>THEME 2: Mistrust, Negative Experiences, and Lack of Cultural Competence</w:t>
      </w:r>
      <w:bookmarkEnd w:id="52"/>
      <w:r w:rsidR="1002619F" w:rsidRPr="38958F80">
        <w:rPr>
          <w:b/>
          <w:bCs/>
          <w:color w:val="000000" w:themeColor="text1"/>
          <w:sz w:val="28"/>
          <w:szCs w:val="28"/>
        </w:rPr>
        <w:t xml:space="preserve">  </w:t>
      </w:r>
    </w:p>
    <w:p w14:paraId="3C8F4FAE" w14:textId="652F78CF" w:rsidR="1002619F" w:rsidRDefault="1002619F" w:rsidP="65B08F1D">
      <w:r>
        <w:t xml:space="preserve"> </w:t>
      </w:r>
    </w:p>
    <w:p w14:paraId="02C850C2" w14:textId="7D59E187" w:rsidR="1002619F" w:rsidRDefault="1002619F" w:rsidP="3D4EE2BB">
      <w:pPr>
        <w:pStyle w:val="Heading3"/>
        <w:rPr>
          <w:b/>
          <w:color w:val="000000" w:themeColor="text1"/>
        </w:rPr>
      </w:pPr>
      <w:bookmarkStart w:id="53" w:name="_Toc2058764522"/>
      <w:r w:rsidRPr="38958F80">
        <w:rPr>
          <w:b/>
          <w:bCs/>
          <w:color w:val="000000" w:themeColor="text1"/>
        </w:rPr>
        <w:t>Definition</w:t>
      </w:r>
      <w:bookmarkEnd w:id="53"/>
      <w:r w:rsidRPr="38958F80">
        <w:rPr>
          <w:b/>
          <w:bCs/>
          <w:color w:val="000000" w:themeColor="text1"/>
        </w:rPr>
        <w:t xml:space="preserve"> </w:t>
      </w:r>
    </w:p>
    <w:p w14:paraId="58FD01FC" w14:textId="6A617EA1" w:rsidR="3D4EE2BB" w:rsidRDefault="6538BD07" w:rsidP="38958F80">
      <w:pPr>
        <w:spacing w:line="360" w:lineRule="auto"/>
      </w:pPr>
      <w:r w:rsidRPr="38958F80">
        <w:rPr>
          <w:sz w:val="22"/>
          <w:szCs w:val="22"/>
        </w:rPr>
        <w:t>Mistrust refers to a lack of confidence or belief that mental health services will provide fair, respectful, and effective support. Within African communities, this mistrust does not exist in isolation; it is shaped by broader sociocultural and historical forces. For many, mistrust stems from collective memories of colonialism, medical exploitation, and institutional racism, which have historically positioned Western health systems as tools of control rather than sources of care. Negative personal or family experiences—such as feeling dismissed by practitioners, encountering racial stereotyping, or having symptoms minimised—further reinforce the belief that mental health services are not designed with African service users in mind. Consequently, professional care can be perceived as unsafe, biased, or culturally irrelevant.</w:t>
      </w:r>
      <w:r w:rsidR="6E1103D6" w:rsidRPr="37759C21">
        <w:rPr>
          <w:sz w:val="22"/>
          <w:szCs w:val="22"/>
        </w:rPr>
        <w:t xml:space="preserve"> Mistrust of statutory services among African communities is often rooted in experiences of racism, stereotyping, and culturally insensitive treatment practices Service users from African backgrounds frequently report feeling unheard or marginalised during mental health encounters, which reinforces disengagement and reduces confidence in care pathways (Fitzpatrick et al., 2014; </w:t>
      </w:r>
      <w:proofErr w:type="spellStart"/>
      <w:r w:rsidR="6E1103D6" w:rsidRPr="37759C21">
        <w:rPr>
          <w:sz w:val="22"/>
          <w:szCs w:val="22"/>
        </w:rPr>
        <w:t>Adegbembo</w:t>
      </w:r>
      <w:proofErr w:type="spellEnd"/>
      <w:r w:rsidR="6E1103D6" w:rsidRPr="37759C21">
        <w:rPr>
          <w:sz w:val="22"/>
          <w:szCs w:val="22"/>
        </w:rPr>
        <w:t xml:space="preserve"> and </w:t>
      </w:r>
      <w:proofErr w:type="spellStart"/>
      <w:r w:rsidR="6E1103D6" w:rsidRPr="37759C21">
        <w:rPr>
          <w:sz w:val="22"/>
          <w:szCs w:val="22"/>
        </w:rPr>
        <w:t>Adeyemi</w:t>
      </w:r>
      <w:proofErr w:type="spellEnd"/>
      <w:r w:rsidR="6E1103D6" w:rsidRPr="37759C21">
        <w:rPr>
          <w:sz w:val="22"/>
          <w:szCs w:val="22"/>
        </w:rPr>
        <w:t xml:space="preserve">, 2023). (Sewell, 2009; </w:t>
      </w:r>
      <w:proofErr w:type="spellStart"/>
      <w:r w:rsidR="6E1103D6" w:rsidRPr="37759C21">
        <w:rPr>
          <w:sz w:val="22"/>
          <w:szCs w:val="22"/>
        </w:rPr>
        <w:t>Bhui</w:t>
      </w:r>
      <w:proofErr w:type="spellEnd"/>
      <w:r w:rsidR="6E1103D6" w:rsidRPr="37759C21">
        <w:rPr>
          <w:sz w:val="22"/>
          <w:szCs w:val="22"/>
        </w:rPr>
        <w:t xml:space="preserve"> et al., 2018)</w:t>
      </w:r>
      <w:r w:rsidR="6E61F621" w:rsidRPr="37759C21">
        <w:rPr>
          <w:sz w:val="22"/>
          <w:szCs w:val="22"/>
        </w:rPr>
        <w:t xml:space="preserve"> Service users from African backgrounds frequently report feeling unheard or marginalised during mental health encounters, which reinforces disengagement and reduces confidence in care pathways (Fitzpatrick et al., 2014; </w:t>
      </w:r>
      <w:proofErr w:type="spellStart"/>
      <w:r w:rsidR="6E61F621" w:rsidRPr="37759C21">
        <w:rPr>
          <w:sz w:val="22"/>
          <w:szCs w:val="22"/>
        </w:rPr>
        <w:t>Adegbembo</w:t>
      </w:r>
      <w:proofErr w:type="spellEnd"/>
      <w:r w:rsidR="6E61F621" w:rsidRPr="37759C21">
        <w:rPr>
          <w:sz w:val="22"/>
          <w:szCs w:val="22"/>
        </w:rPr>
        <w:t xml:space="preserve"> and </w:t>
      </w:r>
      <w:proofErr w:type="spellStart"/>
      <w:r w:rsidR="6E61F621" w:rsidRPr="37759C21">
        <w:rPr>
          <w:sz w:val="22"/>
          <w:szCs w:val="22"/>
        </w:rPr>
        <w:t>Adeyemi</w:t>
      </w:r>
      <w:proofErr w:type="spellEnd"/>
      <w:r w:rsidR="6E61F621" w:rsidRPr="37759C21">
        <w:rPr>
          <w:sz w:val="22"/>
          <w:szCs w:val="22"/>
        </w:rPr>
        <w:t>, 2023).</w:t>
      </w:r>
    </w:p>
    <w:p w14:paraId="23583310" w14:textId="49A65345" w:rsidR="3D4EE2BB" w:rsidRDefault="6538BD07" w:rsidP="38958F80">
      <w:pPr>
        <w:spacing w:line="360" w:lineRule="auto"/>
      </w:pPr>
      <w:r w:rsidRPr="38958F80">
        <w:rPr>
          <w:sz w:val="22"/>
          <w:szCs w:val="22"/>
        </w:rPr>
        <w:t>Closely connected to this is the concept of cultural competence, which refers to mental health providers’ ability to understand, respect, and respond appropriately to diverse cultural backgrounds, values, and explanatory models of illness. For many African individuals, mental distress is often understood through spiritual, relational, or communal frameworks. When practitioners fail to acknowledge these perspectives, it can create tension and misunderstanding. A lack of cultural competence may lead to miscommunication—for example, interpreting spiritual language as delusional—or misdiagnosis, particularly when cultural expressions of distress do not fit Western diagnostic categories. These experiences can foster dissatisfaction, feelings of alienation, and eventual withdrawal from services. In this way, mistrust and cultural incompetence become mutually reinforcing: the less culturally attuned services appear, the more mistrust develops, and the more African communities disengage from formal mental health pathways.</w:t>
      </w:r>
    </w:p>
    <w:p w14:paraId="6A4BF0FA" w14:textId="5725D14A" w:rsidR="3D4EE2BB" w:rsidRDefault="3D4EE2BB" w:rsidP="3D4EE2BB">
      <w:pPr>
        <w:spacing w:line="360" w:lineRule="auto"/>
        <w:rPr>
          <w:sz w:val="22"/>
          <w:szCs w:val="22"/>
        </w:rPr>
      </w:pPr>
    </w:p>
    <w:p w14:paraId="140E0D44" w14:textId="371D2DB7" w:rsidR="1002619F" w:rsidRDefault="1002619F" w:rsidP="3D4EE2BB">
      <w:pPr>
        <w:pStyle w:val="Heading3"/>
        <w:rPr>
          <w:sz w:val="22"/>
          <w:szCs w:val="22"/>
        </w:rPr>
      </w:pPr>
      <w:bookmarkStart w:id="54" w:name="_Toc184305077"/>
      <w:r w:rsidRPr="12E62483">
        <w:rPr>
          <w:b/>
          <w:color w:val="000000" w:themeColor="text1"/>
        </w:rPr>
        <w:t>Background Information</w:t>
      </w:r>
      <w:bookmarkEnd w:id="54"/>
      <w:r>
        <w:t xml:space="preserve">  </w:t>
      </w:r>
    </w:p>
    <w:p w14:paraId="636B0EED" w14:textId="07B306A2" w:rsidR="1002619F" w:rsidRDefault="1002619F" w:rsidP="3D4EE2BB">
      <w:pPr>
        <w:spacing w:line="360" w:lineRule="auto"/>
        <w:rPr>
          <w:sz w:val="22"/>
          <w:szCs w:val="22"/>
        </w:rPr>
      </w:pPr>
      <w:r w:rsidRPr="3D4EE2BB">
        <w:rPr>
          <w:sz w:val="22"/>
          <w:szCs w:val="22"/>
        </w:rPr>
        <w:t>Historically, Black African and Caribbean groups have experienced unequal and discriminatory treatment in UK mental health services. Studies from the early 2000s, such as McLean et al. (2003), identified patterns of racial bias, coercion, and overrepresentation of Black patients in compulsory admissions. These historical patterns have created generational memories that influence contemporary attitudes toward services. African migrants also bring prior healthcare experiences from their home countries, where mental health services may differ widely in approach, accessibility, and cultural relevance. Some individuals associate mental health systems with punitive or stigmatising practices, further reinforcing reluctance to engage. Within the UK, experiences of racism across institutions—including policing, education, employment, and healthcare—have fuelled a broader sense of institutional mistrust. This context is important because mistrust is not simply an individual attitude but a collective, socially</w:t>
      </w:r>
      <w:r w:rsidR="37578F1F" w:rsidRPr="3D4EE2BB">
        <w:rPr>
          <w:sz w:val="22"/>
          <w:szCs w:val="22"/>
        </w:rPr>
        <w:t xml:space="preserve"> </w:t>
      </w:r>
      <w:r w:rsidRPr="3D4EE2BB">
        <w:rPr>
          <w:sz w:val="22"/>
          <w:szCs w:val="22"/>
        </w:rPr>
        <w:t xml:space="preserve">produced barrier strongly shaped by structural forces. </w:t>
      </w:r>
    </w:p>
    <w:p w14:paraId="369E6FBB" w14:textId="7B97E12D" w:rsidR="1002619F" w:rsidRDefault="1002619F" w:rsidP="3D4EE2BB">
      <w:pPr>
        <w:spacing w:line="360" w:lineRule="auto"/>
        <w:rPr>
          <w:sz w:val="22"/>
          <w:szCs w:val="22"/>
        </w:rPr>
      </w:pPr>
      <w:r w:rsidRPr="3D4EE2BB">
        <w:rPr>
          <w:sz w:val="22"/>
          <w:szCs w:val="22"/>
        </w:rPr>
        <w:t xml:space="preserve"> </w:t>
      </w:r>
    </w:p>
    <w:p w14:paraId="02F777E9" w14:textId="0E9E26D1" w:rsidR="1002619F" w:rsidRDefault="1002619F" w:rsidP="3D4EE2BB">
      <w:pPr>
        <w:pStyle w:val="Heading3"/>
        <w:rPr>
          <w:b/>
          <w:color w:val="000000" w:themeColor="text1"/>
        </w:rPr>
      </w:pPr>
      <w:bookmarkStart w:id="55" w:name="_Toc1956222414"/>
      <w:r w:rsidRPr="12E62483">
        <w:rPr>
          <w:b/>
          <w:color w:val="000000" w:themeColor="text1"/>
        </w:rPr>
        <w:t>Impact on Research Question</w:t>
      </w:r>
      <w:bookmarkEnd w:id="55"/>
      <w:r w:rsidRPr="12E62483">
        <w:rPr>
          <w:b/>
          <w:color w:val="000000" w:themeColor="text1"/>
        </w:rPr>
        <w:t xml:space="preserve"> </w:t>
      </w:r>
    </w:p>
    <w:p w14:paraId="29DCAE0A" w14:textId="26E36B29" w:rsidR="1002619F" w:rsidRDefault="1002619F" w:rsidP="3D4EE2BB">
      <w:pPr>
        <w:spacing w:line="360" w:lineRule="auto"/>
        <w:rPr>
          <w:sz w:val="22"/>
          <w:szCs w:val="22"/>
        </w:rPr>
      </w:pPr>
      <w:r w:rsidRPr="12E62483">
        <w:rPr>
          <w:sz w:val="22"/>
          <w:szCs w:val="22"/>
        </w:rPr>
        <w:t xml:space="preserve">Research question seeks to explore barriers to mental health access among African communities. Mistrust is central to this inquiry because individuals who lack trust in services are unlikely to engage with them, regardless of need or severity. Mistrust influences whether people book appointments, share symptoms openly, follow treatment plans, or return after negative encounters. If African communities perceive services as biased or culturally insensitive, they may avoid them entirely, relying instead on informal support networks. This theme therefore directly impacts your dissertation by explaining a major psychological and social barrier that shapes underutilisation of mental health services among African groups. </w:t>
      </w:r>
    </w:p>
    <w:p w14:paraId="5E8B096E" w14:textId="5C268EE1" w:rsidR="1002619F" w:rsidRDefault="1002619F" w:rsidP="3D4EE2BB">
      <w:pPr>
        <w:spacing w:line="360" w:lineRule="auto"/>
        <w:rPr>
          <w:sz w:val="22"/>
          <w:szCs w:val="22"/>
        </w:rPr>
      </w:pPr>
      <w:r w:rsidRPr="3D4EE2BB">
        <w:rPr>
          <w:sz w:val="22"/>
          <w:szCs w:val="22"/>
        </w:rPr>
        <w:t xml:space="preserve"> </w:t>
      </w:r>
    </w:p>
    <w:p w14:paraId="467F3405" w14:textId="50C5CC32" w:rsidR="1002619F" w:rsidRDefault="1002619F" w:rsidP="3D4EE2BB">
      <w:pPr>
        <w:pStyle w:val="Heading3"/>
        <w:rPr>
          <w:b/>
          <w:color w:val="000000" w:themeColor="text1"/>
        </w:rPr>
      </w:pPr>
      <w:bookmarkStart w:id="56" w:name="_Toc721001688"/>
      <w:r w:rsidRPr="12E62483">
        <w:rPr>
          <w:b/>
          <w:color w:val="000000" w:themeColor="text1"/>
        </w:rPr>
        <w:t>Statistical Information</w:t>
      </w:r>
      <w:bookmarkEnd w:id="56"/>
      <w:r w:rsidRPr="12E62483">
        <w:rPr>
          <w:b/>
          <w:color w:val="000000" w:themeColor="text1"/>
        </w:rPr>
        <w:t xml:space="preserve"> </w:t>
      </w:r>
    </w:p>
    <w:p w14:paraId="4F19E5B7" w14:textId="42E21CCE" w:rsidR="1002619F" w:rsidRDefault="1002619F" w:rsidP="3D4EE2BB">
      <w:pPr>
        <w:spacing w:line="360" w:lineRule="auto"/>
        <w:rPr>
          <w:sz w:val="22"/>
          <w:szCs w:val="22"/>
        </w:rPr>
      </w:pPr>
      <w:r w:rsidRPr="3D4EE2BB">
        <w:rPr>
          <w:sz w:val="22"/>
          <w:szCs w:val="22"/>
        </w:rPr>
        <w:t xml:space="preserve">Several studies report unequal experiences among Black African patients. </w:t>
      </w:r>
      <w:proofErr w:type="spellStart"/>
      <w:r w:rsidRPr="3D4EE2BB">
        <w:rPr>
          <w:sz w:val="22"/>
          <w:szCs w:val="22"/>
        </w:rPr>
        <w:t>Bansal</w:t>
      </w:r>
      <w:proofErr w:type="spellEnd"/>
      <w:r w:rsidRPr="3D4EE2BB">
        <w:rPr>
          <w:sz w:val="22"/>
          <w:szCs w:val="22"/>
        </w:rPr>
        <w:t xml:space="preserve"> et al. (2022) found that Black individuals in the UK are more likely to enter mental health care through crisis pathways, police contact, or involuntary detention—patterns associated with fear, mistrust, and negative experiences. NHS data consistently shows lower uptake of talking therapies among African groups compared to White British populations. </w:t>
      </w:r>
    </w:p>
    <w:p w14:paraId="7E584555" w14:textId="358016C9" w:rsidR="1002619F" w:rsidRDefault="1002619F" w:rsidP="3D4EE2BB">
      <w:pPr>
        <w:spacing w:line="360" w:lineRule="auto"/>
        <w:rPr>
          <w:sz w:val="22"/>
          <w:szCs w:val="22"/>
        </w:rPr>
      </w:pPr>
      <w:proofErr w:type="spellStart"/>
      <w:r w:rsidRPr="3D4EE2BB">
        <w:rPr>
          <w:sz w:val="22"/>
          <w:szCs w:val="22"/>
        </w:rPr>
        <w:t>Healthwatch</w:t>
      </w:r>
      <w:proofErr w:type="spellEnd"/>
      <w:r w:rsidRPr="3D4EE2BB">
        <w:rPr>
          <w:sz w:val="22"/>
          <w:szCs w:val="22"/>
        </w:rPr>
        <w:t xml:space="preserve"> Southwark (2025) highlighted that many African and Caribbean service users reported feeling unheard or misunderstood in therapeutic settings. The NIHR (2025) similarly found that implementation of culturally</w:t>
      </w:r>
      <w:r w:rsidR="4D0724B7" w:rsidRPr="3D4EE2BB">
        <w:rPr>
          <w:sz w:val="22"/>
          <w:szCs w:val="22"/>
        </w:rPr>
        <w:t xml:space="preserve"> </w:t>
      </w:r>
      <w:r w:rsidRPr="3D4EE2BB">
        <w:rPr>
          <w:sz w:val="22"/>
          <w:szCs w:val="22"/>
        </w:rPr>
        <w:t xml:space="preserve">appropriate services is inconsistent across the UK, contributing to a sense of invisibility or neglect among African communities. </w:t>
      </w:r>
    </w:p>
    <w:p w14:paraId="4499E659" w14:textId="0E67FA4C" w:rsidR="1002619F" w:rsidRDefault="1002619F" w:rsidP="3D4EE2BB">
      <w:pPr>
        <w:spacing w:line="360" w:lineRule="auto"/>
        <w:rPr>
          <w:sz w:val="22"/>
          <w:szCs w:val="22"/>
        </w:rPr>
      </w:pPr>
      <w:r w:rsidRPr="3D4EE2BB">
        <w:rPr>
          <w:sz w:val="22"/>
          <w:szCs w:val="22"/>
        </w:rPr>
        <w:t xml:space="preserve"> </w:t>
      </w:r>
    </w:p>
    <w:p w14:paraId="622F316E" w14:textId="0E640A42" w:rsidR="1002619F" w:rsidRDefault="1002619F" w:rsidP="3D4EE2BB">
      <w:pPr>
        <w:pStyle w:val="Heading3"/>
        <w:rPr>
          <w:sz w:val="22"/>
          <w:szCs w:val="22"/>
        </w:rPr>
      </w:pPr>
      <w:bookmarkStart w:id="57" w:name="_Toc1450237418"/>
      <w:r w:rsidRPr="12E62483">
        <w:rPr>
          <w:b/>
          <w:color w:val="000000" w:themeColor="text1"/>
        </w:rPr>
        <w:t>Theories, Policies, and Legislation</w:t>
      </w:r>
      <w:bookmarkEnd w:id="57"/>
      <w:r>
        <w:t xml:space="preserve"> </w:t>
      </w:r>
    </w:p>
    <w:p w14:paraId="6AEC4212" w14:textId="19A3FE19" w:rsidR="1002619F" w:rsidRDefault="1002619F" w:rsidP="3D4EE2BB">
      <w:pPr>
        <w:spacing w:line="360" w:lineRule="auto"/>
        <w:rPr>
          <w:sz w:val="22"/>
          <w:szCs w:val="22"/>
        </w:rPr>
      </w:pPr>
      <w:r w:rsidRPr="3D4EE2BB">
        <w:rPr>
          <w:sz w:val="22"/>
          <w:szCs w:val="22"/>
        </w:rPr>
        <w:t xml:space="preserve"> </w:t>
      </w:r>
    </w:p>
    <w:p w14:paraId="2CE42D1B" w14:textId="7F678D13" w:rsidR="1002619F" w:rsidRDefault="1002619F" w:rsidP="12E62483">
      <w:pPr>
        <w:pStyle w:val="Heading4"/>
        <w:rPr>
          <w:b/>
          <w:i w:val="0"/>
          <w:color w:val="000000" w:themeColor="text1"/>
        </w:rPr>
      </w:pPr>
      <w:bookmarkStart w:id="58" w:name="_Toc183499283"/>
      <w:r w:rsidRPr="12E62483">
        <w:rPr>
          <w:b/>
          <w:i w:val="0"/>
          <w:color w:val="000000" w:themeColor="text1"/>
        </w:rPr>
        <w:t>Theoretical Framework</w:t>
      </w:r>
      <w:bookmarkEnd w:id="58"/>
      <w:r w:rsidRPr="12E62483">
        <w:rPr>
          <w:b/>
          <w:i w:val="0"/>
          <w:color w:val="000000" w:themeColor="text1"/>
        </w:rPr>
        <w:t xml:space="preserve"> </w:t>
      </w:r>
    </w:p>
    <w:p w14:paraId="1674318A" w14:textId="0D82E618" w:rsidR="1002619F" w:rsidRDefault="1002619F" w:rsidP="3D4EE2BB">
      <w:pPr>
        <w:spacing w:line="360" w:lineRule="auto"/>
        <w:rPr>
          <w:sz w:val="22"/>
          <w:szCs w:val="22"/>
        </w:rPr>
      </w:pPr>
      <w:r w:rsidRPr="3D4EE2BB">
        <w:rPr>
          <w:sz w:val="22"/>
          <w:szCs w:val="22"/>
        </w:rPr>
        <w:t xml:space="preserve"> Cultural Competence Theory argues that effective service delivery requires understanding clients’ cultural contexts. A lack of this competence leads to alienation and poor engagement. Critical Race Theory helps explain how structural inequality and racism shape negative experiences within healthcare. Intersectionality highlights how overlapping identities (race, migration status, class, gender) influence how African individuals experience mental health services. </w:t>
      </w:r>
    </w:p>
    <w:p w14:paraId="76BCBE5E" w14:textId="07DB1E6C" w:rsidR="1002619F" w:rsidRDefault="1002619F" w:rsidP="3D4EE2BB">
      <w:pPr>
        <w:spacing w:line="360" w:lineRule="auto"/>
        <w:rPr>
          <w:sz w:val="22"/>
          <w:szCs w:val="22"/>
        </w:rPr>
      </w:pPr>
      <w:r w:rsidRPr="3D4EE2BB">
        <w:rPr>
          <w:sz w:val="22"/>
          <w:szCs w:val="22"/>
        </w:rPr>
        <w:t xml:space="preserve"> </w:t>
      </w:r>
    </w:p>
    <w:p w14:paraId="58E2E5E8" w14:textId="550F38AD" w:rsidR="1002619F" w:rsidRDefault="1002619F" w:rsidP="3D4EE2BB">
      <w:pPr>
        <w:spacing w:line="360" w:lineRule="auto"/>
        <w:rPr>
          <w:sz w:val="22"/>
          <w:szCs w:val="22"/>
        </w:rPr>
      </w:pPr>
      <w:bookmarkStart w:id="59" w:name="_Toc1714875400"/>
      <w:r w:rsidRPr="12E62483">
        <w:rPr>
          <w:rStyle w:val="Heading4Char"/>
          <w:b/>
          <w:i w:val="0"/>
          <w:color w:val="000000" w:themeColor="text1"/>
        </w:rPr>
        <w:t>Policy and Legislation</w:t>
      </w:r>
      <w:bookmarkEnd w:id="59"/>
      <w:r w:rsidRPr="12E62483">
        <w:rPr>
          <w:sz w:val="22"/>
          <w:szCs w:val="22"/>
        </w:rPr>
        <w:t xml:space="preserve">  </w:t>
      </w:r>
    </w:p>
    <w:p w14:paraId="1650E4C4" w14:textId="232DA112" w:rsidR="1002619F" w:rsidRDefault="1002619F" w:rsidP="3D4EE2BB">
      <w:pPr>
        <w:spacing w:line="360" w:lineRule="auto"/>
        <w:rPr>
          <w:sz w:val="22"/>
          <w:szCs w:val="22"/>
        </w:rPr>
      </w:pPr>
      <w:r w:rsidRPr="3D4EE2BB">
        <w:rPr>
          <w:sz w:val="22"/>
          <w:szCs w:val="22"/>
        </w:rPr>
        <w:t xml:space="preserve">The Equality Act (2010) mandates non-discriminatory service provision, yet disparities persist. The NHS Advancing Mental Health Equalities Strategy (2019) acknowledges the need for anti-racist practice and improved cultural competence. However, studies such as NIHR (2025) show that these policies have not fully translated into practice, resulting in service gaps and continued mistrust. </w:t>
      </w:r>
    </w:p>
    <w:p w14:paraId="1F39148F" w14:textId="6F81B251" w:rsidR="1002619F" w:rsidRDefault="1002619F" w:rsidP="3D4EE2BB">
      <w:pPr>
        <w:spacing w:line="360" w:lineRule="auto"/>
        <w:rPr>
          <w:sz w:val="22"/>
          <w:szCs w:val="22"/>
        </w:rPr>
      </w:pPr>
      <w:r w:rsidRPr="3D4EE2BB">
        <w:rPr>
          <w:sz w:val="22"/>
          <w:szCs w:val="22"/>
        </w:rPr>
        <w:t xml:space="preserve"> </w:t>
      </w:r>
    </w:p>
    <w:p w14:paraId="50EA8F45" w14:textId="628A5B23" w:rsidR="3D4EE2BB" w:rsidRDefault="3D4EE2BB" w:rsidP="3D4EE2BB">
      <w:pPr>
        <w:spacing w:line="360" w:lineRule="auto"/>
        <w:rPr>
          <w:sz w:val="22"/>
          <w:szCs w:val="22"/>
        </w:rPr>
      </w:pPr>
    </w:p>
    <w:p w14:paraId="198621B2" w14:textId="6105FCE7" w:rsidR="1002619F" w:rsidRDefault="1002619F" w:rsidP="3D4EE2BB">
      <w:pPr>
        <w:pStyle w:val="Heading3"/>
        <w:rPr>
          <w:b/>
          <w:color w:val="000000" w:themeColor="text1"/>
        </w:rPr>
      </w:pPr>
      <w:bookmarkStart w:id="60" w:name="_Toc1091736259"/>
      <w:r w:rsidRPr="12E62483">
        <w:rPr>
          <w:b/>
          <w:color w:val="000000" w:themeColor="text1"/>
        </w:rPr>
        <w:t>Implications</w:t>
      </w:r>
      <w:bookmarkEnd w:id="60"/>
      <w:r w:rsidRPr="12E62483">
        <w:rPr>
          <w:b/>
          <w:color w:val="000000" w:themeColor="text1"/>
        </w:rPr>
        <w:t xml:space="preserve"> </w:t>
      </w:r>
    </w:p>
    <w:p w14:paraId="37C98B85" w14:textId="6C83FF1B" w:rsidR="1002619F" w:rsidRDefault="1002619F" w:rsidP="3D4EE2BB">
      <w:pPr>
        <w:spacing w:line="360" w:lineRule="auto"/>
        <w:rPr>
          <w:sz w:val="22"/>
          <w:szCs w:val="22"/>
        </w:rPr>
      </w:pPr>
      <w:r w:rsidRPr="3D4EE2BB">
        <w:rPr>
          <w:sz w:val="22"/>
          <w:szCs w:val="22"/>
        </w:rPr>
        <w:t xml:space="preserve"> </w:t>
      </w:r>
    </w:p>
    <w:p w14:paraId="215620E4" w14:textId="3832B1F5" w:rsidR="1002619F" w:rsidRDefault="1002619F" w:rsidP="12E62483">
      <w:pPr>
        <w:pStyle w:val="Heading4"/>
        <w:rPr>
          <w:b/>
          <w:i w:val="0"/>
          <w:color w:val="000000" w:themeColor="text1"/>
        </w:rPr>
      </w:pPr>
      <w:bookmarkStart w:id="61" w:name="_Toc1785592808"/>
      <w:r w:rsidRPr="38958F80">
        <w:rPr>
          <w:b/>
          <w:bCs/>
          <w:i w:val="0"/>
          <w:iCs w:val="0"/>
          <w:color w:val="000000" w:themeColor="text1"/>
        </w:rPr>
        <w:t>Positive Implications</w:t>
      </w:r>
      <w:bookmarkEnd w:id="61"/>
      <w:r w:rsidRPr="38958F80">
        <w:rPr>
          <w:b/>
          <w:bCs/>
          <w:i w:val="0"/>
          <w:iCs w:val="0"/>
          <w:color w:val="000000" w:themeColor="text1"/>
        </w:rPr>
        <w:t xml:space="preserve"> </w:t>
      </w:r>
    </w:p>
    <w:p w14:paraId="7036876F" w14:textId="02343818" w:rsidR="1002619F" w:rsidRDefault="1002619F" w:rsidP="38958F80">
      <w:pPr>
        <w:spacing w:line="360" w:lineRule="auto"/>
        <w:rPr>
          <w:sz w:val="22"/>
          <w:szCs w:val="22"/>
        </w:rPr>
      </w:pPr>
    </w:p>
    <w:p w14:paraId="62ECFB8D" w14:textId="4ABEABDB" w:rsidR="1002619F" w:rsidRDefault="74DA6C26" w:rsidP="38958F80">
      <w:pPr>
        <w:spacing w:line="360" w:lineRule="auto"/>
      </w:pPr>
      <w:r w:rsidRPr="38958F80">
        <w:rPr>
          <w:sz w:val="22"/>
          <w:szCs w:val="22"/>
        </w:rPr>
        <w:t>Highlighting mistrust encourages mental health services to critically reflect on their current practices and actively work to improve cultural competence. When services acknowledge that mistrust is not irrational but grounded in lived experiences and historical realities, they are better positioned to design interventions that genuinely resonate with African communities. This recognition drives providers to learn about culturally specific understandings of mental health, incorporate alternative explanatory models, and adapt communication styles to be more respectful and collaborative. In doing so, services can move away from a one-size-fits-all approach and toward models of care that value cultural knowledge as a legitimate and integral part of treatment.</w:t>
      </w:r>
    </w:p>
    <w:p w14:paraId="6941AB6D" w14:textId="33ECB0EC" w:rsidR="1002619F" w:rsidRDefault="74DA6C26" w:rsidP="38958F80">
      <w:pPr>
        <w:spacing w:line="360" w:lineRule="auto"/>
      </w:pPr>
      <w:r w:rsidRPr="38958F80">
        <w:rPr>
          <w:sz w:val="22"/>
          <w:szCs w:val="22"/>
        </w:rPr>
        <w:t xml:space="preserve">Furthermore, recognising mistrust supports the development of community-led interventions, which are often perceived as more credible, accessible, and culturally aligned. Community-led initiatives—such as partnerships with churches, faith leaders, cultural organisations, or peer-support networks—create spaces where mental health conversations can occur without fear of judgement or cultural invalidation. These approaches help bridge the gap between traditional practices and formal services, offering a pathway that feels safer and more congruent with African worldviews. By involving trusted community figures and embedding interventions within familiar cultural contexts, services can begin to rebuild trust from the ground </w:t>
      </w:r>
      <w:r w:rsidR="4445297A" w:rsidRPr="38958F80">
        <w:rPr>
          <w:sz w:val="22"/>
          <w:szCs w:val="22"/>
        </w:rPr>
        <w:t>up. In</w:t>
      </w:r>
      <w:r w:rsidRPr="38958F80">
        <w:rPr>
          <w:sz w:val="22"/>
          <w:szCs w:val="22"/>
        </w:rPr>
        <w:t xml:space="preserve"> addition, acknowledging the role of mistrust encourages efforts to increase African representation within the mental health workforce. When service users see professionals who share their cultural background, language, or lived experience, barriers of suspicion and fear can be significantly reduced. Representation not only improves rapport and communication but also challenges stereotypes within the system and fosters more culturally informed care. Over time, greater diversity in mental health roles contributes to a workforce that is better equipped to understand and respond to the specific needs of African communities, ultimately supporting more equitable and effective service delivery.</w:t>
      </w:r>
    </w:p>
    <w:p w14:paraId="2F75A22E" w14:textId="75990C2F" w:rsidR="1002619F" w:rsidRDefault="1002619F" w:rsidP="38958F80">
      <w:pPr>
        <w:spacing w:line="360" w:lineRule="auto"/>
        <w:rPr>
          <w:color w:val="000000" w:themeColor="text1"/>
        </w:rPr>
      </w:pPr>
      <w:bookmarkStart w:id="62" w:name="_Toc1267272471"/>
      <w:r w:rsidRPr="38958F80">
        <w:rPr>
          <w:rStyle w:val="Heading4Char"/>
          <w:b/>
          <w:bCs/>
          <w:i w:val="0"/>
          <w:iCs w:val="0"/>
          <w:color w:val="000000" w:themeColor="text1"/>
        </w:rPr>
        <w:t>Negative Implications</w:t>
      </w:r>
      <w:bookmarkEnd w:id="62"/>
      <w:r w:rsidRPr="38958F80">
        <w:rPr>
          <w:sz w:val="22"/>
          <w:szCs w:val="22"/>
        </w:rPr>
        <w:t xml:space="preserve"> </w:t>
      </w:r>
    </w:p>
    <w:p w14:paraId="1E5A8F95" w14:textId="18994451" w:rsidR="1002619F" w:rsidRDefault="7BD6B111" w:rsidP="38958F80">
      <w:pPr>
        <w:spacing w:line="360" w:lineRule="auto"/>
        <w:rPr>
          <w:color w:val="000000" w:themeColor="text1"/>
          <w:sz w:val="22"/>
          <w:szCs w:val="22"/>
        </w:rPr>
      </w:pPr>
      <w:r w:rsidRPr="38958F80">
        <w:rPr>
          <w:color w:val="000000" w:themeColor="text1"/>
          <w:sz w:val="22"/>
          <w:szCs w:val="22"/>
        </w:rPr>
        <w:t>Mistrust has serious implications for mental health trajectories, as it often leads to delayed help-seeking, poorer outcomes, and crisis-driven contact with services. When individuals doubt the safety, relevance, or fairness of mental health systems, they are more likely to cope alone or rely solely on informal support until difficulties become unmanageable. This avoidance means that problems that could have been addressed early with preventative or low-intensity interventions instead escalate over time, resulting in more complex and entrenched symptoms by the time professional services are approached. Consequently, service engagement often begins at the point of crisis, rather than through proactive or routine care.</w:t>
      </w:r>
      <w:r w:rsidRPr="38958F80">
        <w:rPr>
          <w:color w:val="000000" w:themeColor="text1"/>
        </w:rPr>
        <w:t>T</w:t>
      </w:r>
      <w:r w:rsidRPr="38958F80">
        <w:rPr>
          <w:color w:val="000000" w:themeColor="text1"/>
          <w:sz w:val="22"/>
          <w:szCs w:val="22"/>
        </w:rPr>
        <w:t>his delay has a knock-on effect: as symptoms intensify, individuals are more likely to encounter emergency responses, hospitalisations, or involvement from police or crisis teams. These pathways are frequently experienced as distressing, coercive, or culturally insensitive, reinforcing the very mistrust that prevented help-seeking in the first place. Mistrust therefore becomes cyclical—initial scepticism delays care, deterioration leads to acute intervention, and traumatic service contact further entrenches the belief that services are unsafe. In this context, mistrust contributes to an increased likelihood of involuntary admissions, restrictive practices, and other high-intensity interventions that could have been avoided with earlier engagement.</w:t>
      </w:r>
    </w:p>
    <w:p w14:paraId="5E0DE172" w14:textId="7DE407C7" w:rsidR="1002619F" w:rsidRDefault="7BD6B111" w:rsidP="38958F80">
      <w:pPr>
        <w:pStyle w:val="Heading3"/>
        <w:rPr>
          <w:color w:val="000000" w:themeColor="text1"/>
          <w:sz w:val="22"/>
          <w:szCs w:val="22"/>
        </w:rPr>
      </w:pPr>
      <w:r w:rsidRPr="38958F80">
        <w:rPr>
          <w:color w:val="000000" w:themeColor="text1"/>
          <w:sz w:val="22"/>
          <w:szCs w:val="22"/>
        </w:rPr>
        <w:t>Moreover, mistrust undermines the development of long-term therapeutic relationships, which are fundamental to sustained mental health improvement. Trust is the foundation upon which disclosure, collaboration, and continuity of care are built. Without trust, service users may withhold essential information, disengage prematurely, or fail to follow treatment recommendations. Even when individuals do access services, persistent scepticism may prevent them from forming a stable alliance with clinicians, making it difficult to establish shared goals or foster a sense of psychological safety. Over time, this leads to fragmented care, recurrent disengagement, and poorer recovery outcomes.</w:t>
      </w:r>
    </w:p>
    <w:p w14:paraId="728EBFED" w14:textId="41A27A2C" w:rsidR="1002619F" w:rsidRDefault="7BD6B111" w:rsidP="38958F80">
      <w:pPr>
        <w:pStyle w:val="Heading3"/>
        <w:rPr>
          <w:color w:val="000000" w:themeColor="text1"/>
          <w:sz w:val="22"/>
          <w:szCs w:val="22"/>
        </w:rPr>
      </w:pPr>
      <w:r w:rsidRPr="38958F80">
        <w:rPr>
          <w:color w:val="000000" w:themeColor="text1"/>
          <w:sz w:val="22"/>
          <w:szCs w:val="22"/>
        </w:rPr>
        <w:t>In essence, mistrust is not a passive attitude but a powerful determinant of service utilisation patterns, treatment success, and long-term wellbeing. By compromising early access, escalating clinical risk, and eroding therapeutic relationships, mistrust operates as a structural force that perpetuates inequality within mental health systems.</w:t>
      </w:r>
    </w:p>
    <w:p w14:paraId="354516D9" w14:textId="576EBACD" w:rsidR="1002619F" w:rsidRDefault="1002619F" w:rsidP="38958F80"/>
    <w:p w14:paraId="16D61423" w14:textId="0C6836C7" w:rsidR="1002619F" w:rsidRDefault="1002619F" w:rsidP="38958F80">
      <w:pPr>
        <w:pStyle w:val="Heading3"/>
        <w:spacing w:line="360" w:lineRule="auto"/>
        <w:rPr>
          <w:sz w:val="22"/>
          <w:szCs w:val="22"/>
        </w:rPr>
      </w:pPr>
      <w:bookmarkStart w:id="63" w:name="_Toc160109655"/>
      <w:r w:rsidRPr="38958F80">
        <w:rPr>
          <w:b/>
          <w:bCs/>
          <w:color w:val="000000" w:themeColor="text1"/>
        </w:rPr>
        <w:t>Examples from Articles</w:t>
      </w:r>
      <w:bookmarkEnd w:id="63"/>
      <w:r w:rsidRPr="38958F80">
        <w:rPr>
          <w:b/>
          <w:bCs/>
          <w:color w:val="000000" w:themeColor="text1"/>
        </w:rPr>
        <w:t xml:space="preserve"> </w:t>
      </w:r>
      <w:r w:rsidRPr="38958F80">
        <w:rPr>
          <w:sz w:val="22"/>
          <w:szCs w:val="22"/>
        </w:rPr>
        <w:t xml:space="preserve">  </w:t>
      </w:r>
    </w:p>
    <w:p w14:paraId="1B3D0A2F" w14:textId="4F8F6990" w:rsidR="1002619F" w:rsidRDefault="1002619F" w:rsidP="3D4EE2BB">
      <w:pPr>
        <w:spacing w:line="360" w:lineRule="auto"/>
        <w:rPr>
          <w:sz w:val="22"/>
          <w:szCs w:val="22"/>
        </w:rPr>
      </w:pPr>
      <w:r w:rsidRPr="3D4EE2BB">
        <w:rPr>
          <w:sz w:val="22"/>
          <w:szCs w:val="22"/>
        </w:rPr>
        <w:t xml:space="preserve">McLean et al. (2003) provided early evidence of negative interactions between African-Caribbean individuals and mental health systems, setting the foundation for understanding long-term mistrust. </w:t>
      </w:r>
    </w:p>
    <w:p w14:paraId="4D6FB707" w14:textId="47892570" w:rsidR="1002619F" w:rsidRDefault="1002619F" w:rsidP="3D4EE2BB">
      <w:pPr>
        <w:spacing w:line="360" w:lineRule="auto"/>
        <w:rPr>
          <w:sz w:val="22"/>
          <w:szCs w:val="22"/>
        </w:rPr>
      </w:pPr>
      <w:proofErr w:type="spellStart"/>
      <w:r w:rsidRPr="3D4EE2BB">
        <w:rPr>
          <w:sz w:val="22"/>
          <w:szCs w:val="22"/>
        </w:rPr>
        <w:t>Bansal</w:t>
      </w:r>
      <w:proofErr w:type="spellEnd"/>
      <w:r w:rsidRPr="3D4EE2BB">
        <w:rPr>
          <w:sz w:val="22"/>
          <w:szCs w:val="22"/>
        </w:rPr>
        <w:t xml:space="preserve"> et al. (2022) demonstrated that ethnic inequalities persist, with Black groups experiencing more coercive or negative service pathways, reinforcing mistrust and disengagement. </w:t>
      </w:r>
    </w:p>
    <w:p w14:paraId="5498BC58" w14:textId="6C0E581B" w:rsidR="1002619F" w:rsidRDefault="1002619F" w:rsidP="3D4EE2BB">
      <w:pPr>
        <w:spacing w:line="360" w:lineRule="auto"/>
        <w:rPr>
          <w:sz w:val="22"/>
          <w:szCs w:val="22"/>
        </w:rPr>
      </w:pPr>
      <w:r w:rsidRPr="3D4EE2BB">
        <w:rPr>
          <w:sz w:val="22"/>
          <w:szCs w:val="22"/>
        </w:rPr>
        <w:t xml:space="preserve">These articles collectively show how mistrust forms through both lived experiences and structural inequality. </w:t>
      </w:r>
    </w:p>
    <w:p w14:paraId="3F0D0167" w14:textId="1234CDCF" w:rsidR="3D4EE2BB" w:rsidRDefault="3D4EE2BB" w:rsidP="3D4EE2BB">
      <w:pPr>
        <w:spacing w:line="360" w:lineRule="auto"/>
        <w:rPr>
          <w:sz w:val="22"/>
          <w:szCs w:val="22"/>
        </w:rPr>
      </w:pPr>
    </w:p>
    <w:p w14:paraId="03F1F29A" w14:textId="050A77E8" w:rsidR="1002619F" w:rsidRDefault="1002619F" w:rsidP="3D4EE2BB">
      <w:pPr>
        <w:pStyle w:val="Heading3"/>
        <w:rPr>
          <w:b/>
          <w:color w:val="000000" w:themeColor="text1"/>
        </w:rPr>
      </w:pPr>
      <w:bookmarkStart w:id="64" w:name="_Toc727697227"/>
      <w:r w:rsidRPr="12E62483">
        <w:rPr>
          <w:b/>
          <w:bCs/>
          <w:color w:val="000000" w:themeColor="text1"/>
        </w:rPr>
        <w:t>Con</w:t>
      </w:r>
      <w:r w:rsidR="558731A1" w:rsidRPr="12E62483">
        <w:rPr>
          <w:b/>
          <w:bCs/>
          <w:color w:val="000000" w:themeColor="text1"/>
        </w:rPr>
        <w:t>clusion</w:t>
      </w:r>
      <w:bookmarkEnd w:id="64"/>
    </w:p>
    <w:p w14:paraId="0FA97DD2" w14:textId="6E165274" w:rsidR="1002619F" w:rsidRDefault="1002619F" w:rsidP="3D4EE2BB">
      <w:pPr>
        <w:spacing w:line="360" w:lineRule="auto"/>
        <w:rPr>
          <w:sz w:val="22"/>
          <w:szCs w:val="22"/>
        </w:rPr>
      </w:pPr>
      <w:r w:rsidRPr="3D4EE2BB">
        <w:rPr>
          <w:sz w:val="22"/>
          <w:szCs w:val="22"/>
        </w:rPr>
        <w:t xml:space="preserve">This theme connects closely to Theme 1, since stigma reinforces fears of being mistreated or misunderstood. It also links to Theme 3, as structural barriers—such as lack of representation and poor access—further contribute to mistrust. </w:t>
      </w:r>
    </w:p>
    <w:p w14:paraId="7FA8A372" w14:textId="77A2D43A" w:rsidR="1002619F" w:rsidRDefault="1002619F" w:rsidP="3D4EE2BB">
      <w:pPr>
        <w:spacing w:line="360" w:lineRule="auto"/>
        <w:rPr>
          <w:sz w:val="22"/>
          <w:szCs w:val="22"/>
        </w:rPr>
      </w:pPr>
      <w:r w:rsidRPr="3D4EE2BB">
        <w:rPr>
          <w:sz w:val="22"/>
          <w:szCs w:val="22"/>
        </w:rPr>
        <w:t xml:space="preserve"> </w:t>
      </w:r>
    </w:p>
    <w:p w14:paraId="6A51C618" w14:textId="4B74A09A" w:rsidR="1002619F" w:rsidRDefault="6571CCF0" w:rsidP="6F8958FB">
      <w:pPr>
        <w:pStyle w:val="Heading2"/>
        <w:spacing w:line="360" w:lineRule="auto"/>
        <w:rPr>
          <w:b/>
          <w:color w:val="000000" w:themeColor="text1"/>
          <w:sz w:val="28"/>
          <w:szCs w:val="28"/>
        </w:rPr>
      </w:pPr>
      <w:bookmarkStart w:id="65" w:name="_Toc312635437"/>
      <w:r w:rsidRPr="12E62483">
        <w:rPr>
          <w:b/>
          <w:bCs/>
          <w:color w:val="000000" w:themeColor="text1"/>
          <w:sz w:val="28"/>
          <w:szCs w:val="28"/>
        </w:rPr>
        <w:t xml:space="preserve">4.5 </w:t>
      </w:r>
      <w:r w:rsidR="1002619F" w:rsidRPr="12E62483">
        <w:rPr>
          <w:b/>
          <w:color w:val="000000" w:themeColor="text1"/>
          <w:sz w:val="28"/>
          <w:szCs w:val="28"/>
        </w:rPr>
        <w:t>THEME 3: Structural and Systemic Barriers</w:t>
      </w:r>
      <w:bookmarkEnd w:id="65"/>
      <w:r w:rsidR="1002619F" w:rsidRPr="12E62483">
        <w:rPr>
          <w:b/>
          <w:color w:val="000000" w:themeColor="text1"/>
          <w:sz w:val="28"/>
          <w:szCs w:val="28"/>
        </w:rPr>
        <w:t xml:space="preserve">  </w:t>
      </w:r>
    </w:p>
    <w:p w14:paraId="5CF43122" w14:textId="56D80B2C" w:rsidR="1002619F" w:rsidRDefault="1002619F" w:rsidP="3D4EE2BB">
      <w:pPr>
        <w:spacing w:line="360" w:lineRule="auto"/>
        <w:rPr>
          <w:sz w:val="22"/>
          <w:szCs w:val="22"/>
        </w:rPr>
      </w:pPr>
      <w:r w:rsidRPr="3D4EE2BB">
        <w:rPr>
          <w:sz w:val="22"/>
          <w:szCs w:val="22"/>
        </w:rPr>
        <w:t xml:space="preserve"> </w:t>
      </w:r>
    </w:p>
    <w:p w14:paraId="429B3DB6" w14:textId="65EAE0BD" w:rsidR="1002619F" w:rsidRDefault="1002619F" w:rsidP="12E62483">
      <w:pPr>
        <w:pStyle w:val="Heading3"/>
        <w:spacing w:line="360" w:lineRule="auto"/>
        <w:rPr>
          <w:b/>
          <w:color w:val="000000" w:themeColor="text1"/>
        </w:rPr>
      </w:pPr>
      <w:bookmarkStart w:id="66" w:name="_Toc2128807660"/>
      <w:r w:rsidRPr="12E62483">
        <w:rPr>
          <w:b/>
          <w:color w:val="000000" w:themeColor="text1"/>
        </w:rPr>
        <w:t>Definition</w:t>
      </w:r>
      <w:bookmarkEnd w:id="66"/>
      <w:r w:rsidRPr="12E62483">
        <w:rPr>
          <w:b/>
          <w:color w:val="000000" w:themeColor="text1"/>
        </w:rPr>
        <w:t xml:space="preserve"> </w:t>
      </w:r>
    </w:p>
    <w:p w14:paraId="7D65180A" w14:textId="789A7F7A" w:rsidR="1002619F" w:rsidRDefault="1002619F" w:rsidP="37759C21">
      <w:pPr>
        <w:spacing w:line="360" w:lineRule="auto"/>
        <w:rPr>
          <w:sz w:val="22"/>
          <w:szCs w:val="22"/>
        </w:rPr>
      </w:pPr>
      <w:r w:rsidRPr="3D4EE2BB">
        <w:rPr>
          <w:sz w:val="22"/>
          <w:szCs w:val="22"/>
        </w:rPr>
        <w:t xml:space="preserve">Structural barriers are external, systemic obstacles that hinder access to mental health services. These include long waiting times, socioeconomic disadvantage, language barriers, service location, and limited availability of culturally appropriate services. Systemic barriers arise from institutional practices that unintentionally disadvantage African groups due to racism, inequality, or bureaucratic inefficiency. </w:t>
      </w:r>
      <w:r w:rsidR="4FF3F34A" w:rsidRPr="37759C21">
        <w:rPr>
          <w:sz w:val="22"/>
          <w:szCs w:val="22"/>
        </w:rPr>
        <w:t xml:space="preserve">Systemic inequalities, such as limited culturally appropriate provision and delayed access to support, remain significant obstacles for Black and minority ethnic communities in the UK (Mental Health Foundation, 2023; NHS England, 2022). Regulatory reports show that African individuals experience disproportionate levels of coercive interventions and unequal care outcomes, indicating persistent institutional failings (Care Quality Commission, 2021; Public Health England, 2019). Socioeconomic disadvantage—including poverty, housing insecurity and limited opportunities—exacerbates mental health inequalities among ethnic minority groups, particularly African communities (Marmot, 2010; </w:t>
      </w:r>
      <w:proofErr w:type="spellStart"/>
      <w:r w:rsidR="4FF3F34A" w:rsidRPr="37759C21">
        <w:rPr>
          <w:sz w:val="22"/>
          <w:szCs w:val="22"/>
        </w:rPr>
        <w:t>Bécares</w:t>
      </w:r>
      <w:proofErr w:type="spellEnd"/>
      <w:r w:rsidR="4FF3F34A" w:rsidRPr="37759C21">
        <w:rPr>
          <w:sz w:val="22"/>
          <w:szCs w:val="22"/>
        </w:rPr>
        <w:t xml:space="preserve"> and </w:t>
      </w:r>
      <w:proofErr w:type="spellStart"/>
      <w:r w:rsidR="4FF3F34A" w:rsidRPr="37759C21">
        <w:rPr>
          <w:sz w:val="22"/>
          <w:szCs w:val="22"/>
        </w:rPr>
        <w:t>Kapadia</w:t>
      </w:r>
      <w:proofErr w:type="spellEnd"/>
      <w:r w:rsidR="4FF3F34A" w:rsidRPr="37759C21">
        <w:rPr>
          <w:sz w:val="22"/>
          <w:szCs w:val="22"/>
        </w:rPr>
        <w:t>, 2023)</w:t>
      </w:r>
      <w:r>
        <w:br/>
      </w:r>
      <w:r w:rsidR="4FF3F34A" w:rsidRPr="37759C21">
        <w:rPr>
          <w:sz w:val="22"/>
          <w:szCs w:val="22"/>
        </w:rPr>
        <w:t xml:space="preserve"> These inequalities are reinforced by structural racism, which limits access to resources and produces long-term disparities in health outcomes (</w:t>
      </w:r>
      <w:proofErr w:type="spellStart"/>
      <w:r w:rsidR="4FF3F34A" w:rsidRPr="37759C21">
        <w:rPr>
          <w:sz w:val="22"/>
          <w:szCs w:val="22"/>
        </w:rPr>
        <w:t>Salway</w:t>
      </w:r>
      <w:proofErr w:type="spellEnd"/>
      <w:r w:rsidR="4FF3F34A" w:rsidRPr="37759C21">
        <w:rPr>
          <w:sz w:val="22"/>
          <w:szCs w:val="22"/>
        </w:rPr>
        <w:t xml:space="preserve"> et al., 2023) Research shows that African migrants in the UK face distinct challenges when seeking mental health support, including differing cultural interpretations of illness and unfamiliarity with UK service pathways (</w:t>
      </w:r>
      <w:proofErr w:type="spellStart"/>
      <w:r w:rsidR="4FF3F34A" w:rsidRPr="37759C21">
        <w:rPr>
          <w:sz w:val="22"/>
          <w:szCs w:val="22"/>
        </w:rPr>
        <w:t>Adi</w:t>
      </w:r>
      <w:proofErr w:type="spellEnd"/>
      <w:r w:rsidR="4FF3F34A" w:rsidRPr="37759C21">
        <w:rPr>
          <w:sz w:val="22"/>
          <w:szCs w:val="22"/>
        </w:rPr>
        <w:t xml:space="preserve"> et al., 2018; Owusu and Agyeman, 2022)</w:t>
      </w:r>
    </w:p>
    <w:p w14:paraId="4A28C432" w14:textId="2A30BF1F" w:rsidR="1002619F" w:rsidRDefault="1002619F" w:rsidP="37759C21">
      <w:pPr>
        <w:spacing w:line="360" w:lineRule="auto"/>
        <w:rPr>
          <w:sz w:val="22"/>
          <w:szCs w:val="22"/>
        </w:rPr>
      </w:pPr>
    </w:p>
    <w:p w14:paraId="099B7A8F" w14:textId="6D1D86C7" w:rsidR="1002619F" w:rsidRDefault="1002619F" w:rsidP="3D4EE2BB">
      <w:pPr>
        <w:spacing w:line="360" w:lineRule="auto"/>
        <w:rPr>
          <w:sz w:val="22"/>
          <w:szCs w:val="22"/>
        </w:rPr>
      </w:pPr>
    </w:p>
    <w:p w14:paraId="0ED3B7BE" w14:textId="2DCF76B4" w:rsidR="1002619F" w:rsidRDefault="1002619F" w:rsidP="12E62483">
      <w:pPr>
        <w:pStyle w:val="Heading3"/>
        <w:rPr>
          <w:b/>
          <w:color w:val="000000" w:themeColor="text1"/>
          <w:sz w:val="24"/>
          <w:szCs w:val="24"/>
        </w:rPr>
      </w:pPr>
      <w:r w:rsidRPr="12E62483">
        <w:rPr>
          <w:b/>
          <w:color w:val="000000" w:themeColor="text1"/>
          <w:sz w:val="24"/>
          <w:szCs w:val="24"/>
        </w:rPr>
        <w:t xml:space="preserve"> </w:t>
      </w:r>
    </w:p>
    <w:p w14:paraId="50563C86" w14:textId="2A226B6D" w:rsidR="1002619F" w:rsidRDefault="1002619F" w:rsidP="12E62483">
      <w:pPr>
        <w:pStyle w:val="Heading3"/>
        <w:rPr>
          <w:b/>
          <w:color w:val="000000" w:themeColor="text1"/>
        </w:rPr>
      </w:pPr>
      <w:bookmarkStart w:id="67" w:name="_Toc1961759048"/>
      <w:r w:rsidRPr="12E62483">
        <w:rPr>
          <w:b/>
          <w:color w:val="000000" w:themeColor="text1"/>
        </w:rPr>
        <w:t>Background Information</w:t>
      </w:r>
      <w:bookmarkEnd w:id="67"/>
      <w:r w:rsidRPr="12E62483">
        <w:rPr>
          <w:b/>
          <w:color w:val="000000" w:themeColor="text1"/>
        </w:rPr>
        <w:t xml:space="preserve"> </w:t>
      </w:r>
    </w:p>
    <w:p w14:paraId="55AF45FA" w14:textId="58513D8E" w:rsidR="1002619F" w:rsidRDefault="1002619F" w:rsidP="3D4EE2BB">
      <w:pPr>
        <w:spacing w:line="360" w:lineRule="auto"/>
        <w:rPr>
          <w:sz w:val="22"/>
          <w:szCs w:val="22"/>
        </w:rPr>
      </w:pPr>
      <w:r w:rsidRPr="12E62483">
        <w:rPr>
          <w:sz w:val="22"/>
          <w:szCs w:val="22"/>
        </w:rPr>
        <w:t>Structural inequalities affecting African communities in the UK are shaped by historical racism, economic disparities, and migration patterns. African populations often live in urban areas with overstretched services, face higher rates of low income, and encounter difficulties navigating the complex UK mental health system. Many African migrants must adapt to a system where mental health care is highly medicalised compared to holistic approaches familiar in African contexts. In addition, the NHS faces significant workforce shortages, particularly in talking therapies, which disproportionately affects marginalised communities. Lack of culturally</w:t>
      </w:r>
      <w:r w:rsidR="350B332D" w:rsidRPr="12E62483">
        <w:rPr>
          <w:sz w:val="22"/>
          <w:szCs w:val="22"/>
        </w:rPr>
        <w:t xml:space="preserve"> </w:t>
      </w:r>
      <w:r w:rsidRPr="12E62483">
        <w:rPr>
          <w:sz w:val="22"/>
          <w:szCs w:val="22"/>
        </w:rPr>
        <w:t xml:space="preserve">adapted services </w:t>
      </w:r>
      <w:r w:rsidR="5FA660AF" w:rsidRPr="12E62483">
        <w:rPr>
          <w:sz w:val="22"/>
          <w:szCs w:val="22"/>
        </w:rPr>
        <w:t>mean</w:t>
      </w:r>
      <w:r w:rsidRPr="12E62483">
        <w:rPr>
          <w:sz w:val="22"/>
          <w:szCs w:val="22"/>
        </w:rPr>
        <w:t xml:space="preserve"> African individuals may face long waits before seeing someone who understands their cultural background. </w:t>
      </w:r>
    </w:p>
    <w:p w14:paraId="011A9CFF" w14:textId="280B14AC" w:rsidR="1002619F" w:rsidRDefault="1002619F" w:rsidP="12E62483">
      <w:pPr>
        <w:spacing w:line="360" w:lineRule="auto"/>
        <w:rPr>
          <w:sz w:val="22"/>
          <w:szCs w:val="22"/>
        </w:rPr>
      </w:pPr>
      <w:r w:rsidRPr="12E62483">
        <w:rPr>
          <w:sz w:val="22"/>
          <w:szCs w:val="22"/>
        </w:rPr>
        <w:t xml:space="preserve"> </w:t>
      </w:r>
    </w:p>
    <w:p w14:paraId="7B3B944C" w14:textId="7CFB75FB" w:rsidR="1002619F" w:rsidRDefault="1002619F" w:rsidP="3D4EE2BB">
      <w:pPr>
        <w:spacing w:line="360" w:lineRule="auto"/>
        <w:rPr>
          <w:sz w:val="22"/>
          <w:szCs w:val="22"/>
        </w:rPr>
      </w:pPr>
      <w:r w:rsidRPr="12E62483">
        <w:rPr>
          <w:sz w:val="22"/>
          <w:szCs w:val="22"/>
        </w:rPr>
        <w:t xml:space="preserve">Impact on Research Question </w:t>
      </w:r>
    </w:p>
    <w:p w14:paraId="6FB9363B" w14:textId="71146536" w:rsidR="1002619F" w:rsidRDefault="1002619F" w:rsidP="3D4EE2BB">
      <w:pPr>
        <w:spacing w:line="360" w:lineRule="auto"/>
        <w:rPr>
          <w:sz w:val="22"/>
          <w:szCs w:val="22"/>
        </w:rPr>
      </w:pPr>
      <w:r w:rsidRPr="3D4EE2BB">
        <w:rPr>
          <w:sz w:val="22"/>
          <w:szCs w:val="22"/>
        </w:rPr>
        <w:t xml:space="preserve"> </w:t>
      </w:r>
    </w:p>
    <w:p w14:paraId="0F4542DD" w14:textId="123FFDF4" w:rsidR="1002619F" w:rsidRDefault="1002619F" w:rsidP="3D4EE2BB">
      <w:pPr>
        <w:spacing w:line="360" w:lineRule="auto"/>
        <w:rPr>
          <w:sz w:val="22"/>
          <w:szCs w:val="22"/>
        </w:rPr>
      </w:pPr>
      <w:r w:rsidRPr="3D4EE2BB">
        <w:rPr>
          <w:sz w:val="22"/>
          <w:szCs w:val="22"/>
        </w:rPr>
        <w:t xml:space="preserve">Your dissertation question seeks to identify barriers to mental health access among African communities. Structural barriers are central to this, as they explain why even motivated individuals may struggle to reach services. Long waiting times discourage engagement, while socioeconomic challenges make accessing appointments difficult. Systemic racism may impact diagnosis and treatment quality. Therefore, this theme provides crucial insight into how the environment and health systems themselves create inequalities. </w:t>
      </w:r>
    </w:p>
    <w:p w14:paraId="479F86C5" w14:textId="5C68C67E" w:rsidR="1002619F" w:rsidRDefault="1002619F" w:rsidP="3D4EE2BB">
      <w:pPr>
        <w:spacing w:line="360" w:lineRule="auto"/>
        <w:rPr>
          <w:sz w:val="22"/>
          <w:szCs w:val="22"/>
        </w:rPr>
      </w:pPr>
      <w:r w:rsidRPr="12E62483">
        <w:rPr>
          <w:sz w:val="22"/>
          <w:szCs w:val="22"/>
        </w:rPr>
        <w:t xml:space="preserve"> </w:t>
      </w:r>
    </w:p>
    <w:p w14:paraId="7AC05C8C" w14:textId="445F24D1" w:rsidR="12E62483" w:rsidRDefault="12E62483" w:rsidP="12E62483">
      <w:pPr>
        <w:spacing w:line="360" w:lineRule="auto"/>
        <w:rPr>
          <w:sz w:val="22"/>
          <w:szCs w:val="22"/>
        </w:rPr>
      </w:pPr>
    </w:p>
    <w:p w14:paraId="5CFD45BA" w14:textId="33964BAC" w:rsidR="12E62483" w:rsidRDefault="12E62483" w:rsidP="12E62483">
      <w:pPr>
        <w:spacing w:line="360" w:lineRule="auto"/>
        <w:rPr>
          <w:sz w:val="22"/>
          <w:szCs w:val="22"/>
        </w:rPr>
      </w:pPr>
    </w:p>
    <w:p w14:paraId="24809DF5" w14:textId="1B2737A0" w:rsidR="1002619F" w:rsidRDefault="1002619F" w:rsidP="12E62483">
      <w:pPr>
        <w:pStyle w:val="Heading3"/>
        <w:rPr>
          <w:b/>
          <w:color w:val="000000" w:themeColor="text1"/>
        </w:rPr>
      </w:pPr>
      <w:bookmarkStart w:id="68" w:name="_Toc152349110"/>
      <w:r w:rsidRPr="12E62483">
        <w:rPr>
          <w:b/>
          <w:color w:val="000000" w:themeColor="text1"/>
        </w:rPr>
        <w:t>Statistical Information</w:t>
      </w:r>
      <w:bookmarkEnd w:id="68"/>
      <w:r w:rsidRPr="12E62483">
        <w:rPr>
          <w:b/>
          <w:color w:val="000000" w:themeColor="text1"/>
        </w:rPr>
        <w:t xml:space="preserve"> </w:t>
      </w:r>
    </w:p>
    <w:p w14:paraId="3F33C7CA" w14:textId="0E1D7AC7" w:rsidR="1002619F" w:rsidRDefault="1002619F" w:rsidP="3D4EE2BB">
      <w:pPr>
        <w:spacing w:line="360" w:lineRule="auto"/>
        <w:rPr>
          <w:sz w:val="22"/>
          <w:szCs w:val="22"/>
        </w:rPr>
      </w:pPr>
      <w:proofErr w:type="spellStart"/>
      <w:r w:rsidRPr="3D4EE2BB">
        <w:rPr>
          <w:sz w:val="22"/>
          <w:szCs w:val="22"/>
        </w:rPr>
        <w:t>Bansal</w:t>
      </w:r>
      <w:proofErr w:type="spellEnd"/>
      <w:r w:rsidRPr="3D4EE2BB">
        <w:rPr>
          <w:sz w:val="22"/>
          <w:szCs w:val="22"/>
        </w:rPr>
        <w:t xml:space="preserve"> et al. (2022) noted persistent ethnic inequalities across care pathways, with Black groups less likely to receive early intervention and more likely to enter through crisis services. The Race Equality Foundation (2024) reported that African communities face higher rates of poverty, overcrowded housing, and precarious employment—all risk factors for poor mental health and reduced access to care. </w:t>
      </w:r>
      <w:proofErr w:type="spellStart"/>
      <w:r w:rsidRPr="3D4EE2BB">
        <w:rPr>
          <w:sz w:val="22"/>
          <w:szCs w:val="22"/>
        </w:rPr>
        <w:t>Memon</w:t>
      </w:r>
      <w:proofErr w:type="spellEnd"/>
      <w:r w:rsidRPr="3D4EE2BB">
        <w:rPr>
          <w:sz w:val="22"/>
          <w:szCs w:val="22"/>
        </w:rPr>
        <w:t xml:space="preserve"> et al. (2016) identified language barriers and lack of awareness as key structural obstacles affecting BME groups, including Africans. </w:t>
      </w:r>
    </w:p>
    <w:p w14:paraId="31EDEA57" w14:textId="5F63EBE8" w:rsidR="1002619F" w:rsidRDefault="1002619F" w:rsidP="3D4EE2BB">
      <w:pPr>
        <w:spacing w:line="360" w:lineRule="auto"/>
        <w:rPr>
          <w:sz w:val="22"/>
          <w:szCs w:val="22"/>
        </w:rPr>
      </w:pPr>
      <w:r w:rsidRPr="3D4EE2BB">
        <w:rPr>
          <w:sz w:val="22"/>
          <w:szCs w:val="22"/>
        </w:rPr>
        <w:t xml:space="preserve"> </w:t>
      </w:r>
    </w:p>
    <w:p w14:paraId="47812D2F" w14:textId="6494B327" w:rsidR="1002619F" w:rsidRDefault="1002619F" w:rsidP="12E62483">
      <w:pPr>
        <w:pStyle w:val="Heading3"/>
        <w:rPr>
          <w:b/>
          <w:color w:val="000000" w:themeColor="text1"/>
        </w:rPr>
      </w:pPr>
      <w:bookmarkStart w:id="69" w:name="_Toc6092487"/>
      <w:r w:rsidRPr="12E62483">
        <w:rPr>
          <w:b/>
          <w:color w:val="000000" w:themeColor="text1"/>
        </w:rPr>
        <w:t>Theories, Policies, and Legislation</w:t>
      </w:r>
      <w:bookmarkEnd w:id="69"/>
      <w:r w:rsidRPr="12E62483">
        <w:rPr>
          <w:b/>
          <w:color w:val="000000" w:themeColor="text1"/>
        </w:rPr>
        <w:t xml:space="preserve"> </w:t>
      </w:r>
    </w:p>
    <w:p w14:paraId="1BFF5F27" w14:textId="771579F8" w:rsidR="1002619F" w:rsidRDefault="1002619F" w:rsidP="3D4EE2BB">
      <w:pPr>
        <w:spacing w:line="360" w:lineRule="auto"/>
        <w:rPr>
          <w:sz w:val="22"/>
          <w:szCs w:val="22"/>
        </w:rPr>
      </w:pPr>
      <w:r w:rsidRPr="3D4EE2BB">
        <w:rPr>
          <w:sz w:val="22"/>
          <w:szCs w:val="22"/>
        </w:rPr>
        <w:t xml:space="preserve"> </w:t>
      </w:r>
    </w:p>
    <w:p w14:paraId="3ECD7FAF" w14:textId="7836FE9F" w:rsidR="1002619F" w:rsidRDefault="1002619F" w:rsidP="12E62483">
      <w:pPr>
        <w:pStyle w:val="Heading4"/>
        <w:rPr>
          <w:b/>
          <w:i w:val="0"/>
          <w:color w:val="000000" w:themeColor="text1"/>
        </w:rPr>
      </w:pPr>
      <w:bookmarkStart w:id="70" w:name="_Toc2117589551"/>
      <w:r w:rsidRPr="12E62483">
        <w:rPr>
          <w:b/>
          <w:i w:val="0"/>
          <w:color w:val="000000" w:themeColor="text1"/>
        </w:rPr>
        <w:t>Theoretical Framework</w:t>
      </w:r>
      <w:bookmarkEnd w:id="70"/>
      <w:r w:rsidRPr="12E62483">
        <w:rPr>
          <w:b/>
          <w:i w:val="0"/>
          <w:color w:val="000000" w:themeColor="text1"/>
        </w:rPr>
        <w:t xml:space="preserve"> </w:t>
      </w:r>
    </w:p>
    <w:p w14:paraId="0B74CFD7" w14:textId="28AABF79" w:rsidR="1002619F" w:rsidRDefault="1002619F" w:rsidP="3D4EE2BB">
      <w:pPr>
        <w:spacing w:line="360" w:lineRule="auto"/>
        <w:rPr>
          <w:sz w:val="22"/>
          <w:szCs w:val="22"/>
        </w:rPr>
      </w:pPr>
      <w:r w:rsidRPr="12E62483">
        <w:rPr>
          <w:sz w:val="22"/>
          <w:szCs w:val="22"/>
        </w:rPr>
        <w:t xml:space="preserve">The Social Determinants of Health Framework explains how socioeconomic status influences access to care. Structural Racism Theory highlights how policies, institutional practices, and societal structures advantage some groups over others. Andersen’s Behavioural Model of Health Service Use identifies enabling and disabling factors that shape access, many of which are structural. </w:t>
      </w:r>
    </w:p>
    <w:p w14:paraId="08E79C7C" w14:textId="303457FC" w:rsidR="1002619F" w:rsidRDefault="1002619F" w:rsidP="3D4EE2BB">
      <w:pPr>
        <w:spacing w:line="360" w:lineRule="auto"/>
        <w:rPr>
          <w:sz w:val="22"/>
          <w:szCs w:val="22"/>
        </w:rPr>
      </w:pPr>
      <w:r w:rsidRPr="3D4EE2BB">
        <w:rPr>
          <w:sz w:val="22"/>
          <w:szCs w:val="22"/>
        </w:rPr>
        <w:t xml:space="preserve"> </w:t>
      </w:r>
    </w:p>
    <w:p w14:paraId="5E3F71BC" w14:textId="7FBF6223" w:rsidR="1002619F" w:rsidRDefault="1002619F" w:rsidP="12E62483">
      <w:pPr>
        <w:pStyle w:val="Heading4"/>
        <w:rPr>
          <w:b/>
          <w:i w:val="0"/>
          <w:color w:val="000000" w:themeColor="text1"/>
        </w:rPr>
      </w:pPr>
      <w:bookmarkStart w:id="71" w:name="_Toc627676016"/>
      <w:r w:rsidRPr="12E62483">
        <w:rPr>
          <w:b/>
          <w:i w:val="0"/>
          <w:color w:val="000000" w:themeColor="text1"/>
        </w:rPr>
        <w:t>Policies</w:t>
      </w:r>
      <w:bookmarkEnd w:id="71"/>
      <w:r w:rsidRPr="12E62483">
        <w:rPr>
          <w:b/>
          <w:i w:val="0"/>
          <w:color w:val="000000" w:themeColor="text1"/>
        </w:rPr>
        <w:t xml:space="preserve"> </w:t>
      </w:r>
    </w:p>
    <w:p w14:paraId="5F037D4D" w14:textId="27282171" w:rsidR="1002619F" w:rsidRDefault="1002619F" w:rsidP="3D4EE2BB">
      <w:pPr>
        <w:spacing w:line="360" w:lineRule="auto"/>
        <w:rPr>
          <w:sz w:val="22"/>
          <w:szCs w:val="22"/>
        </w:rPr>
      </w:pPr>
      <w:r w:rsidRPr="12E62483">
        <w:rPr>
          <w:sz w:val="22"/>
          <w:szCs w:val="22"/>
        </w:rPr>
        <w:t xml:space="preserve"> Policies such as the NHS Long Term Plan aim to reduce inequalities, while the Equality Act (2010) addresses discrimination. However, studies like Alam et al. (2024) suggest that structural barriers persist due to poor implementation and insufficient funding for culturally appropriate services. </w:t>
      </w:r>
    </w:p>
    <w:p w14:paraId="48E7746E" w14:textId="2EEBE2A3" w:rsidR="12E62483" w:rsidRDefault="12E62483" w:rsidP="12E62483">
      <w:pPr>
        <w:spacing w:line="360" w:lineRule="auto"/>
        <w:rPr>
          <w:sz w:val="22"/>
          <w:szCs w:val="22"/>
        </w:rPr>
      </w:pPr>
    </w:p>
    <w:p w14:paraId="0A10CD89" w14:textId="76C72DF6" w:rsidR="1002619F" w:rsidRDefault="1002619F" w:rsidP="12E62483">
      <w:pPr>
        <w:pStyle w:val="Heading3"/>
        <w:rPr>
          <w:b/>
          <w:color w:val="000000" w:themeColor="text1"/>
        </w:rPr>
      </w:pPr>
      <w:bookmarkStart w:id="72" w:name="_Toc1131236377"/>
      <w:r w:rsidRPr="12E62483">
        <w:rPr>
          <w:b/>
          <w:color w:val="000000" w:themeColor="text1"/>
        </w:rPr>
        <w:t>Implications</w:t>
      </w:r>
      <w:bookmarkEnd w:id="72"/>
      <w:r w:rsidRPr="12E62483">
        <w:rPr>
          <w:b/>
          <w:color w:val="000000" w:themeColor="text1"/>
        </w:rPr>
        <w:t xml:space="preserve"> </w:t>
      </w:r>
    </w:p>
    <w:p w14:paraId="1F685B0F" w14:textId="703F38C0" w:rsidR="12E62483" w:rsidRDefault="12E62483" w:rsidP="12E62483"/>
    <w:p w14:paraId="0374303C" w14:textId="4B70B63A" w:rsidR="1002619F" w:rsidRDefault="1002619F" w:rsidP="12E62483">
      <w:pPr>
        <w:pStyle w:val="Heading4"/>
        <w:rPr>
          <w:sz w:val="22"/>
          <w:szCs w:val="22"/>
        </w:rPr>
      </w:pPr>
      <w:bookmarkStart w:id="73" w:name="_Toc2100946552"/>
      <w:r w:rsidRPr="12E62483">
        <w:rPr>
          <w:b/>
          <w:i w:val="0"/>
          <w:color w:val="000000" w:themeColor="text1"/>
        </w:rPr>
        <w:t>Positive Implications</w:t>
      </w:r>
      <w:bookmarkEnd w:id="73"/>
      <w:r w:rsidRPr="12E62483">
        <w:rPr>
          <w:b/>
          <w:i w:val="0"/>
          <w:color w:val="000000" w:themeColor="text1"/>
        </w:rPr>
        <w:t xml:space="preserve"> </w:t>
      </w:r>
    </w:p>
    <w:p w14:paraId="7FA07FD5" w14:textId="518067CA" w:rsidR="1002619F" w:rsidRDefault="1002619F" w:rsidP="3D4EE2BB">
      <w:pPr>
        <w:spacing w:line="360" w:lineRule="auto"/>
        <w:rPr>
          <w:sz w:val="22"/>
          <w:szCs w:val="22"/>
        </w:rPr>
      </w:pPr>
      <w:r w:rsidRPr="12E62483">
        <w:rPr>
          <w:sz w:val="22"/>
          <w:szCs w:val="22"/>
        </w:rPr>
        <w:t xml:space="preserve">Identifying structural barriers encourages the NHS to redesign services. It supports development of community-based mental health hubs. It provides evidence for policy reform and resource allocation. </w:t>
      </w:r>
    </w:p>
    <w:p w14:paraId="67D4AAB9" w14:textId="61E8D8A3" w:rsidR="1002619F" w:rsidRDefault="1002619F" w:rsidP="3D4EE2BB">
      <w:pPr>
        <w:spacing w:line="360" w:lineRule="auto"/>
        <w:rPr>
          <w:sz w:val="22"/>
          <w:szCs w:val="22"/>
        </w:rPr>
      </w:pPr>
      <w:r w:rsidRPr="3D4EE2BB">
        <w:rPr>
          <w:sz w:val="22"/>
          <w:szCs w:val="22"/>
        </w:rPr>
        <w:t xml:space="preserve"> </w:t>
      </w:r>
    </w:p>
    <w:p w14:paraId="61973CAF" w14:textId="77F0EE5F" w:rsidR="1002619F" w:rsidRDefault="1002619F" w:rsidP="12E62483">
      <w:pPr>
        <w:pStyle w:val="Heading4"/>
        <w:rPr>
          <w:b/>
          <w:i w:val="0"/>
          <w:color w:val="000000" w:themeColor="text1"/>
        </w:rPr>
      </w:pPr>
      <w:bookmarkStart w:id="74" w:name="_Toc1245188717"/>
      <w:r w:rsidRPr="12E62483">
        <w:rPr>
          <w:b/>
          <w:i w:val="0"/>
          <w:color w:val="000000" w:themeColor="text1"/>
        </w:rPr>
        <w:t>Negative Implications</w:t>
      </w:r>
      <w:bookmarkEnd w:id="74"/>
      <w:r w:rsidRPr="12E62483">
        <w:rPr>
          <w:b/>
          <w:i w:val="0"/>
          <w:color w:val="000000" w:themeColor="text1"/>
        </w:rPr>
        <w:t xml:space="preserve"> </w:t>
      </w:r>
    </w:p>
    <w:p w14:paraId="66390849" w14:textId="09E6E97D" w:rsidR="1002619F" w:rsidRDefault="1002619F" w:rsidP="3D4EE2BB">
      <w:pPr>
        <w:spacing w:line="360" w:lineRule="auto"/>
        <w:rPr>
          <w:sz w:val="22"/>
          <w:szCs w:val="22"/>
        </w:rPr>
      </w:pPr>
      <w:r w:rsidRPr="12E62483">
        <w:rPr>
          <w:sz w:val="22"/>
          <w:szCs w:val="22"/>
        </w:rPr>
        <w:t xml:space="preserve">Barriers reduce access and contribute to worsening health outcomes. They increase reliance on emergency or compulsory treatment. They reinforce stigma and mistrust, deepening disengagement. </w:t>
      </w:r>
    </w:p>
    <w:p w14:paraId="5061F5C0" w14:textId="24EFEAC9" w:rsidR="1002619F" w:rsidRDefault="1002619F" w:rsidP="3D4EE2BB">
      <w:pPr>
        <w:spacing w:line="360" w:lineRule="auto"/>
        <w:rPr>
          <w:sz w:val="22"/>
          <w:szCs w:val="22"/>
        </w:rPr>
      </w:pPr>
      <w:r w:rsidRPr="3D4EE2BB">
        <w:rPr>
          <w:sz w:val="22"/>
          <w:szCs w:val="22"/>
        </w:rPr>
        <w:t xml:space="preserve"> </w:t>
      </w:r>
    </w:p>
    <w:p w14:paraId="5D23A0F4" w14:textId="01B631AD" w:rsidR="1002619F" w:rsidRDefault="1002619F" w:rsidP="12E62483">
      <w:pPr>
        <w:pStyle w:val="Heading3"/>
        <w:rPr>
          <w:b/>
          <w:color w:val="000000" w:themeColor="text1"/>
        </w:rPr>
      </w:pPr>
      <w:bookmarkStart w:id="75" w:name="_Toc591881253"/>
      <w:r w:rsidRPr="12E62483">
        <w:rPr>
          <w:b/>
          <w:color w:val="000000" w:themeColor="text1"/>
        </w:rPr>
        <w:t>Examples from Articles</w:t>
      </w:r>
      <w:bookmarkEnd w:id="75"/>
      <w:r w:rsidRPr="12E62483">
        <w:rPr>
          <w:b/>
          <w:color w:val="000000" w:themeColor="text1"/>
        </w:rPr>
        <w:t xml:space="preserve"> </w:t>
      </w:r>
    </w:p>
    <w:p w14:paraId="14A9BBCA" w14:textId="10CE3DC1" w:rsidR="1002619F" w:rsidRDefault="1002619F" w:rsidP="3D4EE2BB">
      <w:pPr>
        <w:spacing w:line="360" w:lineRule="auto"/>
        <w:rPr>
          <w:sz w:val="22"/>
          <w:szCs w:val="22"/>
        </w:rPr>
      </w:pPr>
      <w:r w:rsidRPr="12E62483">
        <w:rPr>
          <w:sz w:val="22"/>
          <w:szCs w:val="22"/>
        </w:rPr>
        <w:t xml:space="preserve"> </w:t>
      </w:r>
      <w:proofErr w:type="spellStart"/>
      <w:r w:rsidRPr="12E62483">
        <w:rPr>
          <w:sz w:val="22"/>
          <w:szCs w:val="22"/>
        </w:rPr>
        <w:t>Bansal</w:t>
      </w:r>
      <w:proofErr w:type="spellEnd"/>
      <w:r w:rsidRPr="12E62483">
        <w:rPr>
          <w:sz w:val="22"/>
          <w:szCs w:val="22"/>
        </w:rPr>
        <w:t xml:space="preserve"> et al. (2022) identified ethnic inequalities rooted in institutional structures, including unequal access to psychological therapies. </w:t>
      </w:r>
    </w:p>
    <w:p w14:paraId="4A3E1179" w14:textId="6B245691" w:rsidR="1002619F" w:rsidRDefault="1002619F" w:rsidP="3D4EE2BB">
      <w:pPr>
        <w:spacing w:line="360" w:lineRule="auto"/>
        <w:rPr>
          <w:sz w:val="22"/>
          <w:szCs w:val="22"/>
        </w:rPr>
      </w:pPr>
      <w:r w:rsidRPr="12E62483">
        <w:rPr>
          <w:sz w:val="22"/>
          <w:szCs w:val="22"/>
        </w:rPr>
        <w:t>Alam et al. (2024) highlighted long waiting times, limited culturally</w:t>
      </w:r>
      <w:r w:rsidR="1E8820CC" w:rsidRPr="12E62483">
        <w:rPr>
          <w:sz w:val="22"/>
          <w:szCs w:val="22"/>
        </w:rPr>
        <w:t xml:space="preserve"> </w:t>
      </w:r>
      <w:r w:rsidRPr="12E62483">
        <w:rPr>
          <w:sz w:val="22"/>
          <w:szCs w:val="22"/>
        </w:rPr>
        <w:t xml:space="preserve">adapted support, and systemic discrimination as key barriers. </w:t>
      </w:r>
    </w:p>
    <w:p w14:paraId="16CCC4DC" w14:textId="3BCBEC6B" w:rsidR="1002619F" w:rsidRDefault="1002619F" w:rsidP="3D4EE2BB">
      <w:pPr>
        <w:spacing w:line="360" w:lineRule="auto"/>
        <w:rPr>
          <w:sz w:val="22"/>
          <w:szCs w:val="22"/>
        </w:rPr>
      </w:pPr>
      <w:proofErr w:type="spellStart"/>
      <w:r w:rsidRPr="12E62483">
        <w:rPr>
          <w:sz w:val="22"/>
          <w:szCs w:val="22"/>
        </w:rPr>
        <w:t>Memon</w:t>
      </w:r>
      <w:proofErr w:type="spellEnd"/>
      <w:r w:rsidRPr="12E62483">
        <w:rPr>
          <w:sz w:val="22"/>
          <w:szCs w:val="22"/>
        </w:rPr>
        <w:t xml:space="preserve"> et al. (2016) found that lack of awareness, language challenges, and limited support availability reduced engagement among African and other BME communities. </w:t>
      </w:r>
    </w:p>
    <w:p w14:paraId="7E71E1BB" w14:textId="78DA3D68" w:rsidR="1002619F" w:rsidRDefault="1A00C44A" w:rsidP="12E62483">
      <w:pPr>
        <w:pStyle w:val="Heading3"/>
        <w:rPr>
          <w:b/>
          <w:color w:val="000000" w:themeColor="text1"/>
        </w:rPr>
      </w:pPr>
      <w:bookmarkStart w:id="76" w:name="_Toc1629851419"/>
      <w:r w:rsidRPr="12E62483">
        <w:rPr>
          <w:b/>
          <w:bCs/>
          <w:color w:val="000000" w:themeColor="text1"/>
        </w:rPr>
        <w:t>Conclusion</w:t>
      </w:r>
      <w:bookmarkEnd w:id="76"/>
      <w:r w:rsidR="1002619F" w:rsidRPr="12E62483">
        <w:rPr>
          <w:b/>
          <w:bCs/>
          <w:color w:val="000000" w:themeColor="text1"/>
        </w:rPr>
        <w:t xml:space="preserve"> </w:t>
      </w:r>
    </w:p>
    <w:p w14:paraId="456D7D7B" w14:textId="11FBC28D" w:rsidR="1002619F" w:rsidRDefault="1002619F" w:rsidP="3D4EE2BB">
      <w:pPr>
        <w:spacing w:line="360" w:lineRule="auto"/>
        <w:rPr>
          <w:sz w:val="22"/>
          <w:szCs w:val="22"/>
        </w:rPr>
      </w:pPr>
      <w:r w:rsidRPr="3D4EE2BB">
        <w:rPr>
          <w:sz w:val="22"/>
          <w:szCs w:val="22"/>
        </w:rPr>
        <w:t>Structural barriers connect to Theme 1, as cultural stigma may deter individuals from navigating complex systems. They also link to Theme 2, as negative experiences rooted in systemic inequality generate mistrust, reinforcing disengagement.</w:t>
      </w:r>
    </w:p>
    <w:p w14:paraId="5560BB21" w14:textId="3E2D85BC" w:rsidR="65B08F1D" w:rsidRDefault="65B08F1D" w:rsidP="3D4EE2BB">
      <w:pPr>
        <w:spacing w:line="360" w:lineRule="auto"/>
        <w:rPr>
          <w:sz w:val="22"/>
          <w:szCs w:val="22"/>
        </w:rPr>
      </w:pPr>
    </w:p>
    <w:p w14:paraId="34CD961B" w14:textId="2EC57E72" w:rsidR="40DEEBE2" w:rsidRDefault="08630862" w:rsidP="12E62483">
      <w:pPr>
        <w:pStyle w:val="Heading2"/>
        <w:rPr>
          <w:b/>
          <w:color w:val="000000" w:themeColor="text1"/>
          <w:sz w:val="28"/>
          <w:szCs w:val="28"/>
        </w:rPr>
      </w:pPr>
      <w:bookmarkStart w:id="77" w:name="_Toc1583473678"/>
      <w:r w:rsidRPr="38958F80">
        <w:rPr>
          <w:b/>
          <w:bCs/>
          <w:color w:val="000000" w:themeColor="text1"/>
          <w:sz w:val="28"/>
          <w:szCs w:val="28"/>
        </w:rPr>
        <w:t>4.6 Conclusion</w:t>
      </w:r>
      <w:bookmarkEnd w:id="77"/>
    </w:p>
    <w:p w14:paraId="2C7524CA" w14:textId="2DF3FA30" w:rsidR="1B62D44F" w:rsidRDefault="7BFA1B69" w:rsidP="38958F80">
      <w:pPr>
        <w:spacing w:line="360" w:lineRule="auto"/>
        <w:rPr>
          <w:sz w:val="22"/>
          <w:szCs w:val="22"/>
        </w:rPr>
      </w:pPr>
      <w:r w:rsidRPr="38958F80">
        <w:rPr>
          <w:sz w:val="22"/>
          <w:szCs w:val="22"/>
        </w:rPr>
        <w:t>This chapter has examined the key themes emerging from the literature in relation to African and African-Caribbean experiences of mental health services. The thematic analysis focused on mistrust and negative service experiences, lack of cultural competence, and stigma, cultural beliefs, and their impact on help-seeking behaviours. Each theme was explored through a combination of theoretical perspectives and statistical evidence, demonstrating not only how these barriers operate individually but also how they intersect and reinforce one another. For example, stigma contributes to mistrust, mistrust intensifies disengagement from services, and structural or systemic inequalities perpetuate negative outcomes, collectively shaping the mental health experiences of African communities. In doing so, the chapter has directly addressed the research question by illustrating how cultural, interpersonal, and institutional factors interact to undermine equitable access and effective support.</w:t>
      </w:r>
    </w:p>
    <w:p w14:paraId="6B7A1FA0" w14:textId="3816A6A1" w:rsidR="1B62D44F" w:rsidRDefault="7BFA1B69" w:rsidP="38958F80">
      <w:pPr>
        <w:spacing w:line="360" w:lineRule="auto"/>
      </w:pPr>
      <w:r w:rsidRPr="38958F80">
        <w:rPr>
          <w:sz w:val="22"/>
          <w:szCs w:val="22"/>
        </w:rPr>
        <w:t>The next chapter—Conclusion and Recommendations—will build on these findings by proposing clear, actionable strategies for improvement. These recommendations will focus on enhancing cultural competence, rebuilding trust, and reducing systemic inequalities, with the aim of informing policy, practice, and future research.</w:t>
      </w:r>
    </w:p>
    <w:p w14:paraId="3DE2D1F2" w14:textId="7B7C43B4" w:rsidR="1B62D44F" w:rsidRDefault="1B62D44F" w:rsidP="38958F80">
      <w:pPr>
        <w:rPr>
          <w:sz w:val="22"/>
          <w:szCs w:val="22"/>
        </w:rPr>
      </w:pPr>
    </w:p>
    <w:p w14:paraId="2BD0121E" w14:textId="4E4B6E7C" w:rsidR="1B62D44F" w:rsidRDefault="1B62D44F" w:rsidP="1B62D44F"/>
    <w:p w14:paraId="0EA53082" w14:textId="11D87639" w:rsidR="1B62D44F" w:rsidRDefault="1B62D44F" w:rsidP="1B62D44F"/>
    <w:p w14:paraId="26EF6A5F" w14:textId="7D0E1AAD" w:rsidR="1B62D44F" w:rsidRDefault="1B62D44F" w:rsidP="1B62D44F"/>
    <w:p w14:paraId="4B47F856" w14:textId="6DB8510F" w:rsidR="1B62D44F" w:rsidRDefault="1B62D44F" w:rsidP="1B62D44F"/>
    <w:p w14:paraId="1B9F8DFF" w14:textId="03EC4F40" w:rsidR="571B5EF2" w:rsidRDefault="6189213F" w:rsidP="12E62483">
      <w:pPr>
        <w:pStyle w:val="Heading1"/>
        <w:spacing w:beforeAutospacing="1" w:afterAutospacing="1" w:line="240" w:lineRule="auto"/>
        <w:rPr>
          <w:rFonts w:asciiTheme="minorHAnsi" w:eastAsiaTheme="minorEastAsia" w:hAnsiTheme="minorHAnsi" w:cstheme="minorBidi"/>
          <w:b/>
          <w:bCs/>
          <w:color w:val="auto"/>
          <w:sz w:val="32"/>
          <w:szCs w:val="32"/>
        </w:rPr>
      </w:pPr>
      <w:bookmarkStart w:id="78" w:name="_Toc1896481357"/>
      <w:r w:rsidRPr="1B62D44F">
        <w:rPr>
          <w:rFonts w:asciiTheme="minorHAnsi" w:eastAsiaTheme="minorEastAsia" w:hAnsiTheme="minorHAnsi" w:cstheme="minorBidi"/>
          <w:b/>
          <w:bCs/>
          <w:color w:val="auto"/>
          <w:sz w:val="32"/>
          <w:szCs w:val="32"/>
        </w:rPr>
        <w:t xml:space="preserve">CHAPTER 5 CONCLUSION AND </w:t>
      </w:r>
      <w:r w:rsidR="005E7AA5" w:rsidRPr="1B62D44F">
        <w:rPr>
          <w:rFonts w:asciiTheme="minorHAnsi" w:eastAsiaTheme="minorEastAsia" w:hAnsiTheme="minorHAnsi" w:cstheme="minorBidi"/>
          <w:b/>
          <w:bCs/>
          <w:color w:val="auto"/>
          <w:sz w:val="32"/>
          <w:szCs w:val="32"/>
        </w:rPr>
        <w:t>RECOMMENDATIONS</w:t>
      </w:r>
      <w:bookmarkEnd w:id="78"/>
    </w:p>
    <w:p w14:paraId="4ED29CC9" w14:textId="5D00B75B" w:rsidR="571B5EF2" w:rsidRDefault="571B5EF2" w:rsidP="5D95C5F5">
      <w:pPr>
        <w:pStyle w:val="Heading2"/>
        <w:spacing w:before="299" w:after="299"/>
        <w:rPr>
          <w:rFonts w:asciiTheme="minorHAnsi" w:eastAsiaTheme="minorEastAsia" w:hAnsiTheme="minorHAnsi" w:cstheme="minorBidi"/>
          <w:b/>
          <w:color w:val="auto"/>
          <w:sz w:val="28"/>
          <w:szCs w:val="28"/>
          <w:lang w:val="en-US"/>
        </w:rPr>
      </w:pPr>
      <w:bookmarkStart w:id="79" w:name="_Toc1837023377"/>
      <w:r w:rsidRPr="1B62D44F">
        <w:rPr>
          <w:rFonts w:asciiTheme="minorHAnsi" w:eastAsiaTheme="minorEastAsia" w:hAnsiTheme="minorHAnsi" w:cstheme="minorBidi"/>
          <w:b/>
          <w:color w:val="auto"/>
          <w:sz w:val="28"/>
          <w:szCs w:val="28"/>
        </w:rPr>
        <w:t>5.1 Overall Conclusion</w:t>
      </w:r>
      <w:bookmarkEnd w:id="79"/>
      <w:r w:rsidRPr="1B62D44F">
        <w:rPr>
          <w:rFonts w:asciiTheme="minorHAnsi" w:eastAsiaTheme="minorEastAsia" w:hAnsiTheme="minorHAnsi" w:cstheme="minorBidi"/>
          <w:b/>
          <w:color w:val="auto"/>
          <w:sz w:val="28"/>
          <w:szCs w:val="28"/>
        </w:rPr>
        <w:t xml:space="preserve"> </w:t>
      </w:r>
    </w:p>
    <w:p w14:paraId="2EB78796" w14:textId="62C92A4B" w:rsidR="571B5EF2" w:rsidRDefault="571B5EF2" w:rsidP="1B62D44F">
      <w:pPr>
        <w:spacing w:before="240" w:after="240" w:line="360" w:lineRule="auto"/>
        <w:rPr>
          <w:color w:val="000000" w:themeColor="text1"/>
          <w:sz w:val="22"/>
          <w:szCs w:val="22"/>
          <w:lang w:val="en-US"/>
        </w:rPr>
      </w:pPr>
      <w:r w:rsidRPr="1B62D44F">
        <w:rPr>
          <w:color w:val="000000" w:themeColor="text1"/>
          <w:sz w:val="22"/>
          <w:szCs w:val="22"/>
        </w:rPr>
        <w:t>This dissertation set out to explore the barriers that African communities in the United Kingdom face in accessing mental health services. Through an examination of cultural beliefs, socio-economic factors, and systemic inequalities, the study has demonstrated that mental health access for this population is shaped by complex and interconnected issues. Chapter One established the rationale and clarified key terminology, while Chapter Two reviewed existing literature, revealing persistent disparities in service engagement and highlighting how stigma, mistrust, and institutional failures restrict access. Chapter Three outlined the methodology used to investigate these concerns, and Chapter Four presented the findings, which reinforced the idea that African individuals often encounter obstacles that prevent early intervention and contribute to crisis-led service use.</w:t>
      </w:r>
    </w:p>
    <w:p w14:paraId="0642F88D" w14:textId="77EC61D3" w:rsidR="571B5EF2" w:rsidRDefault="571B5EF2" w:rsidP="1B62D44F">
      <w:pPr>
        <w:spacing w:before="240" w:after="240" w:line="360" w:lineRule="auto"/>
        <w:rPr>
          <w:color w:val="000000" w:themeColor="text1"/>
          <w:sz w:val="22"/>
          <w:szCs w:val="22"/>
          <w:lang w:val="en-US"/>
        </w:rPr>
      </w:pPr>
      <w:r w:rsidRPr="38958F80">
        <w:rPr>
          <w:color w:val="000000" w:themeColor="text1"/>
          <w:sz w:val="22"/>
          <w:szCs w:val="22"/>
        </w:rPr>
        <w:t>The research aim—to critically explore inequalities experienced by African communities within mental health services—has been addressed by identifying the factors that influence access pathways and treatment experiences. Each objective has been met by examining patterns of service engagement, exploring the lived experiences of service users, analysing institutional barriers, and evaluating existing interventions. Overall, this dissertation concludes that improved cultural competence, better communication, and more inclusive policies are essential for reducing inequalities and supporting equitable mental health outcomes for African communities in the UK.</w:t>
      </w:r>
      <w:r w:rsidR="7EE74585" w:rsidRPr="38958F80">
        <w:rPr>
          <w:color w:val="000000" w:themeColor="text1"/>
          <w:sz w:val="22"/>
          <w:szCs w:val="22"/>
        </w:rPr>
        <w:t xml:space="preserve"> </w:t>
      </w:r>
    </w:p>
    <w:p w14:paraId="603DE48B" w14:textId="02E7E45C" w:rsidR="1B62D44F" w:rsidRDefault="1B62D44F" w:rsidP="1B62D44F">
      <w:pPr>
        <w:spacing w:before="240" w:after="240" w:line="360" w:lineRule="auto"/>
        <w:rPr>
          <w:color w:val="000000" w:themeColor="text1"/>
          <w:sz w:val="22"/>
          <w:szCs w:val="22"/>
        </w:rPr>
      </w:pPr>
    </w:p>
    <w:p w14:paraId="7A166749" w14:textId="5C8F7047" w:rsidR="1B62D44F" w:rsidRDefault="1B62D44F" w:rsidP="1B62D44F">
      <w:pPr>
        <w:spacing w:before="240" w:after="240" w:line="360" w:lineRule="auto"/>
        <w:rPr>
          <w:color w:val="000000" w:themeColor="text1"/>
          <w:sz w:val="22"/>
          <w:szCs w:val="22"/>
        </w:rPr>
      </w:pPr>
    </w:p>
    <w:p w14:paraId="14CCD0AE" w14:textId="53CFC6F8" w:rsidR="1B62D44F" w:rsidRDefault="1B62D44F" w:rsidP="1B62D44F">
      <w:pPr>
        <w:spacing w:before="240" w:after="240" w:line="360" w:lineRule="auto"/>
        <w:rPr>
          <w:color w:val="000000" w:themeColor="text1"/>
          <w:sz w:val="22"/>
          <w:szCs w:val="22"/>
        </w:rPr>
      </w:pPr>
    </w:p>
    <w:p w14:paraId="576204A0" w14:textId="4BB684C2" w:rsidR="5D95C5F5" w:rsidRDefault="5D95C5F5" w:rsidP="5D95C5F5">
      <w:pPr>
        <w:rPr>
          <w:rFonts w:ascii="Arial" w:eastAsia="Arial" w:hAnsi="Arial" w:cs="Arial"/>
          <w:color w:val="000000" w:themeColor="text1"/>
          <w:lang w:val="en-US"/>
        </w:rPr>
      </w:pPr>
    </w:p>
    <w:p w14:paraId="64D5EBDF" w14:textId="29DFFF1C" w:rsidR="571B5EF2" w:rsidRDefault="571B5EF2" w:rsidP="38958F80">
      <w:pPr>
        <w:pStyle w:val="Heading2"/>
        <w:spacing w:before="299" w:after="299" w:line="360" w:lineRule="auto"/>
        <w:rPr>
          <w:rFonts w:asciiTheme="minorHAnsi" w:eastAsiaTheme="minorEastAsia" w:hAnsiTheme="minorHAnsi" w:cstheme="minorBidi"/>
          <w:b/>
          <w:bCs/>
          <w:color w:val="auto"/>
          <w:sz w:val="22"/>
          <w:szCs w:val="22"/>
          <w:lang w:val="en-US"/>
        </w:rPr>
      </w:pPr>
      <w:bookmarkStart w:id="80" w:name="_Toc196058860"/>
      <w:r w:rsidRPr="38958F80">
        <w:rPr>
          <w:rFonts w:asciiTheme="minorHAnsi" w:eastAsiaTheme="minorEastAsia" w:hAnsiTheme="minorHAnsi" w:cstheme="minorBidi"/>
          <w:b/>
          <w:bCs/>
          <w:color w:val="auto"/>
          <w:sz w:val="22"/>
          <w:szCs w:val="22"/>
        </w:rPr>
        <w:t>5.2 Recommendations</w:t>
      </w:r>
      <w:bookmarkEnd w:id="80"/>
    </w:p>
    <w:p w14:paraId="5E59C065" w14:textId="5B45F282" w:rsidR="5D95C5F5" w:rsidRDefault="571B5EF2" w:rsidP="38958F80">
      <w:pPr>
        <w:spacing w:before="240" w:after="240" w:line="360" w:lineRule="auto"/>
        <w:rPr>
          <w:color w:val="000000" w:themeColor="text1"/>
          <w:sz w:val="22"/>
          <w:szCs w:val="22"/>
          <w:lang w:val="en-US"/>
        </w:rPr>
      </w:pPr>
      <w:r w:rsidRPr="38958F80">
        <w:rPr>
          <w:color w:val="000000" w:themeColor="text1"/>
          <w:sz w:val="22"/>
          <w:szCs w:val="22"/>
        </w:rPr>
        <w:t>The findings of this dissertation reveal that African communities in the UK continue to face substantial and avoidable barriers in accessing mental health support. While some initiatives have sought to promote inclusion, gaps in provision, cultural relevance, and trust persist. The following recommendations aim to address these barriers by proposing realistic changes that could be implemented within current mental health frameworks.</w:t>
      </w:r>
    </w:p>
    <w:p w14:paraId="0820466C" w14:textId="03C26695" w:rsidR="571B5EF2" w:rsidRDefault="571B5EF2" w:rsidP="38958F80">
      <w:pPr>
        <w:pStyle w:val="Heading3"/>
        <w:spacing w:before="281" w:after="281" w:line="360" w:lineRule="auto"/>
        <w:rPr>
          <w:rFonts w:eastAsiaTheme="minorEastAsia" w:cstheme="minorBidi"/>
          <w:b/>
          <w:bCs/>
          <w:color w:val="auto"/>
          <w:sz w:val="22"/>
          <w:szCs w:val="22"/>
          <w:lang w:val="en-US"/>
        </w:rPr>
      </w:pPr>
      <w:bookmarkStart w:id="81" w:name="_Toc1025438183"/>
      <w:r w:rsidRPr="38958F80">
        <w:rPr>
          <w:rFonts w:eastAsiaTheme="minorEastAsia" w:cstheme="minorBidi"/>
          <w:b/>
          <w:bCs/>
          <w:color w:val="auto"/>
          <w:sz w:val="22"/>
          <w:szCs w:val="22"/>
        </w:rPr>
        <w:t>5.2.1 Recommendation 1: Increase Culturally Competent Mental Health Services</w:t>
      </w:r>
      <w:bookmarkEnd w:id="81"/>
    </w:p>
    <w:p w14:paraId="0E31319A" w14:textId="7A81727D"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A key step toward improving access is ensuring that mental health professionals possess the cultural knowledge and awareness necessary to work effectively with African communities. Cultural competence goes beyond basic awareness of diversity; it requires an understanding of how cultural beliefs, experiences of migration, language use, and perceptions of mental illness shape help-seeking behaviours. Practitioners who hold assumptions based on Western diagnostic models may unintentionally dismiss or misinterpret the concerns of African service users, reinforcing mistrust and discouraging engagement.</w:t>
      </w:r>
    </w:p>
    <w:p w14:paraId="1BD73E1C" w14:textId="6F647193"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To address this, mental health services should embed mandatory, ongoing cultural competency training for staff at all levels. Training should be developed collaboratively with African-led community groups, faith-based organisations, and individuals with lived experience. This ensures that professional knowledge aligns with real cultural contexts rather than generic stereotypes. Enhanced cultural competence would help practitioners offer more empathetic responses, reduce unconscious bias, and create an environment where African individuals feel recognised and respected.</w:t>
      </w:r>
    </w:p>
    <w:p w14:paraId="25B318C9" w14:textId="6D3B1B0D" w:rsidR="571B5EF2" w:rsidRDefault="571B5EF2" w:rsidP="38958F80">
      <w:pPr>
        <w:spacing w:before="240" w:after="240" w:line="360" w:lineRule="auto"/>
        <w:rPr>
          <w:color w:val="000000" w:themeColor="text1"/>
          <w:sz w:val="22"/>
          <w:szCs w:val="22"/>
          <w:lang w:val="en-US"/>
        </w:rPr>
      </w:pPr>
      <w:r w:rsidRPr="38958F80">
        <w:rPr>
          <w:b/>
          <w:bCs/>
          <w:color w:val="000000" w:themeColor="text1"/>
          <w:sz w:val="22"/>
          <w:szCs w:val="22"/>
        </w:rPr>
        <w:t>Barriers and solutions:</w:t>
      </w:r>
    </w:p>
    <w:p w14:paraId="3BB1300F" w14:textId="34C58B7E"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 xml:space="preserve"> Implementing such training requires time and financial investment, which some services may resist. However, this can be mitigated by integrating training into existing professional development frameworks and demonstrating long-term cost benefits, such as reduced crisis admissions and improved health outcomes. A phased approach, beginning with targeted pilot schemes, could demonstrate measurable benefits and encourage broader adoption.</w:t>
      </w:r>
    </w:p>
    <w:p w14:paraId="00734BFD" w14:textId="436DF256" w:rsidR="5D95C5F5" w:rsidRDefault="5D95C5F5" w:rsidP="38958F80">
      <w:pPr>
        <w:spacing w:line="360" w:lineRule="auto"/>
        <w:rPr>
          <w:color w:val="000000" w:themeColor="text1"/>
          <w:sz w:val="22"/>
          <w:szCs w:val="22"/>
          <w:lang w:val="en-US"/>
        </w:rPr>
      </w:pPr>
    </w:p>
    <w:p w14:paraId="22CFC108" w14:textId="2FAB5AA9" w:rsidR="571B5EF2" w:rsidRDefault="571B5EF2" w:rsidP="38958F80">
      <w:pPr>
        <w:pStyle w:val="Heading3"/>
        <w:spacing w:before="281" w:after="281" w:line="360" w:lineRule="auto"/>
        <w:rPr>
          <w:rFonts w:eastAsiaTheme="minorEastAsia" w:cstheme="minorBidi"/>
          <w:b/>
          <w:bCs/>
          <w:color w:val="auto"/>
          <w:sz w:val="22"/>
          <w:szCs w:val="22"/>
          <w:lang w:val="en-US"/>
        </w:rPr>
      </w:pPr>
      <w:bookmarkStart w:id="82" w:name="_Toc1378470770"/>
      <w:r w:rsidRPr="38958F80">
        <w:rPr>
          <w:rFonts w:eastAsiaTheme="minorEastAsia" w:cstheme="minorBidi"/>
          <w:b/>
          <w:bCs/>
          <w:color w:val="auto"/>
          <w:sz w:val="22"/>
          <w:szCs w:val="22"/>
        </w:rPr>
        <w:t>5.2.2 Recommendation 2: Strengthen Community-Based Mental Health Outreach</w:t>
      </w:r>
      <w:bookmarkEnd w:id="82"/>
    </w:p>
    <w:p w14:paraId="667E8A32" w14:textId="04F31FFA"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Many African individuals do not access formal mental health pathways until they reach crisis point. This is often linked to stigma, limited awareness of available services, and distrust of statutory authorities. Strengthening outreach within African communities can help shift perceptions of mental health support, encourage early intervention, and reduce reliance on coercive practices.</w:t>
      </w:r>
      <w:r w:rsidR="72C2098D" w:rsidRPr="38958F80">
        <w:rPr>
          <w:color w:val="000000" w:themeColor="text1"/>
          <w:sz w:val="22"/>
          <w:szCs w:val="22"/>
        </w:rPr>
        <w:t xml:space="preserve"> </w:t>
      </w:r>
      <w:r w:rsidRPr="38958F80">
        <w:rPr>
          <w:color w:val="000000" w:themeColor="text1"/>
          <w:sz w:val="22"/>
          <w:szCs w:val="22"/>
        </w:rPr>
        <w:t>Community-based initiatives should include awareness campaigns led by trusted community figures, such as religious leaders, cultural elders, and grassroots organisations. These individuals hold significant influence and can help normalise conversations around mental health, challenging misconceptions and encouraging help-seeking behaviour. Services should also employ mental health advocates and peer support workers from African backgrounds who can act as intermediaries between communities and providers, ensuring communication feels accessible and culturally safe.</w:t>
      </w:r>
    </w:p>
    <w:p w14:paraId="3202AD9C" w14:textId="0C786A02" w:rsidR="571B5EF2" w:rsidRDefault="571B5EF2" w:rsidP="38958F80">
      <w:pPr>
        <w:spacing w:before="240" w:after="240" w:line="360" w:lineRule="auto"/>
        <w:rPr>
          <w:color w:val="000000" w:themeColor="text1"/>
          <w:sz w:val="22"/>
          <w:szCs w:val="22"/>
          <w:lang w:val="en-US"/>
        </w:rPr>
      </w:pPr>
      <w:r w:rsidRPr="38958F80">
        <w:rPr>
          <w:b/>
          <w:bCs/>
          <w:color w:val="000000" w:themeColor="text1"/>
          <w:sz w:val="22"/>
          <w:szCs w:val="22"/>
        </w:rPr>
        <w:t>Barriers and solutions:</w:t>
      </w:r>
    </w:p>
    <w:p w14:paraId="581CD2AA" w14:textId="69D83A1B"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 xml:space="preserve"> Sustaining community outreach requires reliable funding and partnership models. Short-term funding cycles often undermine continuity, causing mistrust when services are withdrawn. A long-term, collaborative funding strategy that includes local authorities, voluntary sector organisations, and national health commissioners could help stabilise such initiatives. Establishing clear evaluation frameworks would also evidence the impact of community outreach and justify continued resource allocation.</w:t>
      </w:r>
    </w:p>
    <w:p w14:paraId="1E63D3EF" w14:textId="103D88DF" w:rsidR="65E6C658" w:rsidRDefault="65E6C658" w:rsidP="38958F80">
      <w:pPr>
        <w:spacing w:before="240" w:after="240" w:line="360" w:lineRule="auto"/>
        <w:rPr>
          <w:color w:val="000000" w:themeColor="text1"/>
          <w:sz w:val="22"/>
          <w:szCs w:val="22"/>
        </w:rPr>
      </w:pPr>
    </w:p>
    <w:p w14:paraId="7BED3E9E" w14:textId="21EC7274" w:rsidR="65E6C658" w:rsidRDefault="65E6C658" w:rsidP="38958F80">
      <w:pPr>
        <w:spacing w:before="240" w:after="240" w:line="360" w:lineRule="auto"/>
        <w:rPr>
          <w:color w:val="000000" w:themeColor="text1"/>
          <w:sz w:val="22"/>
          <w:szCs w:val="22"/>
        </w:rPr>
      </w:pPr>
    </w:p>
    <w:p w14:paraId="6A5815D5" w14:textId="24D5F2AC" w:rsidR="5D95C5F5" w:rsidRDefault="5D95C5F5" w:rsidP="38958F80">
      <w:pPr>
        <w:spacing w:line="360" w:lineRule="auto"/>
        <w:rPr>
          <w:color w:val="000000" w:themeColor="text1"/>
          <w:sz w:val="22"/>
          <w:szCs w:val="22"/>
          <w:lang w:val="en-US"/>
        </w:rPr>
      </w:pPr>
    </w:p>
    <w:p w14:paraId="639A1D35" w14:textId="1410A1AA" w:rsidR="65E6C658" w:rsidRDefault="65E6C658" w:rsidP="38958F80">
      <w:pPr>
        <w:pStyle w:val="Heading3"/>
        <w:spacing w:before="281" w:after="281" w:line="360" w:lineRule="auto"/>
        <w:rPr>
          <w:rFonts w:eastAsiaTheme="minorEastAsia" w:cstheme="minorBidi"/>
          <w:b/>
          <w:bCs/>
          <w:color w:val="000000" w:themeColor="text1"/>
          <w:sz w:val="22"/>
          <w:szCs w:val="22"/>
        </w:rPr>
      </w:pPr>
    </w:p>
    <w:p w14:paraId="4B991989" w14:textId="39516490" w:rsidR="571B5EF2" w:rsidRDefault="571B5EF2" w:rsidP="38958F80">
      <w:pPr>
        <w:pStyle w:val="Heading3"/>
        <w:spacing w:before="281" w:after="281" w:line="360" w:lineRule="auto"/>
        <w:rPr>
          <w:rFonts w:eastAsiaTheme="minorEastAsia" w:cstheme="minorBidi"/>
          <w:color w:val="000000" w:themeColor="text1"/>
          <w:sz w:val="22"/>
          <w:szCs w:val="22"/>
          <w:lang w:val="en-US"/>
        </w:rPr>
      </w:pPr>
      <w:bookmarkStart w:id="83" w:name="_Toc1305420820"/>
      <w:r w:rsidRPr="38958F80">
        <w:rPr>
          <w:rFonts w:eastAsiaTheme="minorEastAsia" w:cstheme="minorBidi"/>
          <w:b/>
          <w:bCs/>
          <w:color w:val="000000" w:themeColor="text1"/>
          <w:sz w:val="22"/>
          <w:szCs w:val="22"/>
        </w:rPr>
        <w:t>5.2.3 Recommendation 3: Improve Representation and Inclusion in Mental Health Policy and Service Design</w:t>
      </w:r>
      <w:bookmarkEnd w:id="83"/>
    </w:p>
    <w:p w14:paraId="6FCFDD8A" w14:textId="264165A5"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African communities are often positioned as service users but excluded from the decision-making processes that shape mental health provision. Without representation at policy and governance levels, services are unlikely to fully reflect the needs, preferences, and cultural realities of African individuals.</w:t>
      </w:r>
    </w:p>
    <w:p w14:paraId="34B02148" w14:textId="21E2D979"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This recommendation calls for the intentional recruitment of African professionals, researchers, and lived-experience leaders into mental health leadership roles. involvement is crucial for designing policies that acknowledge structural inequalities, ensure inclusive language and practice, and promote relevant service models. Co-production should be embedded in mental health planning, meaning African individuals are active contributors rather than passive recipients.</w:t>
      </w:r>
    </w:p>
    <w:p w14:paraId="523B8A77" w14:textId="2EF66F84" w:rsidR="571B5EF2" w:rsidRDefault="571B5EF2" w:rsidP="38958F80">
      <w:pPr>
        <w:spacing w:before="240" w:after="240" w:line="360" w:lineRule="auto"/>
        <w:rPr>
          <w:color w:val="000000" w:themeColor="text1"/>
          <w:sz w:val="22"/>
          <w:szCs w:val="22"/>
          <w:lang w:val="en-US"/>
        </w:rPr>
      </w:pPr>
      <w:r w:rsidRPr="38958F80">
        <w:rPr>
          <w:b/>
          <w:bCs/>
          <w:color w:val="000000" w:themeColor="text1"/>
          <w:sz w:val="22"/>
          <w:szCs w:val="22"/>
        </w:rPr>
        <w:t>Barriers and solutions:</w:t>
      </w:r>
    </w:p>
    <w:p w14:paraId="4DFF31DA" w14:textId="57C3A5A2" w:rsidR="571B5EF2" w:rsidRDefault="571B5EF2" w:rsidP="38958F80">
      <w:pPr>
        <w:spacing w:before="240" w:after="240" w:line="360" w:lineRule="auto"/>
        <w:rPr>
          <w:color w:val="000000" w:themeColor="text1"/>
          <w:sz w:val="22"/>
          <w:szCs w:val="22"/>
          <w:lang w:val="en-US"/>
        </w:rPr>
      </w:pPr>
      <w:r w:rsidRPr="38958F80">
        <w:rPr>
          <w:color w:val="000000" w:themeColor="text1"/>
          <w:sz w:val="22"/>
          <w:szCs w:val="22"/>
        </w:rPr>
        <w:t xml:space="preserve"> Barriers include the underrepresentation of African professionals in healthcare leadership and institutional cultures that prioritise existing power structures. Overcoming these requires organisational commitment to equality, mentorship programmes, transparent recruitment processes, and measurable targets for representation. When African voices are present in policy development, services become more responsive, improving trust and engagement while reducing disparities.</w:t>
      </w:r>
    </w:p>
    <w:p w14:paraId="5EA9A01B" w14:textId="36389417" w:rsidR="5D95C5F5" w:rsidRDefault="5D95C5F5" w:rsidP="38958F80">
      <w:pPr>
        <w:spacing w:line="360" w:lineRule="auto"/>
        <w:rPr>
          <w:color w:val="000000" w:themeColor="text1"/>
          <w:sz w:val="22"/>
          <w:szCs w:val="22"/>
          <w:lang w:val="en-US"/>
        </w:rPr>
      </w:pPr>
    </w:p>
    <w:p w14:paraId="5AED1D7B" w14:textId="5E38D6E0" w:rsidR="571B5EF2" w:rsidRDefault="571B5EF2" w:rsidP="38958F80">
      <w:pPr>
        <w:spacing w:line="360" w:lineRule="auto"/>
        <w:rPr>
          <w:b/>
          <w:bCs/>
          <w:sz w:val="22"/>
          <w:szCs w:val="22"/>
          <w:lang w:val="en-US"/>
        </w:rPr>
      </w:pPr>
      <w:r w:rsidRPr="38958F80">
        <w:rPr>
          <w:b/>
          <w:bCs/>
          <w:sz w:val="22"/>
          <w:szCs w:val="22"/>
        </w:rPr>
        <w:t>Summary</w:t>
      </w:r>
    </w:p>
    <w:p w14:paraId="0D92393E" w14:textId="66B9DC66" w:rsidR="00F37855" w:rsidRPr="005B5CB5" w:rsidRDefault="571B5EF2" w:rsidP="005B5CB5">
      <w:pPr>
        <w:spacing w:before="240" w:after="240" w:line="360" w:lineRule="auto"/>
        <w:rPr>
          <w:b/>
          <w:bCs/>
          <w:color w:val="000000" w:themeColor="text1"/>
          <w:sz w:val="32"/>
          <w:szCs w:val="32"/>
          <w:lang w:val="en-US"/>
        </w:rPr>
      </w:pPr>
      <w:r w:rsidRPr="00F37855">
        <w:rPr>
          <w:color w:val="000000" w:themeColor="text1"/>
          <w:sz w:val="22"/>
          <w:szCs w:val="22"/>
        </w:rPr>
        <w:t>These recommendations collectively address cultural, structural, and institutional factors that restrict access to mental health services for African communities. Cultural competence ensures practitioners understand diverse experiences; community outreach promotes early engagement; and improved representation ensures mental health services are shaped by those they serve. Implementing these changes would support a more equitable and responsive mental health system, reduce inequalities and strengthen the well-being of African individuals across the UK.</w:t>
      </w:r>
      <w:r w:rsidR="569C5DD1" w:rsidRPr="00F37855">
        <w:rPr>
          <w:color w:val="000000" w:themeColor="text1"/>
          <w:sz w:val="22"/>
          <w:szCs w:val="22"/>
        </w:rPr>
        <w:t xml:space="preserve">                                                                       </w:t>
      </w:r>
      <w:r w:rsidR="569C5DD1" w:rsidRPr="00F37855">
        <w:rPr>
          <w:b/>
          <w:bCs/>
          <w:color w:val="000000" w:themeColor="text1"/>
          <w:sz w:val="32"/>
          <w:szCs w:val="32"/>
          <w:lang w:val="en-US"/>
        </w:rPr>
        <w:t>CHAPTER 6 Reference list</w:t>
      </w:r>
    </w:p>
    <w:p w14:paraId="291B62BE" w14:textId="7CDED704" w:rsidR="00F37855" w:rsidRDefault="4FE846AA" w:rsidP="37759C21">
      <w:pPr>
        <w:spacing w:before="240" w:after="240"/>
      </w:pPr>
      <w:proofErr w:type="spellStart"/>
      <w:r w:rsidRPr="37759C21">
        <w:rPr>
          <w:rFonts w:ascii="Arial" w:eastAsia="Arial" w:hAnsi="Arial" w:cs="Arial"/>
          <w:lang w:val="en-US"/>
        </w:rPr>
        <w:t>Adi</w:t>
      </w:r>
      <w:proofErr w:type="spellEnd"/>
      <w:r w:rsidRPr="37759C21">
        <w:rPr>
          <w:rFonts w:ascii="Arial" w:eastAsia="Arial" w:hAnsi="Arial" w:cs="Arial"/>
          <w:lang w:val="en-US"/>
        </w:rPr>
        <w:t xml:space="preserve">, Y. et al. (2018) ‘Mental health and African communities in England: a qualitative exploration’, </w:t>
      </w:r>
      <w:r w:rsidRPr="37759C21">
        <w:rPr>
          <w:rFonts w:ascii="Arial" w:eastAsia="Arial" w:hAnsi="Arial" w:cs="Arial"/>
          <w:i/>
          <w:iCs/>
          <w:lang w:val="en-US"/>
        </w:rPr>
        <w:t>International Journal of Migration, Health and Social Care</w:t>
      </w:r>
      <w:r w:rsidRPr="37759C21">
        <w:rPr>
          <w:rFonts w:ascii="Arial" w:eastAsia="Arial" w:hAnsi="Arial" w:cs="Arial"/>
          <w:lang w:val="en-US"/>
        </w:rPr>
        <w:t>, 14(2), pp. 123–135.</w:t>
      </w:r>
    </w:p>
    <w:p w14:paraId="08029D8A" w14:textId="12EBC43B" w:rsidR="00F37855" w:rsidRDefault="4FE846AA" w:rsidP="37759C21">
      <w:pPr>
        <w:spacing w:before="240" w:after="240"/>
      </w:pPr>
      <w:proofErr w:type="spellStart"/>
      <w:r w:rsidRPr="37759C21">
        <w:rPr>
          <w:rFonts w:ascii="Arial" w:eastAsia="Arial" w:hAnsi="Arial" w:cs="Arial"/>
          <w:lang w:val="en-US"/>
        </w:rPr>
        <w:t>Adegbembo</w:t>
      </w:r>
      <w:proofErr w:type="spellEnd"/>
      <w:r w:rsidRPr="37759C21">
        <w:rPr>
          <w:rFonts w:ascii="Arial" w:eastAsia="Arial" w:hAnsi="Arial" w:cs="Arial"/>
          <w:lang w:val="en-US"/>
        </w:rPr>
        <w:t xml:space="preserve">, A. and </w:t>
      </w:r>
      <w:proofErr w:type="spellStart"/>
      <w:r w:rsidRPr="37759C21">
        <w:rPr>
          <w:rFonts w:ascii="Arial" w:eastAsia="Arial" w:hAnsi="Arial" w:cs="Arial"/>
          <w:lang w:val="en-US"/>
        </w:rPr>
        <w:t>Adeyemi</w:t>
      </w:r>
      <w:proofErr w:type="spellEnd"/>
      <w:r w:rsidRPr="37759C21">
        <w:rPr>
          <w:rFonts w:ascii="Arial" w:eastAsia="Arial" w:hAnsi="Arial" w:cs="Arial"/>
          <w:lang w:val="en-US"/>
        </w:rPr>
        <w:t xml:space="preserve">, O. (2023) ‘African diaspora perceptions of UK mental health services’, </w:t>
      </w:r>
      <w:r w:rsidRPr="37759C21">
        <w:rPr>
          <w:rFonts w:ascii="Arial" w:eastAsia="Arial" w:hAnsi="Arial" w:cs="Arial"/>
          <w:i/>
          <w:iCs/>
          <w:lang w:val="en-US"/>
        </w:rPr>
        <w:t>Journal of Public Mental Health</w:t>
      </w:r>
      <w:r w:rsidRPr="37759C21">
        <w:rPr>
          <w:rFonts w:ascii="Arial" w:eastAsia="Arial" w:hAnsi="Arial" w:cs="Arial"/>
          <w:lang w:val="en-US"/>
        </w:rPr>
        <w:t>, 22(3), pp. 213–226.</w:t>
      </w:r>
    </w:p>
    <w:p w14:paraId="7C3D106C" w14:textId="31D29F0B" w:rsidR="00F37855" w:rsidRDefault="4FE846AA" w:rsidP="37759C21">
      <w:pPr>
        <w:spacing w:before="240" w:after="240"/>
      </w:pPr>
      <w:r w:rsidRPr="37759C21">
        <w:rPr>
          <w:rFonts w:ascii="Arial" w:eastAsia="Arial" w:hAnsi="Arial" w:cs="Arial"/>
          <w:lang w:val="en-US"/>
        </w:rPr>
        <w:t xml:space="preserve">Alam, S., </w:t>
      </w:r>
      <w:proofErr w:type="spellStart"/>
      <w:r w:rsidRPr="37759C21">
        <w:rPr>
          <w:rFonts w:ascii="Arial" w:eastAsia="Arial" w:hAnsi="Arial" w:cs="Arial"/>
          <w:lang w:val="en-US"/>
        </w:rPr>
        <w:t>O’Halloran</w:t>
      </w:r>
      <w:proofErr w:type="spellEnd"/>
      <w:r w:rsidRPr="37759C21">
        <w:rPr>
          <w:rFonts w:ascii="Arial" w:eastAsia="Arial" w:hAnsi="Arial" w:cs="Arial"/>
          <w:lang w:val="en-US"/>
        </w:rPr>
        <w:t xml:space="preserve">, S. and </w:t>
      </w:r>
      <w:proofErr w:type="spellStart"/>
      <w:r w:rsidRPr="37759C21">
        <w:rPr>
          <w:rFonts w:ascii="Arial" w:eastAsia="Arial" w:hAnsi="Arial" w:cs="Arial"/>
          <w:lang w:val="en-US"/>
        </w:rPr>
        <w:t>Fowke</w:t>
      </w:r>
      <w:proofErr w:type="spellEnd"/>
      <w:r w:rsidRPr="37759C21">
        <w:rPr>
          <w:rFonts w:ascii="Arial" w:eastAsia="Arial" w:hAnsi="Arial" w:cs="Arial"/>
          <w:lang w:val="en-US"/>
        </w:rPr>
        <w:t xml:space="preserve">, A. (2024a) ‘What are the barriers to mental health support for </w:t>
      </w:r>
      <w:proofErr w:type="spellStart"/>
      <w:r w:rsidRPr="37759C21">
        <w:rPr>
          <w:rFonts w:ascii="Arial" w:eastAsia="Arial" w:hAnsi="Arial" w:cs="Arial"/>
          <w:lang w:val="en-US"/>
        </w:rPr>
        <w:t>racially-minoritised</w:t>
      </w:r>
      <w:proofErr w:type="spellEnd"/>
      <w:r w:rsidRPr="37759C21">
        <w:rPr>
          <w:rFonts w:ascii="Arial" w:eastAsia="Arial" w:hAnsi="Arial" w:cs="Arial"/>
          <w:lang w:val="en-US"/>
        </w:rPr>
        <w:t xml:space="preserve"> people within the UK? A systematic review and thematic synthesis’, </w:t>
      </w:r>
      <w:r w:rsidRPr="37759C21">
        <w:rPr>
          <w:rFonts w:ascii="Arial" w:eastAsia="Arial" w:hAnsi="Arial" w:cs="Arial"/>
          <w:i/>
          <w:iCs/>
          <w:lang w:val="en-US"/>
        </w:rPr>
        <w:t xml:space="preserve">The Cognitive </w:t>
      </w:r>
      <w:proofErr w:type="spellStart"/>
      <w:r w:rsidRPr="37759C21">
        <w:rPr>
          <w:rFonts w:ascii="Arial" w:eastAsia="Arial" w:hAnsi="Arial" w:cs="Arial"/>
          <w:i/>
          <w:iCs/>
          <w:lang w:val="en-US"/>
        </w:rPr>
        <w:t>Behaviour</w:t>
      </w:r>
      <w:proofErr w:type="spellEnd"/>
      <w:r w:rsidRPr="37759C21">
        <w:rPr>
          <w:rFonts w:ascii="Arial" w:eastAsia="Arial" w:hAnsi="Arial" w:cs="Arial"/>
          <w:i/>
          <w:iCs/>
          <w:lang w:val="en-US"/>
        </w:rPr>
        <w:t xml:space="preserve"> Therapist</w:t>
      </w:r>
      <w:r w:rsidRPr="37759C21">
        <w:rPr>
          <w:rFonts w:ascii="Arial" w:eastAsia="Arial" w:hAnsi="Arial" w:cs="Arial"/>
          <w:lang w:val="en-US"/>
        </w:rPr>
        <w:t>, 17(10).</w:t>
      </w:r>
    </w:p>
    <w:p w14:paraId="0A4D1871" w14:textId="3FF281FA" w:rsidR="00F37855" w:rsidRDefault="4FE846AA" w:rsidP="37759C21">
      <w:pPr>
        <w:spacing w:before="240" w:after="240"/>
      </w:pPr>
      <w:r w:rsidRPr="37759C21">
        <w:rPr>
          <w:rFonts w:ascii="Arial" w:eastAsia="Arial" w:hAnsi="Arial" w:cs="Arial"/>
          <w:lang w:val="en-US"/>
        </w:rPr>
        <w:t xml:space="preserve">Alam, S., </w:t>
      </w:r>
      <w:proofErr w:type="spellStart"/>
      <w:r w:rsidRPr="37759C21">
        <w:rPr>
          <w:rFonts w:ascii="Arial" w:eastAsia="Arial" w:hAnsi="Arial" w:cs="Arial"/>
          <w:lang w:val="en-US"/>
        </w:rPr>
        <w:t>O’Halloran</w:t>
      </w:r>
      <w:proofErr w:type="spellEnd"/>
      <w:r w:rsidRPr="37759C21">
        <w:rPr>
          <w:rFonts w:ascii="Arial" w:eastAsia="Arial" w:hAnsi="Arial" w:cs="Arial"/>
          <w:lang w:val="en-US"/>
        </w:rPr>
        <w:t xml:space="preserve">, S. and </w:t>
      </w:r>
      <w:proofErr w:type="spellStart"/>
      <w:r w:rsidRPr="37759C21">
        <w:rPr>
          <w:rFonts w:ascii="Arial" w:eastAsia="Arial" w:hAnsi="Arial" w:cs="Arial"/>
          <w:lang w:val="en-US"/>
        </w:rPr>
        <w:t>Fowke</w:t>
      </w:r>
      <w:proofErr w:type="spellEnd"/>
      <w:r w:rsidRPr="37759C21">
        <w:rPr>
          <w:rFonts w:ascii="Arial" w:eastAsia="Arial" w:hAnsi="Arial" w:cs="Arial"/>
          <w:lang w:val="en-US"/>
        </w:rPr>
        <w:t xml:space="preserve">, A. (2024b) </w:t>
      </w:r>
      <w:r w:rsidRPr="37759C21">
        <w:rPr>
          <w:rFonts w:ascii="Arial" w:eastAsia="Arial" w:hAnsi="Arial" w:cs="Arial"/>
          <w:i/>
          <w:iCs/>
          <w:lang w:val="en-US"/>
        </w:rPr>
        <w:t xml:space="preserve">What are the barriers to mental health support for </w:t>
      </w:r>
      <w:proofErr w:type="spellStart"/>
      <w:r w:rsidRPr="37759C21">
        <w:rPr>
          <w:rFonts w:ascii="Arial" w:eastAsia="Arial" w:hAnsi="Arial" w:cs="Arial"/>
          <w:i/>
          <w:iCs/>
          <w:lang w:val="en-US"/>
        </w:rPr>
        <w:t>racially-minoritised</w:t>
      </w:r>
      <w:proofErr w:type="spellEnd"/>
      <w:r w:rsidRPr="37759C21">
        <w:rPr>
          <w:rFonts w:ascii="Arial" w:eastAsia="Arial" w:hAnsi="Arial" w:cs="Arial"/>
          <w:i/>
          <w:iCs/>
          <w:lang w:val="en-US"/>
        </w:rPr>
        <w:t xml:space="preserve"> people within the UK? A systematic review and thematic synthesis</w:t>
      </w:r>
      <w:r w:rsidRPr="37759C21">
        <w:rPr>
          <w:rFonts w:ascii="Arial" w:eastAsia="Arial" w:hAnsi="Arial" w:cs="Arial"/>
          <w:lang w:val="en-US"/>
        </w:rPr>
        <w:t xml:space="preserve">. [online] Available at: </w:t>
      </w:r>
      <w:hyperlink r:id="rId6">
        <w:r w:rsidRPr="37759C21">
          <w:rPr>
            <w:rStyle w:val="Hyperlink"/>
            <w:rFonts w:ascii="Arial" w:eastAsia="Arial" w:hAnsi="Arial" w:cs="Arial"/>
            <w:lang w:val="en-US"/>
          </w:rPr>
          <w:t>https://discovery.ucl.ac.uk/id/eprint/10190220/1/What_are_the_barriers_to_mental_health_support_for.pdf</w:t>
        </w:r>
      </w:hyperlink>
      <w:r w:rsidRPr="37759C21">
        <w:rPr>
          <w:rFonts w:ascii="Arial" w:eastAsia="Arial" w:hAnsi="Arial" w:cs="Arial"/>
          <w:lang w:val="en-US"/>
        </w:rPr>
        <w:t>.</w:t>
      </w:r>
    </w:p>
    <w:p w14:paraId="71D58C94" w14:textId="06FC9B31" w:rsidR="00F37855" w:rsidRDefault="4FE846AA" w:rsidP="37759C21">
      <w:pPr>
        <w:spacing w:before="240" w:after="240"/>
      </w:pPr>
      <w:r w:rsidRPr="37759C21">
        <w:rPr>
          <w:rFonts w:ascii="Arial" w:eastAsia="Arial" w:hAnsi="Arial" w:cs="Arial"/>
          <w:lang w:val="en-US"/>
        </w:rPr>
        <w:t xml:space="preserve">Alegría, M. et al. (2018) ‘Social determinants of mental health: where we are and where we need to go’, </w:t>
      </w:r>
      <w:r w:rsidRPr="37759C21">
        <w:rPr>
          <w:rFonts w:ascii="Arial" w:eastAsia="Arial" w:hAnsi="Arial" w:cs="Arial"/>
          <w:i/>
          <w:iCs/>
          <w:lang w:val="en-US"/>
        </w:rPr>
        <w:t>Current Psychiatry Reports</w:t>
      </w:r>
      <w:r w:rsidRPr="37759C21">
        <w:rPr>
          <w:rFonts w:ascii="Arial" w:eastAsia="Arial" w:hAnsi="Arial" w:cs="Arial"/>
          <w:lang w:val="en-US"/>
        </w:rPr>
        <w:t>, 20(11).</w:t>
      </w:r>
    </w:p>
    <w:p w14:paraId="63B472AA" w14:textId="186745D8" w:rsidR="00F37855" w:rsidRDefault="4FE846AA" w:rsidP="37759C21">
      <w:pPr>
        <w:spacing w:before="240" w:after="240"/>
      </w:pPr>
      <w:proofErr w:type="spellStart"/>
      <w:r w:rsidRPr="37759C21">
        <w:rPr>
          <w:rFonts w:ascii="Arial" w:eastAsia="Arial" w:hAnsi="Arial" w:cs="Arial"/>
          <w:lang w:val="en-US"/>
        </w:rPr>
        <w:t>Alleyne</w:t>
      </w:r>
      <w:proofErr w:type="spellEnd"/>
      <w:r w:rsidRPr="37759C21">
        <w:rPr>
          <w:rFonts w:ascii="Arial" w:eastAsia="Arial" w:hAnsi="Arial" w:cs="Arial"/>
          <w:lang w:val="en-US"/>
        </w:rPr>
        <w:t xml:space="preserve">, O. (2024) </w:t>
      </w:r>
      <w:r w:rsidRPr="37759C21">
        <w:rPr>
          <w:rFonts w:ascii="Arial" w:eastAsia="Arial" w:hAnsi="Arial" w:cs="Arial"/>
          <w:i/>
          <w:iCs/>
          <w:lang w:val="en-US"/>
        </w:rPr>
        <w:t>Exploring Black British African and Caribbean peoples’ experiences of mental health challenges and help-seeking</w:t>
      </w:r>
      <w:r w:rsidRPr="37759C21">
        <w:rPr>
          <w:rFonts w:ascii="Arial" w:eastAsia="Arial" w:hAnsi="Arial" w:cs="Arial"/>
          <w:lang w:val="en-US"/>
        </w:rPr>
        <w:t xml:space="preserve">. [online] Available at: </w:t>
      </w:r>
      <w:hyperlink r:id="rId7">
        <w:r w:rsidRPr="37759C21">
          <w:rPr>
            <w:rStyle w:val="Hyperlink"/>
            <w:rFonts w:ascii="Arial" w:eastAsia="Arial" w:hAnsi="Arial" w:cs="Arial"/>
            <w:lang w:val="en-US"/>
          </w:rPr>
          <w:t>https://etheses.whiterose.ac.uk/id/eprint/35535/1/Alleyne%2C%20210154755%20FINAL.pdf</w:t>
        </w:r>
      </w:hyperlink>
      <w:r w:rsidRPr="37759C21">
        <w:rPr>
          <w:rFonts w:ascii="Arial" w:eastAsia="Arial" w:hAnsi="Arial" w:cs="Arial"/>
          <w:lang w:val="en-US"/>
        </w:rPr>
        <w:t>.</w:t>
      </w:r>
    </w:p>
    <w:p w14:paraId="58813AA0" w14:textId="629AC3BB" w:rsidR="00F37855" w:rsidRDefault="4FE846AA" w:rsidP="37759C21">
      <w:pPr>
        <w:spacing w:before="240" w:after="240"/>
      </w:pPr>
      <w:r w:rsidRPr="37759C21">
        <w:rPr>
          <w:rFonts w:ascii="Arial" w:eastAsia="Arial" w:hAnsi="Arial" w:cs="Arial"/>
          <w:lang w:val="en-US"/>
        </w:rPr>
        <w:t xml:space="preserve">Andersen, R. (1995) ‘Revisiting the behavioral model and access to medical care’, </w:t>
      </w:r>
      <w:r w:rsidRPr="37759C21">
        <w:rPr>
          <w:rFonts w:ascii="Arial" w:eastAsia="Arial" w:hAnsi="Arial" w:cs="Arial"/>
          <w:i/>
          <w:iCs/>
          <w:lang w:val="en-US"/>
        </w:rPr>
        <w:t>Journal of Health and Social Behavior</w:t>
      </w:r>
      <w:r w:rsidRPr="37759C21">
        <w:rPr>
          <w:rFonts w:ascii="Arial" w:eastAsia="Arial" w:hAnsi="Arial" w:cs="Arial"/>
          <w:lang w:val="en-US"/>
        </w:rPr>
        <w:t>, 36(1), pp. 1–10.</w:t>
      </w:r>
    </w:p>
    <w:p w14:paraId="7DF82DCB" w14:textId="5891B9CF" w:rsidR="00F37855" w:rsidRDefault="4FE846AA" w:rsidP="37759C21">
      <w:pPr>
        <w:spacing w:before="240" w:after="240"/>
      </w:pPr>
      <w:proofErr w:type="spellStart"/>
      <w:r w:rsidRPr="37759C21">
        <w:rPr>
          <w:rFonts w:ascii="Arial" w:eastAsia="Arial" w:hAnsi="Arial" w:cs="Arial"/>
          <w:lang w:val="en-US"/>
        </w:rPr>
        <w:t>Bamrah</w:t>
      </w:r>
      <w:proofErr w:type="spellEnd"/>
      <w:r w:rsidRPr="37759C21">
        <w:rPr>
          <w:rFonts w:ascii="Arial" w:eastAsia="Arial" w:hAnsi="Arial" w:cs="Arial"/>
          <w:lang w:val="en-US"/>
        </w:rPr>
        <w:t xml:space="preserve">, J.S., Rodger, S. and </w:t>
      </w:r>
      <w:proofErr w:type="spellStart"/>
      <w:r w:rsidRPr="37759C21">
        <w:rPr>
          <w:rFonts w:ascii="Arial" w:eastAsia="Arial" w:hAnsi="Arial" w:cs="Arial"/>
          <w:lang w:val="en-US"/>
        </w:rPr>
        <w:t>Naqvi</w:t>
      </w:r>
      <w:proofErr w:type="spellEnd"/>
      <w:r w:rsidRPr="37759C21">
        <w:rPr>
          <w:rFonts w:ascii="Arial" w:eastAsia="Arial" w:hAnsi="Arial" w:cs="Arial"/>
          <w:lang w:val="en-US"/>
        </w:rPr>
        <w:t xml:space="preserve">, H. (2024) ‘Racial disparities influence access and outcomes in talking therapies’, </w:t>
      </w:r>
      <w:r w:rsidRPr="37759C21">
        <w:rPr>
          <w:rFonts w:ascii="Arial" w:eastAsia="Arial" w:hAnsi="Arial" w:cs="Arial"/>
          <w:i/>
          <w:iCs/>
          <w:lang w:val="en-US"/>
        </w:rPr>
        <w:t>The British Journal of Psychiatry</w:t>
      </w:r>
      <w:r w:rsidRPr="37759C21">
        <w:rPr>
          <w:rFonts w:ascii="Arial" w:eastAsia="Arial" w:hAnsi="Arial" w:cs="Arial"/>
          <w:lang w:val="en-US"/>
        </w:rPr>
        <w:t>, pp. 1–3.</w:t>
      </w:r>
    </w:p>
    <w:p w14:paraId="146C04D7" w14:textId="01487687" w:rsidR="00F37855" w:rsidRDefault="4FE846AA" w:rsidP="37759C21">
      <w:pPr>
        <w:spacing w:before="240" w:after="240"/>
      </w:pPr>
      <w:proofErr w:type="spellStart"/>
      <w:r w:rsidRPr="37759C21">
        <w:rPr>
          <w:rFonts w:ascii="Arial" w:eastAsia="Arial" w:hAnsi="Arial" w:cs="Arial"/>
          <w:lang w:val="en-US"/>
        </w:rPr>
        <w:t>Bansal</w:t>
      </w:r>
      <w:proofErr w:type="spellEnd"/>
      <w:r w:rsidRPr="37759C21">
        <w:rPr>
          <w:rFonts w:ascii="Arial" w:eastAsia="Arial" w:hAnsi="Arial" w:cs="Arial"/>
          <w:lang w:val="en-US"/>
        </w:rPr>
        <w:t xml:space="preserve">, N., Mirza, N. and Patel, K. (2022) ‘Mental health inequalities in </w:t>
      </w:r>
      <w:proofErr w:type="spellStart"/>
      <w:r w:rsidRPr="37759C21">
        <w:rPr>
          <w:rFonts w:ascii="Arial" w:eastAsia="Arial" w:hAnsi="Arial" w:cs="Arial"/>
          <w:lang w:val="en-US"/>
        </w:rPr>
        <w:t>racialised</w:t>
      </w:r>
      <w:proofErr w:type="spellEnd"/>
      <w:r w:rsidRPr="37759C21">
        <w:rPr>
          <w:rFonts w:ascii="Arial" w:eastAsia="Arial" w:hAnsi="Arial" w:cs="Arial"/>
          <w:lang w:val="en-US"/>
        </w:rPr>
        <w:t xml:space="preserve"> populations’, </w:t>
      </w:r>
      <w:r w:rsidRPr="37759C21">
        <w:rPr>
          <w:rFonts w:ascii="Arial" w:eastAsia="Arial" w:hAnsi="Arial" w:cs="Arial"/>
          <w:i/>
          <w:iCs/>
          <w:lang w:val="en-US"/>
        </w:rPr>
        <w:t>The Lancet Psychiatry</w:t>
      </w:r>
      <w:r w:rsidRPr="37759C21">
        <w:rPr>
          <w:rFonts w:ascii="Arial" w:eastAsia="Arial" w:hAnsi="Arial" w:cs="Arial"/>
          <w:lang w:val="en-US"/>
        </w:rPr>
        <w:t>.</w:t>
      </w:r>
    </w:p>
    <w:p w14:paraId="27B4C2D6" w14:textId="66B12D96" w:rsidR="00F37855" w:rsidRDefault="4FE846AA" w:rsidP="37759C21">
      <w:pPr>
        <w:spacing w:before="240" w:after="240"/>
      </w:pPr>
      <w:proofErr w:type="spellStart"/>
      <w:r w:rsidRPr="37759C21">
        <w:rPr>
          <w:rFonts w:ascii="Arial" w:eastAsia="Arial" w:hAnsi="Arial" w:cs="Arial"/>
          <w:lang w:val="en-US"/>
        </w:rPr>
        <w:t>Bansal</w:t>
      </w:r>
      <w:proofErr w:type="spellEnd"/>
      <w:r w:rsidRPr="37759C21">
        <w:rPr>
          <w:rFonts w:ascii="Arial" w:eastAsia="Arial" w:hAnsi="Arial" w:cs="Arial"/>
          <w:lang w:val="en-US"/>
        </w:rPr>
        <w:t xml:space="preserve">, N. et al. (2022) ‘Understanding ethnic inequalities in mental healthcare in the UK: a meta-ethnography’, </w:t>
      </w:r>
      <w:r w:rsidRPr="37759C21">
        <w:rPr>
          <w:rFonts w:ascii="Arial" w:eastAsia="Arial" w:hAnsi="Arial" w:cs="Arial"/>
          <w:i/>
          <w:iCs/>
          <w:lang w:val="en-US"/>
        </w:rPr>
        <w:t>PLOS Medicine</w:t>
      </w:r>
      <w:r w:rsidRPr="37759C21">
        <w:rPr>
          <w:rFonts w:ascii="Arial" w:eastAsia="Arial" w:hAnsi="Arial" w:cs="Arial"/>
          <w:lang w:val="en-US"/>
        </w:rPr>
        <w:t>, 19(12), pp. 1–36.</w:t>
      </w:r>
    </w:p>
    <w:p w14:paraId="139A7BB2" w14:textId="36B57E79" w:rsidR="00F37855" w:rsidRDefault="4FE846AA" w:rsidP="37759C21">
      <w:pPr>
        <w:spacing w:before="240" w:after="240"/>
      </w:pPr>
      <w:r w:rsidRPr="37759C21">
        <w:rPr>
          <w:rFonts w:ascii="Arial" w:eastAsia="Arial" w:hAnsi="Arial" w:cs="Arial"/>
          <w:lang w:val="en-US"/>
        </w:rPr>
        <w:t xml:space="preserve">Bassey, A. and </w:t>
      </w:r>
      <w:proofErr w:type="spellStart"/>
      <w:r w:rsidRPr="37759C21">
        <w:rPr>
          <w:rFonts w:ascii="Arial" w:eastAsia="Arial" w:hAnsi="Arial" w:cs="Arial"/>
          <w:lang w:val="en-US"/>
        </w:rPr>
        <w:t>Zaka</w:t>
      </w:r>
      <w:proofErr w:type="spellEnd"/>
      <w:r w:rsidRPr="37759C21">
        <w:rPr>
          <w:rFonts w:ascii="Arial" w:eastAsia="Arial" w:hAnsi="Arial" w:cs="Arial"/>
          <w:lang w:val="en-US"/>
        </w:rPr>
        <w:t xml:space="preserve">, R. (2024) ‘Barriers to mental health service </w:t>
      </w:r>
      <w:proofErr w:type="spellStart"/>
      <w:r w:rsidRPr="37759C21">
        <w:rPr>
          <w:rFonts w:ascii="Arial" w:eastAsia="Arial" w:hAnsi="Arial" w:cs="Arial"/>
          <w:lang w:val="en-US"/>
        </w:rPr>
        <w:t>utilisation</w:t>
      </w:r>
      <w:proofErr w:type="spellEnd"/>
      <w:r w:rsidRPr="37759C21">
        <w:rPr>
          <w:rFonts w:ascii="Arial" w:eastAsia="Arial" w:hAnsi="Arial" w:cs="Arial"/>
          <w:lang w:val="en-US"/>
        </w:rPr>
        <w:t xml:space="preserve"> among African immigrants in the United Kingdom: a systematic review’, </w:t>
      </w:r>
      <w:r w:rsidRPr="37759C21">
        <w:rPr>
          <w:rFonts w:ascii="Arial" w:eastAsia="Arial" w:hAnsi="Arial" w:cs="Arial"/>
          <w:i/>
          <w:iCs/>
          <w:lang w:val="en-US"/>
        </w:rPr>
        <w:t>Public Health Challenges</w:t>
      </w:r>
      <w:r w:rsidRPr="37759C21">
        <w:rPr>
          <w:rFonts w:ascii="Arial" w:eastAsia="Arial" w:hAnsi="Arial" w:cs="Arial"/>
          <w:lang w:val="en-US"/>
        </w:rPr>
        <w:t>, 3(2).</w:t>
      </w:r>
    </w:p>
    <w:p w14:paraId="4EE0A790" w14:textId="52275561" w:rsidR="00F37855" w:rsidRDefault="4FE846AA" w:rsidP="37759C21">
      <w:pPr>
        <w:spacing w:before="240" w:after="240"/>
      </w:pPr>
      <w:proofErr w:type="spellStart"/>
      <w:r w:rsidRPr="37759C21">
        <w:rPr>
          <w:rFonts w:ascii="Arial" w:eastAsia="Arial" w:hAnsi="Arial" w:cs="Arial"/>
          <w:lang w:val="en-US"/>
        </w:rPr>
        <w:t>Bécares</w:t>
      </w:r>
      <w:proofErr w:type="spellEnd"/>
      <w:r w:rsidRPr="37759C21">
        <w:rPr>
          <w:rFonts w:ascii="Arial" w:eastAsia="Arial" w:hAnsi="Arial" w:cs="Arial"/>
          <w:lang w:val="en-US"/>
        </w:rPr>
        <w:t xml:space="preserve">, L. and </w:t>
      </w:r>
      <w:proofErr w:type="spellStart"/>
      <w:r w:rsidRPr="37759C21">
        <w:rPr>
          <w:rFonts w:ascii="Arial" w:eastAsia="Arial" w:hAnsi="Arial" w:cs="Arial"/>
          <w:lang w:val="en-US"/>
        </w:rPr>
        <w:t>Kapadia</w:t>
      </w:r>
      <w:proofErr w:type="spellEnd"/>
      <w:r w:rsidRPr="37759C21">
        <w:rPr>
          <w:rFonts w:ascii="Arial" w:eastAsia="Arial" w:hAnsi="Arial" w:cs="Arial"/>
          <w:lang w:val="en-US"/>
        </w:rPr>
        <w:t xml:space="preserve">, D. (2023) ‘Ethnic inequalities in health in the UK’, </w:t>
      </w:r>
      <w:r w:rsidRPr="37759C21">
        <w:rPr>
          <w:rFonts w:ascii="Arial" w:eastAsia="Arial" w:hAnsi="Arial" w:cs="Arial"/>
          <w:i/>
          <w:iCs/>
          <w:lang w:val="en-US"/>
        </w:rPr>
        <w:t>BMJ</w:t>
      </w:r>
      <w:r w:rsidRPr="37759C21">
        <w:rPr>
          <w:rFonts w:ascii="Arial" w:eastAsia="Arial" w:hAnsi="Arial" w:cs="Arial"/>
          <w:lang w:val="en-US"/>
        </w:rPr>
        <w:t>, 381(1150).</w:t>
      </w:r>
    </w:p>
    <w:p w14:paraId="238F4659" w14:textId="47361501" w:rsidR="00F37855" w:rsidRDefault="4FE846AA" w:rsidP="37759C21">
      <w:pPr>
        <w:spacing w:before="240" w:after="240"/>
      </w:pPr>
      <w:r w:rsidRPr="37759C21">
        <w:rPr>
          <w:rFonts w:ascii="Arial" w:eastAsia="Arial" w:hAnsi="Arial" w:cs="Arial"/>
          <w:lang w:val="en-US"/>
        </w:rPr>
        <w:t xml:space="preserve">Betancourt, J.R. et al. (2003) ‘Defining cultural competence: a practical framework for addressing racial/ethnic disparities in health and health care’, </w:t>
      </w:r>
      <w:r w:rsidRPr="37759C21">
        <w:rPr>
          <w:rFonts w:ascii="Arial" w:eastAsia="Arial" w:hAnsi="Arial" w:cs="Arial"/>
          <w:i/>
          <w:iCs/>
          <w:lang w:val="en-US"/>
        </w:rPr>
        <w:t>Public Health Reports</w:t>
      </w:r>
      <w:r w:rsidRPr="37759C21">
        <w:rPr>
          <w:rFonts w:ascii="Arial" w:eastAsia="Arial" w:hAnsi="Arial" w:cs="Arial"/>
          <w:lang w:val="en-US"/>
        </w:rPr>
        <w:t>, 118(4), pp. 293–302.</w:t>
      </w:r>
    </w:p>
    <w:p w14:paraId="6B5C1E2B" w14:textId="6E480089" w:rsidR="00F37855" w:rsidRDefault="4FE846AA" w:rsidP="37759C21">
      <w:pPr>
        <w:spacing w:before="240" w:after="240"/>
      </w:pPr>
      <w:proofErr w:type="spellStart"/>
      <w:r w:rsidRPr="37759C21">
        <w:rPr>
          <w:rFonts w:ascii="Arial" w:eastAsia="Arial" w:hAnsi="Arial" w:cs="Arial"/>
          <w:lang w:val="en-US"/>
        </w:rPr>
        <w:t>Bhugra</w:t>
      </w:r>
      <w:proofErr w:type="spellEnd"/>
      <w:r w:rsidRPr="37759C21">
        <w:rPr>
          <w:rFonts w:ascii="Arial" w:eastAsia="Arial" w:hAnsi="Arial" w:cs="Arial"/>
          <w:lang w:val="en-US"/>
        </w:rPr>
        <w:t xml:space="preserve">, D., Till, A. and </w:t>
      </w:r>
      <w:proofErr w:type="spellStart"/>
      <w:r w:rsidRPr="37759C21">
        <w:rPr>
          <w:rFonts w:ascii="Arial" w:eastAsia="Arial" w:hAnsi="Arial" w:cs="Arial"/>
          <w:lang w:val="en-US"/>
        </w:rPr>
        <w:t>Sartorius</w:t>
      </w:r>
      <w:proofErr w:type="spellEnd"/>
      <w:r w:rsidRPr="37759C21">
        <w:rPr>
          <w:rFonts w:ascii="Arial" w:eastAsia="Arial" w:hAnsi="Arial" w:cs="Arial"/>
          <w:lang w:val="en-US"/>
        </w:rPr>
        <w:t xml:space="preserve">, N. (2013) ‘What is mental health?’, </w:t>
      </w:r>
      <w:r w:rsidRPr="37759C21">
        <w:rPr>
          <w:rFonts w:ascii="Arial" w:eastAsia="Arial" w:hAnsi="Arial" w:cs="Arial"/>
          <w:i/>
          <w:iCs/>
          <w:lang w:val="en-US"/>
        </w:rPr>
        <w:t>International Journal of Social Psychiatry</w:t>
      </w:r>
      <w:r w:rsidRPr="37759C21">
        <w:rPr>
          <w:rFonts w:ascii="Arial" w:eastAsia="Arial" w:hAnsi="Arial" w:cs="Arial"/>
          <w:lang w:val="en-US"/>
        </w:rPr>
        <w:t>, 59(1), pp. 3–4.</w:t>
      </w:r>
    </w:p>
    <w:p w14:paraId="4163D965" w14:textId="0C328545" w:rsidR="00F37855" w:rsidRDefault="4FE846AA" w:rsidP="37759C21">
      <w:pPr>
        <w:spacing w:before="240" w:after="240"/>
      </w:pPr>
      <w:proofErr w:type="spellStart"/>
      <w:r w:rsidRPr="37759C21">
        <w:rPr>
          <w:rFonts w:ascii="Arial" w:eastAsia="Arial" w:hAnsi="Arial" w:cs="Arial"/>
          <w:lang w:val="en-US"/>
        </w:rPr>
        <w:t>Bhui</w:t>
      </w:r>
      <w:proofErr w:type="spellEnd"/>
      <w:r w:rsidRPr="37759C21">
        <w:rPr>
          <w:rFonts w:ascii="Arial" w:eastAsia="Arial" w:hAnsi="Arial" w:cs="Arial"/>
          <w:lang w:val="en-US"/>
        </w:rPr>
        <w:t xml:space="preserve">, K. et al. (2018) ‘Ethnic variations in pathways to mental health care’, </w:t>
      </w:r>
      <w:r w:rsidRPr="37759C21">
        <w:rPr>
          <w:rFonts w:ascii="Arial" w:eastAsia="Arial" w:hAnsi="Arial" w:cs="Arial"/>
          <w:i/>
          <w:iCs/>
          <w:lang w:val="en-US"/>
        </w:rPr>
        <w:t>British Journal of Psychiatry</w:t>
      </w:r>
      <w:r w:rsidRPr="37759C21">
        <w:rPr>
          <w:rFonts w:ascii="Arial" w:eastAsia="Arial" w:hAnsi="Arial" w:cs="Arial"/>
          <w:lang w:val="en-US"/>
        </w:rPr>
        <w:t>, 212(2), pp. 63–68.</w:t>
      </w:r>
    </w:p>
    <w:p w14:paraId="4D27A56D" w14:textId="05FA0F6F" w:rsidR="00F37855" w:rsidRDefault="4FE846AA" w:rsidP="37759C21">
      <w:pPr>
        <w:spacing w:before="240" w:after="240"/>
      </w:pPr>
      <w:proofErr w:type="spellStart"/>
      <w:r w:rsidRPr="37759C21">
        <w:rPr>
          <w:rFonts w:ascii="Arial" w:eastAsia="Arial" w:hAnsi="Arial" w:cs="Arial"/>
          <w:lang w:val="en-US"/>
        </w:rPr>
        <w:t>Bignall</w:t>
      </w:r>
      <w:proofErr w:type="spellEnd"/>
      <w:r w:rsidRPr="37759C21">
        <w:rPr>
          <w:rFonts w:ascii="Arial" w:eastAsia="Arial" w:hAnsi="Arial" w:cs="Arial"/>
          <w:lang w:val="en-US"/>
        </w:rPr>
        <w:t xml:space="preserve">, T. et al. (2019) </w:t>
      </w:r>
      <w:r w:rsidRPr="37759C21">
        <w:rPr>
          <w:rFonts w:ascii="Arial" w:eastAsia="Arial" w:hAnsi="Arial" w:cs="Arial"/>
          <w:i/>
          <w:iCs/>
          <w:lang w:val="en-US"/>
        </w:rPr>
        <w:t>Racial disparities in mental health: literature and evidence review</w:t>
      </w:r>
      <w:r w:rsidRPr="37759C21">
        <w:rPr>
          <w:rFonts w:ascii="Arial" w:eastAsia="Arial" w:hAnsi="Arial" w:cs="Arial"/>
          <w:lang w:val="en-US"/>
        </w:rPr>
        <w:t>. London: Race Equality Foundation.</w:t>
      </w:r>
    </w:p>
    <w:p w14:paraId="0898CB7B" w14:textId="21C9B896" w:rsidR="00F37855" w:rsidRDefault="4FE846AA" w:rsidP="37759C21">
      <w:pPr>
        <w:spacing w:before="240" w:after="240"/>
      </w:pPr>
      <w:r w:rsidRPr="37759C21">
        <w:rPr>
          <w:rFonts w:ascii="Arial" w:eastAsia="Arial" w:hAnsi="Arial" w:cs="Arial"/>
          <w:lang w:val="en-US"/>
        </w:rPr>
        <w:t xml:space="preserve">Braun, V. and Clarke, V. (2006) ‘Using thematic analysis in psychology’, </w:t>
      </w:r>
      <w:r w:rsidRPr="37759C21">
        <w:rPr>
          <w:rFonts w:ascii="Arial" w:eastAsia="Arial" w:hAnsi="Arial" w:cs="Arial"/>
          <w:i/>
          <w:iCs/>
          <w:lang w:val="en-US"/>
        </w:rPr>
        <w:t>Qualitative Research in Psychology</w:t>
      </w:r>
      <w:r w:rsidRPr="37759C21">
        <w:rPr>
          <w:rFonts w:ascii="Arial" w:eastAsia="Arial" w:hAnsi="Arial" w:cs="Arial"/>
          <w:lang w:val="en-US"/>
        </w:rPr>
        <w:t>, 3(2), pp. 77–101.</w:t>
      </w:r>
    </w:p>
    <w:p w14:paraId="37520A1C" w14:textId="747CED6D" w:rsidR="00F37855" w:rsidRDefault="4FE846AA" w:rsidP="37759C21">
      <w:pPr>
        <w:spacing w:before="240" w:after="240"/>
      </w:pPr>
      <w:r w:rsidRPr="37759C21">
        <w:rPr>
          <w:rFonts w:ascii="Arial" w:eastAsia="Arial" w:hAnsi="Arial" w:cs="Arial"/>
          <w:lang w:val="en-US"/>
        </w:rPr>
        <w:t xml:space="preserve">Care Quality Commission (2021) </w:t>
      </w:r>
      <w:r w:rsidRPr="37759C21">
        <w:rPr>
          <w:rFonts w:ascii="Arial" w:eastAsia="Arial" w:hAnsi="Arial" w:cs="Arial"/>
          <w:i/>
          <w:iCs/>
          <w:lang w:val="en-US"/>
        </w:rPr>
        <w:t>Monitoring the Mental Health Act: Inequalities Report</w:t>
      </w:r>
      <w:r w:rsidRPr="37759C21">
        <w:rPr>
          <w:rFonts w:ascii="Arial" w:eastAsia="Arial" w:hAnsi="Arial" w:cs="Arial"/>
          <w:lang w:val="en-US"/>
        </w:rPr>
        <w:t>.</w:t>
      </w:r>
    </w:p>
    <w:p w14:paraId="62F77D6F" w14:textId="4E8A2348" w:rsidR="00F37855" w:rsidRDefault="4FE846AA" w:rsidP="37759C21">
      <w:pPr>
        <w:spacing w:before="240" w:after="240"/>
      </w:pPr>
      <w:r w:rsidRPr="37759C21">
        <w:rPr>
          <w:rFonts w:ascii="Arial" w:eastAsia="Arial" w:hAnsi="Arial" w:cs="Arial"/>
          <w:lang w:val="en-US"/>
        </w:rPr>
        <w:t xml:space="preserve">Care Quality Commission (2023) </w:t>
      </w:r>
      <w:r w:rsidRPr="37759C21">
        <w:rPr>
          <w:rFonts w:ascii="Arial" w:eastAsia="Arial" w:hAnsi="Arial" w:cs="Arial"/>
          <w:i/>
          <w:iCs/>
          <w:lang w:val="en-US"/>
        </w:rPr>
        <w:t>Inequalities</w:t>
      </w:r>
      <w:r w:rsidRPr="37759C21">
        <w:rPr>
          <w:rFonts w:ascii="Arial" w:eastAsia="Arial" w:hAnsi="Arial" w:cs="Arial"/>
          <w:lang w:val="en-US"/>
        </w:rPr>
        <w:t xml:space="preserve">. [online] Available at: </w:t>
      </w:r>
      <w:hyperlink r:id="rId8">
        <w:r w:rsidRPr="37759C21">
          <w:rPr>
            <w:rStyle w:val="Hyperlink"/>
            <w:rFonts w:ascii="Arial" w:eastAsia="Arial" w:hAnsi="Arial" w:cs="Arial"/>
            <w:lang w:val="en-US"/>
          </w:rPr>
          <w:t>https://www.cqc.org.uk/publications/monitoring-mental-health-act/2023-2024/inequalities</w:t>
        </w:r>
      </w:hyperlink>
      <w:r w:rsidRPr="37759C21">
        <w:rPr>
          <w:rFonts w:ascii="Arial" w:eastAsia="Arial" w:hAnsi="Arial" w:cs="Arial"/>
          <w:lang w:val="en-US"/>
        </w:rPr>
        <w:t>.</w:t>
      </w:r>
    </w:p>
    <w:p w14:paraId="1A677116" w14:textId="738E89D4" w:rsidR="00F37855" w:rsidRDefault="4FE846AA" w:rsidP="37759C21">
      <w:pPr>
        <w:spacing w:before="240" w:after="240"/>
      </w:pPr>
      <w:r w:rsidRPr="37759C21">
        <w:rPr>
          <w:rFonts w:ascii="Arial" w:eastAsia="Arial" w:hAnsi="Arial" w:cs="Arial"/>
          <w:lang w:val="en-US"/>
        </w:rPr>
        <w:t xml:space="preserve">Clark, D. (2018) ‘IAPT at 10: achievements and challenges’, </w:t>
      </w:r>
      <w:r w:rsidRPr="37759C21">
        <w:rPr>
          <w:rFonts w:ascii="Arial" w:eastAsia="Arial" w:hAnsi="Arial" w:cs="Arial"/>
          <w:i/>
          <w:iCs/>
          <w:lang w:val="en-US"/>
        </w:rPr>
        <w:t>British Journal of Clinical Psychology</w:t>
      </w:r>
      <w:r w:rsidRPr="37759C21">
        <w:rPr>
          <w:rFonts w:ascii="Arial" w:eastAsia="Arial" w:hAnsi="Arial" w:cs="Arial"/>
          <w:lang w:val="en-US"/>
        </w:rPr>
        <w:t>, 57(3), pp. 412–425.</w:t>
      </w:r>
    </w:p>
    <w:p w14:paraId="2B6A8B40" w14:textId="6F48C5F8" w:rsidR="00F37855" w:rsidRDefault="4FE846AA" w:rsidP="37759C21">
      <w:pPr>
        <w:spacing w:before="240" w:after="240"/>
      </w:pPr>
      <w:proofErr w:type="spellStart"/>
      <w:r w:rsidRPr="37759C21">
        <w:rPr>
          <w:rFonts w:ascii="Arial" w:eastAsia="Arial" w:hAnsi="Arial" w:cs="Arial"/>
          <w:lang w:val="en-US"/>
        </w:rPr>
        <w:t>Corrigan</w:t>
      </w:r>
      <w:proofErr w:type="spellEnd"/>
      <w:r w:rsidRPr="37759C21">
        <w:rPr>
          <w:rFonts w:ascii="Arial" w:eastAsia="Arial" w:hAnsi="Arial" w:cs="Arial"/>
          <w:lang w:val="en-US"/>
        </w:rPr>
        <w:t xml:space="preserve">, P.W. and Watson, A.C. (2002) ‘Understanding the impact of stigma on people with mental illness’, </w:t>
      </w:r>
      <w:r w:rsidRPr="37759C21">
        <w:rPr>
          <w:rFonts w:ascii="Arial" w:eastAsia="Arial" w:hAnsi="Arial" w:cs="Arial"/>
          <w:i/>
          <w:iCs/>
          <w:lang w:val="en-US"/>
        </w:rPr>
        <w:t>World Psychiatry</w:t>
      </w:r>
      <w:r w:rsidRPr="37759C21">
        <w:rPr>
          <w:rFonts w:ascii="Arial" w:eastAsia="Arial" w:hAnsi="Arial" w:cs="Arial"/>
          <w:lang w:val="en-US"/>
        </w:rPr>
        <w:t>, 1(1), pp. 16–20.</w:t>
      </w:r>
    </w:p>
    <w:p w14:paraId="37D3CC63" w14:textId="637A40CF" w:rsidR="00F37855" w:rsidRDefault="4FE846AA" w:rsidP="37759C21">
      <w:pPr>
        <w:spacing w:before="240" w:after="240"/>
      </w:pPr>
      <w:r w:rsidRPr="37759C21">
        <w:rPr>
          <w:rFonts w:ascii="Arial" w:eastAsia="Arial" w:hAnsi="Arial" w:cs="Arial"/>
          <w:lang w:val="en-US"/>
        </w:rPr>
        <w:t xml:space="preserve">England (2024) </w:t>
      </w:r>
      <w:r w:rsidRPr="37759C21">
        <w:rPr>
          <w:rFonts w:ascii="Arial" w:eastAsia="Arial" w:hAnsi="Arial" w:cs="Arial"/>
          <w:i/>
          <w:iCs/>
          <w:lang w:val="en-US"/>
        </w:rPr>
        <w:t>Detentions under the Mental Health Act</w:t>
      </w:r>
      <w:r w:rsidRPr="37759C21">
        <w:rPr>
          <w:rFonts w:ascii="Arial" w:eastAsia="Arial" w:hAnsi="Arial" w:cs="Arial"/>
          <w:lang w:val="en-US"/>
        </w:rPr>
        <w:t xml:space="preserve">. [online] Available at: </w:t>
      </w:r>
      <w:hyperlink r:id="rId9">
        <w:r w:rsidRPr="37759C21">
          <w:rPr>
            <w:rStyle w:val="Hyperlink"/>
            <w:rFonts w:ascii="Arial" w:eastAsia="Arial" w:hAnsi="Arial" w:cs="Arial"/>
            <w:lang w:val="en-US"/>
          </w:rPr>
          <w:t>https://www.ethnicity-facts-figures.service.gov.uk/health/mental-health/detentions-under-the-mental-health-act/latest/</w:t>
        </w:r>
      </w:hyperlink>
      <w:r w:rsidRPr="37759C21">
        <w:rPr>
          <w:rFonts w:ascii="Arial" w:eastAsia="Arial" w:hAnsi="Arial" w:cs="Arial"/>
          <w:lang w:val="en-US"/>
        </w:rPr>
        <w:t>.</w:t>
      </w:r>
    </w:p>
    <w:p w14:paraId="3609F1B2" w14:textId="6811E27B" w:rsidR="00F37855" w:rsidRDefault="4FE846AA" w:rsidP="37759C21">
      <w:pPr>
        <w:spacing w:before="240" w:after="240"/>
      </w:pPr>
      <w:proofErr w:type="spellStart"/>
      <w:r w:rsidRPr="37759C21">
        <w:rPr>
          <w:rFonts w:ascii="Arial" w:eastAsia="Arial" w:hAnsi="Arial" w:cs="Arial"/>
          <w:lang w:val="en-US"/>
        </w:rPr>
        <w:t>Etowa</w:t>
      </w:r>
      <w:proofErr w:type="spellEnd"/>
      <w:r w:rsidRPr="37759C21">
        <w:rPr>
          <w:rFonts w:ascii="Arial" w:eastAsia="Arial" w:hAnsi="Arial" w:cs="Arial"/>
          <w:lang w:val="en-US"/>
        </w:rPr>
        <w:t xml:space="preserve">, J., Hyman, I. and </w:t>
      </w:r>
      <w:proofErr w:type="spellStart"/>
      <w:r w:rsidRPr="37759C21">
        <w:rPr>
          <w:rFonts w:ascii="Arial" w:eastAsia="Arial" w:hAnsi="Arial" w:cs="Arial"/>
          <w:lang w:val="en-US"/>
        </w:rPr>
        <w:t>Dabelo</w:t>
      </w:r>
      <w:proofErr w:type="spellEnd"/>
      <w:r w:rsidRPr="37759C21">
        <w:rPr>
          <w:rFonts w:ascii="Arial" w:eastAsia="Arial" w:hAnsi="Arial" w:cs="Arial"/>
          <w:lang w:val="en-US"/>
        </w:rPr>
        <w:t xml:space="preserve">, L. (2021) ‘Black Canadians’ mental health: examining social determinants of health’, </w:t>
      </w:r>
      <w:r w:rsidRPr="37759C21">
        <w:rPr>
          <w:rFonts w:ascii="Arial" w:eastAsia="Arial" w:hAnsi="Arial" w:cs="Arial"/>
          <w:i/>
          <w:iCs/>
          <w:lang w:val="en-US"/>
        </w:rPr>
        <w:t>Canadian Journal of Public Health</w:t>
      </w:r>
      <w:r w:rsidRPr="37759C21">
        <w:rPr>
          <w:rFonts w:ascii="Arial" w:eastAsia="Arial" w:hAnsi="Arial" w:cs="Arial"/>
          <w:lang w:val="en-US"/>
        </w:rPr>
        <w:t>, 112(6), pp. 945–952.</w:t>
      </w:r>
    </w:p>
    <w:p w14:paraId="5F765263" w14:textId="4911CEF3" w:rsidR="00F37855" w:rsidRDefault="4FE846AA" w:rsidP="37759C21">
      <w:pPr>
        <w:spacing w:before="240" w:after="240"/>
      </w:pPr>
      <w:r w:rsidRPr="37759C21">
        <w:rPr>
          <w:rFonts w:ascii="Arial" w:eastAsia="Arial" w:hAnsi="Arial" w:cs="Arial"/>
          <w:lang w:val="en-US"/>
        </w:rPr>
        <w:t xml:space="preserve">Fernando, S. (2010) </w:t>
      </w:r>
      <w:r w:rsidRPr="37759C21">
        <w:rPr>
          <w:rFonts w:ascii="Arial" w:eastAsia="Arial" w:hAnsi="Arial" w:cs="Arial"/>
          <w:i/>
          <w:iCs/>
          <w:lang w:val="en-US"/>
        </w:rPr>
        <w:t>Mental health, race and culture</w:t>
      </w:r>
      <w:r w:rsidRPr="37759C21">
        <w:rPr>
          <w:rFonts w:ascii="Arial" w:eastAsia="Arial" w:hAnsi="Arial" w:cs="Arial"/>
          <w:lang w:val="en-US"/>
        </w:rPr>
        <w:t xml:space="preserve">. 3rd </w:t>
      </w:r>
      <w:proofErr w:type="spellStart"/>
      <w:r w:rsidRPr="37759C21">
        <w:rPr>
          <w:rFonts w:ascii="Arial" w:eastAsia="Arial" w:hAnsi="Arial" w:cs="Arial"/>
          <w:lang w:val="en-US"/>
        </w:rPr>
        <w:t>edn</w:t>
      </w:r>
      <w:proofErr w:type="spellEnd"/>
      <w:r w:rsidRPr="37759C21">
        <w:rPr>
          <w:rFonts w:ascii="Arial" w:eastAsia="Arial" w:hAnsi="Arial" w:cs="Arial"/>
          <w:lang w:val="en-US"/>
        </w:rPr>
        <w:t xml:space="preserve">. Basingstoke: </w:t>
      </w:r>
      <w:proofErr w:type="spellStart"/>
      <w:r w:rsidRPr="37759C21">
        <w:rPr>
          <w:rFonts w:ascii="Arial" w:eastAsia="Arial" w:hAnsi="Arial" w:cs="Arial"/>
          <w:lang w:val="en-US"/>
        </w:rPr>
        <w:t>Palgrave</w:t>
      </w:r>
      <w:proofErr w:type="spellEnd"/>
      <w:r w:rsidRPr="37759C21">
        <w:rPr>
          <w:rFonts w:ascii="Arial" w:eastAsia="Arial" w:hAnsi="Arial" w:cs="Arial"/>
          <w:lang w:val="en-US"/>
        </w:rPr>
        <w:t xml:space="preserve"> Macmillan.</w:t>
      </w:r>
    </w:p>
    <w:p w14:paraId="7F4A256B" w14:textId="0BF7545A" w:rsidR="00F37855" w:rsidRDefault="4FE846AA" w:rsidP="37759C21">
      <w:pPr>
        <w:spacing w:before="240" w:after="240"/>
      </w:pPr>
      <w:r w:rsidRPr="37759C21">
        <w:rPr>
          <w:rFonts w:ascii="Arial" w:eastAsia="Arial" w:hAnsi="Arial" w:cs="Arial"/>
          <w:lang w:val="en-US"/>
        </w:rPr>
        <w:t xml:space="preserve">Fernando, S. (2017) ‘Institutional racism in psychiatry and clinical psychology’, </w:t>
      </w:r>
      <w:r w:rsidRPr="37759C21">
        <w:rPr>
          <w:rFonts w:ascii="Arial" w:eastAsia="Arial" w:hAnsi="Arial" w:cs="Arial"/>
          <w:i/>
          <w:iCs/>
          <w:lang w:val="en-US"/>
        </w:rPr>
        <w:t>International Journal of Social Psychiatry</w:t>
      </w:r>
      <w:r w:rsidRPr="37759C21">
        <w:rPr>
          <w:rFonts w:ascii="Arial" w:eastAsia="Arial" w:hAnsi="Arial" w:cs="Arial"/>
          <w:lang w:val="en-US"/>
        </w:rPr>
        <w:t>, 63(2), pp. 101–107.</w:t>
      </w:r>
    </w:p>
    <w:p w14:paraId="6717B11B" w14:textId="7FCF4146" w:rsidR="00F37855" w:rsidRDefault="4FE846AA" w:rsidP="37759C21">
      <w:pPr>
        <w:spacing w:before="240" w:after="240"/>
      </w:pPr>
      <w:r w:rsidRPr="37759C21">
        <w:rPr>
          <w:rFonts w:ascii="Arial" w:eastAsia="Arial" w:hAnsi="Arial" w:cs="Arial"/>
          <w:lang w:val="en-US"/>
        </w:rPr>
        <w:t xml:space="preserve">Fitzpatrick, R. et al. (2014) ‘Patient experiences and mistrust in the UK mental health system’, </w:t>
      </w:r>
      <w:r w:rsidRPr="37759C21">
        <w:rPr>
          <w:rFonts w:ascii="Arial" w:eastAsia="Arial" w:hAnsi="Arial" w:cs="Arial"/>
          <w:i/>
          <w:iCs/>
          <w:lang w:val="en-US"/>
        </w:rPr>
        <w:t>Health Expectations</w:t>
      </w:r>
      <w:r w:rsidRPr="37759C21">
        <w:rPr>
          <w:rFonts w:ascii="Arial" w:eastAsia="Arial" w:hAnsi="Arial" w:cs="Arial"/>
          <w:lang w:val="en-US"/>
        </w:rPr>
        <w:t>, 17(5), pp. 628–638.</w:t>
      </w:r>
    </w:p>
    <w:p w14:paraId="2BFF0454" w14:textId="471EAAEA" w:rsidR="00F37855" w:rsidRDefault="4FE846AA" w:rsidP="37759C21">
      <w:pPr>
        <w:spacing w:before="240" w:after="240"/>
      </w:pPr>
      <w:r w:rsidRPr="37759C21">
        <w:rPr>
          <w:rFonts w:ascii="Arial" w:eastAsia="Arial" w:hAnsi="Arial" w:cs="Arial"/>
          <w:lang w:val="en-US"/>
        </w:rPr>
        <w:t xml:space="preserve">GOV.UK (2010) </w:t>
      </w:r>
      <w:r w:rsidRPr="37759C21">
        <w:rPr>
          <w:rFonts w:ascii="Arial" w:eastAsia="Arial" w:hAnsi="Arial" w:cs="Arial"/>
          <w:i/>
          <w:iCs/>
          <w:lang w:val="en-US"/>
        </w:rPr>
        <w:t>Equality Act 2010</w:t>
      </w:r>
      <w:r w:rsidRPr="37759C21">
        <w:rPr>
          <w:rFonts w:ascii="Arial" w:eastAsia="Arial" w:hAnsi="Arial" w:cs="Arial"/>
          <w:lang w:val="en-US"/>
        </w:rPr>
        <w:t xml:space="preserve">. [online] Available at: </w:t>
      </w:r>
      <w:hyperlink r:id="rId10">
        <w:r w:rsidRPr="37759C21">
          <w:rPr>
            <w:rStyle w:val="Hyperlink"/>
            <w:rFonts w:ascii="Arial" w:eastAsia="Arial" w:hAnsi="Arial" w:cs="Arial"/>
            <w:lang w:val="en-US"/>
          </w:rPr>
          <w:t>https://www.legislation.gov.uk/ukpga/2010/15/contents</w:t>
        </w:r>
      </w:hyperlink>
      <w:r w:rsidRPr="37759C21">
        <w:rPr>
          <w:rFonts w:ascii="Arial" w:eastAsia="Arial" w:hAnsi="Arial" w:cs="Arial"/>
          <w:lang w:val="en-US"/>
        </w:rPr>
        <w:t>.</w:t>
      </w:r>
    </w:p>
    <w:p w14:paraId="70C32CFD" w14:textId="5C52DB41" w:rsidR="1F68D587" w:rsidRDefault="4FE846AA" w:rsidP="37759C21">
      <w:pPr>
        <w:spacing w:before="240" w:after="240"/>
      </w:pPr>
      <w:r w:rsidRPr="37759C21">
        <w:rPr>
          <w:rFonts w:ascii="Arial" w:eastAsia="Arial" w:hAnsi="Arial" w:cs="Arial"/>
          <w:lang w:val="en-US"/>
        </w:rPr>
        <w:t xml:space="preserve">GOV.UK (2024) </w:t>
      </w:r>
      <w:r w:rsidRPr="37759C21">
        <w:rPr>
          <w:rFonts w:ascii="Arial" w:eastAsia="Arial" w:hAnsi="Arial" w:cs="Arial"/>
          <w:i/>
          <w:iCs/>
          <w:lang w:val="en-US"/>
        </w:rPr>
        <w:t>Writing about ethnicity</w:t>
      </w:r>
      <w:r w:rsidRPr="37759C21">
        <w:rPr>
          <w:rFonts w:ascii="Arial" w:eastAsia="Arial" w:hAnsi="Arial" w:cs="Arial"/>
          <w:lang w:val="en-US"/>
        </w:rPr>
        <w:t xml:space="preserve">. [online] Available at: </w:t>
      </w:r>
      <w:hyperlink r:id="rId11">
        <w:r w:rsidR="1F68D587" w:rsidRPr="37759C21">
          <w:rPr>
            <w:rStyle w:val="Hyperlink"/>
            <w:rFonts w:ascii="Arial" w:eastAsia="Arial" w:hAnsi="Arial" w:cs="Arial"/>
            <w:lang w:val="en-US"/>
          </w:rPr>
          <w:t>https://www.ethnicity-facts-figures.service.gov.uk/style-guide/writing-about-ethnicity/</w:t>
        </w:r>
      </w:hyperlink>
      <w:r w:rsidR="1F68D587" w:rsidRPr="37759C21">
        <w:rPr>
          <w:rFonts w:ascii="Arial" w:eastAsia="Arial" w:hAnsi="Arial" w:cs="Arial"/>
          <w:lang w:val="en-US"/>
        </w:rPr>
        <w:t>.</w:t>
      </w:r>
    </w:p>
    <w:p w14:paraId="0567FB8D" w14:textId="6DC6448B" w:rsidR="00F37855" w:rsidRDefault="4FE846AA" w:rsidP="37759C21">
      <w:pPr>
        <w:spacing w:before="240" w:after="240"/>
      </w:pPr>
      <w:proofErr w:type="spellStart"/>
      <w:r w:rsidRPr="37759C21">
        <w:rPr>
          <w:rFonts w:ascii="Arial" w:eastAsia="Arial" w:hAnsi="Arial" w:cs="Arial"/>
          <w:lang w:val="en-US"/>
        </w:rPr>
        <w:t>Kapadia</w:t>
      </w:r>
      <w:proofErr w:type="spellEnd"/>
      <w:r w:rsidRPr="37759C21">
        <w:rPr>
          <w:rFonts w:ascii="Arial" w:eastAsia="Arial" w:hAnsi="Arial" w:cs="Arial"/>
          <w:lang w:val="en-US"/>
        </w:rPr>
        <w:t xml:space="preserve">, D. et al. (2022) ‘Ethnic health inequalities and the NHS: time to act’, </w:t>
      </w:r>
      <w:r w:rsidRPr="37759C21">
        <w:rPr>
          <w:rFonts w:ascii="Arial" w:eastAsia="Arial" w:hAnsi="Arial" w:cs="Arial"/>
          <w:i/>
          <w:iCs/>
          <w:lang w:val="en-US"/>
        </w:rPr>
        <w:t>British Medical Journal</w:t>
      </w:r>
      <w:r w:rsidRPr="37759C21">
        <w:rPr>
          <w:rFonts w:ascii="Arial" w:eastAsia="Arial" w:hAnsi="Arial" w:cs="Arial"/>
          <w:lang w:val="en-US"/>
        </w:rPr>
        <w:t>, 376(9), pp. 1–3.</w:t>
      </w:r>
    </w:p>
    <w:p w14:paraId="6FB1112F" w14:textId="285C1B34" w:rsidR="00F37855" w:rsidRDefault="4FE846AA" w:rsidP="37759C21">
      <w:pPr>
        <w:spacing w:before="240" w:after="240"/>
      </w:pPr>
      <w:proofErr w:type="spellStart"/>
      <w:r w:rsidRPr="37759C21">
        <w:rPr>
          <w:rFonts w:ascii="Arial" w:eastAsia="Arial" w:hAnsi="Arial" w:cs="Arial"/>
          <w:lang w:val="en-US"/>
        </w:rPr>
        <w:t>Kapadia</w:t>
      </w:r>
      <w:proofErr w:type="spellEnd"/>
      <w:r w:rsidRPr="37759C21">
        <w:rPr>
          <w:rFonts w:ascii="Arial" w:eastAsia="Arial" w:hAnsi="Arial" w:cs="Arial"/>
          <w:lang w:val="en-US"/>
        </w:rPr>
        <w:t xml:space="preserve">, D. et al. (2022) </w:t>
      </w:r>
      <w:r w:rsidRPr="37759C21">
        <w:rPr>
          <w:rFonts w:ascii="Arial" w:eastAsia="Arial" w:hAnsi="Arial" w:cs="Arial"/>
          <w:i/>
          <w:iCs/>
          <w:lang w:val="en-US"/>
        </w:rPr>
        <w:t>Ethnic inequalities in healthcare: a rapid evidence review</w:t>
      </w:r>
      <w:r w:rsidRPr="37759C21">
        <w:rPr>
          <w:rFonts w:ascii="Arial" w:eastAsia="Arial" w:hAnsi="Arial" w:cs="Arial"/>
          <w:lang w:val="en-US"/>
        </w:rPr>
        <w:t>. NHS Race and Health Observatory.</w:t>
      </w:r>
    </w:p>
    <w:p w14:paraId="16D5E22E" w14:textId="58AB678E" w:rsidR="00F37855" w:rsidRDefault="4FE846AA" w:rsidP="37759C21">
      <w:pPr>
        <w:spacing w:before="240" w:after="240"/>
      </w:pPr>
      <w:proofErr w:type="spellStart"/>
      <w:r w:rsidRPr="37759C21">
        <w:rPr>
          <w:rFonts w:ascii="Arial" w:eastAsia="Arial" w:hAnsi="Arial" w:cs="Arial"/>
          <w:lang w:val="en-US"/>
        </w:rPr>
        <w:t>Kapungwe</w:t>
      </w:r>
      <w:proofErr w:type="spellEnd"/>
      <w:r w:rsidRPr="37759C21">
        <w:rPr>
          <w:rFonts w:ascii="Arial" w:eastAsia="Arial" w:hAnsi="Arial" w:cs="Arial"/>
          <w:lang w:val="en-US"/>
        </w:rPr>
        <w:t xml:space="preserve">, A. et al. (2010) ‘Beliefs and attitudes towards mental illness in Africa’, </w:t>
      </w:r>
      <w:r w:rsidRPr="37759C21">
        <w:rPr>
          <w:rFonts w:ascii="Arial" w:eastAsia="Arial" w:hAnsi="Arial" w:cs="Arial"/>
          <w:i/>
          <w:iCs/>
          <w:lang w:val="en-US"/>
        </w:rPr>
        <w:t>BMC International Health and Human Rights</w:t>
      </w:r>
      <w:r w:rsidRPr="37759C21">
        <w:rPr>
          <w:rFonts w:ascii="Arial" w:eastAsia="Arial" w:hAnsi="Arial" w:cs="Arial"/>
          <w:lang w:val="en-US"/>
        </w:rPr>
        <w:t>, 10(34).</w:t>
      </w:r>
    </w:p>
    <w:p w14:paraId="43AFFECD" w14:textId="258A5236" w:rsidR="00F37855" w:rsidRDefault="4FE846AA" w:rsidP="37759C21">
      <w:pPr>
        <w:spacing w:before="240" w:after="240"/>
      </w:pPr>
      <w:r w:rsidRPr="37759C21">
        <w:rPr>
          <w:rFonts w:ascii="Arial" w:eastAsia="Arial" w:hAnsi="Arial" w:cs="Arial"/>
          <w:lang w:val="en-US"/>
        </w:rPr>
        <w:t xml:space="preserve">Keating, F. (2015) ‘Mental health in Black and minority ethnic communities’, </w:t>
      </w:r>
      <w:r w:rsidRPr="37759C21">
        <w:rPr>
          <w:rFonts w:ascii="Arial" w:eastAsia="Arial" w:hAnsi="Arial" w:cs="Arial"/>
          <w:i/>
          <w:iCs/>
          <w:lang w:val="en-US"/>
        </w:rPr>
        <w:t>Health and Social Care in the Community</w:t>
      </w:r>
      <w:r w:rsidRPr="37759C21">
        <w:rPr>
          <w:rFonts w:ascii="Arial" w:eastAsia="Arial" w:hAnsi="Arial" w:cs="Arial"/>
          <w:lang w:val="en-US"/>
        </w:rPr>
        <w:t>, 23(3), pp. 251–257.</w:t>
      </w:r>
    </w:p>
    <w:p w14:paraId="00E1C197" w14:textId="63F49B4C" w:rsidR="00F37855" w:rsidRDefault="4FE846AA" w:rsidP="37759C21">
      <w:pPr>
        <w:spacing w:before="240" w:after="240"/>
      </w:pPr>
      <w:proofErr w:type="spellStart"/>
      <w:r w:rsidRPr="37759C21">
        <w:rPr>
          <w:rFonts w:ascii="Arial" w:eastAsia="Arial" w:hAnsi="Arial" w:cs="Arial"/>
          <w:lang w:val="en-US"/>
        </w:rPr>
        <w:t>Lowther-Payne</w:t>
      </w:r>
      <w:proofErr w:type="spellEnd"/>
      <w:r w:rsidRPr="37759C21">
        <w:rPr>
          <w:rFonts w:ascii="Arial" w:eastAsia="Arial" w:hAnsi="Arial" w:cs="Arial"/>
          <w:lang w:val="en-US"/>
        </w:rPr>
        <w:t xml:space="preserve">, H.J. et al. (2023) ‘Understanding inequalities in access to adult mental health services in the UK: a systematic mapping review’, </w:t>
      </w:r>
      <w:r w:rsidRPr="37759C21">
        <w:rPr>
          <w:rFonts w:ascii="Arial" w:eastAsia="Arial" w:hAnsi="Arial" w:cs="Arial"/>
          <w:i/>
          <w:iCs/>
          <w:lang w:val="en-US"/>
        </w:rPr>
        <w:t>BMC Health Services Research</w:t>
      </w:r>
      <w:r w:rsidRPr="37759C21">
        <w:rPr>
          <w:rFonts w:ascii="Arial" w:eastAsia="Arial" w:hAnsi="Arial" w:cs="Arial"/>
          <w:lang w:val="en-US"/>
        </w:rPr>
        <w:t>, 23(1).</w:t>
      </w:r>
    </w:p>
    <w:p w14:paraId="1329A909" w14:textId="224AC44D" w:rsidR="00F37855" w:rsidRDefault="4FE846AA" w:rsidP="37759C21">
      <w:pPr>
        <w:spacing w:before="240" w:after="240"/>
      </w:pPr>
      <w:proofErr w:type="spellStart"/>
      <w:r w:rsidRPr="37759C21">
        <w:rPr>
          <w:rFonts w:ascii="Arial" w:eastAsia="Arial" w:hAnsi="Arial" w:cs="Arial"/>
          <w:lang w:val="en-US"/>
        </w:rPr>
        <w:t>Macpherson</w:t>
      </w:r>
      <w:proofErr w:type="spellEnd"/>
      <w:r w:rsidRPr="37759C21">
        <w:rPr>
          <w:rFonts w:ascii="Arial" w:eastAsia="Arial" w:hAnsi="Arial" w:cs="Arial"/>
          <w:lang w:val="en-US"/>
        </w:rPr>
        <w:t xml:space="preserve">, W. (1999) </w:t>
      </w:r>
      <w:r w:rsidRPr="37759C21">
        <w:rPr>
          <w:rFonts w:ascii="Arial" w:eastAsia="Arial" w:hAnsi="Arial" w:cs="Arial"/>
          <w:i/>
          <w:iCs/>
          <w:lang w:val="en-US"/>
        </w:rPr>
        <w:t>The Stephen Lawrence Inquiry</w:t>
      </w:r>
      <w:r w:rsidRPr="37759C21">
        <w:rPr>
          <w:rFonts w:ascii="Arial" w:eastAsia="Arial" w:hAnsi="Arial" w:cs="Arial"/>
          <w:lang w:val="en-US"/>
        </w:rPr>
        <w:t>. London: UK Home Office.</w:t>
      </w:r>
    </w:p>
    <w:p w14:paraId="35336C6D" w14:textId="610C9830" w:rsidR="00F37855" w:rsidRDefault="4FE846AA" w:rsidP="37759C21">
      <w:pPr>
        <w:spacing w:before="240" w:after="240"/>
      </w:pPr>
      <w:r w:rsidRPr="37759C21">
        <w:rPr>
          <w:rFonts w:ascii="Arial" w:eastAsia="Arial" w:hAnsi="Arial" w:cs="Arial"/>
          <w:lang w:val="en-US"/>
        </w:rPr>
        <w:t xml:space="preserve">Mantovani, N., </w:t>
      </w:r>
      <w:proofErr w:type="spellStart"/>
      <w:r w:rsidRPr="37759C21">
        <w:rPr>
          <w:rFonts w:ascii="Arial" w:eastAsia="Arial" w:hAnsi="Arial" w:cs="Arial"/>
          <w:lang w:val="en-US"/>
        </w:rPr>
        <w:t>Pizzolati</w:t>
      </w:r>
      <w:proofErr w:type="spellEnd"/>
      <w:r w:rsidRPr="37759C21">
        <w:rPr>
          <w:rFonts w:ascii="Arial" w:eastAsia="Arial" w:hAnsi="Arial" w:cs="Arial"/>
          <w:lang w:val="en-US"/>
        </w:rPr>
        <w:t xml:space="preserve">, M. and Edge, D. (2016) ‘Exploring the relationship between stigma and help-seeking for mental illness in African-descended faith communities in the UK’, </w:t>
      </w:r>
      <w:r w:rsidRPr="37759C21">
        <w:rPr>
          <w:rFonts w:ascii="Arial" w:eastAsia="Arial" w:hAnsi="Arial" w:cs="Arial"/>
          <w:i/>
          <w:iCs/>
          <w:lang w:val="en-US"/>
        </w:rPr>
        <w:t>Health Expectations</w:t>
      </w:r>
      <w:r w:rsidRPr="37759C21">
        <w:rPr>
          <w:rFonts w:ascii="Arial" w:eastAsia="Arial" w:hAnsi="Arial" w:cs="Arial"/>
          <w:lang w:val="en-US"/>
        </w:rPr>
        <w:t>, 20(3), pp. 373–384.</w:t>
      </w:r>
    </w:p>
    <w:p w14:paraId="00F509B1" w14:textId="1040DF81" w:rsidR="00F37855" w:rsidRDefault="4FE846AA" w:rsidP="37759C21">
      <w:pPr>
        <w:spacing w:before="240" w:after="240"/>
      </w:pPr>
      <w:r w:rsidRPr="37759C21">
        <w:rPr>
          <w:rFonts w:ascii="Arial" w:eastAsia="Arial" w:hAnsi="Arial" w:cs="Arial"/>
          <w:lang w:val="en-US"/>
        </w:rPr>
        <w:t xml:space="preserve">Marmot, M. (2010) </w:t>
      </w:r>
      <w:r w:rsidRPr="37759C21">
        <w:rPr>
          <w:rFonts w:ascii="Arial" w:eastAsia="Arial" w:hAnsi="Arial" w:cs="Arial"/>
          <w:i/>
          <w:iCs/>
          <w:lang w:val="en-US"/>
        </w:rPr>
        <w:t>Fair society, healthy lives: The Marmot Review</w:t>
      </w:r>
      <w:r w:rsidRPr="37759C21">
        <w:rPr>
          <w:rFonts w:ascii="Arial" w:eastAsia="Arial" w:hAnsi="Arial" w:cs="Arial"/>
          <w:lang w:val="en-US"/>
        </w:rPr>
        <w:t>. London: The Marmot Review.</w:t>
      </w:r>
    </w:p>
    <w:p w14:paraId="4DD09DA8" w14:textId="737D013E" w:rsidR="00F37855" w:rsidRDefault="4FE846AA" w:rsidP="37759C21">
      <w:pPr>
        <w:spacing w:before="240" w:after="240"/>
      </w:pPr>
      <w:r w:rsidRPr="37759C21">
        <w:rPr>
          <w:rFonts w:ascii="Arial" w:eastAsia="Arial" w:hAnsi="Arial" w:cs="Arial"/>
          <w:lang w:val="en-US"/>
        </w:rPr>
        <w:t xml:space="preserve">McLean, C., Campbell, C. and Cornish, F. (2003) ‘African-Caribbean interactions with mental health services in the UK’, </w:t>
      </w:r>
      <w:r w:rsidRPr="37759C21">
        <w:rPr>
          <w:rFonts w:ascii="Arial" w:eastAsia="Arial" w:hAnsi="Arial" w:cs="Arial"/>
          <w:i/>
          <w:iCs/>
          <w:lang w:val="en-US"/>
        </w:rPr>
        <w:t>Social Science &amp; Medicine</w:t>
      </w:r>
      <w:r w:rsidRPr="37759C21">
        <w:rPr>
          <w:rFonts w:ascii="Arial" w:eastAsia="Arial" w:hAnsi="Arial" w:cs="Arial"/>
          <w:lang w:val="en-US"/>
        </w:rPr>
        <w:t>, 56(3), pp. 657–669.</w:t>
      </w:r>
    </w:p>
    <w:p w14:paraId="514DAACD" w14:textId="5B8B5FEB" w:rsidR="00F37855" w:rsidRDefault="4FE846AA" w:rsidP="37759C21">
      <w:pPr>
        <w:spacing w:before="240" w:after="240"/>
      </w:pPr>
      <w:proofErr w:type="spellStart"/>
      <w:r w:rsidRPr="37759C21">
        <w:rPr>
          <w:rFonts w:ascii="Arial" w:eastAsia="Arial" w:hAnsi="Arial" w:cs="Arial"/>
          <w:lang w:val="en-US"/>
        </w:rPr>
        <w:t>Memon</w:t>
      </w:r>
      <w:proofErr w:type="spellEnd"/>
      <w:r w:rsidRPr="37759C21">
        <w:rPr>
          <w:rFonts w:ascii="Arial" w:eastAsia="Arial" w:hAnsi="Arial" w:cs="Arial"/>
          <w:lang w:val="en-US"/>
        </w:rPr>
        <w:t xml:space="preserve">, A. et al. (2016) ‘Perceived barriers to mental health services among Black and minority ethnic groups’, </w:t>
      </w:r>
      <w:r w:rsidRPr="37759C21">
        <w:rPr>
          <w:rFonts w:ascii="Arial" w:eastAsia="Arial" w:hAnsi="Arial" w:cs="Arial"/>
          <w:i/>
          <w:iCs/>
          <w:lang w:val="en-US"/>
        </w:rPr>
        <w:t>Journal of Mental Health</w:t>
      </w:r>
      <w:r w:rsidRPr="37759C21">
        <w:rPr>
          <w:rFonts w:ascii="Arial" w:eastAsia="Arial" w:hAnsi="Arial" w:cs="Arial"/>
          <w:lang w:val="en-US"/>
        </w:rPr>
        <w:t>, 25(2), pp. 93–101.</w:t>
      </w:r>
    </w:p>
    <w:p w14:paraId="6FE23CD7" w14:textId="4D4E0BFD" w:rsidR="00F37855" w:rsidRDefault="4FE846AA" w:rsidP="37759C21">
      <w:pPr>
        <w:spacing w:before="240" w:after="240"/>
      </w:pPr>
      <w:proofErr w:type="spellStart"/>
      <w:r w:rsidRPr="37759C21">
        <w:rPr>
          <w:rFonts w:ascii="Arial" w:eastAsia="Arial" w:hAnsi="Arial" w:cs="Arial"/>
          <w:lang w:val="en-US"/>
        </w:rPr>
        <w:t>Memon</w:t>
      </w:r>
      <w:proofErr w:type="spellEnd"/>
      <w:r w:rsidRPr="37759C21">
        <w:rPr>
          <w:rFonts w:ascii="Arial" w:eastAsia="Arial" w:hAnsi="Arial" w:cs="Arial"/>
          <w:lang w:val="en-US"/>
        </w:rPr>
        <w:t xml:space="preserve">, A. et al. (2016) ‘Perceived barriers to accessing mental health services among Black and minority ethnic communities: a qualitative study in southeast England’, </w:t>
      </w:r>
      <w:r w:rsidRPr="37759C21">
        <w:rPr>
          <w:rFonts w:ascii="Arial" w:eastAsia="Arial" w:hAnsi="Arial" w:cs="Arial"/>
          <w:i/>
          <w:iCs/>
          <w:lang w:val="en-US"/>
        </w:rPr>
        <w:t>BMJ Open</w:t>
      </w:r>
      <w:r w:rsidRPr="37759C21">
        <w:rPr>
          <w:rFonts w:ascii="Arial" w:eastAsia="Arial" w:hAnsi="Arial" w:cs="Arial"/>
          <w:lang w:val="en-US"/>
        </w:rPr>
        <w:t>, 6(11), p. e012337.</w:t>
      </w:r>
    </w:p>
    <w:p w14:paraId="74B2AE12" w14:textId="34EEB39F" w:rsidR="00F37855" w:rsidRDefault="4FE846AA" w:rsidP="37759C21">
      <w:pPr>
        <w:spacing w:before="240" w:after="240"/>
      </w:pPr>
      <w:r w:rsidRPr="37759C21">
        <w:rPr>
          <w:rFonts w:ascii="Arial" w:eastAsia="Arial" w:hAnsi="Arial" w:cs="Arial"/>
          <w:lang w:val="en-US"/>
        </w:rPr>
        <w:t xml:space="preserve">Mental Health Foundation (2023) </w:t>
      </w:r>
      <w:r w:rsidRPr="37759C21">
        <w:rPr>
          <w:rFonts w:ascii="Arial" w:eastAsia="Arial" w:hAnsi="Arial" w:cs="Arial"/>
          <w:i/>
          <w:iCs/>
          <w:lang w:val="en-US"/>
        </w:rPr>
        <w:t>Black and minority ethnic communities and mental health</w:t>
      </w:r>
      <w:r w:rsidRPr="37759C21">
        <w:rPr>
          <w:rFonts w:ascii="Arial" w:eastAsia="Arial" w:hAnsi="Arial" w:cs="Arial"/>
          <w:lang w:val="en-US"/>
        </w:rPr>
        <w:t>.</w:t>
      </w:r>
    </w:p>
    <w:p w14:paraId="7F742BC8" w14:textId="1960CA47" w:rsidR="00F37855" w:rsidRDefault="4FE846AA" w:rsidP="37759C21">
      <w:pPr>
        <w:spacing w:before="240" w:after="240"/>
      </w:pPr>
      <w:r w:rsidRPr="37759C21">
        <w:rPr>
          <w:rFonts w:ascii="Arial" w:eastAsia="Arial" w:hAnsi="Arial" w:cs="Arial"/>
          <w:lang w:val="en-US"/>
        </w:rPr>
        <w:t xml:space="preserve">Murray, M. and </w:t>
      </w:r>
      <w:proofErr w:type="spellStart"/>
      <w:r w:rsidRPr="37759C21">
        <w:rPr>
          <w:rFonts w:ascii="Arial" w:eastAsia="Arial" w:hAnsi="Arial" w:cs="Arial"/>
          <w:lang w:val="en-US"/>
        </w:rPr>
        <w:t>Kagee</w:t>
      </w:r>
      <w:proofErr w:type="spellEnd"/>
      <w:r w:rsidRPr="37759C21">
        <w:rPr>
          <w:rFonts w:ascii="Arial" w:eastAsia="Arial" w:hAnsi="Arial" w:cs="Arial"/>
          <w:lang w:val="en-US"/>
        </w:rPr>
        <w:t xml:space="preserve">, A. (2019) ‘Cultural conceptions of mental health: a review’, </w:t>
      </w:r>
      <w:r w:rsidRPr="37759C21">
        <w:rPr>
          <w:rFonts w:ascii="Arial" w:eastAsia="Arial" w:hAnsi="Arial" w:cs="Arial"/>
          <w:i/>
          <w:iCs/>
          <w:lang w:val="en-US"/>
        </w:rPr>
        <w:t>Transcultural Psychiatry</w:t>
      </w:r>
      <w:r w:rsidRPr="37759C21">
        <w:rPr>
          <w:rFonts w:ascii="Arial" w:eastAsia="Arial" w:hAnsi="Arial" w:cs="Arial"/>
          <w:lang w:val="en-US"/>
        </w:rPr>
        <w:t>, 56(7), pp. 1241–1256.</w:t>
      </w:r>
    </w:p>
    <w:p w14:paraId="41D3A924" w14:textId="0461A03C" w:rsidR="00F37855" w:rsidRDefault="4FE846AA" w:rsidP="37759C21">
      <w:pPr>
        <w:spacing w:before="240" w:after="240"/>
      </w:pPr>
      <w:r w:rsidRPr="37759C21">
        <w:rPr>
          <w:rFonts w:ascii="Arial" w:eastAsia="Arial" w:hAnsi="Arial" w:cs="Arial"/>
          <w:lang w:val="en-US"/>
        </w:rPr>
        <w:t xml:space="preserve">National Collaborating Centre for Mental Health (2023) </w:t>
      </w:r>
      <w:r w:rsidRPr="37759C21">
        <w:rPr>
          <w:rFonts w:ascii="Arial" w:eastAsia="Arial" w:hAnsi="Arial" w:cs="Arial"/>
          <w:i/>
          <w:iCs/>
          <w:lang w:val="en-US"/>
        </w:rPr>
        <w:t>Ethnic inequalities in Improving Access to Psychological Therapies (IAPT)</w:t>
      </w:r>
      <w:r w:rsidRPr="37759C21">
        <w:rPr>
          <w:rFonts w:ascii="Arial" w:eastAsia="Arial" w:hAnsi="Arial" w:cs="Arial"/>
          <w:lang w:val="en-US"/>
        </w:rPr>
        <w:t>.</w:t>
      </w:r>
    </w:p>
    <w:p w14:paraId="3950E836" w14:textId="5F7B8104" w:rsidR="00F37855" w:rsidRDefault="4FE846AA" w:rsidP="37759C21">
      <w:pPr>
        <w:spacing w:before="240" w:after="240"/>
      </w:pPr>
      <w:r w:rsidRPr="37759C21">
        <w:rPr>
          <w:rFonts w:ascii="Arial" w:eastAsia="Arial" w:hAnsi="Arial" w:cs="Arial"/>
          <w:lang w:val="en-US"/>
        </w:rPr>
        <w:t xml:space="preserve">NHS Digital (2023) </w:t>
      </w:r>
      <w:r w:rsidRPr="37759C21">
        <w:rPr>
          <w:rFonts w:ascii="Arial" w:eastAsia="Arial" w:hAnsi="Arial" w:cs="Arial"/>
          <w:i/>
          <w:iCs/>
          <w:lang w:val="en-US"/>
        </w:rPr>
        <w:t>Mental Health Act Statistics: Annual Report, 2022–23</w:t>
      </w:r>
      <w:r w:rsidRPr="37759C21">
        <w:rPr>
          <w:rFonts w:ascii="Arial" w:eastAsia="Arial" w:hAnsi="Arial" w:cs="Arial"/>
          <w:lang w:val="en-US"/>
        </w:rPr>
        <w:t>. Leeds: NHS Digital.</w:t>
      </w:r>
    </w:p>
    <w:p w14:paraId="1AB7674E" w14:textId="3BAB794B" w:rsidR="00F37855" w:rsidRDefault="4FE846AA" w:rsidP="37759C21">
      <w:pPr>
        <w:spacing w:before="240" w:after="240"/>
      </w:pPr>
      <w:r w:rsidRPr="37759C21">
        <w:rPr>
          <w:rFonts w:ascii="Arial" w:eastAsia="Arial" w:hAnsi="Arial" w:cs="Arial"/>
          <w:lang w:val="en-US"/>
        </w:rPr>
        <w:t xml:space="preserve">NHS England (2019) </w:t>
      </w:r>
      <w:r w:rsidRPr="37759C21">
        <w:rPr>
          <w:rFonts w:ascii="Arial" w:eastAsia="Arial" w:hAnsi="Arial" w:cs="Arial"/>
          <w:i/>
          <w:iCs/>
          <w:lang w:val="en-US"/>
        </w:rPr>
        <w:t>NHS Long Term Plan</w:t>
      </w:r>
      <w:r w:rsidRPr="37759C21">
        <w:rPr>
          <w:rFonts w:ascii="Arial" w:eastAsia="Arial" w:hAnsi="Arial" w:cs="Arial"/>
          <w:lang w:val="en-US"/>
        </w:rPr>
        <w:t>.</w:t>
      </w:r>
    </w:p>
    <w:p w14:paraId="24A29F9E" w14:textId="2DE8CA24" w:rsidR="00F37855" w:rsidRDefault="4FE846AA" w:rsidP="37759C21">
      <w:pPr>
        <w:spacing w:before="240" w:after="240"/>
      </w:pPr>
      <w:r w:rsidRPr="37759C21">
        <w:rPr>
          <w:rFonts w:ascii="Arial" w:eastAsia="Arial" w:hAnsi="Arial" w:cs="Arial"/>
          <w:lang w:val="en-US"/>
        </w:rPr>
        <w:t xml:space="preserve">NHS England (2022) </w:t>
      </w:r>
      <w:r w:rsidRPr="37759C21">
        <w:rPr>
          <w:rFonts w:ascii="Arial" w:eastAsia="Arial" w:hAnsi="Arial" w:cs="Arial"/>
          <w:i/>
          <w:iCs/>
          <w:lang w:val="en-US"/>
        </w:rPr>
        <w:t>Advancing Mental Health Equalities Strategy</w:t>
      </w:r>
      <w:r w:rsidRPr="37759C21">
        <w:rPr>
          <w:rFonts w:ascii="Arial" w:eastAsia="Arial" w:hAnsi="Arial" w:cs="Arial"/>
          <w:lang w:val="en-US"/>
        </w:rPr>
        <w:t>.</w:t>
      </w:r>
    </w:p>
    <w:p w14:paraId="5A0E1C4B" w14:textId="526C4DF1" w:rsidR="00F37855" w:rsidRDefault="4FE846AA" w:rsidP="37759C21">
      <w:pPr>
        <w:spacing w:before="240" w:after="240"/>
      </w:pPr>
      <w:r w:rsidRPr="37759C21">
        <w:rPr>
          <w:rFonts w:ascii="Arial" w:eastAsia="Arial" w:hAnsi="Arial" w:cs="Arial"/>
          <w:lang w:val="en-US"/>
        </w:rPr>
        <w:t xml:space="preserve">NHS Race and Health Observatory (2022) </w:t>
      </w:r>
      <w:r w:rsidRPr="37759C21">
        <w:rPr>
          <w:rFonts w:ascii="Arial" w:eastAsia="Arial" w:hAnsi="Arial" w:cs="Arial"/>
          <w:i/>
          <w:iCs/>
          <w:lang w:val="en-US"/>
        </w:rPr>
        <w:t>Ethnic Inequalities in Mental Health Review</w:t>
      </w:r>
      <w:r w:rsidRPr="37759C21">
        <w:rPr>
          <w:rFonts w:ascii="Arial" w:eastAsia="Arial" w:hAnsi="Arial" w:cs="Arial"/>
          <w:lang w:val="en-US"/>
        </w:rPr>
        <w:t>.</w:t>
      </w:r>
    </w:p>
    <w:p w14:paraId="119BE5A0" w14:textId="726F7EE9" w:rsidR="00F37855" w:rsidRDefault="4FE846AA" w:rsidP="37759C21">
      <w:pPr>
        <w:spacing w:before="240" w:after="240"/>
      </w:pPr>
      <w:r w:rsidRPr="37759C21">
        <w:rPr>
          <w:rFonts w:ascii="Arial" w:eastAsia="Arial" w:hAnsi="Arial" w:cs="Arial"/>
          <w:lang w:val="en-US"/>
        </w:rPr>
        <w:t xml:space="preserve">Owusu, M. and Agyeman, J. (2022) ‘Understanding help-seeking among Black African migrants in the UK’, </w:t>
      </w:r>
      <w:r w:rsidRPr="37759C21">
        <w:rPr>
          <w:rFonts w:ascii="Arial" w:eastAsia="Arial" w:hAnsi="Arial" w:cs="Arial"/>
          <w:i/>
          <w:iCs/>
          <w:lang w:val="en-US"/>
        </w:rPr>
        <w:t>Journal of Ethnic and Cultural Studies</w:t>
      </w:r>
      <w:r w:rsidRPr="37759C21">
        <w:rPr>
          <w:rFonts w:ascii="Arial" w:eastAsia="Arial" w:hAnsi="Arial" w:cs="Arial"/>
          <w:lang w:val="en-US"/>
        </w:rPr>
        <w:t>, 9(3), pp. 45–60.</w:t>
      </w:r>
    </w:p>
    <w:p w14:paraId="693EBDF6" w14:textId="4453D471" w:rsidR="00F37855" w:rsidRDefault="4FE846AA" w:rsidP="37759C21">
      <w:pPr>
        <w:spacing w:before="240" w:after="240"/>
      </w:pPr>
      <w:proofErr w:type="spellStart"/>
      <w:r w:rsidRPr="37759C21">
        <w:rPr>
          <w:rFonts w:ascii="Arial" w:eastAsia="Arial" w:hAnsi="Arial" w:cs="Arial"/>
          <w:lang w:val="en-US"/>
        </w:rPr>
        <w:t>Priebe</w:t>
      </w:r>
      <w:proofErr w:type="spellEnd"/>
      <w:r w:rsidRPr="37759C21">
        <w:rPr>
          <w:rFonts w:ascii="Arial" w:eastAsia="Arial" w:hAnsi="Arial" w:cs="Arial"/>
          <w:lang w:val="en-US"/>
        </w:rPr>
        <w:t xml:space="preserve">, S., </w:t>
      </w:r>
      <w:proofErr w:type="spellStart"/>
      <w:r w:rsidRPr="37759C21">
        <w:rPr>
          <w:rFonts w:ascii="Arial" w:eastAsia="Arial" w:hAnsi="Arial" w:cs="Arial"/>
          <w:lang w:val="en-US"/>
        </w:rPr>
        <w:t>Giacco</w:t>
      </w:r>
      <w:proofErr w:type="spellEnd"/>
      <w:r w:rsidRPr="37759C21">
        <w:rPr>
          <w:rFonts w:ascii="Arial" w:eastAsia="Arial" w:hAnsi="Arial" w:cs="Arial"/>
          <w:lang w:val="en-US"/>
        </w:rPr>
        <w:t xml:space="preserve">, D. and </w:t>
      </w:r>
      <w:proofErr w:type="spellStart"/>
      <w:r w:rsidRPr="37759C21">
        <w:rPr>
          <w:rFonts w:ascii="Arial" w:eastAsia="Arial" w:hAnsi="Arial" w:cs="Arial"/>
          <w:lang w:val="en-US"/>
        </w:rPr>
        <w:t>El-Nagib</w:t>
      </w:r>
      <w:proofErr w:type="spellEnd"/>
      <w:r w:rsidRPr="37759C21">
        <w:rPr>
          <w:rFonts w:ascii="Arial" w:eastAsia="Arial" w:hAnsi="Arial" w:cs="Arial"/>
          <w:lang w:val="en-US"/>
        </w:rPr>
        <w:t xml:space="preserve">, R. (2016) </w:t>
      </w:r>
      <w:r w:rsidRPr="37759C21">
        <w:rPr>
          <w:rFonts w:ascii="Arial" w:eastAsia="Arial" w:hAnsi="Arial" w:cs="Arial"/>
          <w:i/>
          <w:iCs/>
          <w:lang w:val="en-US"/>
        </w:rPr>
        <w:t>Public health aspects of mental health among migrants and refugees</w:t>
      </w:r>
      <w:r w:rsidRPr="37759C21">
        <w:rPr>
          <w:rFonts w:ascii="Arial" w:eastAsia="Arial" w:hAnsi="Arial" w:cs="Arial"/>
          <w:lang w:val="en-US"/>
        </w:rPr>
        <w:t>. Copenhagen: WHO Regional Office for Europe.</w:t>
      </w:r>
    </w:p>
    <w:p w14:paraId="1335BC46" w14:textId="09B6258E" w:rsidR="00F37855" w:rsidRDefault="4FE846AA" w:rsidP="37759C21">
      <w:pPr>
        <w:spacing w:before="240" w:after="240"/>
      </w:pPr>
      <w:r w:rsidRPr="37759C21">
        <w:rPr>
          <w:rFonts w:ascii="Arial" w:eastAsia="Arial" w:hAnsi="Arial" w:cs="Arial"/>
          <w:lang w:val="en-US"/>
        </w:rPr>
        <w:t xml:space="preserve">Public Health England (2019) </w:t>
      </w:r>
      <w:r w:rsidRPr="37759C21">
        <w:rPr>
          <w:rFonts w:ascii="Arial" w:eastAsia="Arial" w:hAnsi="Arial" w:cs="Arial"/>
          <w:i/>
          <w:iCs/>
          <w:lang w:val="en-US"/>
        </w:rPr>
        <w:t>Disparities in mental health access: systematic review</w:t>
      </w:r>
      <w:r w:rsidRPr="37759C21">
        <w:rPr>
          <w:rFonts w:ascii="Arial" w:eastAsia="Arial" w:hAnsi="Arial" w:cs="Arial"/>
          <w:lang w:val="en-US"/>
        </w:rPr>
        <w:t>.</w:t>
      </w:r>
    </w:p>
    <w:p w14:paraId="7001D42A" w14:textId="4F553CEF" w:rsidR="00F37855" w:rsidRDefault="4FE846AA" w:rsidP="37759C21">
      <w:pPr>
        <w:spacing w:before="240" w:after="240"/>
      </w:pPr>
      <w:r w:rsidRPr="37759C21">
        <w:rPr>
          <w:rFonts w:ascii="Arial" w:eastAsia="Arial" w:hAnsi="Arial" w:cs="Arial"/>
          <w:lang w:val="en-US"/>
        </w:rPr>
        <w:t xml:space="preserve">Royal College of Psychiatrists (2021) </w:t>
      </w:r>
      <w:r w:rsidRPr="37759C21">
        <w:rPr>
          <w:rFonts w:ascii="Arial" w:eastAsia="Arial" w:hAnsi="Arial" w:cs="Arial"/>
          <w:i/>
          <w:iCs/>
          <w:lang w:val="en-US"/>
        </w:rPr>
        <w:t>Advancing Mental Health Equality</w:t>
      </w:r>
      <w:r w:rsidRPr="37759C21">
        <w:rPr>
          <w:rFonts w:ascii="Arial" w:eastAsia="Arial" w:hAnsi="Arial" w:cs="Arial"/>
          <w:lang w:val="en-US"/>
        </w:rPr>
        <w:t>. London: RCPsych.</w:t>
      </w:r>
    </w:p>
    <w:p w14:paraId="022F2FF8" w14:textId="14845971" w:rsidR="00F37855" w:rsidRDefault="4FE846AA" w:rsidP="37759C21">
      <w:pPr>
        <w:spacing w:before="240" w:after="240"/>
      </w:pPr>
      <w:proofErr w:type="spellStart"/>
      <w:r w:rsidRPr="37759C21">
        <w:rPr>
          <w:rFonts w:ascii="Arial" w:eastAsia="Arial" w:hAnsi="Arial" w:cs="Arial"/>
          <w:lang w:val="en-US"/>
        </w:rPr>
        <w:t>Salway</w:t>
      </w:r>
      <w:proofErr w:type="spellEnd"/>
      <w:r w:rsidRPr="37759C21">
        <w:rPr>
          <w:rFonts w:ascii="Arial" w:eastAsia="Arial" w:hAnsi="Arial" w:cs="Arial"/>
          <w:lang w:val="en-US"/>
        </w:rPr>
        <w:t xml:space="preserve">, S. et al. (2023) ‘Structural drivers of racial health inequalities’, </w:t>
      </w:r>
      <w:r w:rsidRPr="37759C21">
        <w:rPr>
          <w:rFonts w:ascii="Arial" w:eastAsia="Arial" w:hAnsi="Arial" w:cs="Arial"/>
          <w:i/>
          <w:iCs/>
          <w:lang w:val="en-US"/>
        </w:rPr>
        <w:t>Social Science &amp; Medicine</w:t>
      </w:r>
      <w:r w:rsidRPr="37759C21">
        <w:rPr>
          <w:rFonts w:ascii="Arial" w:eastAsia="Arial" w:hAnsi="Arial" w:cs="Arial"/>
          <w:lang w:val="en-US"/>
        </w:rPr>
        <w:t>, 314, 115–123.</w:t>
      </w:r>
    </w:p>
    <w:p w14:paraId="6142957F" w14:textId="6BC5454F" w:rsidR="00F37855" w:rsidRDefault="4FE846AA" w:rsidP="37759C21">
      <w:pPr>
        <w:spacing w:before="240" w:after="240"/>
      </w:pPr>
      <w:r w:rsidRPr="37759C21">
        <w:rPr>
          <w:rFonts w:ascii="Arial" w:eastAsia="Arial" w:hAnsi="Arial" w:cs="Arial"/>
          <w:lang w:val="en-US"/>
        </w:rPr>
        <w:t xml:space="preserve">Sewell, H. (2009) </w:t>
      </w:r>
      <w:r w:rsidRPr="37759C21">
        <w:rPr>
          <w:rFonts w:ascii="Arial" w:eastAsia="Arial" w:hAnsi="Arial" w:cs="Arial"/>
          <w:i/>
          <w:iCs/>
          <w:lang w:val="en-US"/>
        </w:rPr>
        <w:t>Working with ethnicity, race and culture in mental health: a handbook</w:t>
      </w:r>
      <w:r w:rsidRPr="37759C21">
        <w:rPr>
          <w:rFonts w:ascii="Arial" w:eastAsia="Arial" w:hAnsi="Arial" w:cs="Arial"/>
          <w:lang w:val="en-US"/>
        </w:rPr>
        <w:t>. London: Jessica Kingsley.</w:t>
      </w:r>
    </w:p>
    <w:p w14:paraId="696E10B0" w14:textId="5AC3D978" w:rsidR="00F37855" w:rsidRDefault="4FE846AA" w:rsidP="37759C21">
      <w:pPr>
        <w:spacing w:before="240" w:after="240"/>
      </w:pPr>
      <w:r w:rsidRPr="37759C21">
        <w:rPr>
          <w:rFonts w:ascii="Arial" w:eastAsia="Arial" w:hAnsi="Arial" w:cs="Arial"/>
          <w:lang w:val="en-US"/>
        </w:rPr>
        <w:t xml:space="preserve">Snowden, L.R. and Yamada, A.M. (2005) ‘Cultural differences in access to care’, </w:t>
      </w:r>
      <w:r w:rsidRPr="37759C21">
        <w:rPr>
          <w:rFonts w:ascii="Arial" w:eastAsia="Arial" w:hAnsi="Arial" w:cs="Arial"/>
          <w:i/>
          <w:iCs/>
          <w:lang w:val="en-US"/>
        </w:rPr>
        <w:t>Psychiatric Services</w:t>
      </w:r>
      <w:r w:rsidRPr="37759C21">
        <w:rPr>
          <w:rFonts w:ascii="Arial" w:eastAsia="Arial" w:hAnsi="Arial" w:cs="Arial"/>
          <w:lang w:val="en-US"/>
        </w:rPr>
        <w:t>, 56(10), pp. 1106–1112.</w:t>
      </w:r>
    </w:p>
    <w:p w14:paraId="3944613F" w14:textId="3B65DF5E" w:rsidR="00F37855" w:rsidRDefault="4FE846AA" w:rsidP="37759C21">
      <w:pPr>
        <w:spacing w:before="240" w:after="240"/>
      </w:pPr>
      <w:proofErr w:type="spellStart"/>
      <w:r w:rsidRPr="37759C21">
        <w:rPr>
          <w:rFonts w:ascii="Arial" w:eastAsia="Arial" w:hAnsi="Arial" w:cs="Arial"/>
          <w:lang w:val="en-US"/>
        </w:rPr>
        <w:t>Thornicroft</w:t>
      </w:r>
      <w:proofErr w:type="spellEnd"/>
      <w:r w:rsidRPr="37759C21">
        <w:rPr>
          <w:rFonts w:ascii="Arial" w:eastAsia="Arial" w:hAnsi="Arial" w:cs="Arial"/>
          <w:lang w:val="en-US"/>
        </w:rPr>
        <w:t xml:space="preserve">, G. (2008) ‘Stigma and discrimination limit access to mental health care’, </w:t>
      </w:r>
      <w:r w:rsidRPr="37759C21">
        <w:rPr>
          <w:rFonts w:ascii="Arial" w:eastAsia="Arial" w:hAnsi="Arial" w:cs="Arial"/>
          <w:i/>
          <w:iCs/>
          <w:lang w:val="en-US"/>
        </w:rPr>
        <w:t>Epidemiology and Psychiatric Sciences</w:t>
      </w:r>
      <w:r w:rsidRPr="37759C21">
        <w:rPr>
          <w:rFonts w:ascii="Arial" w:eastAsia="Arial" w:hAnsi="Arial" w:cs="Arial"/>
          <w:lang w:val="en-US"/>
        </w:rPr>
        <w:t>, 17(1), pp. 14–19.</w:t>
      </w:r>
    </w:p>
    <w:p w14:paraId="0B5C5AEE" w14:textId="040260AF" w:rsidR="00F37855" w:rsidRDefault="4FE846AA" w:rsidP="37759C21">
      <w:pPr>
        <w:spacing w:before="240" w:after="240"/>
      </w:pPr>
      <w:proofErr w:type="spellStart"/>
      <w:r w:rsidRPr="37759C21">
        <w:rPr>
          <w:rFonts w:ascii="Arial" w:eastAsia="Arial" w:hAnsi="Arial" w:cs="Arial"/>
          <w:lang w:val="en-US"/>
        </w:rPr>
        <w:t>Wakida</w:t>
      </w:r>
      <w:proofErr w:type="spellEnd"/>
      <w:r w:rsidRPr="37759C21">
        <w:rPr>
          <w:rFonts w:ascii="Arial" w:eastAsia="Arial" w:hAnsi="Arial" w:cs="Arial"/>
          <w:lang w:val="en-US"/>
        </w:rPr>
        <w:t xml:space="preserve">, E.K. et al. (2018) ‘Barriers and facilitators to the integration of mental health services into primary health care’, </w:t>
      </w:r>
      <w:r w:rsidRPr="37759C21">
        <w:rPr>
          <w:rFonts w:ascii="Arial" w:eastAsia="Arial" w:hAnsi="Arial" w:cs="Arial"/>
          <w:i/>
          <w:iCs/>
          <w:lang w:val="en-US"/>
        </w:rPr>
        <w:t>Systematic Reviews</w:t>
      </w:r>
      <w:r w:rsidRPr="37759C21">
        <w:rPr>
          <w:rFonts w:ascii="Arial" w:eastAsia="Arial" w:hAnsi="Arial" w:cs="Arial"/>
          <w:lang w:val="en-US"/>
        </w:rPr>
        <w:t>, 7(1).</w:t>
      </w:r>
    </w:p>
    <w:p w14:paraId="4F5CEDC2" w14:textId="08486ECE" w:rsidR="00F37855" w:rsidRDefault="4FE846AA" w:rsidP="37759C21">
      <w:pPr>
        <w:spacing w:before="240" w:after="240"/>
      </w:pPr>
      <w:r w:rsidRPr="37759C21">
        <w:rPr>
          <w:rFonts w:ascii="Arial" w:eastAsia="Arial" w:hAnsi="Arial" w:cs="Arial"/>
          <w:lang w:val="en-US"/>
        </w:rPr>
        <w:t xml:space="preserve">Williams, D.R., Lawrence, J.A. and Davis, B.A. (2019) ‘Racism and health: evidence and needed research’, </w:t>
      </w:r>
      <w:r w:rsidRPr="37759C21">
        <w:rPr>
          <w:rFonts w:ascii="Arial" w:eastAsia="Arial" w:hAnsi="Arial" w:cs="Arial"/>
          <w:i/>
          <w:iCs/>
          <w:lang w:val="en-US"/>
        </w:rPr>
        <w:t>Annual Review of Public Health</w:t>
      </w:r>
      <w:r w:rsidRPr="37759C21">
        <w:rPr>
          <w:rFonts w:ascii="Arial" w:eastAsia="Arial" w:hAnsi="Arial" w:cs="Arial"/>
          <w:lang w:val="en-US"/>
        </w:rPr>
        <w:t>, 40, pp. 105–125.</w:t>
      </w:r>
    </w:p>
    <w:p w14:paraId="345FC8E7" w14:textId="4847A924" w:rsidR="00F37855" w:rsidRDefault="4FE846AA" w:rsidP="37759C21">
      <w:pPr>
        <w:spacing w:before="240" w:after="240"/>
      </w:pPr>
      <w:r w:rsidRPr="37759C21">
        <w:rPr>
          <w:rFonts w:ascii="Arial" w:eastAsia="Arial" w:hAnsi="Arial" w:cs="Arial"/>
          <w:lang w:val="en-US"/>
        </w:rPr>
        <w:t xml:space="preserve">World Health Organization (2022) </w:t>
      </w:r>
      <w:r w:rsidRPr="37759C21">
        <w:rPr>
          <w:rFonts w:ascii="Arial" w:eastAsia="Arial" w:hAnsi="Arial" w:cs="Arial"/>
          <w:i/>
          <w:iCs/>
          <w:lang w:val="en-US"/>
        </w:rPr>
        <w:t>Mental Health</w:t>
      </w:r>
      <w:r w:rsidRPr="37759C21">
        <w:rPr>
          <w:rFonts w:ascii="Arial" w:eastAsia="Arial" w:hAnsi="Arial" w:cs="Arial"/>
          <w:lang w:val="en-US"/>
        </w:rPr>
        <w:t xml:space="preserve">. [online] Available at: </w:t>
      </w:r>
      <w:hyperlink r:id="rId12">
        <w:r w:rsidRPr="37759C21">
          <w:rPr>
            <w:rStyle w:val="Hyperlink"/>
            <w:rFonts w:ascii="Arial" w:eastAsia="Arial" w:hAnsi="Arial" w:cs="Arial"/>
            <w:lang w:val="en-US"/>
          </w:rPr>
          <w:t>https://www.who.int/data/gho/data/themes/theme-details/GHO/mental-health</w:t>
        </w:r>
      </w:hyperlink>
      <w:r w:rsidRPr="37759C21">
        <w:rPr>
          <w:rFonts w:ascii="Arial" w:eastAsia="Arial" w:hAnsi="Arial" w:cs="Arial"/>
          <w:lang w:val="en-US"/>
        </w:rPr>
        <w:t>.</w:t>
      </w:r>
    </w:p>
    <w:p w14:paraId="6E782BDD" w14:textId="787C51F7" w:rsidR="00F37855" w:rsidRDefault="00F37855" w:rsidP="00F37855">
      <w:pPr>
        <w:spacing w:before="240" w:after="240"/>
        <w:rPr>
          <w:rFonts w:ascii="Arial" w:eastAsia="Arial" w:hAnsi="Arial" w:cs="Arial"/>
          <w:lang w:val="en-US"/>
        </w:rPr>
      </w:pPr>
    </w:p>
    <w:p w14:paraId="0B350D61" w14:textId="39AE0D6C" w:rsidR="00F37855" w:rsidRDefault="00F37855" w:rsidP="00F37855">
      <w:pPr>
        <w:spacing w:before="240" w:after="240" w:line="360" w:lineRule="auto"/>
        <w:rPr>
          <w:b/>
          <w:bCs/>
          <w:color w:val="000000" w:themeColor="text1"/>
          <w:sz w:val="32"/>
          <w:szCs w:val="32"/>
          <w:lang w:val="en-US"/>
        </w:rPr>
      </w:pPr>
    </w:p>
    <w:p w14:paraId="14F037E5" w14:textId="63BEA738" w:rsidR="00652111" w:rsidRDefault="513A3D04" w:rsidP="00F37855">
      <w:pPr>
        <w:pStyle w:val="Heading1"/>
        <w:rPr>
          <w:rFonts w:asciiTheme="minorHAnsi" w:eastAsiaTheme="minorEastAsia" w:hAnsiTheme="minorHAnsi" w:cstheme="minorBidi"/>
          <w:b/>
          <w:bCs/>
          <w:color w:val="000000" w:themeColor="text1"/>
          <w:sz w:val="32"/>
          <w:szCs w:val="32"/>
          <w:lang w:val="en-US"/>
        </w:rPr>
      </w:pPr>
      <w:r w:rsidRPr="00F37855">
        <w:rPr>
          <w:rFonts w:asciiTheme="minorHAnsi" w:eastAsiaTheme="minorEastAsia" w:hAnsiTheme="minorHAnsi" w:cstheme="minorBidi"/>
          <w:b/>
          <w:bCs/>
          <w:color w:val="000000" w:themeColor="text1"/>
          <w:sz w:val="32"/>
          <w:szCs w:val="32"/>
          <w:lang w:val="en-US"/>
        </w:rPr>
        <w:t>APPENDIX A</w:t>
      </w:r>
    </w:p>
    <w:tbl>
      <w:tblPr>
        <w:tblW w:w="0" w:type="auto"/>
        <w:tblBorders>
          <w:top w:val="single" w:sz="6" w:space="0" w:color="auto"/>
          <w:left w:val="single" w:sz="6" w:space="0" w:color="auto"/>
          <w:bottom w:val="single" w:sz="6" w:space="0" w:color="auto"/>
          <w:right w:val="single" w:sz="6" w:space="0" w:color="auto"/>
        </w:tblBorders>
        <w:tblLook w:val="0000" w:firstRow="0" w:lastRow="0" w:firstColumn="0" w:lastColumn="0" w:noHBand="0" w:noVBand="0"/>
      </w:tblPr>
      <w:tblGrid>
        <w:gridCol w:w="546"/>
        <w:gridCol w:w="1370"/>
        <w:gridCol w:w="1723"/>
        <w:gridCol w:w="1983"/>
        <w:gridCol w:w="1736"/>
        <w:gridCol w:w="1652"/>
      </w:tblGrid>
      <w:tr w:rsidR="12E62483" w14:paraId="1D230C00" w14:textId="77777777" w:rsidTr="12E62483">
        <w:trPr>
          <w:trHeight w:val="300"/>
        </w:trPr>
        <w:tc>
          <w:tcPr>
            <w:tcW w:w="556" w:type="dxa"/>
            <w:vAlign w:val="center"/>
          </w:tcPr>
          <w:p w14:paraId="60601B25" w14:textId="7248378E" w:rsidR="12E62483" w:rsidRDefault="12E62483" w:rsidP="12E62483">
            <w:pPr>
              <w:spacing w:before="100" w:after="100" w:line="240" w:lineRule="auto"/>
              <w:jc w:val="center"/>
              <w:rPr>
                <w:rFonts w:ascii="Times New Roman" w:eastAsia="Times New Roman" w:hAnsi="Times New Roman" w:cs="Times New Roman"/>
                <w:b/>
                <w:bCs/>
                <w:color w:val="000000" w:themeColor="text1"/>
              </w:rPr>
            </w:pPr>
          </w:p>
        </w:tc>
        <w:tc>
          <w:tcPr>
            <w:tcW w:w="881" w:type="dxa"/>
            <w:vAlign w:val="center"/>
          </w:tcPr>
          <w:p w14:paraId="2061DBB8" w14:textId="7B2D656C" w:rsidR="12E62483" w:rsidRDefault="12E62483" w:rsidP="12E62483">
            <w:pPr>
              <w:spacing w:before="100" w:after="100" w:line="240" w:lineRule="auto"/>
              <w:jc w:val="center"/>
              <w:rPr>
                <w:rFonts w:ascii="Times New Roman" w:eastAsia="Times New Roman" w:hAnsi="Times New Roman" w:cs="Times New Roman"/>
                <w:color w:val="000000" w:themeColor="text1"/>
              </w:rPr>
            </w:pPr>
            <w:r w:rsidRPr="12E62483">
              <w:rPr>
                <w:rFonts w:ascii="Times New Roman" w:eastAsia="Times New Roman" w:hAnsi="Times New Roman" w:cs="Times New Roman"/>
                <w:b/>
                <w:bCs/>
                <w:color w:val="000000" w:themeColor="text1"/>
              </w:rPr>
              <w:t>Author &amp; Year</w:t>
            </w:r>
          </w:p>
        </w:tc>
        <w:tc>
          <w:tcPr>
            <w:tcW w:w="1090" w:type="dxa"/>
            <w:vAlign w:val="center"/>
          </w:tcPr>
          <w:p w14:paraId="3B320B7B" w14:textId="19508265" w:rsidR="12E62483" w:rsidRDefault="12E62483" w:rsidP="12E62483">
            <w:pPr>
              <w:spacing w:before="100" w:after="100" w:line="240" w:lineRule="auto"/>
              <w:jc w:val="center"/>
              <w:rPr>
                <w:rFonts w:ascii="Times New Roman" w:eastAsia="Times New Roman" w:hAnsi="Times New Roman" w:cs="Times New Roman"/>
                <w:color w:val="000000" w:themeColor="text1"/>
              </w:rPr>
            </w:pPr>
            <w:r w:rsidRPr="12E62483">
              <w:rPr>
                <w:rFonts w:ascii="Times New Roman" w:eastAsia="Times New Roman" w:hAnsi="Times New Roman" w:cs="Times New Roman"/>
                <w:b/>
                <w:bCs/>
                <w:color w:val="000000" w:themeColor="text1"/>
              </w:rPr>
              <w:t>Title</w:t>
            </w:r>
          </w:p>
        </w:tc>
        <w:tc>
          <w:tcPr>
            <w:tcW w:w="1279" w:type="dxa"/>
            <w:vAlign w:val="center"/>
          </w:tcPr>
          <w:p w14:paraId="33D81B7C" w14:textId="668ED52D" w:rsidR="12E62483" w:rsidRDefault="12E62483" w:rsidP="12E62483">
            <w:pPr>
              <w:spacing w:before="100" w:after="100" w:line="240" w:lineRule="auto"/>
              <w:jc w:val="center"/>
              <w:rPr>
                <w:rFonts w:ascii="Times New Roman" w:eastAsia="Times New Roman" w:hAnsi="Times New Roman" w:cs="Times New Roman"/>
                <w:color w:val="000000" w:themeColor="text1"/>
              </w:rPr>
            </w:pPr>
            <w:r w:rsidRPr="12E62483">
              <w:rPr>
                <w:rFonts w:ascii="Times New Roman" w:eastAsia="Times New Roman" w:hAnsi="Times New Roman" w:cs="Times New Roman"/>
                <w:b/>
                <w:bCs/>
                <w:color w:val="000000" w:themeColor="text1"/>
              </w:rPr>
              <w:t>Summary</w:t>
            </w:r>
          </w:p>
        </w:tc>
        <w:tc>
          <w:tcPr>
            <w:tcW w:w="1247" w:type="dxa"/>
            <w:vAlign w:val="center"/>
          </w:tcPr>
          <w:p w14:paraId="2CD03340" w14:textId="663D7C63" w:rsidR="12E62483" w:rsidRDefault="12E62483" w:rsidP="12E62483">
            <w:pPr>
              <w:spacing w:before="100" w:after="100" w:line="240" w:lineRule="auto"/>
              <w:jc w:val="center"/>
              <w:rPr>
                <w:rFonts w:ascii="Times New Roman" w:eastAsia="Times New Roman" w:hAnsi="Times New Roman" w:cs="Times New Roman"/>
                <w:color w:val="000000" w:themeColor="text1"/>
              </w:rPr>
            </w:pPr>
            <w:r w:rsidRPr="12E62483">
              <w:rPr>
                <w:rFonts w:ascii="Times New Roman" w:eastAsia="Times New Roman" w:hAnsi="Times New Roman" w:cs="Times New Roman"/>
                <w:b/>
                <w:bCs/>
                <w:color w:val="000000" w:themeColor="text1"/>
              </w:rPr>
              <w:t>CRAAP Notes</w:t>
            </w:r>
          </w:p>
        </w:tc>
        <w:tc>
          <w:tcPr>
            <w:tcW w:w="4102" w:type="dxa"/>
            <w:vAlign w:val="center"/>
          </w:tcPr>
          <w:p w14:paraId="66A99017" w14:textId="6577063C" w:rsidR="12E62483" w:rsidRDefault="12E62483" w:rsidP="12E62483">
            <w:pPr>
              <w:spacing w:before="100" w:after="100" w:line="240" w:lineRule="auto"/>
              <w:jc w:val="center"/>
              <w:rPr>
                <w:rFonts w:ascii="Times New Roman" w:eastAsia="Times New Roman" w:hAnsi="Times New Roman" w:cs="Times New Roman"/>
                <w:color w:val="000000" w:themeColor="text1"/>
              </w:rPr>
            </w:pPr>
            <w:r w:rsidRPr="12E62483">
              <w:rPr>
                <w:rFonts w:ascii="Times New Roman" w:eastAsia="Times New Roman" w:hAnsi="Times New Roman" w:cs="Times New Roman"/>
                <w:b/>
                <w:bCs/>
                <w:color w:val="000000" w:themeColor="text1"/>
              </w:rPr>
              <w:t>File Name / Link to Source</w:t>
            </w:r>
          </w:p>
        </w:tc>
      </w:tr>
      <w:tr w:rsidR="12E62483" w14:paraId="6D594886" w14:textId="77777777" w:rsidTr="12E62483">
        <w:trPr>
          <w:trHeight w:val="300"/>
        </w:trPr>
        <w:tc>
          <w:tcPr>
            <w:tcW w:w="556" w:type="dxa"/>
            <w:vAlign w:val="center"/>
          </w:tcPr>
          <w:p w14:paraId="6FE9ED0A" w14:textId="6201235D"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4CA3C64C" w14:textId="51D95C19" w:rsidR="12E62483" w:rsidRDefault="12E62483" w:rsidP="12E62483">
            <w:pPr>
              <w:spacing w:before="100" w:after="100" w:line="240" w:lineRule="auto"/>
              <w:rPr>
                <w:rFonts w:ascii="Times New Roman" w:eastAsia="Times New Roman" w:hAnsi="Times New Roman" w:cs="Times New Roman"/>
                <w:color w:val="000000" w:themeColor="text1"/>
              </w:rPr>
            </w:pPr>
            <w:proofErr w:type="spellStart"/>
            <w:r w:rsidRPr="12E62483">
              <w:rPr>
                <w:rFonts w:ascii="Times New Roman" w:eastAsia="Times New Roman" w:hAnsi="Times New Roman" w:cs="Times New Roman"/>
                <w:color w:val="000000" w:themeColor="text1"/>
              </w:rPr>
              <w:t>Memon</w:t>
            </w:r>
            <w:proofErr w:type="spellEnd"/>
            <w:r w:rsidRPr="12E62483">
              <w:rPr>
                <w:rFonts w:ascii="Times New Roman" w:eastAsia="Times New Roman" w:hAnsi="Times New Roman" w:cs="Times New Roman"/>
                <w:color w:val="000000" w:themeColor="text1"/>
              </w:rPr>
              <w:t xml:space="preserve"> et al., 2016</w:t>
            </w:r>
          </w:p>
        </w:tc>
        <w:tc>
          <w:tcPr>
            <w:tcW w:w="1090" w:type="dxa"/>
            <w:vAlign w:val="center"/>
          </w:tcPr>
          <w:p w14:paraId="0B2DD751" w14:textId="193C8833"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Perceived barriers to accessing mental health services among black and minority ethnic communities: a qualitative study</w:t>
            </w:r>
          </w:p>
        </w:tc>
        <w:tc>
          <w:tcPr>
            <w:tcW w:w="1279" w:type="dxa"/>
            <w:vAlign w:val="center"/>
          </w:tcPr>
          <w:p w14:paraId="163EFC1C" w14:textId="0819C0E5"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Identifies stigma, distrust, lack of awareness, and communication challenges as barriers across BME groups in England. Strong qualitative themes for lit review.</w:t>
            </w:r>
          </w:p>
        </w:tc>
        <w:tc>
          <w:tcPr>
            <w:tcW w:w="1247" w:type="dxa"/>
            <w:vAlign w:val="center"/>
          </w:tcPr>
          <w:p w14:paraId="7E621736" w14:textId="494D4EA1"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2016 but still widely cited. Relevance: Very relevant. Authority: BMJ Open. Accuracy: Peer-reviewed. Purpose: Research evidence.</w:t>
            </w:r>
          </w:p>
        </w:tc>
        <w:tc>
          <w:tcPr>
            <w:tcW w:w="4102" w:type="dxa"/>
            <w:vAlign w:val="center"/>
          </w:tcPr>
          <w:p w14:paraId="547E4085" w14:textId="4707503A" w:rsidR="587B42BF" w:rsidRDefault="587B42BF" w:rsidP="12E62483">
            <w:pPr>
              <w:spacing w:before="100" w:after="100" w:line="240" w:lineRule="auto"/>
              <w:rPr>
                <w:rFonts w:ascii="Times New Roman" w:eastAsia="Times New Roman" w:hAnsi="Times New Roman" w:cs="Times New Roman"/>
              </w:rPr>
            </w:pPr>
            <w:hyperlink r:id="rId13">
              <w:r w:rsidRPr="12E62483">
                <w:rPr>
                  <w:rStyle w:val="Hyperlink"/>
                  <w:rFonts w:ascii="Times New Roman" w:eastAsia="Times New Roman" w:hAnsi="Times New Roman" w:cs="Times New Roman"/>
                </w:rPr>
                <w:t>Perceived barriers to accessing mental health services among black and minority ethnic communities: a qualitative study in southeast England - The Lancet</w:t>
              </w:r>
            </w:hyperlink>
          </w:p>
        </w:tc>
      </w:tr>
      <w:tr w:rsidR="12E62483" w14:paraId="627E3C24" w14:textId="77777777" w:rsidTr="12E62483">
        <w:trPr>
          <w:trHeight w:val="300"/>
        </w:trPr>
        <w:tc>
          <w:tcPr>
            <w:tcW w:w="556" w:type="dxa"/>
            <w:vAlign w:val="center"/>
          </w:tcPr>
          <w:p w14:paraId="5B9190B9" w14:textId="6BF11F78"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4A2BEBEB" w14:textId="372DF237"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Mantovani et al., 2017</w:t>
            </w:r>
          </w:p>
        </w:tc>
        <w:tc>
          <w:tcPr>
            <w:tcW w:w="1090" w:type="dxa"/>
            <w:vAlign w:val="center"/>
          </w:tcPr>
          <w:p w14:paraId="7195D39F" w14:textId="6E998C84"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Exploring the relationship between stigma and help-seeking for mental illness in African-descended populations in the UK</w:t>
            </w:r>
          </w:p>
        </w:tc>
        <w:tc>
          <w:tcPr>
            <w:tcW w:w="1279" w:type="dxa"/>
            <w:vAlign w:val="center"/>
          </w:tcPr>
          <w:p w14:paraId="48DE7D72" w14:textId="31332B1E"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Focuses specifically on African-descended groups. Shows how stigma and cultural beliefs delay help-seeking. Useful for theory and cultural context.</w:t>
            </w:r>
          </w:p>
        </w:tc>
        <w:tc>
          <w:tcPr>
            <w:tcW w:w="1247" w:type="dxa"/>
            <w:vAlign w:val="center"/>
          </w:tcPr>
          <w:p w14:paraId="00772241" w14:textId="61C584CB"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Good. Relevance: Directly relevant. Authority: Peer-reviewed. Accuracy: Qualitative depth. Purpose: Academic research.</w:t>
            </w:r>
          </w:p>
        </w:tc>
        <w:tc>
          <w:tcPr>
            <w:tcW w:w="4102" w:type="dxa"/>
            <w:vAlign w:val="center"/>
          </w:tcPr>
          <w:p w14:paraId="19C02E4E" w14:textId="0CF63CC7" w:rsidR="4DBB5753" w:rsidRDefault="4DBB5753" w:rsidP="12E62483">
            <w:pPr>
              <w:spacing w:before="100" w:after="100" w:line="240" w:lineRule="auto"/>
              <w:rPr>
                <w:rFonts w:ascii="Times New Roman" w:eastAsia="Times New Roman" w:hAnsi="Times New Roman" w:cs="Times New Roman"/>
              </w:rPr>
            </w:pPr>
            <w:hyperlink r:id="rId14">
              <w:r w:rsidRPr="12E62483">
                <w:rPr>
                  <w:rStyle w:val="Hyperlink"/>
                  <w:rFonts w:ascii="Times New Roman" w:eastAsia="Times New Roman" w:hAnsi="Times New Roman" w:cs="Times New Roman"/>
                </w:rPr>
                <w:t>Exploring the relationship between stigma and help‐seeking for mental illness in African‐descended faith communities in the UK - Mantovani - 2017 - Health Expectations - Wiley Online Library</w:t>
              </w:r>
            </w:hyperlink>
          </w:p>
        </w:tc>
      </w:tr>
      <w:tr w:rsidR="12E62483" w14:paraId="4A28E08A" w14:textId="77777777" w:rsidTr="12E62483">
        <w:trPr>
          <w:trHeight w:val="300"/>
        </w:trPr>
        <w:tc>
          <w:tcPr>
            <w:tcW w:w="556" w:type="dxa"/>
            <w:vAlign w:val="center"/>
          </w:tcPr>
          <w:p w14:paraId="2F25712B" w14:textId="4A2E2A21"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35A461A8" w14:textId="7CD79D3D" w:rsidR="12E62483" w:rsidRDefault="12E62483" w:rsidP="12E62483">
            <w:pPr>
              <w:spacing w:before="100" w:after="100" w:line="240" w:lineRule="auto"/>
              <w:rPr>
                <w:rFonts w:ascii="Times New Roman" w:eastAsia="Times New Roman" w:hAnsi="Times New Roman" w:cs="Times New Roman"/>
                <w:color w:val="000000" w:themeColor="text1"/>
              </w:rPr>
            </w:pPr>
            <w:proofErr w:type="spellStart"/>
            <w:r w:rsidRPr="12E62483">
              <w:rPr>
                <w:rFonts w:ascii="Times New Roman" w:eastAsia="Times New Roman" w:hAnsi="Times New Roman" w:cs="Times New Roman"/>
                <w:color w:val="000000" w:themeColor="text1"/>
              </w:rPr>
              <w:t>Bansal</w:t>
            </w:r>
            <w:proofErr w:type="spellEnd"/>
            <w:r w:rsidRPr="12E62483">
              <w:rPr>
                <w:rFonts w:ascii="Times New Roman" w:eastAsia="Times New Roman" w:hAnsi="Times New Roman" w:cs="Times New Roman"/>
                <w:color w:val="000000" w:themeColor="text1"/>
              </w:rPr>
              <w:t xml:space="preserve"> et al., 2022</w:t>
            </w:r>
          </w:p>
        </w:tc>
        <w:tc>
          <w:tcPr>
            <w:tcW w:w="1090" w:type="dxa"/>
            <w:vAlign w:val="center"/>
          </w:tcPr>
          <w:p w14:paraId="0C3284D0" w14:textId="4CB38C0E"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Understanding ethnic inequalities in mental healthcare in the UK</w:t>
            </w:r>
          </w:p>
        </w:tc>
        <w:tc>
          <w:tcPr>
            <w:tcW w:w="1279" w:type="dxa"/>
            <w:vAlign w:val="center"/>
          </w:tcPr>
          <w:p w14:paraId="49EC84B2" w14:textId="42C02B24"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Broad analysis of ethnic inequalities, including access barriers, structural issues, and outcomes. Strong for background stats.</w:t>
            </w:r>
          </w:p>
        </w:tc>
        <w:tc>
          <w:tcPr>
            <w:tcW w:w="1247" w:type="dxa"/>
            <w:vAlign w:val="center"/>
          </w:tcPr>
          <w:p w14:paraId="6749475D" w14:textId="0979938B"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Very recent. Relevance: High. Authority: PLOS Medicine. Accuracy: Peer-reviewed. Purpose: Research summary.</w:t>
            </w:r>
          </w:p>
        </w:tc>
        <w:tc>
          <w:tcPr>
            <w:tcW w:w="4102" w:type="dxa"/>
            <w:vAlign w:val="center"/>
          </w:tcPr>
          <w:p w14:paraId="3C2AB9FC" w14:textId="09A1A0E8" w:rsidR="4A8D20D7" w:rsidRDefault="4A8D20D7" w:rsidP="12E62483">
            <w:pPr>
              <w:spacing w:before="100" w:after="100" w:line="240" w:lineRule="auto"/>
              <w:rPr>
                <w:rFonts w:ascii="Times New Roman" w:eastAsia="Times New Roman" w:hAnsi="Times New Roman" w:cs="Times New Roman"/>
              </w:rPr>
            </w:pPr>
            <w:hyperlink r:id="rId15">
              <w:r w:rsidRPr="12E62483">
                <w:rPr>
                  <w:rStyle w:val="Hyperlink"/>
                  <w:rFonts w:ascii="Times New Roman" w:eastAsia="Times New Roman" w:hAnsi="Times New Roman" w:cs="Times New Roman"/>
                </w:rPr>
                <w:t>Understanding ethnic inequalities in mental healthcare in the UK: A meta-ethnography | PLOS Medicine</w:t>
              </w:r>
            </w:hyperlink>
          </w:p>
        </w:tc>
      </w:tr>
      <w:tr w:rsidR="12E62483" w14:paraId="780485A0" w14:textId="77777777" w:rsidTr="12E62483">
        <w:trPr>
          <w:trHeight w:val="300"/>
        </w:trPr>
        <w:tc>
          <w:tcPr>
            <w:tcW w:w="556" w:type="dxa"/>
            <w:vAlign w:val="center"/>
          </w:tcPr>
          <w:p w14:paraId="1EF7E9AF" w14:textId="7C1CD74E"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32B9D6FD" w14:textId="7C3293C7"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090" w:type="dxa"/>
            <w:vAlign w:val="center"/>
          </w:tcPr>
          <w:p w14:paraId="4786C561" w14:textId="06514406"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279" w:type="dxa"/>
            <w:vAlign w:val="center"/>
          </w:tcPr>
          <w:p w14:paraId="2681EFBB" w14:textId="27015B6E"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247" w:type="dxa"/>
            <w:vAlign w:val="center"/>
          </w:tcPr>
          <w:p w14:paraId="2364353E" w14:textId="5FB262B0"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4102" w:type="dxa"/>
            <w:vAlign w:val="center"/>
          </w:tcPr>
          <w:p w14:paraId="1E169A18" w14:textId="0FB97DC9" w:rsidR="12E62483" w:rsidRDefault="12E62483" w:rsidP="12E62483">
            <w:pPr>
              <w:spacing w:before="100" w:after="100" w:line="240" w:lineRule="auto"/>
              <w:rPr>
                <w:rFonts w:ascii="Times New Roman" w:eastAsia="Times New Roman" w:hAnsi="Times New Roman" w:cs="Times New Roman"/>
              </w:rPr>
            </w:pPr>
          </w:p>
        </w:tc>
      </w:tr>
      <w:tr w:rsidR="12E62483" w14:paraId="63931AA3" w14:textId="77777777" w:rsidTr="12E62483">
        <w:trPr>
          <w:trHeight w:val="300"/>
        </w:trPr>
        <w:tc>
          <w:tcPr>
            <w:tcW w:w="556" w:type="dxa"/>
            <w:vAlign w:val="center"/>
          </w:tcPr>
          <w:p w14:paraId="055E3049" w14:textId="56C69712"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7064C322" w14:textId="6A6FDF4F"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Bassey et al., 2024</w:t>
            </w:r>
          </w:p>
        </w:tc>
        <w:tc>
          <w:tcPr>
            <w:tcW w:w="1090" w:type="dxa"/>
            <w:vAlign w:val="center"/>
          </w:tcPr>
          <w:p w14:paraId="37715709" w14:textId="50448D8F"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Barriers to mental health service utilisation among African populations…</w:t>
            </w:r>
          </w:p>
        </w:tc>
        <w:tc>
          <w:tcPr>
            <w:tcW w:w="1279" w:type="dxa"/>
            <w:vAlign w:val="center"/>
          </w:tcPr>
          <w:p w14:paraId="5F6F5EE1" w14:textId="07B8B78C"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Empirical study focusing specifically on African communities. Provides culturally specific insights and recommendations.</w:t>
            </w:r>
          </w:p>
        </w:tc>
        <w:tc>
          <w:tcPr>
            <w:tcW w:w="1247" w:type="dxa"/>
            <w:vAlign w:val="center"/>
          </w:tcPr>
          <w:p w14:paraId="1DC0BA3D" w14:textId="6C1EA323"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Very current. Relevance: Directly relevant. Authority: Public Health journal. Accuracy: Peer-reviewed.</w:t>
            </w:r>
          </w:p>
        </w:tc>
        <w:tc>
          <w:tcPr>
            <w:tcW w:w="4102" w:type="dxa"/>
            <w:vAlign w:val="center"/>
          </w:tcPr>
          <w:p w14:paraId="56A89F8B" w14:textId="752EB876" w:rsidR="6718101D" w:rsidRDefault="6718101D" w:rsidP="12E62483">
            <w:pPr>
              <w:spacing w:before="100" w:after="100" w:line="240" w:lineRule="auto"/>
              <w:rPr>
                <w:rFonts w:ascii="Times New Roman" w:eastAsia="Times New Roman" w:hAnsi="Times New Roman" w:cs="Times New Roman"/>
              </w:rPr>
            </w:pPr>
            <w:hyperlink r:id="rId16">
              <w:r w:rsidRPr="12E62483">
                <w:rPr>
                  <w:rStyle w:val="Hyperlink"/>
                  <w:rFonts w:ascii="Times New Roman" w:eastAsia="Times New Roman" w:hAnsi="Times New Roman" w:cs="Times New Roman"/>
                </w:rPr>
                <w:t xml:space="preserve">Barriers to mental health service </w:t>
              </w:r>
              <w:proofErr w:type="spellStart"/>
              <w:r w:rsidRPr="12E62483">
                <w:rPr>
                  <w:rStyle w:val="Hyperlink"/>
                  <w:rFonts w:ascii="Times New Roman" w:eastAsia="Times New Roman" w:hAnsi="Times New Roman" w:cs="Times New Roman"/>
                </w:rPr>
                <w:t>utilization</w:t>
              </w:r>
              <w:proofErr w:type="spellEnd"/>
              <w:r w:rsidRPr="12E62483">
                <w:rPr>
                  <w:rStyle w:val="Hyperlink"/>
                  <w:rFonts w:ascii="Times New Roman" w:eastAsia="Times New Roman" w:hAnsi="Times New Roman" w:cs="Times New Roman"/>
                </w:rPr>
                <w:t xml:space="preserve"> among African immigrants in the United Kingdom: A systematic review - Bassey - 2024 - Public Health Challenges - Wiley Online Library</w:t>
              </w:r>
            </w:hyperlink>
          </w:p>
        </w:tc>
      </w:tr>
      <w:tr w:rsidR="12E62483" w14:paraId="1C772E10" w14:textId="77777777" w:rsidTr="12E62483">
        <w:trPr>
          <w:trHeight w:val="300"/>
        </w:trPr>
        <w:tc>
          <w:tcPr>
            <w:tcW w:w="556" w:type="dxa"/>
            <w:vAlign w:val="center"/>
          </w:tcPr>
          <w:p w14:paraId="6173C109" w14:textId="7AF02C23" w:rsidR="12E62483" w:rsidRDefault="12E62483" w:rsidP="12E62483">
            <w:pPr>
              <w:spacing w:before="100" w:after="100" w:line="240" w:lineRule="auto"/>
              <w:rPr>
                <w:rFonts w:ascii="Segoe UI" w:eastAsia="Segoe UI" w:hAnsi="Segoe UI" w:cs="Segoe UI"/>
                <w:color w:val="000000" w:themeColor="text1"/>
              </w:rPr>
            </w:pPr>
          </w:p>
        </w:tc>
        <w:tc>
          <w:tcPr>
            <w:tcW w:w="881" w:type="dxa"/>
            <w:vAlign w:val="center"/>
          </w:tcPr>
          <w:p w14:paraId="10B17A6C" w14:textId="7A812437"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090" w:type="dxa"/>
            <w:vAlign w:val="center"/>
          </w:tcPr>
          <w:p w14:paraId="3DD89F93" w14:textId="102BD021"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279" w:type="dxa"/>
            <w:vAlign w:val="center"/>
          </w:tcPr>
          <w:p w14:paraId="3B8EEFC7" w14:textId="2D9B628F"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1247" w:type="dxa"/>
            <w:vAlign w:val="center"/>
          </w:tcPr>
          <w:p w14:paraId="3DEB0537" w14:textId="7A60C48F" w:rsidR="12E62483" w:rsidRDefault="12E62483" w:rsidP="12E62483">
            <w:pPr>
              <w:spacing w:before="100" w:after="100" w:line="240" w:lineRule="auto"/>
              <w:rPr>
                <w:rFonts w:ascii="Times New Roman" w:eastAsia="Times New Roman" w:hAnsi="Times New Roman" w:cs="Times New Roman"/>
                <w:color w:val="000000" w:themeColor="text1"/>
              </w:rPr>
            </w:pPr>
          </w:p>
        </w:tc>
        <w:tc>
          <w:tcPr>
            <w:tcW w:w="4102" w:type="dxa"/>
            <w:vAlign w:val="center"/>
          </w:tcPr>
          <w:p w14:paraId="460CF83C" w14:textId="430DC3DA" w:rsidR="12E62483" w:rsidRDefault="12E62483" w:rsidP="12E62483">
            <w:pPr>
              <w:spacing w:before="100" w:after="100" w:line="240" w:lineRule="auto"/>
              <w:rPr>
                <w:rFonts w:ascii="Times New Roman" w:eastAsia="Times New Roman" w:hAnsi="Times New Roman" w:cs="Times New Roman"/>
              </w:rPr>
            </w:pPr>
          </w:p>
        </w:tc>
      </w:tr>
      <w:tr w:rsidR="12E62483" w14:paraId="2857E2B0" w14:textId="77777777" w:rsidTr="12E62483">
        <w:trPr>
          <w:trHeight w:val="300"/>
        </w:trPr>
        <w:tc>
          <w:tcPr>
            <w:tcW w:w="556" w:type="dxa"/>
            <w:vAlign w:val="center"/>
          </w:tcPr>
          <w:p w14:paraId="5F28ACD4" w14:textId="037B1CE8"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72DB8E64" w14:textId="1725326A"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NIHR, 2025</w:t>
            </w:r>
          </w:p>
        </w:tc>
        <w:tc>
          <w:tcPr>
            <w:tcW w:w="1090" w:type="dxa"/>
            <w:vAlign w:val="center"/>
          </w:tcPr>
          <w:p w14:paraId="37D81B5A" w14:textId="2F9B94FE"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Barriers and facilitators to implementation of culturally appropriate mental health services</w:t>
            </w:r>
          </w:p>
        </w:tc>
        <w:tc>
          <w:tcPr>
            <w:tcW w:w="1279" w:type="dxa"/>
            <w:vAlign w:val="center"/>
          </w:tcPr>
          <w:p w14:paraId="5E5A2046" w14:textId="266AB48E"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Looks at system-level barriers in implementing culturally sensitive mental health care. Good for recommendations chapter.</w:t>
            </w:r>
          </w:p>
        </w:tc>
        <w:tc>
          <w:tcPr>
            <w:tcW w:w="1247" w:type="dxa"/>
            <w:vAlign w:val="center"/>
          </w:tcPr>
          <w:p w14:paraId="65748629" w14:textId="088832E2"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2025. Relevance: High. Authority: NIHR. Accuracy: Robust. Purpose: Implementation research.</w:t>
            </w:r>
          </w:p>
        </w:tc>
        <w:tc>
          <w:tcPr>
            <w:tcW w:w="4102" w:type="dxa"/>
            <w:vAlign w:val="center"/>
          </w:tcPr>
          <w:p w14:paraId="186B20EF" w14:textId="71902429" w:rsidR="2171106E" w:rsidRDefault="2171106E" w:rsidP="12E62483">
            <w:pPr>
              <w:spacing w:before="100" w:after="100" w:line="240" w:lineRule="auto"/>
              <w:rPr>
                <w:rFonts w:ascii="Times New Roman" w:eastAsia="Times New Roman" w:hAnsi="Times New Roman" w:cs="Times New Roman"/>
              </w:rPr>
            </w:pPr>
            <w:hyperlink r:id="rId17">
              <w:r w:rsidRPr="12E62483">
                <w:rPr>
                  <w:rStyle w:val="Hyperlink"/>
                  <w:rFonts w:ascii="Times New Roman" w:eastAsia="Times New Roman" w:hAnsi="Times New Roman" w:cs="Times New Roman"/>
                </w:rPr>
                <w:t>Barriers and facilitators to the integration of mental health services into primary health care: a systematic review | Systematic Reviews</w:t>
              </w:r>
            </w:hyperlink>
          </w:p>
        </w:tc>
      </w:tr>
      <w:tr w:rsidR="12E62483" w14:paraId="0C401171" w14:textId="77777777" w:rsidTr="12E62483">
        <w:trPr>
          <w:trHeight w:val="300"/>
        </w:trPr>
        <w:tc>
          <w:tcPr>
            <w:tcW w:w="556" w:type="dxa"/>
            <w:vAlign w:val="center"/>
          </w:tcPr>
          <w:p w14:paraId="5E5A6410" w14:textId="0B97F543"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315EE676" w14:textId="4A14C217"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Race Equality Foundation, 2024</w:t>
            </w:r>
          </w:p>
        </w:tc>
        <w:tc>
          <w:tcPr>
            <w:tcW w:w="1090" w:type="dxa"/>
            <w:vAlign w:val="center"/>
          </w:tcPr>
          <w:p w14:paraId="55939786" w14:textId="3EB898D7"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Racial disparities in mental health: literature &amp; evidence review</w:t>
            </w:r>
          </w:p>
        </w:tc>
        <w:tc>
          <w:tcPr>
            <w:tcW w:w="1279" w:type="dxa"/>
            <w:vAlign w:val="center"/>
          </w:tcPr>
          <w:p w14:paraId="3164D506" w14:textId="2A75B0A4"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Summarises evidence on inequalities, systemic racism, socioeconomic factors, and community-specific barriers.</w:t>
            </w:r>
          </w:p>
        </w:tc>
        <w:tc>
          <w:tcPr>
            <w:tcW w:w="1247" w:type="dxa"/>
            <w:vAlign w:val="center"/>
          </w:tcPr>
          <w:p w14:paraId="78C3B4EE" w14:textId="683563F5"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2024. Relevance: Strong. Authority: REF. Accuracy: Evidence-based.</w:t>
            </w:r>
          </w:p>
        </w:tc>
        <w:tc>
          <w:tcPr>
            <w:tcW w:w="4102" w:type="dxa"/>
            <w:vAlign w:val="center"/>
          </w:tcPr>
          <w:p w14:paraId="39A072F5" w14:textId="5B3DDDE9" w:rsidR="12E62483" w:rsidRDefault="7E60082D" w:rsidP="12E62483">
            <w:pPr>
              <w:spacing w:before="100" w:after="100" w:line="240" w:lineRule="auto"/>
              <w:rPr>
                <w:rFonts w:ascii="Times New Roman" w:eastAsia="Times New Roman" w:hAnsi="Times New Roman" w:cs="Times New Roman"/>
              </w:rPr>
            </w:pPr>
            <w:hyperlink r:id="rId18">
              <w:r w:rsidRPr="4BEF3E07">
                <w:rPr>
                  <w:rStyle w:val="Hyperlink"/>
                  <w:rFonts w:ascii="Times New Roman" w:eastAsia="Times New Roman" w:hAnsi="Times New Roman" w:cs="Times New Roman"/>
                </w:rPr>
                <w:t>Layout 1</w:t>
              </w:r>
            </w:hyperlink>
          </w:p>
        </w:tc>
      </w:tr>
      <w:tr w:rsidR="12E62483" w14:paraId="2E021814" w14:textId="77777777" w:rsidTr="12E62483">
        <w:trPr>
          <w:trHeight w:val="300"/>
        </w:trPr>
        <w:tc>
          <w:tcPr>
            <w:tcW w:w="556" w:type="dxa"/>
            <w:vAlign w:val="center"/>
          </w:tcPr>
          <w:p w14:paraId="2A6C6CB9" w14:textId="38FB5C35"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3129D675" w14:textId="60D9F1F2"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McLean, Campbell &amp; Cornish, 2003</w:t>
            </w:r>
          </w:p>
        </w:tc>
        <w:tc>
          <w:tcPr>
            <w:tcW w:w="1090" w:type="dxa"/>
            <w:vAlign w:val="center"/>
          </w:tcPr>
          <w:p w14:paraId="19CF624A" w14:textId="7DF3C96F"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African-Caribbean interactions with mental health services in the UK</w:t>
            </w:r>
          </w:p>
        </w:tc>
        <w:tc>
          <w:tcPr>
            <w:tcW w:w="1279" w:type="dxa"/>
            <w:vAlign w:val="center"/>
          </w:tcPr>
          <w:p w14:paraId="39DEA538" w14:textId="111801B8"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Foundational study describing historical and cultural issues in service access and experiences.</w:t>
            </w:r>
          </w:p>
        </w:tc>
        <w:tc>
          <w:tcPr>
            <w:tcW w:w="1247" w:type="dxa"/>
            <w:vAlign w:val="center"/>
          </w:tcPr>
          <w:p w14:paraId="57AE737B" w14:textId="5F342EDE"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 xml:space="preserve">Currency: Older but foundational. Relevance: Moderate-high. Authority: </w:t>
            </w:r>
            <w:proofErr w:type="spellStart"/>
            <w:r w:rsidRPr="12E62483">
              <w:rPr>
                <w:rFonts w:ascii="Times New Roman" w:eastAsia="Times New Roman" w:hAnsi="Times New Roman" w:cs="Times New Roman"/>
                <w:color w:val="000000" w:themeColor="text1"/>
              </w:rPr>
              <w:t>Soc</w:t>
            </w:r>
            <w:proofErr w:type="spellEnd"/>
            <w:r w:rsidRPr="12E62483">
              <w:rPr>
                <w:rFonts w:ascii="Times New Roman" w:eastAsia="Times New Roman" w:hAnsi="Times New Roman" w:cs="Times New Roman"/>
                <w:color w:val="000000" w:themeColor="text1"/>
              </w:rPr>
              <w:t xml:space="preserve"> Sci Med. Accuracy: Peer-reviewed.</w:t>
            </w:r>
          </w:p>
        </w:tc>
        <w:tc>
          <w:tcPr>
            <w:tcW w:w="4102" w:type="dxa"/>
            <w:vAlign w:val="center"/>
          </w:tcPr>
          <w:p w14:paraId="3616FA26" w14:textId="6F2A365F" w:rsidR="12E62483" w:rsidRDefault="4AB62C6F" w:rsidP="12E62483">
            <w:pPr>
              <w:spacing w:before="100" w:after="100" w:line="240" w:lineRule="auto"/>
              <w:rPr>
                <w:rFonts w:ascii="Times New Roman" w:eastAsia="Times New Roman" w:hAnsi="Times New Roman" w:cs="Times New Roman"/>
              </w:rPr>
            </w:pPr>
            <w:hyperlink r:id="rId19">
              <w:r w:rsidRPr="4BEF3E07">
                <w:rPr>
                  <w:rStyle w:val="Hyperlink"/>
                  <w:rFonts w:ascii="Times New Roman" w:eastAsia="Times New Roman" w:hAnsi="Times New Roman" w:cs="Times New Roman"/>
                </w:rPr>
                <w:t>African-Caribbean interactions with mental health services in the UK: experiences and expectations of exclusion as (re)productive of health inequalities - ScienceDirect</w:t>
              </w:r>
            </w:hyperlink>
          </w:p>
        </w:tc>
      </w:tr>
      <w:tr w:rsidR="12E62483" w14:paraId="4C5216DC" w14:textId="77777777" w:rsidTr="12E62483">
        <w:trPr>
          <w:trHeight w:val="300"/>
        </w:trPr>
        <w:tc>
          <w:tcPr>
            <w:tcW w:w="556" w:type="dxa"/>
            <w:vAlign w:val="center"/>
          </w:tcPr>
          <w:p w14:paraId="6E797793" w14:textId="21D761AF" w:rsidR="12E62483" w:rsidRDefault="12E62483" w:rsidP="12E62483">
            <w:pPr>
              <w:spacing w:before="100" w:after="100" w:line="240" w:lineRule="auto"/>
              <w:rPr>
                <w:rFonts w:ascii="Segoe UI" w:eastAsia="Segoe UI" w:hAnsi="Segoe UI" w:cs="Segoe UI"/>
                <w:color w:val="000000" w:themeColor="text1"/>
              </w:rPr>
            </w:pPr>
            <w:r w:rsidRPr="12E62483">
              <w:rPr>
                <w:rFonts w:ascii="Segoe UI" w:eastAsia="Segoe UI" w:hAnsi="Segoe UI" w:cs="Segoe UI"/>
                <w:color w:val="000000" w:themeColor="text1"/>
              </w:rPr>
              <w:t>✔️</w:t>
            </w:r>
          </w:p>
        </w:tc>
        <w:tc>
          <w:tcPr>
            <w:tcW w:w="881" w:type="dxa"/>
            <w:vAlign w:val="center"/>
          </w:tcPr>
          <w:p w14:paraId="3ABF0FCD" w14:textId="25B8E786" w:rsidR="12E62483" w:rsidRDefault="12E62483" w:rsidP="12E62483">
            <w:pPr>
              <w:spacing w:before="100" w:after="100" w:line="240" w:lineRule="auto"/>
              <w:rPr>
                <w:rFonts w:ascii="Times New Roman" w:eastAsia="Times New Roman" w:hAnsi="Times New Roman" w:cs="Times New Roman"/>
                <w:color w:val="000000" w:themeColor="text1"/>
              </w:rPr>
            </w:pPr>
            <w:proofErr w:type="spellStart"/>
            <w:r w:rsidRPr="12E62483">
              <w:rPr>
                <w:rFonts w:ascii="Times New Roman" w:eastAsia="Times New Roman" w:hAnsi="Times New Roman" w:cs="Times New Roman"/>
                <w:color w:val="000000" w:themeColor="text1"/>
              </w:rPr>
              <w:t>Alleyne</w:t>
            </w:r>
            <w:proofErr w:type="spellEnd"/>
            <w:r w:rsidRPr="12E62483">
              <w:rPr>
                <w:rFonts w:ascii="Times New Roman" w:eastAsia="Times New Roman" w:hAnsi="Times New Roman" w:cs="Times New Roman"/>
                <w:color w:val="000000" w:themeColor="text1"/>
              </w:rPr>
              <w:t>, 2024</w:t>
            </w:r>
          </w:p>
        </w:tc>
        <w:tc>
          <w:tcPr>
            <w:tcW w:w="1090" w:type="dxa"/>
            <w:vAlign w:val="center"/>
          </w:tcPr>
          <w:p w14:paraId="1F1800E6" w14:textId="50EA27DB"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Exploring Black British African and Caribbean peoples’ experiences of mental health services (Thesis)</w:t>
            </w:r>
          </w:p>
        </w:tc>
        <w:tc>
          <w:tcPr>
            <w:tcW w:w="1279" w:type="dxa"/>
            <w:vAlign w:val="center"/>
          </w:tcPr>
          <w:p w14:paraId="68EF8A6D" w14:textId="393985EC"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Provides modern qualitative insights, interviews, and current service experiences. Great for localised evidence and practical examples.</w:t>
            </w:r>
          </w:p>
        </w:tc>
        <w:tc>
          <w:tcPr>
            <w:tcW w:w="1247" w:type="dxa"/>
            <w:vAlign w:val="center"/>
          </w:tcPr>
          <w:p w14:paraId="541B03C7" w14:textId="4267928C" w:rsidR="12E62483" w:rsidRDefault="12E62483" w:rsidP="12E62483">
            <w:pPr>
              <w:spacing w:before="100" w:after="100" w:line="240" w:lineRule="auto"/>
              <w:rPr>
                <w:rFonts w:ascii="Times New Roman" w:eastAsia="Times New Roman" w:hAnsi="Times New Roman" w:cs="Times New Roman"/>
                <w:color w:val="000000" w:themeColor="text1"/>
              </w:rPr>
            </w:pPr>
            <w:r w:rsidRPr="12E62483">
              <w:rPr>
                <w:rFonts w:ascii="Times New Roman" w:eastAsia="Times New Roman" w:hAnsi="Times New Roman" w:cs="Times New Roman"/>
                <w:color w:val="000000" w:themeColor="text1"/>
              </w:rPr>
              <w:t>Currency: 2024. Relevance: High. Authority: University-level thesis. Accuracy: Academic but not peer-reviewed.</w:t>
            </w:r>
          </w:p>
        </w:tc>
        <w:tc>
          <w:tcPr>
            <w:tcW w:w="4102" w:type="dxa"/>
            <w:vAlign w:val="center"/>
          </w:tcPr>
          <w:p w14:paraId="53D81130" w14:textId="31EF7C91" w:rsidR="12E62483" w:rsidRDefault="57A456F3" w:rsidP="12E62483">
            <w:pPr>
              <w:spacing w:before="100" w:after="100" w:line="240" w:lineRule="auto"/>
              <w:rPr>
                <w:rFonts w:ascii="Times New Roman" w:eastAsia="Times New Roman" w:hAnsi="Times New Roman" w:cs="Times New Roman"/>
              </w:rPr>
            </w:pPr>
            <w:hyperlink r:id="rId20">
              <w:r w:rsidRPr="4BEF3E07">
                <w:rPr>
                  <w:rStyle w:val="Hyperlink"/>
                  <w:rFonts w:ascii="Times New Roman" w:eastAsia="Times New Roman" w:hAnsi="Times New Roman" w:cs="Times New Roman"/>
                </w:rPr>
                <w:t>Exploring Black British African and Caribbean Peoples’ Experiences of Mental Health Challenges and Help-Seeking - White Rose eTheses Online</w:t>
              </w:r>
            </w:hyperlink>
          </w:p>
        </w:tc>
      </w:tr>
    </w:tbl>
    <w:p w14:paraId="1CB5643E" w14:textId="315FF5E1" w:rsidR="56487953" w:rsidRDefault="56487953" w:rsidP="56487953">
      <w:pPr>
        <w:spacing w:line="360" w:lineRule="auto"/>
        <w:rPr>
          <w:sz w:val="22"/>
          <w:szCs w:val="22"/>
          <w:lang w:val="en-US"/>
        </w:rPr>
      </w:pPr>
    </w:p>
    <w:sectPr w:rsidR="5648795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N9aaN6taSU7T" int2:id="jR5JZQhf">
      <int2:state int2:value="Rejected" int2:type="spell"/>
    </int2:textHash>
    <int2:bookmark int2:bookmarkName="_Int_4rWpvogU" int2:invalidationBookmarkName="" int2:hashCode="OkPq90Kg1e2OlW" int2:id="FTFRITtz">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1730A"/>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ED3773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F548FD7"/>
    <w:multiLevelType w:val="hybridMultilevel"/>
    <w:tmpl w:val="FFFFFFFF"/>
    <w:lvl w:ilvl="0" w:tplc="C8804A50">
      <w:start w:val="1"/>
      <w:numFmt w:val="bullet"/>
      <w:lvlText w:val=""/>
      <w:lvlJc w:val="left"/>
      <w:pPr>
        <w:ind w:left="1080" w:hanging="360"/>
      </w:pPr>
      <w:rPr>
        <w:rFonts w:ascii="Symbol" w:hAnsi="Symbol" w:hint="default"/>
      </w:rPr>
    </w:lvl>
    <w:lvl w:ilvl="1" w:tplc="5F70A2C6">
      <w:start w:val="1"/>
      <w:numFmt w:val="bullet"/>
      <w:lvlText w:val="o"/>
      <w:lvlJc w:val="left"/>
      <w:pPr>
        <w:ind w:left="1800" w:hanging="360"/>
      </w:pPr>
      <w:rPr>
        <w:rFonts w:ascii="Courier New" w:hAnsi="Courier New" w:hint="default"/>
      </w:rPr>
    </w:lvl>
    <w:lvl w:ilvl="2" w:tplc="0F2431EE">
      <w:start w:val="1"/>
      <w:numFmt w:val="bullet"/>
      <w:lvlText w:val=""/>
      <w:lvlJc w:val="left"/>
      <w:pPr>
        <w:ind w:left="2520" w:hanging="360"/>
      </w:pPr>
      <w:rPr>
        <w:rFonts w:ascii="Wingdings" w:hAnsi="Wingdings" w:hint="default"/>
      </w:rPr>
    </w:lvl>
    <w:lvl w:ilvl="3" w:tplc="E0FEED6E">
      <w:start w:val="1"/>
      <w:numFmt w:val="bullet"/>
      <w:lvlText w:val=""/>
      <w:lvlJc w:val="left"/>
      <w:pPr>
        <w:ind w:left="3240" w:hanging="360"/>
      </w:pPr>
      <w:rPr>
        <w:rFonts w:ascii="Symbol" w:hAnsi="Symbol" w:hint="default"/>
      </w:rPr>
    </w:lvl>
    <w:lvl w:ilvl="4" w:tplc="40FEA5A2">
      <w:start w:val="1"/>
      <w:numFmt w:val="bullet"/>
      <w:lvlText w:val="o"/>
      <w:lvlJc w:val="left"/>
      <w:pPr>
        <w:ind w:left="3960" w:hanging="360"/>
      </w:pPr>
      <w:rPr>
        <w:rFonts w:ascii="Courier New" w:hAnsi="Courier New" w:hint="default"/>
      </w:rPr>
    </w:lvl>
    <w:lvl w:ilvl="5" w:tplc="E1D66878">
      <w:start w:val="1"/>
      <w:numFmt w:val="bullet"/>
      <w:lvlText w:val=""/>
      <w:lvlJc w:val="left"/>
      <w:pPr>
        <w:ind w:left="4680" w:hanging="360"/>
      </w:pPr>
      <w:rPr>
        <w:rFonts w:ascii="Wingdings" w:hAnsi="Wingdings" w:hint="default"/>
      </w:rPr>
    </w:lvl>
    <w:lvl w:ilvl="6" w:tplc="5E0C858A">
      <w:start w:val="1"/>
      <w:numFmt w:val="bullet"/>
      <w:lvlText w:val=""/>
      <w:lvlJc w:val="left"/>
      <w:pPr>
        <w:ind w:left="5400" w:hanging="360"/>
      </w:pPr>
      <w:rPr>
        <w:rFonts w:ascii="Symbol" w:hAnsi="Symbol" w:hint="default"/>
      </w:rPr>
    </w:lvl>
    <w:lvl w:ilvl="7" w:tplc="9D809E3E">
      <w:start w:val="1"/>
      <w:numFmt w:val="bullet"/>
      <w:lvlText w:val="o"/>
      <w:lvlJc w:val="left"/>
      <w:pPr>
        <w:ind w:left="6120" w:hanging="360"/>
      </w:pPr>
      <w:rPr>
        <w:rFonts w:ascii="Courier New" w:hAnsi="Courier New" w:hint="default"/>
      </w:rPr>
    </w:lvl>
    <w:lvl w:ilvl="8" w:tplc="50E261A0">
      <w:start w:val="1"/>
      <w:numFmt w:val="bullet"/>
      <w:lvlText w:val=""/>
      <w:lvlJc w:val="left"/>
      <w:pPr>
        <w:ind w:left="6840" w:hanging="360"/>
      </w:pPr>
      <w:rPr>
        <w:rFonts w:ascii="Wingdings" w:hAnsi="Wingdings" w:hint="default"/>
      </w:rPr>
    </w:lvl>
  </w:abstractNum>
  <w:abstractNum w:abstractNumId="3" w15:restartNumberingAfterBreak="0">
    <w:nsid w:val="1611879B"/>
    <w:multiLevelType w:val="multilevel"/>
    <w:tmpl w:val="FFFFFFFF"/>
    <w:lvl w:ilvl="0">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22A2F901"/>
    <w:multiLevelType w:val="multilevel"/>
    <w:tmpl w:val="FFFFFFFF"/>
    <w:lvl w:ilvl="0">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CA02F64"/>
    <w:multiLevelType w:val="multilevel"/>
    <w:tmpl w:val="FFFFFFFF"/>
    <w:lvl w:ilvl="0">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27AE51"/>
    <w:multiLevelType w:val="hybridMultilevel"/>
    <w:tmpl w:val="FFFFFFFF"/>
    <w:lvl w:ilvl="0" w:tplc="77D2115C">
      <w:start w:val="1"/>
      <w:numFmt w:val="bullet"/>
      <w:lvlText w:val=""/>
      <w:lvlJc w:val="left"/>
      <w:pPr>
        <w:ind w:left="720" w:hanging="360"/>
      </w:pPr>
      <w:rPr>
        <w:rFonts w:ascii="Symbol" w:hAnsi="Symbol" w:hint="default"/>
      </w:rPr>
    </w:lvl>
    <w:lvl w:ilvl="1" w:tplc="750A601E">
      <w:start w:val="1"/>
      <w:numFmt w:val="bullet"/>
      <w:lvlText w:val="o"/>
      <w:lvlJc w:val="left"/>
      <w:pPr>
        <w:ind w:left="1440" w:hanging="360"/>
      </w:pPr>
      <w:rPr>
        <w:rFonts w:ascii="Courier New" w:hAnsi="Courier New" w:hint="default"/>
      </w:rPr>
    </w:lvl>
    <w:lvl w:ilvl="2" w:tplc="FDF8A1BE">
      <w:start w:val="1"/>
      <w:numFmt w:val="bullet"/>
      <w:lvlText w:val=""/>
      <w:lvlJc w:val="left"/>
      <w:pPr>
        <w:ind w:left="2160" w:hanging="360"/>
      </w:pPr>
      <w:rPr>
        <w:rFonts w:ascii="Wingdings" w:hAnsi="Wingdings" w:hint="default"/>
      </w:rPr>
    </w:lvl>
    <w:lvl w:ilvl="3" w:tplc="8DC42D1A">
      <w:start w:val="1"/>
      <w:numFmt w:val="bullet"/>
      <w:lvlText w:val=""/>
      <w:lvlJc w:val="left"/>
      <w:pPr>
        <w:ind w:left="2880" w:hanging="360"/>
      </w:pPr>
      <w:rPr>
        <w:rFonts w:ascii="Symbol" w:hAnsi="Symbol" w:hint="default"/>
      </w:rPr>
    </w:lvl>
    <w:lvl w:ilvl="4" w:tplc="AD60E3AE">
      <w:start w:val="1"/>
      <w:numFmt w:val="bullet"/>
      <w:lvlText w:val="o"/>
      <w:lvlJc w:val="left"/>
      <w:pPr>
        <w:ind w:left="3600" w:hanging="360"/>
      </w:pPr>
      <w:rPr>
        <w:rFonts w:ascii="Courier New" w:hAnsi="Courier New" w:hint="default"/>
      </w:rPr>
    </w:lvl>
    <w:lvl w:ilvl="5" w:tplc="400C7A5A">
      <w:start w:val="1"/>
      <w:numFmt w:val="bullet"/>
      <w:lvlText w:val=""/>
      <w:lvlJc w:val="left"/>
      <w:pPr>
        <w:ind w:left="4320" w:hanging="360"/>
      </w:pPr>
      <w:rPr>
        <w:rFonts w:ascii="Wingdings" w:hAnsi="Wingdings" w:hint="default"/>
      </w:rPr>
    </w:lvl>
    <w:lvl w:ilvl="6" w:tplc="317A7878">
      <w:start w:val="1"/>
      <w:numFmt w:val="bullet"/>
      <w:lvlText w:val=""/>
      <w:lvlJc w:val="left"/>
      <w:pPr>
        <w:ind w:left="5040" w:hanging="360"/>
      </w:pPr>
      <w:rPr>
        <w:rFonts w:ascii="Symbol" w:hAnsi="Symbol" w:hint="default"/>
      </w:rPr>
    </w:lvl>
    <w:lvl w:ilvl="7" w:tplc="16F87418">
      <w:start w:val="1"/>
      <w:numFmt w:val="bullet"/>
      <w:lvlText w:val="o"/>
      <w:lvlJc w:val="left"/>
      <w:pPr>
        <w:ind w:left="5760" w:hanging="360"/>
      </w:pPr>
      <w:rPr>
        <w:rFonts w:ascii="Courier New" w:hAnsi="Courier New" w:hint="default"/>
      </w:rPr>
    </w:lvl>
    <w:lvl w:ilvl="8" w:tplc="602E1C68">
      <w:start w:val="1"/>
      <w:numFmt w:val="bullet"/>
      <w:lvlText w:val=""/>
      <w:lvlJc w:val="left"/>
      <w:pPr>
        <w:ind w:left="6480" w:hanging="360"/>
      </w:pPr>
      <w:rPr>
        <w:rFonts w:ascii="Wingdings" w:hAnsi="Wingdings" w:hint="default"/>
      </w:rPr>
    </w:lvl>
  </w:abstractNum>
  <w:abstractNum w:abstractNumId="7" w15:restartNumberingAfterBreak="0">
    <w:nsid w:val="39E9DE3E"/>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4D2F52C8"/>
    <w:multiLevelType w:val="hybridMultilevel"/>
    <w:tmpl w:val="FFFFFFFF"/>
    <w:lvl w:ilvl="0" w:tplc="48DC8B66">
      <w:start w:val="1"/>
      <w:numFmt w:val="bullet"/>
      <w:lvlText w:val=""/>
      <w:lvlJc w:val="left"/>
      <w:pPr>
        <w:ind w:left="720" w:hanging="360"/>
      </w:pPr>
      <w:rPr>
        <w:rFonts w:ascii="Symbol" w:hAnsi="Symbol" w:hint="default"/>
      </w:rPr>
    </w:lvl>
    <w:lvl w:ilvl="1" w:tplc="56C41F9A">
      <w:start w:val="1"/>
      <w:numFmt w:val="bullet"/>
      <w:lvlText w:val="o"/>
      <w:lvlJc w:val="left"/>
      <w:pPr>
        <w:ind w:left="1440" w:hanging="360"/>
      </w:pPr>
      <w:rPr>
        <w:rFonts w:ascii="Courier New" w:hAnsi="Courier New" w:hint="default"/>
      </w:rPr>
    </w:lvl>
    <w:lvl w:ilvl="2" w:tplc="99224E86">
      <w:start w:val="1"/>
      <w:numFmt w:val="bullet"/>
      <w:lvlText w:val=""/>
      <w:lvlJc w:val="left"/>
      <w:pPr>
        <w:ind w:left="2160" w:hanging="360"/>
      </w:pPr>
      <w:rPr>
        <w:rFonts w:ascii="Wingdings" w:hAnsi="Wingdings" w:hint="default"/>
      </w:rPr>
    </w:lvl>
    <w:lvl w:ilvl="3" w:tplc="BAD2978E">
      <w:start w:val="1"/>
      <w:numFmt w:val="bullet"/>
      <w:lvlText w:val=""/>
      <w:lvlJc w:val="left"/>
      <w:pPr>
        <w:ind w:left="2880" w:hanging="360"/>
      </w:pPr>
      <w:rPr>
        <w:rFonts w:ascii="Symbol" w:hAnsi="Symbol" w:hint="default"/>
      </w:rPr>
    </w:lvl>
    <w:lvl w:ilvl="4" w:tplc="9E78D054">
      <w:start w:val="1"/>
      <w:numFmt w:val="bullet"/>
      <w:lvlText w:val="o"/>
      <w:lvlJc w:val="left"/>
      <w:pPr>
        <w:ind w:left="3600" w:hanging="360"/>
      </w:pPr>
      <w:rPr>
        <w:rFonts w:ascii="Courier New" w:hAnsi="Courier New" w:hint="default"/>
      </w:rPr>
    </w:lvl>
    <w:lvl w:ilvl="5" w:tplc="CF941658">
      <w:start w:val="1"/>
      <w:numFmt w:val="bullet"/>
      <w:lvlText w:val=""/>
      <w:lvlJc w:val="left"/>
      <w:pPr>
        <w:ind w:left="4320" w:hanging="360"/>
      </w:pPr>
      <w:rPr>
        <w:rFonts w:ascii="Wingdings" w:hAnsi="Wingdings" w:hint="default"/>
      </w:rPr>
    </w:lvl>
    <w:lvl w:ilvl="6" w:tplc="7542FDB2">
      <w:start w:val="1"/>
      <w:numFmt w:val="bullet"/>
      <w:lvlText w:val=""/>
      <w:lvlJc w:val="left"/>
      <w:pPr>
        <w:ind w:left="5040" w:hanging="360"/>
      </w:pPr>
      <w:rPr>
        <w:rFonts w:ascii="Symbol" w:hAnsi="Symbol" w:hint="default"/>
      </w:rPr>
    </w:lvl>
    <w:lvl w:ilvl="7" w:tplc="3B5CA72E">
      <w:start w:val="1"/>
      <w:numFmt w:val="bullet"/>
      <w:lvlText w:val="o"/>
      <w:lvlJc w:val="left"/>
      <w:pPr>
        <w:ind w:left="5760" w:hanging="360"/>
      </w:pPr>
      <w:rPr>
        <w:rFonts w:ascii="Courier New" w:hAnsi="Courier New" w:hint="default"/>
      </w:rPr>
    </w:lvl>
    <w:lvl w:ilvl="8" w:tplc="23840870">
      <w:start w:val="1"/>
      <w:numFmt w:val="bullet"/>
      <w:lvlText w:val=""/>
      <w:lvlJc w:val="left"/>
      <w:pPr>
        <w:ind w:left="6480" w:hanging="360"/>
      </w:pPr>
      <w:rPr>
        <w:rFonts w:ascii="Wingdings" w:hAnsi="Wingdings" w:hint="default"/>
      </w:rPr>
    </w:lvl>
  </w:abstractNum>
  <w:abstractNum w:abstractNumId="9" w15:restartNumberingAfterBreak="0">
    <w:nsid w:val="59899CD3"/>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5AC5A271"/>
    <w:multiLevelType w:val="hybridMultilevel"/>
    <w:tmpl w:val="FFFFFFFF"/>
    <w:lvl w:ilvl="0" w:tplc="E9702E2E">
      <w:start w:val="1"/>
      <w:numFmt w:val="bullet"/>
      <w:lvlText w:val=""/>
      <w:lvlJc w:val="left"/>
      <w:pPr>
        <w:ind w:left="720" w:hanging="360"/>
      </w:pPr>
      <w:rPr>
        <w:rFonts w:ascii="Symbol" w:hAnsi="Symbol" w:hint="default"/>
      </w:rPr>
    </w:lvl>
    <w:lvl w:ilvl="1" w:tplc="028E519A">
      <w:start w:val="1"/>
      <w:numFmt w:val="bullet"/>
      <w:lvlText w:val="o"/>
      <w:lvlJc w:val="left"/>
      <w:pPr>
        <w:ind w:left="1440" w:hanging="360"/>
      </w:pPr>
      <w:rPr>
        <w:rFonts w:ascii="Courier New" w:hAnsi="Courier New" w:hint="default"/>
      </w:rPr>
    </w:lvl>
    <w:lvl w:ilvl="2" w:tplc="F99A4E0E">
      <w:start w:val="1"/>
      <w:numFmt w:val="bullet"/>
      <w:lvlText w:val=""/>
      <w:lvlJc w:val="left"/>
      <w:pPr>
        <w:ind w:left="2160" w:hanging="360"/>
      </w:pPr>
      <w:rPr>
        <w:rFonts w:ascii="Wingdings" w:hAnsi="Wingdings" w:hint="default"/>
      </w:rPr>
    </w:lvl>
    <w:lvl w:ilvl="3" w:tplc="D9DC5160">
      <w:start w:val="1"/>
      <w:numFmt w:val="bullet"/>
      <w:lvlText w:val=""/>
      <w:lvlJc w:val="left"/>
      <w:pPr>
        <w:ind w:left="2880" w:hanging="360"/>
      </w:pPr>
      <w:rPr>
        <w:rFonts w:ascii="Symbol" w:hAnsi="Symbol" w:hint="default"/>
      </w:rPr>
    </w:lvl>
    <w:lvl w:ilvl="4" w:tplc="27B82B50">
      <w:start w:val="1"/>
      <w:numFmt w:val="bullet"/>
      <w:lvlText w:val="o"/>
      <w:lvlJc w:val="left"/>
      <w:pPr>
        <w:ind w:left="3600" w:hanging="360"/>
      </w:pPr>
      <w:rPr>
        <w:rFonts w:ascii="Courier New" w:hAnsi="Courier New" w:hint="default"/>
      </w:rPr>
    </w:lvl>
    <w:lvl w:ilvl="5" w:tplc="0F0A6178">
      <w:start w:val="1"/>
      <w:numFmt w:val="bullet"/>
      <w:lvlText w:val=""/>
      <w:lvlJc w:val="left"/>
      <w:pPr>
        <w:ind w:left="4320" w:hanging="360"/>
      </w:pPr>
      <w:rPr>
        <w:rFonts w:ascii="Wingdings" w:hAnsi="Wingdings" w:hint="default"/>
      </w:rPr>
    </w:lvl>
    <w:lvl w:ilvl="6" w:tplc="C576B7CA">
      <w:start w:val="1"/>
      <w:numFmt w:val="bullet"/>
      <w:lvlText w:val=""/>
      <w:lvlJc w:val="left"/>
      <w:pPr>
        <w:ind w:left="5040" w:hanging="360"/>
      </w:pPr>
      <w:rPr>
        <w:rFonts w:ascii="Symbol" w:hAnsi="Symbol" w:hint="default"/>
      </w:rPr>
    </w:lvl>
    <w:lvl w:ilvl="7" w:tplc="2E586688">
      <w:start w:val="1"/>
      <w:numFmt w:val="bullet"/>
      <w:lvlText w:val="o"/>
      <w:lvlJc w:val="left"/>
      <w:pPr>
        <w:ind w:left="5760" w:hanging="360"/>
      </w:pPr>
      <w:rPr>
        <w:rFonts w:ascii="Courier New" w:hAnsi="Courier New" w:hint="default"/>
      </w:rPr>
    </w:lvl>
    <w:lvl w:ilvl="8" w:tplc="0ADE5600">
      <w:start w:val="1"/>
      <w:numFmt w:val="bullet"/>
      <w:lvlText w:val=""/>
      <w:lvlJc w:val="left"/>
      <w:pPr>
        <w:ind w:left="6480" w:hanging="360"/>
      </w:pPr>
      <w:rPr>
        <w:rFonts w:ascii="Wingdings" w:hAnsi="Wingdings" w:hint="default"/>
      </w:rPr>
    </w:lvl>
  </w:abstractNum>
  <w:abstractNum w:abstractNumId="11" w15:restartNumberingAfterBreak="0">
    <w:nsid w:val="5EB4BA6D"/>
    <w:multiLevelType w:val="hybridMultilevel"/>
    <w:tmpl w:val="FFFFFFFF"/>
    <w:lvl w:ilvl="0" w:tplc="3D2E7342">
      <w:start w:val="1"/>
      <w:numFmt w:val="bullet"/>
      <w:lvlText w:val=""/>
      <w:lvlJc w:val="left"/>
      <w:pPr>
        <w:ind w:left="1080" w:hanging="360"/>
      </w:pPr>
      <w:rPr>
        <w:rFonts w:ascii="Symbol" w:hAnsi="Symbol" w:hint="default"/>
      </w:rPr>
    </w:lvl>
    <w:lvl w:ilvl="1" w:tplc="1428B1B8">
      <w:start w:val="1"/>
      <w:numFmt w:val="bullet"/>
      <w:lvlText w:val="o"/>
      <w:lvlJc w:val="left"/>
      <w:pPr>
        <w:ind w:left="1800" w:hanging="360"/>
      </w:pPr>
      <w:rPr>
        <w:rFonts w:ascii="Courier New" w:hAnsi="Courier New" w:hint="default"/>
      </w:rPr>
    </w:lvl>
    <w:lvl w:ilvl="2" w:tplc="943C3ECA">
      <w:start w:val="1"/>
      <w:numFmt w:val="bullet"/>
      <w:lvlText w:val=""/>
      <w:lvlJc w:val="left"/>
      <w:pPr>
        <w:ind w:left="2520" w:hanging="360"/>
      </w:pPr>
      <w:rPr>
        <w:rFonts w:ascii="Wingdings" w:hAnsi="Wingdings" w:hint="default"/>
      </w:rPr>
    </w:lvl>
    <w:lvl w:ilvl="3" w:tplc="48BCDD22">
      <w:start w:val="1"/>
      <w:numFmt w:val="bullet"/>
      <w:lvlText w:val=""/>
      <w:lvlJc w:val="left"/>
      <w:pPr>
        <w:ind w:left="3240" w:hanging="360"/>
      </w:pPr>
      <w:rPr>
        <w:rFonts w:ascii="Symbol" w:hAnsi="Symbol" w:hint="default"/>
      </w:rPr>
    </w:lvl>
    <w:lvl w:ilvl="4" w:tplc="E7F4FF56">
      <w:start w:val="1"/>
      <w:numFmt w:val="bullet"/>
      <w:lvlText w:val="o"/>
      <w:lvlJc w:val="left"/>
      <w:pPr>
        <w:ind w:left="3960" w:hanging="360"/>
      </w:pPr>
      <w:rPr>
        <w:rFonts w:ascii="Courier New" w:hAnsi="Courier New" w:hint="default"/>
      </w:rPr>
    </w:lvl>
    <w:lvl w:ilvl="5" w:tplc="22E06BFA">
      <w:start w:val="1"/>
      <w:numFmt w:val="bullet"/>
      <w:lvlText w:val=""/>
      <w:lvlJc w:val="left"/>
      <w:pPr>
        <w:ind w:left="4680" w:hanging="360"/>
      </w:pPr>
      <w:rPr>
        <w:rFonts w:ascii="Wingdings" w:hAnsi="Wingdings" w:hint="default"/>
      </w:rPr>
    </w:lvl>
    <w:lvl w:ilvl="6" w:tplc="C382FD02">
      <w:start w:val="1"/>
      <w:numFmt w:val="bullet"/>
      <w:lvlText w:val=""/>
      <w:lvlJc w:val="left"/>
      <w:pPr>
        <w:ind w:left="5400" w:hanging="360"/>
      </w:pPr>
      <w:rPr>
        <w:rFonts w:ascii="Symbol" w:hAnsi="Symbol" w:hint="default"/>
      </w:rPr>
    </w:lvl>
    <w:lvl w:ilvl="7" w:tplc="D7B60624">
      <w:start w:val="1"/>
      <w:numFmt w:val="bullet"/>
      <w:lvlText w:val="o"/>
      <w:lvlJc w:val="left"/>
      <w:pPr>
        <w:ind w:left="6120" w:hanging="360"/>
      </w:pPr>
      <w:rPr>
        <w:rFonts w:ascii="Courier New" w:hAnsi="Courier New" w:hint="default"/>
      </w:rPr>
    </w:lvl>
    <w:lvl w:ilvl="8" w:tplc="ED7A2680">
      <w:start w:val="1"/>
      <w:numFmt w:val="bullet"/>
      <w:lvlText w:val=""/>
      <w:lvlJc w:val="left"/>
      <w:pPr>
        <w:ind w:left="6840" w:hanging="360"/>
      </w:pPr>
      <w:rPr>
        <w:rFonts w:ascii="Wingdings" w:hAnsi="Wingdings" w:hint="default"/>
      </w:rPr>
    </w:lvl>
  </w:abstractNum>
  <w:abstractNum w:abstractNumId="12" w15:restartNumberingAfterBreak="0">
    <w:nsid w:val="62859EF0"/>
    <w:multiLevelType w:val="hybridMultilevel"/>
    <w:tmpl w:val="FFFFFFFF"/>
    <w:lvl w:ilvl="0" w:tplc="A57625B2">
      <w:start w:val="1"/>
      <w:numFmt w:val="bullet"/>
      <w:lvlText w:val=""/>
      <w:lvlJc w:val="left"/>
      <w:pPr>
        <w:ind w:left="720" w:hanging="360"/>
      </w:pPr>
      <w:rPr>
        <w:rFonts w:ascii="Symbol" w:hAnsi="Symbol" w:hint="default"/>
      </w:rPr>
    </w:lvl>
    <w:lvl w:ilvl="1" w:tplc="879E17DE">
      <w:start w:val="1"/>
      <w:numFmt w:val="bullet"/>
      <w:lvlText w:val="o"/>
      <w:lvlJc w:val="left"/>
      <w:pPr>
        <w:ind w:left="1440" w:hanging="360"/>
      </w:pPr>
      <w:rPr>
        <w:rFonts w:ascii="Courier New" w:hAnsi="Courier New" w:hint="default"/>
      </w:rPr>
    </w:lvl>
    <w:lvl w:ilvl="2" w:tplc="E906408E">
      <w:start w:val="1"/>
      <w:numFmt w:val="bullet"/>
      <w:lvlText w:val=""/>
      <w:lvlJc w:val="left"/>
      <w:pPr>
        <w:ind w:left="2160" w:hanging="360"/>
      </w:pPr>
      <w:rPr>
        <w:rFonts w:ascii="Wingdings" w:hAnsi="Wingdings" w:hint="default"/>
      </w:rPr>
    </w:lvl>
    <w:lvl w:ilvl="3" w:tplc="E1B09EDA">
      <w:start w:val="1"/>
      <w:numFmt w:val="bullet"/>
      <w:lvlText w:val=""/>
      <w:lvlJc w:val="left"/>
      <w:pPr>
        <w:ind w:left="2880" w:hanging="360"/>
      </w:pPr>
      <w:rPr>
        <w:rFonts w:ascii="Symbol" w:hAnsi="Symbol" w:hint="default"/>
      </w:rPr>
    </w:lvl>
    <w:lvl w:ilvl="4" w:tplc="959E4AE0">
      <w:start w:val="1"/>
      <w:numFmt w:val="bullet"/>
      <w:lvlText w:val="o"/>
      <w:lvlJc w:val="left"/>
      <w:pPr>
        <w:ind w:left="3600" w:hanging="360"/>
      </w:pPr>
      <w:rPr>
        <w:rFonts w:ascii="Courier New" w:hAnsi="Courier New" w:hint="default"/>
      </w:rPr>
    </w:lvl>
    <w:lvl w:ilvl="5" w:tplc="03BEFB2A">
      <w:start w:val="1"/>
      <w:numFmt w:val="bullet"/>
      <w:lvlText w:val=""/>
      <w:lvlJc w:val="left"/>
      <w:pPr>
        <w:ind w:left="4320" w:hanging="360"/>
      </w:pPr>
      <w:rPr>
        <w:rFonts w:ascii="Wingdings" w:hAnsi="Wingdings" w:hint="default"/>
      </w:rPr>
    </w:lvl>
    <w:lvl w:ilvl="6" w:tplc="11C6234E">
      <w:start w:val="1"/>
      <w:numFmt w:val="bullet"/>
      <w:lvlText w:val=""/>
      <w:lvlJc w:val="left"/>
      <w:pPr>
        <w:ind w:left="5040" w:hanging="360"/>
      </w:pPr>
      <w:rPr>
        <w:rFonts w:ascii="Symbol" w:hAnsi="Symbol" w:hint="default"/>
      </w:rPr>
    </w:lvl>
    <w:lvl w:ilvl="7" w:tplc="C8785B1C">
      <w:start w:val="1"/>
      <w:numFmt w:val="bullet"/>
      <w:lvlText w:val="o"/>
      <w:lvlJc w:val="left"/>
      <w:pPr>
        <w:ind w:left="5760" w:hanging="360"/>
      </w:pPr>
      <w:rPr>
        <w:rFonts w:ascii="Courier New" w:hAnsi="Courier New" w:hint="default"/>
      </w:rPr>
    </w:lvl>
    <w:lvl w:ilvl="8" w:tplc="A1084A94">
      <w:start w:val="1"/>
      <w:numFmt w:val="bullet"/>
      <w:lvlText w:val=""/>
      <w:lvlJc w:val="left"/>
      <w:pPr>
        <w:ind w:left="6480" w:hanging="360"/>
      </w:pPr>
      <w:rPr>
        <w:rFonts w:ascii="Wingdings" w:hAnsi="Wingdings" w:hint="default"/>
      </w:rPr>
    </w:lvl>
  </w:abstractNum>
  <w:abstractNum w:abstractNumId="13" w15:restartNumberingAfterBreak="0">
    <w:nsid w:val="6286611E"/>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2AEAE21"/>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6E14836"/>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6" w15:restartNumberingAfterBreak="0">
    <w:nsid w:val="6EB7885B"/>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14D8FA6"/>
    <w:multiLevelType w:val="hybridMultilevel"/>
    <w:tmpl w:val="FFFFFFFF"/>
    <w:lvl w:ilvl="0" w:tplc="00425DE8">
      <w:start w:val="1"/>
      <w:numFmt w:val="bullet"/>
      <w:lvlText w:val=""/>
      <w:lvlJc w:val="left"/>
      <w:pPr>
        <w:ind w:left="720" w:hanging="360"/>
      </w:pPr>
      <w:rPr>
        <w:rFonts w:ascii="Symbol" w:hAnsi="Symbol" w:hint="default"/>
      </w:rPr>
    </w:lvl>
    <w:lvl w:ilvl="1" w:tplc="F3825D1E">
      <w:start w:val="1"/>
      <w:numFmt w:val="bullet"/>
      <w:lvlText w:val="o"/>
      <w:lvlJc w:val="left"/>
      <w:pPr>
        <w:ind w:left="1440" w:hanging="360"/>
      </w:pPr>
      <w:rPr>
        <w:rFonts w:ascii="Courier New" w:hAnsi="Courier New" w:hint="default"/>
      </w:rPr>
    </w:lvl>
    <w:lvl w:ilvl="2" w:tplc="DF787FD8">
      <w:start w:val="1"/>
      <w:numFmt w:val="bullet"/>
      <w:lvlText w:val=""/>
      <w:lvlJc w:val="left"/>
      <w:pPr>
        <w:ind w:left="2160" w:hanging="360"/>
      </w:pPr>
      <w:rPr>
        <w:rFonts w:ascii="Wingdings" w:hAnsi="Wingdings" w:hint="default"/>
      </w:rPr>
    </w:lvl>
    <w:lvl w:ilvl="3" w:tplc="10283632">
      <w:start w:val="1"/>
      <w:numFmt w:val="bullet"/>
      <w:lvlText w:val=""/>
      <w:lvlJc w:val="left"/>
      <w:pPr>
        <w:ind w:left="2880" w:hanging="360"/>
      </w:pPr>
      <w:rPr>
        <w:rFonts w:ascii="Symbol" w:hAnsi="Symbol" w:hint="default"/>
      </w:rPr>
    </w:lvl>
    <w:lvl w:ilvl="4" w:tplc="9A24F916">
      <w:start w:val="1"/>
      <w:numFmt w:val="bullet"/>
      <w:lvlText w:val="o"/>
      <w:lvlJc w:val="left"/>
      <w:pPr>
        <w:ind w:left="3600" w:hanging="360"/>
      </w:pPr>
      <w:rPr>
        <w:rFonts w:ascii="Courier New" w:hAnsi="Courier New" w:hint="default"/>
      </w:rPr>
    </w:lvl>
    <w:lvl w:ilvl="5" w:tplc="592C6314">
      <w:start w:val="1"/>
      <w:numFmt w:val="bullet"/>
      <w:lvlText w:val=""/>
      <w:lvlJc w:val="left"/>
      <w:pPr>
        <w:ind w:left="4320" w:hanging="360"/>
      </w:pPr>
      <w:rPr>
        <w:rFonts w:ascii="Wingdings" w:hAnsi="Wingdings" w:hint="default"/>
      </w:rPr>
    </w:lvl>
    <w:lvl w:ilvl="6" w:tplc="7B42FF94">
      <w:start w:val="1"/>
      <w:numFmt w:val="bullet"/>
      <w:lvlText w:val=""/>
      <w:lvlJc w:val="left"/>
      <w:pPr>
        <w:ind w:left="5040" w:hanging="360"/>
      </w:pPr>
      <w:rPr>
        <w:rFonts w:ascii="Symbol" w:hAnsi="Symbol" w:hint="default"/>
      </w:rPr>
    </w:lvl>
    <w:lvl w:ilvl="7" w:tplc="731EBFD6">
      <w:start w:val="1"/>
      <w:numFmt w:val="bullet"/>
      <w:lvlText w:val="o"/>
      <w:lvlJc w:val="left"/>
      <w:pPr>
        <w:ind w:left="5760" w:hanging="360"/>
      </w:pPr>
      <w:rPr>
        <w:rFonts w:ascii="Courier New" w:hAnsi="Courier New" w:hint="default"/>
      </w:rPr>
    </w:lvl>
    <w:lvl w:ilvl="8" w:tplc="23562394">
      <w:start w:val="1"/>
      <w:numFmt w:val="bullet"/>
      <w:lvlText w:val=""/>
      <w:lvlJc w:val="left"/>
      <w:pPr>
        <w:ind w:left="6480" w:hanging="360"/>
      </w:pPr>
      <w:rPr>
        <w:rFonts w:ascii="Wingdings" w:hAnsi="Wingdings" w:hint="default"/>
      </w:rPr>
    </w:lvl>
  </w:abstractNum>
  <w:abstractNum w:abstractNumId="18" w15:restartNumberingAfterBreak="0">
    <w:nsid w:val="72EFE25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350837365">
    <w:abstractNumId w:val="15"/>
  </w:num>
  <w:num w:numId="2" w16cid:durableId="962690293">
    <w:abstractNumId w:val="13"/>
  </w:num>
  <w:num w:numId="3" w16cid:durableId="1690452954">
    <w:abstractNumId w:val="7"/>
  </w:num>
  <w:num w:numId="4" w16cid:durableId="1880242734">
    <w:abstractNumId w:val="1"/>
  </w:num>
  <w:num w:numId="5" w16cid:durableId="1516339192">
    <w:abstractNumId w:val="16"/>
  </w:num>
  <w:num w:numId="6" w16cid:durableId="1624536570">
    <w:abstractNumId w:val="0"/>
  </w:num>
  <w:num w:numId="7" w16cid:durableId="545415362">
    <w:abstractNumId w:val="18"/>
  </w:num>
  <w:num w:numId="8" w16cid:durableId="1149981376">
    <w:abstractNumId w:val="14"/>
  </w:num>
  <w:num w:numId="9" w16cid:durableId="635070610">
    <w:abstractNumId w:val="9"/>
  </w:num>
  <w:num w:numId="10" w16cid:durableId="700934175">
    <w:abstractNumId w:val="6"/>
  </w:num>
  <w:num w:numId="11" w16cid:durableId="1014916300">
    <w:abstractNumId w:val="17"/>
  </w:num>
  <w:num w:numId="12" w16cid:durableId="922566143">
    <w:abstractNumId w:val="11"/>
  </w:num>
  <w:num w:numId="13" w16cid:durableId="1030029346">
    <w:abstractNumId w:val="10"/>
  </w:num>
  <w:num w:numId="14" w16cid:durableId="2007898129">
    <w:abstractNumId w:val="2"/>
  </w:num>
  <w:num w:numId="15" w16cid:durableId="380639354">
    <w:abstractNumId w:val="12"/>
  </w:num>
  <w:num w:numId="16" w16cid:durableId="814302467">
    <w:abstractNumId w:val="3"/>
  </w:num>
  <w:num w:numId="17" w16cid:durableId="950283582">
    <w:abstractNumId w:val="5"/>
  </w:num>
  <w:num w:numId="18" w16cid:durableId="539903644">
    <w:abstractNumId w:val="4"/>
  </w:num>
  <w:num w:numId="19" w16cid:durableId="88606994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6866C4"/>
    <w:rsid w:val="0005038B"/>
    <w:rsid w:val="000755CE"/>
    <w:rsid w:val="000757EB"/>
    <w:rsid w:val="000A6A62"/>
    <w:rsid w:val="000F5AB1"/>
    <w:rsid w:val="000F64C3"/>
    <w:rsid w:val="000F7FE9"/>
    <w:rsid w:val="00103C2A"/>
    <w:rsid w:val="00262662"/>
    <w:rsid w:val="00264D17"/>
    <w:rsid w:val="002A0455"/>
    <w:rsid w:val="002C7F20"/>
    <w:rsid w:val="00327B39"/>
    <w:rsid w:val="00365880"/>
    <w:rsid w:val="003C2EC1"/>
    <w:rsid w:val="003E290A"/>
    <w:rsid w:val="003E52B6"/>
    <w:rsid w:val="003F024D"/>
    <w:rsid w:val="00412AB9"/>
    <w:rsid w:val="00416B1E"/>
    <w:rsid w:val="00460E96"/>
    <w:rsid w:val="00492EE3"/>
    <w:rsid w:val="004D2350"/>
    <w:rsid w:val="004F617F"/>
    <w:rsid w:val="005109B5"/>
    <w:rsid w:val="00575F7A"/>
    <w:rsid w:val="005B4F16"/>
    <w:rsid w:val="005B5CB5"/>
    <w:rsid w:val="005E7AA5"/>
    <w:rsid w:val="00645A7B"/>
    <w:rsid w:val="00652111"/>
    <w:rsid w:val="006543C1"/>
    <w:rsid w:val="00674390"/>
    <w:rsid w:val="006C767E"/>
    <w:rsid w:val="006C93BB"/>
    <w:rsid w:val="006D16DE"/>
    <w:rsid w:val="006D7B70"/>
    <w:rsid w:val="00717CE0"/>
    <w:rsid w:val="0073556A"/>
    <w:rsid w:val="00740D30"/>
    <w:rsid w:val="007526CE"/>
    <w:rsid w:val="00785A4D"/>
    <w:rsid w:val="007D189C"/>
    <w:rsid w:val="007E0C11"/>
    <w:rsid w:val="008572C2"/>
    <w:rsid w:val="008612E5"/>
    <w:rsid w:val="008740DB"/>
    <w:rsid w:val="008A7340"/>
    <w:rsid w:val="0090A76F"/>
    <w:rsid w:val="00942789"/>
    <w:rsid w:val="00964F87"/>
    <w:rsid w:val="009C62C6"/>
    <w:rsid w:val="00A03B02"/>
    <w:rsid w:val="00A0462B"/>
    <w:rsid w:val="00A10CBC"/>
    <w:rsid w:val="00AA5BDD"/>
    <w:rsid w:val="00AD750D"/>
    <w:rsid w:val="00B048D6"/>
    <w:rsid w:val="00B06465"/>
    <w:rsid w:val="00B14A51"/>
    <w:rsid w:val="00B518D3"/>
    <w:rsid w:val="00B60E64"/>
    <w:rsid w:val="00B808DC"/>
    <w:rsid w:val="00B82513"/>
    <w:rsid w:val="00B8785C"/>
    <w:rsid w:val="00B9246B"/>
    <w:rsid w:val="00BB1A60"/>
    <w:rsid w:val="00C308E2"/>
    <w:rsid w:val="00C32E0B"/>
    <w:rsid w:val="00C415BA"/>
    <w:rsid w:val="00C53553"/>
    <w:rsid w:val="00C9435E"/>
    <w:rsid w:val="00CA5185"/>
    <w:rsid w:val="00D03D17"/>
    <w:rsid w:val="00D162C2"/>
    <w:rsid w:val="00D43E06"/>
    <w:rsid w:val="00D73C4D"/>
    <w:rsid w:val="00D97A91"/>
    <w:rsid w:val="00E45469"/>
    <w:rsid w:val="00E56830"/>
    <w:rsid w:val="00E62450"/>
    <w:rsid w:val="00F036FB"/>
    <w:rsid w:val="00F230D9"/>
    <w:rsid w:val="00F37096"/>
    <w:rsid w:val="00F37855"/>
    <w:rsid w:val="00F4721F"/>
    <w:rsid w:val="00F70EB2"/>
    <w:rsid w:val="00FC3256"/>
    <w:rsid w:val="00FC759E"/>
    <w:rsid w:val="00FF72D9"/>
    <w:rsid w:val="0263A28D"/>
    <w:rsid w:val="02B77DC3"/>
    <w:rsid w:val="0304B2C8"/>
    <w:rsid w:val="033F9562"/>
    <w:rsid w:val="033FD4AE"/>
    <w:rsid w:val="03A2F5D4"/>
    <w:rsid w:val="048350B6"/>
    <w:rsid w:val="04955550"/>
    <w:rsid w:val="04A978F3"/>
    <w:rsid w:val="04E1D48B"/>
    <w:rsid w:val="0519F14B"/>
    <w:rsid w:val="051DB5A7"/>
    <w:rsid w:val="055A00D7"/>
    <w:rsid w:val="056599CD"/>
    <w:rsid w:val="05BEAE0C"/>
    <w:rsid w:val="06148DC1"/>
    <w:rsid w:val="064B8658"/>
    <w:rsid w:val="06E190CD"/>
    <w:rsid w:val="0702C19A"/>
    <w:rsid w:val="0738A0C8"/>
    <w:rsid w:val="0792087F"/>
    <w:rsid w:val="07C01E20"/>
    <w:rsid w:val="0856479C"/>
    <w:rsid w:val="08630862"/>
    <w:rsid w:val="088ED614"/>
    <w:rsid w:val="08AC984F"/>
    <w:rsid w:val="090F8708"/>
    <w:rsid w:val="098037F5"/>
    <w:rsid w:val="0A6D4476"/>
    <w:rsid w:val="0A714B0C"/>
    <w:rsid w:val="0ACFE058"/>
    <w:rsid w:val="0AE161FB"/>
    <w:rsid w:val="0AFC970F"/>
    <w:rsid w:val="0CAD46C4"/>
    <w:rsid w:val="0CC050F0"/>
    <w:rsid w:val="0CC54277"/>
    <w:rsid w:val="0CDE03E6"/>
    <w:rsid w:val="0CE67BDA"/>
    <w:rsid w:val="0D1A91F8"/>
    <w:rsid w:val="0D388511"/>
    <w:rsid w:val="0D98B9CA"/>
    <w:rsid w:val="0DF5544B"/>
    <w:rsid w:val="0E1ECD72"/>
    <w:rsid w:val="0F048899"/>
    <w:rsid w:val="0F7159CF"/>
    <w:rsid w:val="1002619F"/>
    <w:rsid w:val="10CEBA01"/>
    <w:rsid w:val="11CC3B1F"/>
    <w:rsid w:val="12153B22"/>
    <w:rsid w:val="121F8457"/>
    <w:rsid w:val="12562EB4"/>
    <w:rsid w:val="12E62483"/>
    <w:rsid w:val="1359F1F5"/>
    <w:rsid w:val="1363D512"/>
    <w:rsid w:val="13A438CE"/>
    <w:rsid w:val="13CB4A68"/>
    <w:rsid w:val="142D239C"/>
    <w:rsid w:val="14AE20AF"/>
    <w:rsid w:val="1545689D"/>
    <w:rsid w:val="15AEAD91"/>
    <w:rsid w:val="16275904"/>
    <w:rsid w:val="162F72E9"/>
    <w:rsid w:val="164A4648"/>
    <w:rsid w:val="16C21BA4"/>
    <w:rsid w:val="16C41B23"/>
    <w:rsid w:val="16D6BEE0"/>
    <w:rsid w:val="16D93DD3"/>
    <w:rsid w:val="173CD041"/>
    <w:rsid w:val="175FB0DE"/>
    <w:rsid w:val="17CD9E6D"/>
    <w:rsid w:val="185E814F"/>
    <w:rsid w:val="187E77A9"/>
    <w:rsid w:val="188BD32A"/>
    <w:rsid w:val="18B72947"/>
    <w:rsid w:val="18BBAE7C"/>
    <w:rsid w:val="18CB61D0"/>
    <w:rsid w:val="18CF9322"/>
    <w:rsid w:val="18D6A133"/>
    <w:rsid w:val="191F5776"/>
    <w:rsid w:val="19265653"/>
    <w:rsid w:val="1928B5BC"/>
    <w:rsid w:val="19444ECE"/>
    <w:rsid w:val="1A00C44A"/>
    <w:rsid w:val="1A67FE93"/>
    <w:rsid w:val="1B02C643"/>
    <w:rsid w:val="1B5DD76D"/>
    <w:rsid w:val="1B62D44F"/>
    <w:rsid w:val="1BC3EAE1"/>
    <w:rsid w:val="1BC7B39A"/>
    <w:rsid w:val="1BF2EE3E"/>
    <w:rsid w:val="1D298B54"/>
    <w:rsid w:val="1DB64FEF"/>
    <w:rsid w:val="1DBF1E0F"/>
    <w:rsid w:val="1DC4DA2A"/>
    <w:rsid w:val="1DF489A0"/>
    <w:rsid w:val="1E476E50"/>
    <w:rsid w:val="1E8820CC"/>
    <w:rsid w:val="1E982B69"/>
    <w:rsid w:val="1EA4604C"/>
    <w:rsid w:val="1EEF2201"/>
    <w:rsid w:val="1F096C40"/>
    <w:rsid w:val="1F68D587"/>
    <w:rsid w:val="1F7A44B6"/>
    <w:rsid w:val="1F8AD732"/>
    <w:rsid w:val="1FD8E139"/>
    <w:rsid w:val="205A9E9D"/>
    <w:rsid w:val="2161FCDB"/>
    <w:rsid w:val="2171106E"/>
    <w:rsid w:val="21C987E1"/>
    <w:rsid w:val="21CF2462"/>
    <w:rsid w:val="2293A868"/>
    <w:rsid w:val="22C50DD7"/>
    <w:rsid w:val="230BAE36"/>
    <w:rsid w:val="2382E47F"/>
    <w:rsid w:val="239A775E"/>
    <w:rsid w:val="2413F1BC"/>
    <w:rsid w:val="242F8B11"/>
    <w:rsid w:val="2479C943"/>
    <w:rsid w:val="24D3FAB3"/>
    <w:rsid w:val="24E8B661"/>
    <w:rsid w:val="2533A6E4"/>
    <w:rsid w:val="25B6A304"/>
    <w:rsid w:val="2765C7E2"/>
    <w:rsid w:val="27A361BF"/>
    <w:rsid w:val="27AA9B35"/>
    <w:rsid w:val="282AAE92"/>
    <w:rsid w:val="284341AE"/>
    <w:rsid w:val="284E56D7"/>
    <w:rsid w:val="28A43561"/>
    <w:rsid w:val="28ACE088"/>
    <w:rsid w:val="28CAA6D9"/>
    <w:rsid w:val="290C58C3"/>
    <w:rsid w:val="29EA674B"/>
    <w:rsid w:val="2A4F492E"/>
    <w:rsid w:val="2ACCF53D"/>
    <w:rsid w:val="2B52E050"/>
    <w:rsid w:val="2B944EC1"/>
    <w:rsid w:val="2BA080A4"/>
    <w:rsid w:val="2BD950EB"/>
    <w:rsid w:val="2BEFD4CB"/>
    <w:rsid w:val="2BFDF11F"/>
    <w:rsid w:val="2C5DB918"/>
    <w:rsid w:val="2D55A843"/>
    <w:rsid w:val="2D96861B"/>
    <w:rsid w:val="2DB41BA0"/>
    <w:rsid w:val="2ED06649"/>
    <w:rsid w:val="2F3F9957"/>
    <w:rsid w:val="311508E1"/>
    <w:rsid w:val="31572679"/>
    <w:rsid w:val="316FEB9E"/>
    <w:rsid w:val="319628F0"/>
    <w:rsid w:val="320189BB"/>
    <w:rsid w:val="3208247F"/>
    <w:rsid w:val="3256F82D"/>
    <w:rsid w:val="3294AA63"/>
    <w:rsid w:val="33488D1C"/>
    <w:rsid w:val="334A3AEE"/>
    <w:rsid w:val="33AE4982"/>
    <w:rsid w:val="33D226D4"/>
    <w:rsid w:val="347B3054"/>
    <w:rsid w:val="34B2783D"/>
    <w:rsid w:val="34F5ADD8"/>
    <w:rsid w:val="350B332D"/>
    <w:rsid w:val="35706F67"/>
    <w:rsid w:val="36CFE79D"/>
    <w:rsid w:val="37578F1F"/>
    <w:rsid w:val="37759C21"/>
    <w:rsid w:val="37E4DEF1"/>
    <w:rsid w:val="38679C29"/>
    <w:rsid w:val="38958F80"/>
    <w:rsid w:val="391D4444"/>
    <w:rsid w:val="3948EFF0"/>
    <w:rsid w:val="395286BC"/>
    <w:rsid w:val="3994E902"/>
    <w:rsid w:val="3A01D4DF"/>
    <w:rsid w:val="3A171B4E"/>
    <w:rsid w:val="3A5D3187"/>
    <w:rsid w:val="3ABD3F2F"/>
    <w:rsid w:val="3AEB9EDB"/>
    <w:rsid w:val="3B275B0E"/>
    <w:rsid w:val="3B5DF691"/>
    <w:rsid w:val="3B8B57AC"/>
    <w:rsid w:val="3B8F5E35"/>
    <w:rsid w:val="3B93F139"/>
    <w:rsid w:val="3BE95977"/>
    <w:rsid w:val="3C0C1C53"/>
    <w:rsid w:val="3C9C457E"/>
    <w:rsid w:val="3D489262"/>
    <w:rsid w:val="3D4EE2BB"/>
    <w:rsid w:val="3D581D49"/>
    <w:rsid w:val="3D986C69"/>
    <w:rsid w:val="3E091193"/>
    <w:rsid w:val="3E14D689"/>
    <w:rsid w:val="3E1B32CF"/>
    <w:rsid w:val="3F5F166A"/>
    <w:rsid w:val="3F5FC5B2"/>
    <w:rsid w:val="3FC2D77E"/>
    <w:rsid w:val="404E7573"/>
    <w:rsid w:val="40DEEBE2"/>
    <w:rsid w:val="40E2BEA1"/>
    <w:rsid w:val="4133FD2B"/>
    <w:rsid w:val="418A6842"/>
    <w:rsid w:val="41B30BA7"/>
    <w:rsid w:val="42075BB8"/>
    <w:rsid w:val="4216B94D"/>
    <w:rsid w:val="422FB82C"/>
    <w:rsid w:val="42BA00D6"/>
    <w:rsid w:val="43471499"/>
    <w:rsid w:val="434CCC33"/>
    <w:rsid w:val="437FCEE7"/>
    <w:rsid w:val="43A4168E"/>
    <w:rsid w:val="4434248B"/>
    <w:rsid w:val="4445297A"/>
    <w:rsid w:val="44D0516C"/>
    <w:rsid w:val="4518440B"/>
    <w:rsid w:val="45496AB2"/>
    <w:rsid w:val="45C0FE0E"/>
    <w:rsid w:val="45D6934E"/>
    <w:rsid w:val="46EB9B83"/>
    <w:rsid w:val="47024800"/>
    <w:rsid w:val="47318394"/>
    <w:rsid w:val="4737D5D6"/>
    <w:rsid w:val="47840F5B"/>
    <w:rsid w:val="4802E93C"/>
    <w:rsid w:val="48A61832"/>
    <w:rsid w:val="48C1C655"/>
    <w:rsid w:val="48C675E1"/>
    <w:rsid w:val="49FCF54D"/>
    <w:rsid w:val="49FE099E"/>
    <w:rsid w:val="4A8D20D7"/>
    <w:rsid w:val="4A92CA58"/>
    <w:rsid w:val="4AB62C6F"/>
    <w:rsid w:val="4B0A197A"/>
    <w:rsid w:val="4B335A5E"/>
    <w:rsid w:val="4B78C2DF"/>
    <w:rsid w:val="4BA60873"/>
    <w:rsid w:val="4BEF3E07"/>
    <w:rsid w:val="4CB91A76"/>
    <w:rsid w:val="4D0724B7"/>
    <w:rsid w:val="4D0D9281"/>
    <w:rsid w:val="4D509B0E"/>
    <w:rsid w:val="4D75D628"/>
    <w:rsid w:val="4DBB5753"/>
    <w:rsid w:val="4DCC9F45"/>
    <w:rsid w:val="4DF22F46"/>
    <w:rsid w:val="4E1991FC"/>
    <w:rsid w:val="4E8AF2C9"/>
    <w:rsid w:val="4EDE76D5"/>
    <w:rsid w:val="4FC7E993"/>
    <w:rsid w:val="4FE32ACA"/>
    <w:rsid w:val="4FE846AA"/>
    <w:rsid w:val="4FF3F34A"/>
    <w:rsid w:val="5011904F"/>
    <w:rsid w:val="50DAC90D"/>
    <w:rsid w:val="50EBD1E7"/>
    <w:rsid w:val="513A3D04"/>
    <w:rsid w:val="52A1D2C2"/>
    <w:rsid w:val="52C95690"/>
    <w:rsid w:val="52FB03FD"/>
    <w:rsid w:val="5379E666"/>
    <w:rsid w:val="53D15B13"/>
    <w:rsid w:val="53DE51E4"/>
    <w:rsid w:val="5413DBE8"/>
    <w:rsid w:val="5438D203"/>
    <w:rsid w:val="558731A1"/>
    <w:rsid w:val="55C19266"/>
    <w:rsid w:val="56487953"/>
    <w:rsid w:val="564F04C8"/>
    <w:rsid w:val="56937224"/>
    <w:rsid w:val="569C5DD1"/>
    <w:rsid w:val="5701F720"/>
    <w:rsid w:val="571B5EF2"/>
    <w:rsid w:val="571DCA75"/>
    <w:rsid w:val="5778552D"/>
    <w:rsid w:val="577B4A4B"/>
    <w:rsid w:val="5794DC13"/>
    <w:rsid w:val="57A456F3"/>
    <w:rsid w:val="5844A107"/>
    <w:rsid w:val="587487C0"/>
    <w:rsid w:val="587B42BF"/>
    <w:rsid w:val="58C15BDA"/>
    <w:rsid w:val="58D8CF38"/>
    <w:rsid w:val="5902EAA2"/>
    <w:rsid w:val="59421BE4"/>
    <w:rsid w:val="594F4ACA"/>
    <w:rsid w:val="59585FE1"/>
    <w:rsid w:val="5A28B280"/>
    <w:rsid w:val="5B8493D1"/>
    <w:rsid w:val="5BFB64E8"/>
    <w:rsid w:val="5C27E8AC"/>
    <w:rsid w:val="5C3453E6"/>
    <w:rsid w:val="5C472607"/>
    <w:rsid w:val="5C637D65"/>
    <w:rsid w:val="5CE7A316"/>
    <w:rsid w:val="5D95C5F5"/>
    <w:rsid w:val="5DE9ABFA"/>
    <w:rsid w:val="5E051C63"/>
    <w:rsid w:val="5E249919"/>
    <w:rsid w:val="5E6866C4"/>
    <w:rsid w:val="5E77CC6E"/>
    <w:rsid w:val="5E8811D7"/>
    <w:rsid w:val="5F56F09D"/>
    <w:rsid w:val="5FA660AF"/>
    <w:rsid w:val="5FE2AABF"/>
    <w:rsid w:val="6013B1D7"/>
    <w:rsid w:val="60280E18"/>
    <w:rsid w:val="60433263"/>
    <w:rsid w:val="60F72DE5"/>
    <w:rsid w:val="6120AD2C"/>
    <w:rsid w:val="6189213F"/>
    <w:rsid w:val="61D05B60"/>
    <w:rsid w:val="625DAC44"/>
    <w:rsid w:val="62729BB4"/>
    <w:rsid w:val="63303DD2"/>
    <w:rsid w:val="64342FFB"/>
    <w:rsid w:val="647FBD50"/>
    <w:rsid w:val="64DF8996"/>
    <w:rsid w:val="64E639B5"/>
    <w:rsid w:val="6501C848"/>
    <w:rsid w:val="6538BD07"/>
    <w:rsid w:val="65508F4C"/>
    <w:rsid w:val="6571CCF0"/>
    <w:rsid w:val="65841AA5"/>
    <w:rsid w:val="65B08F1D"/>
    <w:rsid w:val="65BABEC4"/>
    <w:rsid w:val="65E6C658"/>
    <w:rsid w:val="6604CBDC"/>
    <w:rsid w:val="6644465D"/>
    <w:rsid w:val="667DFC2B"/>
    <w:rsid w:val="66A6D925"/>
    <w:rsid w:val="66AFA922"/>
    <w:rsid w:val="66B8C85E"/>
    <w:rsid w:val="66C6D0DB"/>
    <w:rsid w:val="6718101D"/>
    <w:rsid w:val="67223E1C"/>
    <w:rsid w:val="676D58AC"/>
    <w:rsid w:val="6776F480"/>
    <w:rsid w:val="682D6AAC"/>
    <w:rsid w:val="685505E0"/>
    <w:rsid w:val="69F86474"/>
    <w:rsid w:val="69FDFF82"/>
    <w:rsid w:val="6A4033E5"/>
    <w:rsid w:val="6A5F6A9B"/>
    <w:rsid w:val="6A8D1D24"/>
    <w:rsid w:val="6A937C72"/>
    <w:rsid w:val="6AB7B1A6"/>
    <w:rsid w:val="6B336A76"/>
    <w:rsid w:val="6B672D85"/>
    <w:rsid w:val="6C480C3E"/>
    <w:rsid w:val="6D0383DD"/>
    <w:rsid w:val="6D1C1A63"/>
    <w:rsid w:val="6D788B20"/>
    <w:rsid w:val="6D7B93F2"/>
    <w:rsid w:val="6DB2CFF4"/>
    <w:rsid w:val="6DBEECBD"/>
    <w:rsid w:val="6E1103D6"/>
    <w:rsid w:val="6E34AA55"/>
    <w:rsid w:val="6E61F621"/>
    <w:rsid w:val="6E92108F"/>
    <w:rsid w:val="6F1A977D"/>
    <w:rsid w:val="6F23A1F6"/>
    <w:rsid w:val="6F418B2E"/>
    <w:rsid w:val="6F6FAACA"/>
    <w:rsid w:val="6F86A966"/>
    <w:rsid w:val="6F8958FB"/>
    <w:rsid w:val="6FBD7CC6"/>
    <w:rsid w:val="7038B62B"/>
    <w:rsid w:val="70732C74"/>
    <w:rsid w:val="70AB0411"/>
    <w:rsid w:val="70C00373"/>
    <w:rsid w:val="70C406CF"/>
    <w:rsid w:val="71C7B406"/>
    <w:rsid w:val="71F0DD90"/>
    <w:rsid w:val="721CD1C7"/>
    <w:rsid w:val="7232BFAE"/>
    <w:rsid w:val="72648A50"/>
    <w:rsid w:val="72673B79"/>
    <w:rsid w:val="72C15C14"/>
    <w:rsid w:val="72C2098D"/>
    <w:rsid w:val="72CC7750"/>
    <w:rsid w:val="72D667FC"/>
    <w:rsid w:val="730A8DF5"/>
    <w:rsid w:val="7381EDF2"/>
    <w:rsid w:val="74151029"/>
    <w:rsid w:val="743002B8"/>
    <w:rsid w:val="749D9F32"/>
    <w:rsid w:val="74BBE815"/>
    <w:rsid w:val="74DA6C26"/>
    <w:rsid w:val="755997DE"/>
    <w:rsid w:val="75C60DF2"/>
    <w:rsid w:val="760D6903"/>
    <w:rsid w:val="7684B745"/>
    <w:rsid w:val="76E12127"/>
    <w:rsid w:val="76F39415"/>
    <w:rsid w:val="76F52511"/>
    <w:rsid w:val="7778F055"/>
    <w:rsid w:val="77EFEC79"/>
    <w:rsid w:val="783A94B8"/>
    <w:rsid w:val="78690CC7"/>
    <w:rsid w:val="78D88206"/>
    <w:rsid w:val="78DBF07A"/>
    <w:rsid w:val="78EA6B3F"/>
    <w:rsid w:val="7903B539"/>
    <w:rsid w:val="79715E75"/>
    <w:rsid w:val="79956AB2"/>
    <w:rsid w:val="7997DEC1"/>
    <w:rsid w:val="7B0F1A5E"/>
    <w:rsid w:val="7B94EEDD"/>
    <w:rsid w:val="7BD6B111"/>
    <w:rsid w:val="7BFA1B69"/>
    <w:rsid w:val="7C79B2D9"/>
    <w:rsid w:val="7D618491"/>
    <w:rsid w:val="7DD3C96C"/>
    <w:rsid w:val="7E477A6D"/>
    <w:rsid w:val="7E528FD9"/>
    <w:rsid w:val="7E60082D"/>
    <w:rsid w:val="7EDA300F"/>
    <w:rsid w:val="7EE74585"/>
    <w:rsid w:val="7F0836A0"/>
    <w:rsid w:val="7F9F37C9"/>
    <w:rsid w:val="7FC7666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866C4"/>
  <w15:chartTrackingRefBased/>
  <w15:docId w15:val="{2C68DCCA-F11B-4813-9739-BE6684014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64879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64879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92EE3"/>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04A978F3"/>
    <w:pPr>
      <w:spacing w:after="100"/>
    </w:pPr>
  </w:style>
  <w:style w:type="character" w:styleId="Hyperlink">
    <w:name w:val="Hyperlink"/>
    <w:basedOn w:val="DefaultParagraphFont"/>
    <w:uiPriority w:val="99"/>
    <w:unhideWhenUsed/>
    <w:rsid w:val="04A978F3"/>
    <w:rPr>
      <w:color w:val="467886"/>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paragraph" w:styleId="TOC2">
    <w:name w:val="toc 2"/>
    <w:basedOn w:val="Normal"/>
    <w:next w:val="Normal"/>
    <w:uiPriority w:val="39"/>
    <w:unhideWhenUsed/>
    <w:rsid w:val="56487953"/>
    <w:pPr>
      <w:spacing w:after="100"/>
      <w:ind w:left="220"/>
    </w:pPr>
  </w:style>
  <w:style w:type="paragraph" w:styleId="ListParagraph">
    <w:name w:val="List Paragraph"/>
    <w:basedOn w:val="Normal"/>
    <w:uiPriority w:val="34"/>
    <w:qFormat/>
    <w:rsid w:val="56487953"/>
    <w:pPr>
      <w:ind w:left="720"/>
      <w:contextualSpacing/>
    </w:pPr>
  </w:style>
  <w:style w:type="character" w:customStyle="1" w:styleId="apple-converted-space">
    <w:name w:val="apple-converted-space"/>
    <w:basedOn w:val="DefaultParagraphFont"/>
    <w:uiPriority w:val="1"/>
    <w:rsid w:val="56487953"/>
    <w:rPr>
      <w:rFonts w:asciiTheme="minorHAnsi" w:eastAsiaTheme="minorEastAsia" w:hAnsiTheme="minorHAnsi" w:cstheme="minorBidi"/>
      <w:sz w:val="24"/>
      <w:szCs w:val="24"/>
    </w:rPr>
  </w:style>
  <w:style w:type="character" w:customStyle="1" w:styleId="Heading4Char">
    <w:name w:val="Heading 4 Char"/>
    <w:basedOn w:val="DefaultParagraphFont"/>
    <w:link w:val="Heading4"/>
    <w:uiPriority w:val="9"/>
    <w:rsid w:val="00492EE3"/>
    <w:rPr>
      <w:rFonts w:eastAsiaTheme="majorEastAsia" w:cstheme="majorBidi"/>
      <w:i/>
      <w:iCs/>
      <w:color w:val="0F4761" w:themeColor="accent1" w:themeShade="BF"/>
    </w:rPr>
  </w:style>
  <w:style w:type="paragraph" w:styleId="TOC3">
    <w:name w:val="toc 3"/>
    <w:basedOn w:val="Normal"/>
    <w:next w:val="Normal"/>
    <w:uiPriority w:val="39"/>
    <w:unhideWhenUsed/>
    <w:rsid w:val="00492EE3"/>
    <w:pPr>
      <w:spacing w:after="100"/>
      <w:ind w:left="440"/>
    </w:pPr>
  </w:style>
  <w:style w:type="paragraph" w:styleId="TOC4">
    <w:name w:val="toc 4"/>
    <w:basedOn w:val="Normal"/>
    <w:next w:val="Normal"/>
    <w:uiPriority w:val="39"/>
    <w:unhideWhenUsed/>
    <w:rsid w:val="00492EE3"/>
    <w:pPr>
      <w:spacing w:after="100"/>
      <w:ind w:left="660"/>
    </w:pPr>
  </w:style>
  <w:style w:type="table" w:styleId="TableGrid">
    <w:name w:val="Table Grid"/>
    <w:basedOn w:val="TableNormal"/>
    <w:uiPriority w:val="59"/>
    <w:rsid w:val="00492EE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onitoring-mental-health-act/2023-2024/inequalities" TargetMode="External"/><Relationship Id="rId13" Type="http://schemas.openxmlformats.org/officeDocument/2006/relationships/hyperlink" Target="https://www.thelancet.com/journals/lancet/article/PIIS0140-6736(16)32312-1/fulltext" TargetMode="External"/><Relationship Id="rId18" Type="http://schemas.openxmlformats.org/officeDocument/2006/relationships/hyperlink" Target="https://raceequalityfoundation.org.uk/wp-content/uploads/2022/10/mental-health-report-v5-2-2.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theses.whiterose.ac.uk/id/eprint/35535/1/Alleyne%2C%20210154755%20FINAL.pdf" TargetMode="External"/><Relationship Id="rId12" Type="http://schemas.openxmlformats.org/officeDocument/2006/relationships/hyperlink" Target="https://www.who.int/data/gho/data/themes/theme-details/GHO/mental-health" TargetMode="External"/><Relationship Id="rId17" Type="http://schemas.openxmlformats.org/officeDocument/2006/relationships/hyperlink" Target="https://link.springer.com/article/10.1186/s13643-018-0882-7" TargetMode="External"/><Relationship Id="rId2" Type="http://schemas.openxmlformats.org/officeDocument/2006/relationships/styles" Target="styles.xml"/><Relationship Id="rId16" Type="http://schemas.openxmlformats.org/officeDocument/2006/relationships/hyperlink" Target="https://onlinelibrary.wiley.com/doi/full/10.1002/puh2.181" TargetMode="External"/><Relationship Id="rId20" Type="http://schemas.openxmlformats.org/officeDocument/2006/relationships/hyperlink" Target="https://etheses.whiterose.ac.uk/id/eprint/35535/" TargetMode="External"/><Relationship Id="rId1" Type="http://schemas.openxmlformats.org/officeDocument/2006/relationships/numbering" Target="numbering.xml"/><Relationship Id="rId6" Type="http://schemas.openxmlformats.org/officeDocument/2006/relationships/hyperlink" Target="https://discovery.ucl.ac.uk/id/eprint/10190220/1/What_are_the_barriers_to_mental_health_support_for.pdf" TargetMode="External"/><Relationship Id="rId11" Type="http://schemas.openxmlformats.org/officeDocument/2006/relationships/hyperlink" Target="https://www.ethnicity-facts-figures.service.gov.uk/style-guide/writing-about-ethnicity/" TargetMode="External"/><Relationship Id="rId5" Type="http://schemas.openxmlformats.org/officeDocument/2006/relationships/image" Target="media/image1.png"/><Relationship Id="rId15" Type="http://schemas.openxmlformats.org/officeDocument/2006/relationships/hyperlink" Target="https://journals.plos.org/plosmedicine/article?id=10.1371/journal.pmed.1004139" TargetMode="External"/><Relationship Id="rId23" Type="http://schemas.microsoft.com/office/2020/10/relationships/intelligence" Target="intelligence2.xml"/><Relationship Id="rId10" Type="http://schemas.openxmlformats.org/officeDocument/2006/relationships/hyperlink" Target="https://www.legislation.gov.uk/ukpga/2010/15/contents" TargetMode="External"/><Relationship Id="rId19" Type="http://schemas.openxmlformats.org/officeDocument/2006/relationships/hyperlink" Target="https://www.sciencedirect.com/science/article/abs/pii/S0277953602000631" TargetMode="External"/><Relationship Id="rId4" Type="http://schemas.openxmlformats.org/officeDocument/2006/relationships/webSettings" Target="webSettings.xml"/><Relationship Id="rId9" Type="http://schemas.openxmlformats.org/officeDocument/2006/relationships/hyperlink" Target="https://www.ethnicity-facts-figures.service.gov.uk/health/mental-health/detentions-under-the-mental-health-act/latest/" TargetMode="External"/><Relationship Id="rId14" Type="http://schemas.openxmlformats.org/officeDocument/2006/relationships/hyperlink" Target="https://onlinelibrary.wiley.com/doi/full/10.1111/hex.1246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13563</Words>
  <Characters>77313</Characters>
  <Application>Microsoft Office Word</Application>
  <DocSecurity>4</DocSecurity>
  <Lines>644</Lines>
  <Paragraphs>181</Paragraphs>
  <ScaleCrop>false</ScaleCrop>
  <Company/>
  <LinksUpToDate>false</LinksUpToDate>
  <CharactersWithSpaces>90695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Shalion Ababio (2113295)</dc:creator>
  <cp:keywords/>
  <dc:description/>
  <cp:lastModifiedBy>Shalion Ababio (2113295)</cp:lastModifiedBy>
  <cp:revision>46</cp:revision>
  <dcterms:created xsi:type="dcterms:W3CDTF">2025-11-28T01:03:00Z</dcterms:created>
  <dcterms:modified xsi:type="dcterms:W3CDTF">2025-11-28T13:57:00Z</dcterms:modified>
</cp:coreProperties>
</file>