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DA593FD" wp14:paraId="6C7DFF2A" wp14:textId="1EA20ECF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DA593FD" w:rsidR="50EBE77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Reference list </w:t>
      </w:r>
    </w:p>
    <w:p xmlns:wp14="http://schemas.microsoft.com/office/word/2010/wordml" w:rsidP="3DA593FD" wp14:paraId="12E5CAA4" wp14:textId="2402B2D0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Afshin, A. et al. (2021) ‘Health effects of dietary risks in 195 countries, 1990–2017: a systematic analysis’,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Lancet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397(10293), pp. 1958–1972.</w:t>
      </w:r>
    </w:p>
    <w:p xmlns:wp14="http://schemas.microsoft.com/office/word/2010/wordml" w:rsidP="3DA593FD" wp14:paraId="5D13A46A" wp14:textId="7F223E25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Badura, P. et al. (2021) ‘Participation in organised leisure-time activities and adolescent mental health’,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BMC Public Health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21(1), pp. 1–11.</w:t>
      </w:r>
    </w:p>
    <w:p xmlns:wp14="http://schemas.microsoft.com/office/word/2010/wordml" w:rsidP="3DA593FD" wp14:paraId="5C95517D" wp14:textId="28B7FE63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Benach, J. et al. (2020) ‘Precarious employment: understanding an emerging social determinant of health’,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Annual Review of Public Health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41, pp. 229–253.</w:t>
      </w:r>
    </w:p>
    <w:p xmlns:wp14="http://schemas.microsoft.com/office/word/2010/wordml" w:rsidP="3DA593FD" wp14:paraId="1EBA7D75" wp14:textId="2E5A1EF5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Ben-Shlomo, Y., Mishra, G. and Kuh, D. (2020) ‘Life course epidemiology’,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Epidemiology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49(3), pp. 1–8.</w:t>
      </w:r>
    </w:p>
    <w:p xmlns:wp14="http://schemas.microsoft.com/office/word/2010/wordml" w:rsidP="3DA593FD" wp14:paraId="0894CC85" wp14:textId="0CF7697A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Bom, J. et al. (2021) ‘The impact of informal caregiving on caregivers’ health’,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Economics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30(5), pp. 1050–1069.</w:t>
      </w:r>
    </w:p>
    <w:p xmlns:wp14="http://schemas.microsoft.com/office/word/2010/wordml" w:rsidP="3DA593FD" wp14:paraId="534B472A" wp14:textId="745DF39B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Cooper, K. and Stewart, K. (2022) ‘Does household income affect children’s outcomes?’,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Indicators Research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15(1), pp. 1–25.</w:t>
      </w:r>
    </w:p>
    <w:p xmlns:wp14="http://schemas.microsoft.com/office/word/2010/wordml" w:rsidP="3DA593FD" wp14:paraId="5901D1E5" wp14:textId="144AF62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Dannefer, D. (2020) ‘Systemic and reflexive: foundations of cumulative inequality theory’,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Journals of Gerontology: Social Sciences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75(6), pp. 1246–1253.</w:t>
      </w:r>
    </w:p>
    <w:p xmlns:wp14="http://schemas.microsoft.com/office/word/2010/wordml" w:rsidP="3DA593FD" wp14:paraId="12AE5BF9" wp14:textId="1FEDADDB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Halfon, N. and Forrest, C.B. (2018) ‘The emerging theoretical framework of life course health development’,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Handbook of Life Course Health Development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pp. 19–43.</w:t>
      </w:r>
    </w:p>
    <w:p xmlns:wp14="http://schemas.microsoft.com/office/word/2010/wordml" w:rsidP="3DA593FD" wp14:paraId="2B12B5D8" wp14:textId="79F445AB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Holt-Lunstad, J. (2020) ‘Social isolation and health’,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Lancet Public Health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5(1), pp. e62–e63.</w:t>
      </w:r>
    </w:p>
    <w:p xmlns:wp14="http://schemas.microsoft.com/office/word/2010/wordml" w:rsidP="3DA593FD" wp14:paraId="6AC695CC" wp14:textId="5F23E197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Hughes, K. et al. (2021) ‘The effect of multiple adverse childhood experiences on health’,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Lancet Public Health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6(8), pp. e356–e366.</w:t>
      </w:r>
    </w:p>
    <w:p xmlns:wp14="http://schemas.microsoft.com/office/word/2010/wordml" w:rsidP="3DA593FD" wp14:paraId="58FEB1CA" wp14:textId="29037314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Keats, E.C. et al. (2021) ‘Effective interventions to address maternal and child malnutrition’,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Lancet Child &amp; Adolescent Health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5(5), pp. 367–384.</w:t>
      </w:r>
    </w:p>
    <w:p xmlns:wp14="http://schemas.microsoft.com/office/word/2010/wordml" w:rsidP="3DA593FD" wp14:paraId="6789D390" wp14:textId="7CE491EE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Kim, T.J. and von dem Knesebeck, O. (2021) ‘Is an insecure job better for health than no job at all?’,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Science &amp; Medicine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271, 113655.</w:t>
      </w:r>
    </w:p>
    <w:p xmlns:wp14="http://schemas.microsoft.com/office/word/2010/wordml" w:rsidP="3DA593FD" wp14:paraId="63C6DDCC" wp14:textId="1945D4B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Kowalski, R.M. et al. (2020) ‘Cyberbullying and mental health’,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Psychological Bulletin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146(4), pp. 1–38.</w:t>
      </w:r>
    </w:p>
    <w:p xmlns:wp14="http://schemas.microsoft.com/office/word/2010/wordml" w:rsidP="3DA593FD" wp14:paraId="15F9FB7E" wp14:textId="383B1E3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Marmot, M. et al. (2020)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equity in England: The Marmot Review 10 years on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Institute of Health Equity.</w:t>
      </w:r>
    </w:p>
    <w:p xmlns:wp14="http://schemas.microsoft.com/office/word/2010/wordml" w:rsidP="3DA593FD" wp14:paraId="3411ECFE" wp14:textId="0A1808F5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Masten, A.S. and Motti-Stefanidi, F. (2020) ‘Multisystem resilience for children and youth’,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 and Psychopathology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32(3), pp. 957–970.</w:t>
      </w:r>
    </w:p>
    <w:p xmlns:wp14="http://schemas.microsoft.com/office/word/2010/wordml" w:rsidP="3DA593FD" wp14:paraId="566D4706" wp14:textId="458EC389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Melhuish, E. et al. (2020) ‘A review of research on the effects of early childhood education’,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Early Childhood Research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18(2), pp. 1–19.</w:t>
      </w:r>
    </w:p>
    <w:p xmlns:wp14="http://schemas.microsoft.com/office/word/2010/wordml" w:rsidP="3DA593FD" wp14:paraId="14958F38" wp14:textId="08DB69FE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Nelson, C.A. et al. (2020) ‘Early adversity and neural development’,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Annual Review of Psychology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71, pp. 1–28.</w:t>
      </w:r>
    </w:p>
    <w:p xmlns:wp14="http://schemas.microsoft.com/office/word/2010/wordml" w:rsidP="3DA593FD" wp14:paraId="600A6F7C" wp14:textId="6178775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Racine, N. et al. (2021) ‘Global prevalence of depressive and anxiety symptoms in children and adolescents’,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JAMA Pediatrics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175(11), pp. 1142–1150.</w:t>
      </w:r>
    </w:p>
    <w:p xmlns:wp14="http://schemas.microsoft.com/office/word/2010/wordml" w:rsidP="3DA593FD" wp14:paraId="27D5075F" wp14:textId="21E123AD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Rehm, J. et al. (2021) ‘Alcohol use and burden for disease’,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Lancet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398(10308), pp. 1204–1215.</w:t>
      </w:r>
    </w:p>
    <w:p xmlns:wp14="http://schemas.microsoft.com/office/word/2010/wordml" w:rsidP="3DA593FD" wp14:paraId="52691CFC" wp14:textId="7B17DFFE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Rueger, S.Y. et al. (2021) ‘Social support and adolescent mental health’,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Youth and Adolescence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50(3), pp. 1–15.</w:t>
      </w:r>
    </w:p>
    <w:p xmlns:wp14="http://schemas.microsoft.com/office/word/2010/wordml" w:rsidP="3DA593FD" wp14:paraId="4407145B" wp14:textId="26826E23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Santini, Z.I. et al. (2021) ‘Social relationships and cognitive decline’,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Journals of Gerontology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76(4), pp. 1–10.</w:t>
      </w:r>
    </w:p>
    <w:p xmlns:wp14="http://schemas.microsoft.com/office/word/2010/wordml" w:rsidP="3DA593FD" wp14:paraId="0C28799F" wp14:textId="5C016F66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Shonkoff, J.P. et al. (2021) ‘Children, adversity, and toxic stress’,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Pediatrics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147(2), e2021052582.</w:t>
      </w:r>
    </w:p>
    <w:p xmlns:wp14="http://schemas.microsoft.com/office/word/2010/wordml" w:rsidP="3DA593FD" wp14:paraId="58F2A695" wp14:textId="2647A60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Viner, R.M. et al. (2022) ‘Adolescent health and risk behaviours’,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Lancet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399(10322), pp. 1–15.</w:t>
      </w:r>
    </w:p>
    <w:p xmlns:wp14="http://schemas.microsoft.com/office/word/2010/wordml" w:rsidP="3DA593FD" wp14:paraId="18F441C5" wp14:textId="565FAB2E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Organization (2022) </w:t>
      </w:r>
      <w:r w:rsidRPr="3DA593FD" w:rsidR="50EBE7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World health statistics 2022</w:t>
      </w:r>
      <w:r w:rsidRPr="3DA593FD" w:rsidR="50EBE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Geneva: WHO.</w:t>
      </w:r>
    </w:p>
    <w:p xmlns:wp14="http://schemas.microsoft.com/office/word/2010/wordml" wp14:paraId="5E5787A5" wp14:textId="5ABCCC67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79AF3D"/>
    <w:rsid w:val="3079AF3D"/>
    <w:rsid w:val="3DA593FD"/>
    <w:rsid w:val="50EBE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701F5"/>
  <w15:chartTrackingRefBased/>
  <w15:docId w15:val="{FFE18056-EEE7-4C4D-8071-7D247E12A7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Lula Mebrahtu Baqa (2325989)</dc:creator>
  <keywords/>
  <dc:description/>
  <lastModifiedBy>Lula Mebrahtu Baqa (2325989)</lastModifiedBy>
  <revision>2</revision>
  <dcterms:created xsi:type="dcterms:W3CDTF">2026-03-23T21:44:30.8433183Z</dcterms:created>
  <dcterms:modified xsi:type="dcterms:W3CDTF">2026-03-23T21:45:11.3115681Z</dcterms:modified>
</coreProperties>
</file>