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Critical response to an article that provides evidence of sound knowledge and understanding of themes related to the teaching of Welsh in the English-medium sector.</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This essay is a critical response to the article </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Non-Native English Students Learning in English: Reviewing and Re</w:t>
      </w:r>
      <w:r>
        <w:rPr>
          <w:rFonts w:ascii="Times New Roman" w:hAnsi="Times New Roman" w:hint="default"/>
          <w:sz w:val="24"/>
          <w:szCs w:val="24"/>
          <w:u w:color="191919"/>
          <w:rtl w:val="0"/>
          <w:lang w:val="en-US"/>
        </w:rPr>
        <w:t>ﬂ</w:t>
      </w:r>
      <w:r>
        <w:rPr>
          <w:rFonts w:ascii="Times New Roman" w:hAnsi="Times New Roman"/>
          <w:sz w:val="24"/>
          <w:szCs w:val="24"/>
          <w:u w:color="191919"/>
          <w:rtl w:val="0"/>
          <w:lang w:val="en-US"/>
        </w:rPr>
        <w:t>ecting on the Research</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 xml:space="preserve">written by </w:t>
      </w:r>
      <w:r>
        <w:rPr>
          <w:rFonts w:ascii="Times New Roman" w:hAnsi="Times New Roman"/>
          <w:sz w:val="24"/>
          <w:szCs w:val="24"/>
          <w:u w:color="191919"/>
          <w:rtl w:val="0"/>
          <w:lang w:val="en-US"/>
        </w:rPr>
        <w:t>Bernardo, A.B.I. &amp; Gaerlan, M.J.M. (2011)</w:t>
      </w:r>
      <w:r>
        <w:rPr>
          <w:rFonts w:ascii="Times New Roman" w:hAnsi="Times New Roman"/>
          <w:sz w:val="24"/>
          <w:szCs w:val="24"/>
          <w:u w:color="191919"/>
          <w:rtl w:val="0"/>
          <w:lang w:val="en-US"/>
        </w:rPr>
        <w:t>, that collates research and studies and analyses their worth and validity. The article observes and reviews the research from a psycholinguistic and a sociolinguistic approach as these the two most common approaches in the field of linguistics. Firth and Wagner (2007), are two theorists that studied language but in the form of Second Language Acquisition (SLA), similar to English as a Second Language (ESL) and English as a Foreign Language (EFL). They chose treat both social and cognitive dimensions with equal weighting. Bernado is a recognised Professor in the field of psychology with many pieces of literature linking to language and learning. Throughout the article, Bernado makes reference to his own work when reviewing the evidence. This could lead to some people believing that he may have some sort of bias towards his work, but as he is so distinguished and well recognised as a professional his work would be a reliable source. Gaerlan is also a Professor in the same university but specialises in the Department of English and Applied Linguistics and has worked with other esteemed professionals. As both authors are reviewing and reflecting on research, and also cementing their findings with evidence, there is no need for them to be biased in any form.</w:t>
      </w:r>
      <w:r>
        <w:rPr>
          <w:rFonts w:ascii="Arial Unicode MS" w:cs="Arial Unicode MS" w:hAnsi="Arial Unicode MS" w:eastAsia="Arial Unicode MS"/>
          <w:b w:val="0"/>
          <w:bCs w:val="0"/>
          <w:i w:val="0"/>
          <w:iCs w:val="0"/>
          <w:sz w:val="24"/>
          <w:szCs w:val="24"/>
          <w:u w:color="191919"/>
          <w:rtl w:val="0"/>
          <w:lang w:val="en-US"/>
        </w:rPr>
        <w:br w:type="textWrapping"/>
        <w:br w:type="textWrapping"/>
      </w:r>
      <w:r>
        <w:rPr>
          <w:rFonts w:ascii="Times New Roman" w:hAnsi="Times New Roman"/>
          <w:sz w:val="24"/>
          <w:szCs w:val="24"/>
          <w:u w:color="191919"/>
          <w:rtl w:val="0"/>
          <w:lang w:val="en-US"/>
        </w:rPr>
        <w:t xml:space="preserve">This article is aimed at other practitioners and academics working in the field of ESL and EFL. Furthermore, it can also be said that this article relates to teachers and the way languages can be taught in schools. The article, has been divided in to six parts with great emphasis on both psycholinguistic and sociolinguistic themes within the bilingualism. There are many arguments as to what classes someone as being bilingual. Bloomfield (1933) and Thiery (1978) both share the same view that to be truly bilingual an individual must be able to communicate fluently in two different linguistic contexts. Opposing this definition of bilingualism, Diebold (1961) and Valdez &amp; Figeora (1994) believe that for someone to be bilingual they simply need to know or have the ability to speak a word in another language. Although there is no true certain definition of what makes a person bilingual, Cummins (1979) created a two part continua called BICS (Basic Interpersonal Communicative Skills) and CALP (Cognitive Academic Language Proficiency) that demonstrates how an individual uses bilingualism in different contexts. Baker (2001), describes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BICS as the process of speaking in another language in a social environment and CALP as speaking or writing in another language when in a more academic context. This two part continua aligns with both psycholinguistic and sociolinguistic approaches making it a strong tool to help analyse this article.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An overarching theme in this article appears to be, that English is an international language meaning there is a high demand for it around the world. It can be said the English as an International Language (EIL) is measured by the amount of people that speak the language. As the ambiguity of what makes an English speaker, it is hard to get an accurate number of how many English users there are. According to Crystal (20012), there is estimated to be between 1.1 and 1.8 billion English users. Crystal (2012), argues that a language does not become an International Language because of the amount of people speaking it as their mother tongue but how the role of the language is recognised beyond that.  In relation to this, Welsh as a language is not considered to be as valuable to a person as English which makes it a minority language. In the 2011 census,576,462 (18.56%) of the population in Wales said that they could speak Welsh, which begs the question as to why so little people actually speak the language. One reason for this may be that there is a lack of perception of the usefulness for Welsh, which leads on to there being no motivation to learn and use the language. Linking to Strubell</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 xml:space="preserve">s (2011) work, as mentioned in Welsh Government (2017), for Welsh to be recognised as a useful tool there is an interrelationship between  five aspects: learning the language, demand for and supply of goods, consumption of goods, perception of usefulness and motivation to learn. If the Welsh language is to become more widely recognised the government need to give it more value, be it in the work place or at home. This is a point that will be analysed further in the essay.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According to a study carried out by Bernado (1999), it was found that learners would achieve greater results in mathematic word problems that were written in Filipino. A study that correlates with these results can be found in UNESCO (1953:11) that states, </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...the best medium for teaching a child is his mother tongue...Educationally, he learns more quickly through it than through an unfamiliar linguistic medium</w:t>
      </w:r>
      <w:r>
        <w:rPr>
          <w:rFonts w:ascii="Times New Roman" w:hAnsi="Times New Roman"/>
          <w:sz w:val="24"/>
          <w:szCs w:val="24"/>
          <w:u w:color="191919"/>
          <w:rtl w:val="0"/>
          <w:lang w:val="en-US"/>
        </w:rPr>
        <w:t>.</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 xml:space="preserve">This can be a possible reason as to why Bernado (1999) collated these results from his study. Although, </w:t>
      </w:r>
      <w:r>
        <w:rPr>
          <w:rFonts w:ascii="Times New Roman" w:hAnsi="Times New Roman"/>
          <w:sz w:val="24"/>
          <w:szCs w:val="24"/>
          <w:u w:color="191919"/>
          <w:rtl w:val="0"/>
          <w:lang w:val="en-US"/>
        </w:rPr>
        <w:t>Saer, Hughes</w:t>
      </w:r>
      <w:r>
        <w:rPr>
          <w:rFonts w:ascii="Times New Roman" w:hAnsi="Times New Roman"/>
          <w:sz w:val="24"/>
          <w:szCs w:val="24"/>
          <w:u w:color="191919"/>
          <w:rtl w:val="0"/>
          <w:lang w:val="en-US"/>
        </w:rPr>
        <w:t xml:space="preserve"> </w:t>
      </w:r>
      <w:r>
        <w:rPr>
          <w:rFonts w:ascii="Times New Roman" w:hAnsi="Times New Roman"/>
          <w:sz w:val="24"/>
          <w:szCs w:val="24"/>
          <w:u w:color="191919"/>
          <w:rtl w:val="0"/>
          <w:lang w:val="en-US"/>
        </w:rPr>
        <w:t>&amp; Smith</w:t>
      </w:r>
      <w:r>
        <w:rPr>
          <w:rFonts w:ascii="Times New Roman" w:hAnsi="Times New Roman"/>
          <w:sz w:val="24"/>
          <w:szCs w:val="24"/>
          <w:u w:color="191919"/>
          <w:rtl w:val="0"/>
          <w:lang w:val="en-US"/>
        </w:rPr>
        <w:t xml:space="preserve"> </w:t>
      </w:r>
      <w:r>
        <w:rPr>
          <w:rFonts w:ascii="Times New Roman" w:hAnsi="Times New Roman"/>
          <w:sz w:val="24"/>
          <w:szCs w:val="24"/>
          <w:u w:color="191919"/>
          <w:rtl w:val="0"/>
          <w:lang w:val="en-US"/>
        </w:rPr>
        <w:t>(1924)</w:t>
      </w:r>
      <w:r>
        <w:rPr>
          <w:rFonts w:ascii="Times New Roman" w:hAnsi="Times New Roman"/>
          <w:sz w:val="24"/>
          <w:szCs w:val="24"/>
          <w:u w:color="191919"/>
          <w:rtl w:val="0"/>
          <w:lang w:val="en-US"/>
        </w:rPr>
        <w:t xml:space="preserve"> found that, in rural Wales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monoglot English-speaking children showed a superiority over bilingual children in the same districts. A more current professional in the field of linguistics, Garcia (2009), goes as far as saying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the only way that children should be educated in the twenty first century is in a bilingual manner. which is also supported by </w:t>
      </w:r>
      <w:r>
        <w:rPr>
          <w:rFonts w:ascii="Times New Roman" w:hAnsi="Times New Roman"/>
          <w:sz w:val="24"/>
          <w:szCs w:val="24"/>
          <w:u w:color="191919"/>
          <w:rtl w:val="0"/>
          <w:lang w:val="en-US"/>
        </w:rPr>
        <w:t>Baker &amp; Garc</w:t>
      </w:r>
      <w:r>
        <w:rPr>
          <w:rFonts w:ascii="Times New Roman" w:hAnsi="Times New Roman" w:hint="default"/>
          <w:sz w:val="24"/>
          <w:szCs w:val="24"/>
          <w:u w:color="191919"/>
          <w:rtl w:val="0"/>
          <w:lang w:val="en-US"/>
        </w:rPr>
        <w:t>í</w:t>
      </w:r>
      <w:r>
        <w:rPr>
          <w:rFonts w:ascii="Times New Roman" w:hAnsi="Times New Roman"/>
          <w:sz w:val="24"/>
          <w:szCs w:val="24"/>
          <w:u w:color="191919"/>
          <w:rtl w:val="0"/>
          <w:lang w:val="en-US"/>
        </w:rPr>
        <w:t>a (2007)</w:t>
      </w:r>
      <w:r>
        <w:rPr>
          <w:rFonts w:ascii="Times New Roman" w:hAnsi="Times New Roman"/>
          <w:sz w:val="24"/>
          <w:szCs w:val="24"/>
          <w:u w:color="191919"/>
          <w:rtl w:val="0"/>
          <w:lang w:val="en-US"/>
        </w:rPr>
        <w:t>.</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 xml:space="preserve">In the article, Bernado and Gaerlan (2011) write about how the learners </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design</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the use of their language to help address cognitive and social dimensions which can be used outside of the classroom. Supported also by the studies of Lai (2004) and Phillipson (2005), that convey the importance of the relationship between a bilinguals attitude towards its first or second language in school. This links back to Strubell</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 xml:space="preserve">s (2011) Cathrine Wheel Model, where individuals need motivation to use the language. This problem can relate to the problem in Wales that the people of Wales do not have the motivation to learn the language. To combat this the Welsh Government have created a document with targets to increase the use of Welsh, one of which is to increase the amount of  Welsh in the work place. Welsh Government (2015b &amp; 2017) have realised, that to shift a culture to recognise the benefits of a bilingual workforce there needs to be strong and visible leadership across all sectors of the workplace. On this basis, Welsh Government (2017, p.50) stated that they will </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I</w:t>
      </w:r>
      <w:r>
        <w:rPr>
          <w:rFonts w:ascii="Times New Roman" w:hAnsi="Times New Roman"/>
          <w:sz w:val="24"/>
          <w:szCs w:val="24"/>
          <w:u w:color="191919"/>
          <w:rtl w:val="0"/>
          <w:lang w:val="en-US"/>
        </w:rPr>
        <w:t>ncrease the emphasis on the workplace as a strategic location for promoting and facilitating an increased use of Welsh</w:t>
      </w:r>
      <w:r>
        <w:rPr>
          <w:rFonts w:ascii="Times New Roman" w:hAnsi="Times New Roman"/>
          <w:sz w:val="24"/>
          <w:szCs w:val="24"/>
          <w:u w:color="191919"/>
          <w:rtl w:val="0"/>
          <w:lang w:val="en-US"/>
        </w:rPr>
        <w:t>.</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 xml:space="preserve">To do this, the government decided that to progress from education in to the workplace, the pathway needs to be more direct and clear. A scheme such as this one can bring value to Welsh and encourage the population to be motivated to learn Welsh.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Using a consensual qualitative research approach, Gaerlan (2009) established a number of social themes that have an affect on Filipino bilingual leaners. One being, the language exposure at home including: resources available and the language spoken at home. Her study found that the majority of students said that their families had a positive influence on their learning English. In Wales, an aim of the government is to provide more support for families to gain the ability to transmit the language in the home. Gathercole et al. (2007), found that there was a strong link between the child</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s language and the parents</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 xml:space="preserve">linguistic background and ability in Welsh. Research by Welsh Government (2017b), shows that the views towards the language can change over time meaning that there is a chance to act and promote it. As a result of this, the government have decided that it is </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crucial to promote the advantages of Welsh language opportunities to parents. This links back to the importance of Welsh in the work force such as midwives and other family services. If they can promote Welsh to the parents from the beginning of their child</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s life then there is more chance of the parents carrying it on as the child grows up.</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Another prominent theme found in Gaerlan</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 xml:space="preserve">s (2009) research was that the students thought that their teachers were good </w:t>
      </w:r>
      <w:r>
        <w:rPr>
          <w:rFonts w:ascii="Times New Roman" w:hAnsi="Times New Roman" w:hint="default"/>
          <w:sz w:val="24"/>
          <w:szCs w:val="24"/>
          <w:u w:color="191919"/>
          <w:rtl w:val="0"/>
          <w:lang w:val="en-US"/>
        </w:rPr>
        <w:t>“</w:t>
      </w:r>
      <w:r>
        <w:rPr>
          <w:rFonts w:ascii="Times New Roman" w:hAnsi="Times New Roman"/>
          <w:sz w:val="24"/>
          <w:szCs w:val="24"/>
          <w:u w:color="191919"/>
          <w:rtl w:val="0"/>
          <w:lang w:val="en-US"/>
        </w:rPr>
        <w:t>models</w:t>
      </w:r>
      <w:r>
        <w:rPr>
          <w:rFonts w:ascii="Times New Roman" w:hAnsi="Times New Roman" w:hint="default"/>
          <w:sz w:val="24"/>
          <w:szCs w:val="24"/>
          <w:u w:color="191919"/>
          <w:rtl w:val="0"/>
          <w:lang w:val="en-US"/>
        </w:rPr>
        <w:t xml:space="preserve">” </w:t>
      </w:r>
      <w:r>
        <w:rPr>
          <w:rFonts w:ascii="Times New Roman" w:hAnsi="Times New Roman"/>
          <w:sz w:val="24"/>
          <w:szCs w:val="24"/>
          <w:u w:color="191919"/>
          <w:rtl w:val="0"/>
          <w:lang w:val="en-US"/>
        </w:rPr>
        <w:t>of English. For this to happen in Wales, schools will need to employ practitioners that are capable of speaking Welsh at a level that is suitable for the age group that they are teaching. The Welsh government have created sabbatical courses and professional learning opportunities, that provide schools with the opportunity to send staff to increase their level of Welsh. If the government are to hit their target of one million Welsh speakers by 2050 they will first need to increase the amount of teachers who can teach Welsh which, in turn, will improve how Welsh is taught in the English-medium sector. In the primary school setting, Welsh Government (2017) believe there needs to be an increase in capable Welsh speaking teachers from 2900 to 5200 by 2050. This is said to be an ambitious figure but the government believe that with a structured plan, including several programmes, it will be achieved. Amongst this, Donaldson (2015) states that there school should focus on learning Welsh to communicate, in conversation and understanding. This recommendation coincides directly with what Welsh Government wish to achieve by 2050.</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In relation to Welsh in the primary school setting, whilst on PTE, the writer observed many bilingual approaches within the classroom that promoted Welsh. Within the Foundation Phase, there was an emphasis on Welsh being spoken by the classroom teacher in the morning as the children were arriving to class, where they would engage in a conversation. There were also several opportunities for the children to join in with songs and rhyme, Welsh Government (2015), when learning about the weather. When the children were learning through song, it was observed that the children were able to retain what they had learned far better than just speaking. In the Key Stage Two setting, it was found that the teaching and learning of Welsh was far more regimented and structured. The children were reviewing a book of their choice and were able to express their opinion with reasoning, Welsh Government (2015), to the rest of the class.</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r>
        <w:rPr>
          <w:rFonts w:ascii="Times New Roman" w:hAnsi="Times New Roman"/>
          <w:sz w:val="24"/>
          <w:szCs w:val="24"/>
          <w:u w:color="191919"/>
          <w:rtl w:val="0"/>
          <w:lang w:val="en-US"/>
        </w:rPr>
        <w:t>On the whole, the article was all to review and reflect on the research very thoroughly. Bernado and Gaerlan (2011), were able to back their points up with reliable evidence that they had collated themselves but also from other respected professionals in the field. The article was very focussed on the use of psycholinguistic and sociolinguistic approaches in bilingualism, throughout, and stuck to a structured response. As a recommendation, if this article was to be carried out in the future, the authors could analyse the sociolinguistic approach further by looking at dialectology. By analysing this aspect further, they could have gone in to greater detail of how the standard of bilingualism is different in many other parts of the Philippines.</w:t>
      </w: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val="single" w:color="191919"/>
          <w:rtl w:val="0"/>
          <w:lang w:val="en-US"/>
        </w:rPr>
      </w:pPr>
    </w:p>
    <w:p>
      <w:pPr>
        <w:pStyle w:val="Body"/>
        <w:bidi w:val="0"/>
        <w:spacing w:before="120" w:after="120" w:line="360" w:lineRule="auto"/>
        <w:ind w:left="0" w:right="0" w:firstLine="0"/>
        <w:jc w:val="left"/>
        <w:rPr>
          <w:rFonts w:ascii="Times New Roman" w:cs="Times New Roman" w:hAnsi="Times New Roman" w:eastAsia="Times New Roman"/>
          <w:sz w:val="24"/>
          <w:szCs w:val="24"/>
          <w:u w:val="single" w:color="191919"/>
          <w:rtl w:val="0"/>
          <w:lang w:val="en-US"/>
        </w:rPr>
      </w:pPr>
      <w:r>
        <w:rPr>
          <w:rFonts w:ascii="Times New Roman" w:hAnsi="Times New Roman"/>
          <w:sz w:val="24"/>
          <w:szCs w:val="24"/>
          <w:u w:val="single" w:color="191919"/>
          <w:rtl w:val="0"/>
          <w:lang w:val="en-US"/>
        </w:rPr>
        <w:t>Bibliography</w:t>
      </w:r>
    </w:p>
    <w:p>
      <w:pPr>
        <w:pStyle w:val="Body"/>
        <w:spacing w:line="360" w:lineRule="auto"/>
        <w:jc w:val="left"/>
        <w:rPr>
          <w:rFonts w:ascii="Times New Roman" w:cs="Times New Roman" w:hAnsi="Times New Roman" w:eastAsia="Times New Roman"/>
          <w:sz w:val="24"/>
          <w:szCs w:val="24"/>
          <w:u w:color="191919"/>
          <w:lang w:val="en-US"/>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rPr>
        <w:t>Baker, C.</w:t>
      </w:r>
      <w:r>
        <w:rPr>
          <w:rFonts w:ascii="Times New Roman" w:hAnsi="Times New Roman"/>
          <w:sz w:val="24"/>
          <w:szCs w:val="24"/>
          <w:rtl w:val="0"/>
          <w:lang w:val="en-US"/>
        </w:rPr>
        <w:t xml:space="preserve"> (</w:t>
      </w:r>
      <w:r>
        <w:rPr>
          <w:rFonts w:ascii="Times New Roman" w:hAnsi="Times New Roman"/>
          <w:sz w:val="24"/>
          <w:szCs w:val="24"/>
          <w:rtl w:val="0"/>
        </w:rPr>
        <w:t>2001</w:t>
      </w:r>
      <w:r>
        <w:rPr>
          <w:rFonts w:ascii="Times New Roman" w:hAnsi="Times New Roman"/>
          <w:sz w:val="24"/>
          <w:szCs w:val="24"/>
          <w:rtl w:val="0"/>
          <w:lang w:val="en-US"/>
        </w:rPr>
        <w:t>)</w:t>
      </w:r>
      <w:r>
        <w:rPr>
          <w:rFonts w:ascii="Times New Roman" w:hAnsi="Times New Roman"/>
          <w:sz w:val="24"/>
          <w:szCs w:val="24"/>
          <w:rtl w:val="0"/>
          <w:lang w:val="en-US"/>
        </w:rPr>
        <w:t xml:space="preserve"> Foundations of Bilingual Education and Bilingualism</w:t>
      </w:r>
      <w:r>
        <w:rPr>
          <w:rFonts w:ascii="Times New Roman" w:hAnsi="Times New Roman"/>
          <w:sz w:val="24"/>
          <w:szCs w:val="24"/>
          <w:rtl w:val="0"/>
          <w:lang w:val="en-US"/>
        </w:rPr>
        <w:t xml:space="preserve">. </w:t>
      </w:r>
      <w:r>
        <w:rPr>
          <w:rFonts w:ascii="Times New Roman" w:hAnsi="Times New Roman"/>
          <w:sz w:val="24"/>
          <w:szCs w:val="24"/>
          <w:rtl w:val="0"/>
          <w:lang w:val="it-IT"/>
        </w:rPr>
        <w:t>Multilingual Matters Limited.</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it-IT"/>
        </w:rPr>
        <w:t>Baker, C. &amp; Garc</w:t>
      </w:r>
      <w:r>
        <w:rPr>
          <w:rFonts w:ascii="Times New Roman" w:hAnsi="Times New Roman" w:hint="default"/>
          <w:sz w:val="24"/>
          <w:szCs w:val="24"/>
          <w:rtl w:val="0"/>
        </w:rPr>
        <w:t>í</w:t>
      </w:r>
      <w:r>
        <w:rPr>
          <w:rFonts w:ascii="Times New Roman" w:hAnsi="Times New Roman"/>
          <w:sz w:val="24"/>
          <w:szCs w:val="24"/>
          <w:rtl w:val="0"/>
        </w:rPr>
        <w:t>a, O.</w:t>
      </w:r>
      <w:r>
        <w:rPr>
          <w:rFonts w:ascii="Times New Roman" w:hAnsi="Times New Roman"/>
          <w:sz w:val="24"/>
          <w:szCs w:val="24"/>
          <w:rtl w:val="0"/>
          <w:lang w:val="en-US"/>
        </w:rPr>
        <w:t xml:space="preserve"> (</w:t>
      </w:r>
      <w:r>
        <w:rPr>
          <w:rFonts w:ascii="Times New Roman" w:hAnsi="Times New Roman"/>
          <w:sz w:val="24"/>
          <w:szCs w:val="24"/>
          <w:rtl w:val="0"/>
        </w:rPr>
        <w:t>2007</w:t>
      </w:r>
      <w:r>
        <w:rPr>
          <w:rFonts w:ascii="Times New Roman" w:hAnsi="Times New Roman"/>
          <w:sz w:val="24"/>
          <w:szCs w:val="24"/>
          <w:rtl w:val="0"/>
          <w:lang w:val="en-US"/>
        </w:rPr>
        <w:t>)</w:t>
      </w:r>
      <w:r>
        <w:rPr>
          <w:rFonts w:ascii="Times New Roman" w:hAnsi="Times New Roman"/>
          <w:sz w:val="24"/>
          <w:szCs w:val="24"/>
          <w:rtl w:val="0"/>
          <w:lang w:val="pt-PT"/>
        </w:rPr>
        <w:t xml:space="preserve"> Bilingual </w:t>
      </w:r>
      <w:r>
        <w:rPr>
          <w:rFonts w:ascii="Times New Roman" w:hAnsi="Times New Roman"/>
          <w:sz w:val="24"/>
          <w:szCs w:val="24"/>
          <w:rtl w:val="0"/>
          <w:lang w:val="en-US"/>
        </w:rPr>
        <w:t>E</w:t>
      </w:r>
      <w:r>
        <w:rPr>
          <w:rFonts w:ascii="Times New Roman" w:hAnsi="Times New Roman"/>
          <w:sz w:val="24"/>
          <w:szCs w:val="24"/>
          <w:rtl w:val="0"/>
          <w:lang w:val="en-US"/>
        </w:rPr>
        <w:t xml:space="preserve">ducation: an </w:t>
      </w:r>
      <w:r>
        <w:rPr>
          <w:rFonts w:ascii="Times New Roman" w:hAnsi="Times New Roman"/>
          <w:sz w:val="24"/>
          <w:szCs w:val="24"/>
          <w:rtl w:val="0"/>
          <w:lang w:val="en-US"/>
        </w:rPr>
        <w:t>I</w:t>
      </w:r>
      <w:r>
        <w:rPr>
          <w:rFonts w:ascii="Times New Roman" w:hAnsi="Times New Roman"/>
          <w:sz w:val="24"/>
          <w:szCs w:val="24"/>
          <w:rtl w:val="0"/>
          <w:lang w:val="en-US"/>
        </w:rPr>
        <w:t xml:space="preserve">ntroductory </w:t>
      </w:r>
      <w:r>
        <w:rPr>
          <w:rFonts w:ascii="Times New Roman" w:hAnsi="Times New Roman"/>
          <w:sz w:val="24"/>
          <w:szCs w:val="24"/>
          <w:rtl w:val="0"/>
          <w:lang w:val="en-US"/>
        </w:rPr>
        <w:t>R</w:t>
      </w:r>
      <w:r>
        <w:rPr>
          <w:rFonts w:ascii="Times New Roman" w:hAnsi="Times New Roman"/>
          <w:sz w:val="24"/>
          <w:szCs w:val="24"/>
          <w:rtl w:val="0"/>
          <w:lang w:val="en-US"/>
        </w:rPr>
        <w:t>eader</w:t>
      </w:r>
      <w:r>
        <w:rPr>
          <w:rFonts w:ascii="Times New Roman" w:hAnsi="Times New Roman"/>
          <w:sz w:val="24"/>
          <w:szCs w:val="24"/>
          <w:rtl w:val="0"/>
          <w:lang w:val="en-US"/>
        </w:rPr>
        <w:t xml:space="preserve">. </w:t>
      </w:r>
      <w:r>
        <w:rPr>
          <w:rFonts w:ascii="Times New Roman" w:hAnsi="Times New Roman"/>
          <w:sz w:val="24"/>
          <w:szCs w:val="24"/>
          <w:rtl w:val="0"/>
          <w:lang w:val="it-IT"/>
        </w:rPr>
        <w:t>Clevedon</w:t>
      </w:r>
      <w:r>
        <w:rPr>
          <w:rFonts w:ascii="Times New Roman" w:hAnsi="Times New Roman"/>
          <w:sz w:val="24"/>
          <w:szCs w:val="24"/>
          <w:rtl w:val="0"/>
          <w:lang w:val="en-US"/>
        </w:rPr>
        <w:t>.</w:t>
      </w:r>
      <w:r>
        <w:rPr>
          <w:rFonts w:ascii="Times New Roman" w:hAnsi="Times New Roman"/>
          <w:sz w:val="24"/>
          <w:szCs w:val="24"/>
          <w:rtl w:val="0"/>
          <w:lang w:val="it-IT"/>
        </w:rPr>
        <w:t xml:space="preserve"> Buffalo: Multilingual Matters.</w:t>
      </w:r>
    </w:p>
    <w:p>
      <w:pPr>
        <w:pStyle w:val="Body"/>
        <w:spacing w:line="360" w:lineRule="auto"/>
        <w:jc w:val="left"/>
        <w:rPr>
          <w:rFonts w:ascii="Times New Roman" w:cs="Times New Roman" w:hAnsi="Times New Roman" w:eastAsia="Times New Roman"/>
          <w:sz w:val="24"/>
          <w:szCs w:val="24"/>
          <w:u w:color="191919"/>
          <w:lang w:val="en-US"/>
        </w:rPr>
      </w:pPr>
    </w:p>
    <w:p>
      <w:pPr>
        <w:pStyle w:val="Body"/>
        <w:spacing w:line="360" w:lineRule="auto"/>
        <w:jc w:val="left"/>
        <w:rPr>
          <w:rFonts w:ascii="Times New Roman" w:cs="Times New Roman" w:hAnsi="Times New Roman" w:eastAsia="Times New Roman"/>
          <w:sz w:val="24"/>
          <w:szCs w:val="24"/>
          <w:u w:color="191919"/>
          <w:lang w:val="en-US"/>
        </w:rPr>
      </w:pPr>
      <w:r>
        <w:rPr>
          <w:rFonts w:ascii="Times New Roman" w:hAnsi="Times New Roman"/>
          <w:sz w:val="24"/>
          <w:szCs w:val="24"/>
          <w:u w:color="191919"/>
          <w:rtl w:val="0"/>
          <w:lang w:val="en-US"/>
        </w:rPr>
        <w:t>Bernardo, A.B.I. (1999). Overcoming obstacles to understanding and solving word problems in mathematics. Educational Psychology, 19, 149-163.</w:t>
      </w:r>
    </w:p>
    <w:p>
      <w:pPr>
        <w:pStyle w:val="Body"/>
        <w:spacing w:line="360" w:lineRule="auto"/>
        <w:jc w:val="left"/>
        <w:rPr>
          <w:rFonts w:ascii="Times New Roman" w:cs="Times New Roman" w:hAnsi="Times New Roman" w:eastAsia="Times New Roman"/>
          <w:sz w:val="24"/>
          <w:szCs w:val="24"/>
          <w:u w:color="191919"/>
          <w:lang w:val="en-US"/>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Bernardo, A.B.I. &amp; Gaerlan, M.J.M. (2011) Non-Native English Students Learning in English: Reviewing and Re</w:t>
      </w:r>
      <w:r>
        <w:rPr>
          <w:rFonts w:ascii="Times New Roman" w:hAnsi="Times New Roman" w:hint="default"/>
          <w:sz w:val="24"/>
          <w:szCs w:val="24"/>
          <w:rtl w:val="0"/>
          <w:lang w:val="en-US"/>
        </w:rPr>
        <w:t>ﬂ</w:t>
      </w:r>
      <w:r>
        <w:rPr>
          <w:rFonts w:ascii="Times New Roman" w:hAnsi="Times New Roman"/>
          <w:sz w:val="24"/>
          <w:szCs w:val="24"/>
          <w:rtl w:val="0"/>
          <w:lang w:val="en-US"/>
        </w:rPr>
        <w:t>ecting on the Research.</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Jaidey, R., Sadorra, M.L.C., Wong, J.O., Lee, M.C. &amp; Lorente, M.C. (eds.) Global perspectives, local initiatives: Reflections and practices in ELT.</w:t>
      </w:r>
      <w:r>
        <w:rPr>
          <w:rFonts w:ascii="Times New Roman" w:hAnsi="Times New Roman" w:hint="default"/>
          <w:sz w:val="24"/>
          <w:szCs w:val="24"/>
          <w:rtl w:val="0"/>
          <w:lang w:val="en-US"/>
        </w:rPr>
        <w:t xml:space="preserve">  </w:t>
      </w:r>
      <w:r>
        <w:rPr>
          <w:rFonts w:ascii="Times New Roman" w:hAnsi="Times New Roman"/>
          <w:sz w:val="24"/>
          <w:szCs w:val="24"/>
          <w:rtl w:val="0"/>
          <w:lang w:val="en-US"/>
        </w:rPr>
        <w:t>National University of Singapore, CELC, pp.1-9.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Bloomfield, L. (1933) Language . New York: Henry Holt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rPr>
        <w:t>Crystal, D.</w:t>
      </w:r>
      <w:r>
        <w:rPr>
          <w:rFonts w:ascii="Times New Roman" w:hAnsi="Times New Roman"/>
          <w:sz w:val="24"/>
          <w:szCs w:val="24"/>
          <w:rtl w:val="0"/>
          <w:lang w:val="en-US"/>
        </w:rPr>
        <w:t xml:space="preserve"> (2012)</w:t>
      </w:r>
      <w:r>
        <w:rPr>
          <w:rFonts w:ascii="Times New Roman" w:hAnsi="Times New Roman"/>
          <w:sz w:val="24"/>
          <w:szCs w:val="24"/>
          <w:rtl w:val="0"/>
          <w:lang w:val="en-US"/>
        </w:rPr>
        <w:t xml:space="preserve"> English as a Global Language 2nd ed., Cambridge u.a. : Stuttgart: Cambridge Univ. Press ; Klett.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Cummins, J. (1979) Cognitive/Academic Language Proficiency, Linguistic Interdependence, The Optimum Age Question and Some Other Matters.</w:t>
      </w:r>
    </w:p>
    <w:p>
      <w:pPr>
        <w:pStyle w:val="Body"/>
        <w:spacing w:line="360" w:lineRule="auto"/>
        <w:jc w:val="left"/>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Diebold, A. (1961). Incipient Bilingualism.</w:t>
      </w:r>
      <w:r>
        <w:rPr>
          <w:rFonts w:ascii="Times New Roman" w:hAnsi="Times New Roman" w:hint="default"/>
          <w:sz w:val="24"/>
          <w:szCs w:val="24"/>
          <w:shd w:val="clear" w:color="auto" w:fill="ffffff"/>
          <w:rtl w:val="0"/>
          <w:lang w:val="en-US"/>
          <w14:textOutline w14:w="0" w14:cap="flat">
            <w14:solidFill>
              <w14:srgbClr w14:val="000000"/>
            </w14:solidFill>
            <w14:prstDash w14:val="solid"/>
            <w14:miter w14:lim="400000"/>
          </w14:textOutline>
        </w:rPr>
        <w:t> </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Language, 37(1)</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Donaldson, G (2015) Successful Futures: An Independent Review of Curriculum and Assessment Arrangements in Wales. Crown Copyright 2015.</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 xml:space="preserve">Estyn. (2013) </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Welsh Language Development</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 xml:space="preserve"> </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in the Foundation Phase</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 Cardiff. Crown Copyright 2013</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da-DK"/>
        </w:rPr>
        <w:t>Firth, A. &amp; Wagner, J</w:t>
      </w:r>
      <w:r>
        <w:rPr>
          <w:rFonts w:ascii="Times New Roman" w:hAnsi="Times New Roman"/>
          <w:sz w:val="24"/>
          <w:szCs w:val="24"/>
          <w:rtl w:val="0"/>
          <w:lang w:val="en-US"/>
        </w:rPr>
        <w:t>. (</w:t>
      </w:r>
      <w:r>
        <w:rPr>
          <w:rFonts w:ascii="Times New Roman" w:hAnsi="Times New Roman"/>
          <w:sz w:val="24"/>
          <w:szCs w:val="24"/>
          <w:rtl w:val="0"/>
        </w:rPr>
        <w:t>2007</w:t>
      </w:r>
      <w:r>
        <w:rPr>
          <w:rFonts w:ascii="Times New Roman" w:hAnsi="Times New Roman"/>
          <w:sz w:val="24"/>
          <w:szCs w:val="24"/>
          <w:rtl w:val="0"/>
          <w:lang w:val="en-US"/>
        </w:rPr>
        <w:t>)</w:t>
      </w:r>
      <w:r>
        <w:rPr>
          <w:rFonts w:ascii="Times New Roman" w:hAnsi="Times New Roman"/>
          <w:sz w:val="24"/>
          <w:szCs w:val="24"/>
          <w:rtl w:val="0"/>
          <w:lang w:val="en-US"/>
        </w:rPr>
        <w:t xml:space="preserve"> On Discourse, Communication, and (Some) Fundamental Concepts in SLA Research. The Modern Language Journal, 91, pp.757</w:t>
      </w:r>
      <w:r>
        <w:rPr>
          <w:rFonts w:ascii="Times New Roman" w:hAnsi="Times New Roman" w:hint="default"/>
          <w:sz w:val="24"/>
          <w:szCs w:val="24"/>
          <w:rtl w:val="0"/>
        </w:rPr>
        <w:t>–</w:t>
      </w:r>
      <w:r>
        <w:rPr>
          <w:rFonts w:ascii="Times New Roman" w:hAnsi="Times New Roman"/>
          <w:sz w:val="24"/>
          <w:szCs w:val="24"/>
          <w:rtl w:val="0"/>
        </w:rPr>
        <w:t>772.</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Fought, C. (2004).</w:t>
      </w:r>
      <w:r>
        <w:rPr>
          <w:rFonts w:ascii="Times New Roman" w:hAnsi="Times New Roman" w:hint="default"/>
          <w:sz w:val="24"/>
          <w:szCs w:val="24"/>
          <w:rtl w:val="0"/>
          <w:lang w:val="en-US"/>
        </w:rPr>
        <w:t> </w:t>
      </w:r>
      <w:r>
        <w:rPr>
          <w:rFonts w:ascii="Times New Roman" w:hAnsi="Times New Roman"/>
          <w:sz w:val="24"/>
          <w:szCs w:val="24"/>
          <w:rtl w:val="0"/>
          <w:lang w:val="en-US"/>
        </w:rPr>
        <w:t>Sociolinguistic Variation: Critical Reflections. Oxford: Oxford University Press.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Gaerlan, M.J.M. (2009). Developing a</w:t>
      </w:r>
      <w:r>
        <w:rPr>
          <w:rFonts w:ascii="Times New Roman" w:hAnsi="Times New Roman"/>
          <w:sz w:val="24"/>
          <w:szCs w:val="24"/>
          <w:rtl w:val="0"/>
          <w:lang w:val="en-US"/>
        </w:rPr>
        <w:t xml:space="preserve"> M</w:t>
      </w:r>
      <w:r>
        <w:rPr>
          <w:rFonts w:ascii="Times New Roman" w:hAnsi="Times New Roman"/>
          <w:sz w:val="24"/>
          <w:szCs w:val="24"/>
          <w:rtl w:val="0"/>
          <w:lang w:val="en-US"/>
        </w:rPr>
        <w:t xml:space="preserve">odel of the </w:t>
      </w:r>
      <w:r>
        <w:rPr>
          <w:rFonts w:ascii="Times New Roman" w:hAnsi="Times New Roman"/>
          <w:sz w:val="24"/>
          <w:szCs w:val="24"/>
          <w:rtl w:val="0"/>
          <w:lang w:val="en-US"/>
        </w:rPr>
        <w:t>S</w:t>
      </w:r>
      <w:r>
        <w:rPr>
          <w:rFonts w:ascii="Times New Roman" w:hAnsi="Times New Roman"/>
          <w:sz w:val="24"/>
          <w:szCs w:val="24"/>
          <w:rtl w:val="0"/>
          <w:lang w:val="pt-PT"/>
        </w:rPr>
        <w:t xml:space="preserve">ocial </w:t>
      </w:r>
      <w:r>
        <w:rPr>
          <w:rFonts w:ascii="Times New Roman" w:hAnsi="Times New Roman"/>
          <w:sz w:val="24"/>
          <w:szCs w:val="24"/>
          <w:rtl w:val="0"/>
          <w:lang w:val="en-US"/>
        </w:rPr>
        <w:t>F</w:t>
      </w:r>
      <w:r>
        <w:rPr>
          <w:rFonts w:ascii="Times New Roman" w:hAnsi="Times New Roman"/>
          <w:sz w:val="24"/>
          <w:szCs w:val="24"/>
          <w:rtl w:val="0"/>
          <w:lang w:val="en-US"/>
        </w:rPr>
        <w:t xml:space="preserve">actors that </w:t>
      </w:r>
      <w:r>
        <w:rPr>
          <w:rFonts w:ascii="Times New Roman" w:hAnsi="Times New Roman"/>
          <w:sz w:val="24"/>
          <w:szCs w:val="24"/>
          <w:rtl w:val="0"/>
          <w:lang w:val="en-US"/>
        </w:rPr>
        <w:t>I</w:t>
      </w:r>
      <w:r>
        <w:rPr>
          <w:rFonts w:ascii="Times New Roman" w:hAnsi="Times New Roman"/>
          <w:sz w:val="24"/>
          <w:szCs w:val="24"/>
          <w:rtl w:val="0"/>
          <w:lang w:val="fr-FR"/>
        </w:rPr>
        <w:t xml:space="preserve">nfluence </w:t>
      </w:r>
      <w:r>
        <w:rPr>
          <w:rFonts w:ascii="Times New Roman" w:hAnsi="Times New Roman"/>
          <w:sz w:val="24"/>
          <w:szCs w:val="24"/>
          <w:rtl w:val="0"/>
          <w:lang w:val="en-US"/>
        </w:rPr>
        <w:t>Le</w:t>
      </w:r>
      <w:r>
        <w:rPr>
          <w:rFonts w:ascii="Times New Roman" w:hAnsi="Times New Roman"/>
          <w:sz w:val="24"/>
          <w:szCs w:val="24"/>
          <w:rtl w:val="0"/>
          <w:lang w:val="en-US"/>
        </w:rPr>
        <w:t xml:space="preserve">arning in L2 </w:t>
      </w:r>
      <w:r>
        <w:rPr>
          <w:rFonts w:ascii="Times New Roman" w:hAnsi="Times New Roman"/>
          <w:sz w:val="24"/>
          <w:szCs w:val="24"/>
          <w:rtl w:val="0"/>
          <w:lang w:val="en-US"/>
        </w:rPr>
        <w:t>U</w:t>
      </w:r>
      <w:r>
        <w:rPr>
          <w:rFonts w:ascii="Times New Roman" w:hAnsi="Times New Roman"/>
          <w:sz w:val="24"/>
          <w:szCs w:val="24"/>
          <w:rtl w:val="0"/>
          <w:lang w:val="en-US"/>
        </w:rPr>
        <w:t xml:space="preserve">sing the CQR </w:t>
      </w:r>
      <w:r>
        <w:rPr>
          <w:rFonts w:ascii="Times New Roman" w:hAnsi="Times New Roman"/>
          <w:sz w:val="24"/>
          <w:szCs w:val="24"/>
          <w:rtl w:val="0"/>
          <w:lang w:val="en-US"/>
        </w:rPr>
        <w:t>A</w:t>
      </w:r>
      <w:r>
        <w:rPr>
          <w:rFonts w:ascii="Times New Roman" w:hAnsi="Times New Roman"/>
          <w:sz w:val="24"/>
          <w:szCs w:val="24"/>
          <w:rtl w:val="0"/>
          <w:lang w:val="en-US"/>
        </w:rPr>
        <w:t xml:space="preserve">pproach.Unpublished </w:t>
      </w:r>
      <w:r>
        <w:rPr>
          <w:rFonts w:ascii="Times New Roman" w:hAnsi="Times New Roman"/>
          <w:sz w:val="24"/>
          <w:szCs w:val="24"/>
          <w:rtl w:val="0"/>
          <w:lang w:val="en-US"/>
        </w:rPr>
        <w:t>D</w:t>
      </w:r>
      <w:r>
        <w:rPr>
          <w:rFonts w:ascii="Times New Roman" w:hAnsi="Times New Roman"/>
          <w:sz w:val="24"/>
          <w:szCs w:val="24"/>
          <w:rtl w:val="0"/>
          <w:lang w:val="fr-FR"/>
        </w:rPr>
        <w:t xml:space="preserve">octoral </w:t>
      </w:r>
      <w:r>
        <w:rPr>
          <w:rFonts w:ascii="Times New Roman" w:hAnsi="Times New Roman"/>
          <w:sz w:val="24"/>
          <w:szCs w:val="24"/>
          <w:rtl w:val="0"/>
          <w:lang w:val="en-US"/>
        </w:rPr>
        <w:t>D</w:t>
      </w:r>
      <w:r>
        <w:rPr>
          <w:rFonts w:ascii="Times New Roman" w:hAnsi="Times New Roman"/>
          <w:sz w:val="24"/>
          <w:szCs w:val="24"/>
          <w:rtl w:val="0"/>
          <w:lang w:val="it-IT"/>
        </w:rPr>
        <w:t>issertation, De La Salle University, Manila, Philippines.</w:t>
      </w:r>
    </w:p>
    <w:p>
      <w:pPr>
        <w:pStyle w:val="Body"/>
        <w:spacing w:line="360" w:lineRule="auto"/>
        <w:jc w:val="left"/>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Garc</w:t>
      </w:r>
      <w:r>
        <w:rPr>
          <w:rFonts w:ascii="Times New Roman" w:hAnsi="Times New Roman" w:hint="default"/>
          <w:sz w:val="24"/>
          <w:szCs w:val="24"/>
          <w:rtl w:val="0"/>
          <w:lang w:val="en-US"/>
        </w:rPr>
        <w:t>í</w:t>
      </w:r>
      <w:r>
        <w:rPr>
          <w:rFonts w:ascii="Times New Roman" w:hAnsi="Times New Roman"/>
          <w:sz w:val="24"/>
          <w:szCs w:val="24"/>
          <w:rtl w:val="0"/>
          <w:lang w:val="en-US"/>
        </w:rPr>
        <w:t>a, O. (2009) Bilingual Education in the 21st Century. A Global Perspective. Malden, MA: Wiley-Blackwell.</w:t>
      </w:r>
    </w:p>
    <w:p>
      <w:pPr>
        <w:pStyle w:val="Default"/>
        <w:bidi w:val="0"/>
        <w:spacing w:line="360" w:lineRule="auto"/>
        <w:ind w:left="0" w:right="0" w:firstLine="0"/>
        <w:jc w:val="left"/>
        <w:rPr>
          <w:rFonts w:ascii="Times New Roman" w:cs="Times New Roman" w:hAnsi="Times New Roman" w:eastAsia="Times New Roman"/>
          <w:sz w:val="24"/>
          <w:szCs w:val="24"/>
          <w:rtl w:val="0"/>
        </w:rPr>
      </w:pP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Gathercole, V. C. M. (ed.) (2007) Language Transmission in Bilingual Families in Wales, Cardiff: Welsh Language Board. </w:t>
      </w:r>
    </w:p>
    <w:p>
      <w:pPr>
        <w:pStyle w:val="Default"/>
        <w:bidi w:val="0"/>
        <w:spacing w:line="360" w:lineRule="auto"/>
        <w:ind w:left="0" w:right="0" w:firstLine="0"/>
        <w:jc w:val="left"/>
        <w:rPr>
          <w:rFonts w:ascii="Times New Roman" w:cs="Times New Roman" w:hAnsi="Times New Roman" w:eastAsia="Times New Roman"/>
          <w:sz w:val="24"/>
          <w:szCs w:val="24"/>
          <w:rtl w:val="0"/>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Kramsch, C. (2002)</w:t>
      </w:r>
      <w:r>
        <w:rPr>
          <w:rFonts w:ascii="Times New Roman" w:hAnsi="Times New Roman" w:hint="default"/>
          <w:sz w:val="24"/>
          <w:szCs w:val="24"/>
          <w:rtl w:val="0"/>
          <w:lang w:val="en-US"/>
        </w:rPr>
        <w:t> </w:t>
      </w:r>
      <w:r>
        <w:rPr>
          <w:rFonts w:ascii="Times New Roman" w:hAnsi="Times New Roman"/>
          <w:sz w:val="24"/>
          <w:szCs w:val="24"/>
          <w:rtl w:val="0"/>
          <w:lang w:val="en-US"/>
        </w:rPr>
        <w:t>Language Acquisition and Language Socialization. London: Continuum.</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rPr>
        <w:t xml:space="preserve">Lai, M.-L. (2004). Medium of </w:t>
      </w:r>
      <w:r>
        <w:rPr>
          <w:rFonts w:ascii="Times New Roman" w:hAnsi="Times New Roman"/>
          <w:sz w:val="24"/>
          <w:szCs w:val="24"/>
          <w:rtl w:val="0"/>
          <w:lang w:val="en-US"/>
        </w:rPr>
        <w:t>I</w:t>
      </w:r>
      <w:r>
        <w:rPr>
          <w:rFonts w:ascii="Times New Roman" w:hAnsi="Times New Roman"/>
          <w:sz w:val="24"/>
          <w:szCs w:val="24"/>
          <w:rtl w:val="0"/>
          <w:lang w:val="fr-FR"/>
        </w:rPr>
        <w:t xml:space="preserve">nstruction, </w:t>
      </w:r>
      <w:r>
        <w:rPr>
          <w:rFonts w:ascii="Times New Roman" w:hAnsi="Times New Roman"/>
          <w:sz w:val="24"/>
          <w:szCs w:val="24"/>
          <w:rtl w:val="0"/>
          <w:lang w:val="en-US"/>
        </w:rPr>
        <w:t>I</w:t>
      </w:r>
      <w:r>
        <w:rPr>
          <w:rFonts w:ascii="Times New Roman" w:hAnsi="Times New Roman"/>
          <w:sz w:val="24"/>
          <w:szCs w:val="24"/>
          <w:rtl w:val="0"/>
          <w:lang w:val="en-US"/>
        </w:rPr>
        <w:t xml:space="preserve">dentity and </w:t>
      </w:r>
      <w:r>
        <w:rPr>
          <w:rFonts w:ascii="Times New Roman" w:hAnsi="Times New Roman"/>
          <w:sz w:val="24"/>
          <w:szCs w:val="24"/>
          <w:rtl w:val="0"/>
          <w:lang w:val="en-US"/>
        </w:rPr>
        <w:t>L</w:t>
      </w:r>
      <w:r>
        <w:rPr>
          <w:rFonts w:ascii="Times New Roman" w:hAnsi="Times New Roman"/>
          <w:sz w:val="24"/>
          <w:szCs w:val="24"/>
          <w:rtl w:val="0"/>
          <w:lang w:val="en-US"/>
        </w:rPr>
        <w:t xml:space="preserve">anguage </w:t>
      </w:r>
      <w:r>
        <w:rPr>
          <w:rFonts w:ascii="Times New Roman" w:hAnsi="Times New Roman"/>
          <w:sz w:val="24"/>
          <w:szCs w:val="24"/>
          <w:rtl w:val="0"/>
          <w:lang w:val="en-US"/>
        </w:rPr>
        <w:t>A</w:t>
      </w:r>
      <w:r>
        <w:rPr>
          <w:rFonts w:ascii="Times New Roman" w:hAnsi="Times New Roman"/>
          <w:sz w:val="24"/>
          <w:szCs w:val="24"/>
          <w:rtl w:val="0"/>
          <w:lang w:val="en-US"/>
        </w:rPr>
        <w:t xml:space="preserve">ttitudes in </w:t>
      </w:r>
      <w:r>
        <w:rPr>
          <w:rFonts w:ascii="Times New Roman" w:hAnsi="Times New Roman"/>
          <w:sz w:val="24"/>
          <w:szCs w:val="24"/>
          <w:rtl w:val="0"/>
          <w:lang w:val="en-US"/>
        </w:rPr>
        <w:t>P</w:t>
      </w:r>
      <w:r>
        <w:rPr>
          <w:rFonts w:ascii="Times New Roman" w:hAnsi="Times New Roman"/>
          <w:sz w:val="24"/>
          <w:szCs w:val="24"/>
          <w:rtl w:val="0"/>
          <w:lang w:val="en-US"/>
        </w:rPr>
        <w:t>ost-colonial Hong Kong. The Asia-PacificEducation Researcher, 13, 191-219.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Matsuda, A. (2012)</w:t>
      </w:r>
      <w:r>
        <w:rPr>
          <w:rFonts w:ascii="Times New Roman" w:hAnsi="Times New Roman" w:hint="default"/>
          <w:sz w:val="24"/>
          <w:szCs w:val="24"/>
          <w:rtl w:val="0"/>
          <w:lang w:val="en-US"/>
        </w:rPr>
        <w:t> </w:t>
      </w:r>
      <w:r>
        <w:rPr>
          <w:rFonts w:ascii="Times New Roman" w:hAnsi="Times New Roman"/>
          <w:sz w:val="24"/>
          <w:szCs w:val="24"/>
          <w:rtl w:val="0"/>
          <w:lang w:val="en-US"/>
        </w:rPr>
        <w:t>Principles and Practices of Teaching English as an International Language. Bristol: Multilingual Matters.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Pavlenko, A. (2011).</w:t>
      </w:r>
      <w:r>
        <w:rPr>
          <w:rFonts w:ascii="Times New Roman" w:hAnsi="Times New Roman" w:hint="default"/>
          <w:sz w:val="24"/>
          <w:szCs w:val="24"/>
          <w:rtl w:val="0"/>
          <w:lang w:val="en-US"/>
        </w:rPr>
        <w:t> </w:t>
      </w:r>
      <w:r>
        <w:rPr>
          <w:rFonts w:ascii="Times New Roman" w:hAnsi="Times New Roman"/>
          <w:sz w:val="24"/>
          <w:szCs w:val="24"/>
          <w:rtl w:val="0"/>
          <w:lang w:val="en-US"/>
        </w:rPr>
        <w:t>Thinking and speaking in two languages. Bristol: Multilingual Matters.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Phillipson, S.N. (2005). Using English as the </w:t>
      </w:r>
      <w:r>
        <w:rPr>
          <w:rFonts w:ascii="Times New Roman" w:hAnsi="Times New Roman"/>
          <w:sz w:val="24"/>
          <w:szCs w:val="24"/>
          <w:rtl w:val="0"/>
          <w:lang w:val="en-US"/>
        </w:rPr>
        <w:t>M</w:t>
      </w:r>
      <w:r>
        <w:rPr>
          <w:rFonts w:ascii="Times New Roman" w:hAnsi="Times New Roman"/>
          <w:sz w:val="24"/>
          <w:szCs w:val="24"/>
          <w:rtl w:val="0"/>
          <w:lang w:val="en-US"/>
        </w:rPr>
        <w:t xml:space="preserve">edium of </w:t>
      </w:r>
      <w:r>
        <w:rPr>
          <w:rFonts w:ascii="Times New Roman" w:hAnsi="Times New Roman"/>
          <w:sz w:val="24"/>
          <w:szCs w:val="24"/>
          <w:rtl w:val="0"/>
          <w:lang w:val="en-US"/>
        </w:rPr>
        <w:t>I</w:t>
      </w:r>
      <w:r>
        <w:rPr>
          <w:rFonts w:ascii="Times New Roman" w:hAnsi="Times New Roman"/>
          <w:sz w:val="24"/>
          <w:szCs w:val="24"/>
          <w:rtl w:val="0"/>
          <w:lang w:val="en-US"/>
        </w:rPr>
        <w:t xml:space="preserve">nstruction: The </w:t>
      </w:r>
      <w:r>
        <w:rPr>
          <w:rFonts w:ascii="Times New Roman" w:hAnsi="Times New Roman"/>
          <w:sz w:val="24"/>
          <w:szCs w:val="24"/>
          <w:rtl w:val="0"/>
          <w:lang w:val="en-US"/>
        </w:rPr>
        <w:t>E</w:t>
      </w:r>
      <w:r>
        <w:rPr>
          <w:rFonts w:ascii="Times New Roman" w:hAnsi="Times New Roman"/>
          <w:sz w:val="24"/>
          <w:szCs w:val="24"/>
          <w:rtl w:val="0"/>
          <w:lang w:val="en-US"/>
        </w:rPr>
        <w:t xml:space="preserve">xpectations and </w:t>
      </w:r>
      <w:r>
        <w:rPr>
          <w:rFonts w:ascii="Times New Roman" w:hAnsi="Times New Roman"/>
          <w:sz w:val="24"/>
          <w:szCs w:val="24"/>
          <w:rtl w:val="0"/>
          <w:lang w:val="en-US"/>
        </w:rPr>
        <w:t>D</w:t>
      </w:r>
      <w:r>
        <w:rPr>
          <w:rFonts w:ascii="Times New Roman" w:hAnsi="Times New Roman"/>
          <w:sz w:val="24"/>
          <w:szCs w:val="24"/>
          <w:rtl w:val="0"/>
          <w:lang w:val="fr-FR"/>
        </w:rPr>
        <w:t xml:space="preserve">ifficulties </w:t>
      </w:r>
      <w:r>
        <w:rPr>
          <w:rFonts w:ascii="Times New Roman" w:hAnsi="Times New Roman"/>
          <w:sz w:val="24"/>
          <w:szCs w:val="24"/>
          <w:rtl w:val="0"/>
          <w:lang w:val="en-US"/>
        </w:rPr>
        <w:t>F</w:t>
      </w:r>
      <w:r>
        <w:rPr>
          <w:rFonts w:ascii="Times New Roman" w:hAnsi="Times New Roman"/>
          <w:sz w:val="24"/>
          <w:szCs w:val="24"/>
          <w:rtl w:val="0"/>
          <w:lang w:val="en-US"/>
        </w:rPr>
        <w:t xml:space="preserve">aced by </w:t>
      </w:r>
      <w:r>
        <w:rPr>
          <w:rFonts w:ascii="Times New Roman" w:hAnsi="Times New Roman"/>
          <w:sz w:val="24"/>
          <w:szCs w:val="24"/>
          <w:rtl w:val="0"/>
          <w:lang w:val="en-US"/>
        </w:rPr>
        <w:t>T</w:t>
      </w:r>
      <w:r>
        <w:rPr>
          <w:rFonts w:ascii="Times New Roman" w:hAnsi="Times New Roman"/>
          <w:sz w:val="24"/>
          <w:szCs w:val="24"/>
          <w:rtl w:val="0"/>
        </w:rPr>
        <w:t>ertiary</w:t>
      </w:r>
      <w:r>
        <w:rPr>
          <w:rFonts w:ascii="Times New Roman" w:hAnsi="Times New Roman"/>
          <w:sz w:val="24"/>
          <w:szCs w:val="24"/>
          <w:rtl w:val="0"/>
          <w:lang w:val="en-US"/>
        </w:rPr>
        <w:t xml:space="preserve"> S</w:t>
      </w:r>
      <w:r>
        <w:rPr>
          <w:rFonts w:ascii="Times New Roman" w:hAnsi="Times New Roman"/>
          <w:sz w:val="24"/>
          <w:szCs w:val="24"/>
          <w:rtl w:val="0"/>
          <w:lang w:val="en-US"/>
        </w:rPr>
        <w:t xml:space="preserve">tudents in a </w:t>
      </w:r>
      <w:r>
        <w:rPr>
          <w:rFonts w:ascii="Times New Roman" w:hAnsi="Times New Roman"/>
          <w:sz w:val="24"/>
          <w:szCs w:val="24"/>
          <w:rtl w:val="0"/>
          <w:lang w:val="en-US"/>
        </w:rPr>
        <w:t>T</w:t>
      </w:r>
      <w:r>
        <w:rPr>
          <w:rFonts w:ascii="Times New Roman" w:hAnsi="Times New Roman"/>
          <w:sz w:val="24"/>
          <w:szCs w:val="24"/>
          <w:rtl w:val="0"/>
          <w:lang w:val="en-US"/>
        </w:rPr>
        <w:t xml:space="preserve">eacher </w:t>
      </w:r>
      <w:r>
        <w:rPr>
          <w:rFonts w:ascii="Times New Roman" w:hAnsi="Times New Roman"/>
          <w:sz w:val="24"/>
          <w:szCs w:val="24"/>
          <w:rtl w:val="0"/>
          <w:lang w:val="en-US"/>
        </w:rPr>
        <w:t>E</w:t>
      </w:r>
      <w:r>
        <w:rPr>
          <w:rFonts w:ascii="Times New Roman" w:hAnsi="Times New Roman"/>
          <w:sz w:val="24"/>
          <w:szCs w:val="24"/>
          <w:rtl w:val="0"/>
          <w:lang w:val="fr-FR"/>
        </w:rPr>
        <w:t xml:space="preserve">ducation </w:t>
      </w:r>
      <w:r>
        <w:rPr>
          <w:rFonts w:ascii="Times New Roman" w:hAnsi="Times New Roman"/>
          <w:sz w:val="24"/>
          <w:szCs w:val="24"/>
          <w:rtl w:val="0"/>
          <w:lang w:val="en-US"/>
        </w:rPr>
        <w:t>A</w:t>
      </w:r>
      <w:r>
        <w:rPr>
          <w:rFonts w:ascii="Times New Roman" w:hAnsi="Times New Roman"/>
          <w:sz w:val="24"/>
          <w:szCs w:val="24"/>
          <w:rtl w:val="0"/>
          <w:lang w:val="en-US"/>
        </w:rPr>
        <w:t>ward in Hong Kong. The Asia-Pacific Education Researcher, 14, 47-95.</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Saer, D.J., Hughes, J. &amp; Smith, F.</w:t>
      </w:r>
      <w:r>
        <w:rPr>
          <w:rFonts w:ascii="Times New Roman" w:hAnsi="Times New Roman"/>
          <w:sz w:val="24"/>
          <w:szCs w:val="24"/>
          <w:rtl w:val="0"/>
          <w:lang w:val="en-US"/>
        </w:rPr>
        <w:t xml:space="preserve"> (</w:t>
      </w:r>
      <w:r>
        <w:rPr>
          <w:rFonts w:ascii="Times New Roman" w:hAnsi="Times New Roman"/>
          <w:sz w:val="24"/>
          <w:szCs w:val="24"/>
          <w:rtl w:val="0"/>
        </w:rPr>
        <w:t>1924</w:t>
      </w:r>
      <w:r>
        <w:rPr>
          <w:rFonts w:ascii="Times New Roman" w:hAnsi="Times New Roman"/>
          <w:sz w:val="24"/>
          <w:szCs w:val="24"/>
          <w:rtl w:val="0"/>
          <w:lang w:val="en-US"/>
        </w:rPr>
        <w:t>)</w:t>
      </w:r>
      <w:r>
        <w:rPr>
          <w:rFonts w:ascii="Times New Roman" w:hAnsi="Times New Roman"/>
          <w:sz w:val="24"/>
          <w:szCs w:val="24"/>
          <w:rtl w:val="0"/>
          <w:lang w:val="en-US"/>
        </w:rPr>
        <w:t xml:space="preserve">. The </w:t>
      </w:r>
      <w:r>
        <w:rPr>
          <w:rFonts w:ascii="Times New Roman" w:hAnsi="Times New Roman"/>
          <w:sz w:val="24"/>
          <w:szCs w:val="24"/>
          <w:rtl w:val="0"/>
          <w:lang w:val="en-US"/>
        </w:rPr>
        <w:t>B</w:t>
      </w:r>
      <w:r>
        <w:rPr>
          <w:rFonts w:ascii="Times New Roman" w:hAnsi="Times New Roman"/>
          <w:sz w:val="24"/>
          <w:szCs w:val="24"/>
          <w:rtl w:val="0"/>
          <w:lang w:val="pt-PT"/>
        </w:rPr>
        <w:t xml:space="preserve">ilingual </w:t>
      </w:r>
      <w:r>
        <w:rPr>
          <w:rFonts w:ascii="Times New Roman" w:hAnsi="Times New Roman"/>
          <w:sz w:val="24"/>
          <w:szCs w:val="24"/>
          <w:rtl w:val="0"/>
          <w:lang w:val="en-US"/>
        </w:rPr>
        <w:t>P</w:t>
      </w:r>
      <w:r>
        <w:rPr>
          <w:rFonts w:ascii="Times New Roman" w:hAnsi="Times New Roman"/>
          <w:sz w:val="24"/>
          <w:szCs w:val="24"/>
          <w:rtl w:val="0"/>
          <w:lang w:val="fr-FR"/>
        </w:rPr>
        <w:t xml:space="preserve">roblem : </w:t>
      </w:r>
      <w:r>
        <w:rPr>
          <w:rFonts w:ascii="Times New Roman" w:hAnsi="Times New Roman"/>
          <w:sz w:val="24"/>
          <w:szCs w:val="24"/>
          <w:rtl w:val="0"/>
          <w:lang w:val="en-US"/>
        </w:rPr>
        <w:t>A</w:t>
      </w:r>
      <w:r>
        <w:rPr>
          <w:rFonts w:ascii="Times New Roman" w:hAnsi="Times New Roman"/>
          <w:sz w:val="24"/>
          <w:szCs w:val="24"/>
          <w:rtl w:val="0"/>
        </w:rPr>
        <w:t xml:space="preserve"> </w:t>
      </w:r>
      <w:r>
        <w:rPr>
          <w:rFonts w:ascii="Times New Roman" w:hAnsi="Times New Roman"/>
          <w:sz w:val="24"/>
          <w:szCs w:val="24"/>
          <w:rtl w:val="0"/>
          <w:lang w:val="en-US"/>
        </w:rPr>
        <w:t>S</w:t>
      </w:r>
      <w:r>
        <w:rPr>
          <w:rFonts w:ascii="Times New Roman" w:hAnsi="Times New Roman"/>
          <w:sz w:val="24"/>
          <w:szCs w:val="24"/>
          <w:rtl w:val="0"/>
          <w:lang w:val="en-US"/>
        </w:rPr>
        <w:t xml:space="preserve">tudy </w:t>
      </w:r>
      <w:r>
        <w:rPr>
          <w:rFonts w:ascii="Times New Roman" w:hAnsi="Times New Roman"/>
          <w:sz w:val="24"/>
          <w:szCs w:val="24"/>
          <w:rtl w:val="0"/>
          <w:lang w:val="en-US"/>
        </w:rPr>
        <w:t>B</w:t>
      </w:r>
      <w:r>
        <w:rPr>
          <w:rFonts w:ascii="Times New Roman" w:hAnsi="Times New Roman"/>
          <w:sz w:val="24"/>
          <w:szCs w:val="24"/>
          <w:rtl w:val="0"/>
          <w:lang w:val="en-US"/>
        </w:rPr>
        <w:t xml:space="preserve">ased </w:t>
      </w:r>
      <w:r>
        <w:rPr>
          <w:rFonts w:ascii="Times New Roman" w:hAnsi="Times New Roman"/>
          <w:sz w:val="24"/>
          <w:szCs w:val="24"/>
          <w:rtl w:val="0"/>
          <w:lang w:val="en-US"/>
        </w:rPr>
        <w:t>U</w:t>
      </w:r>
      <w:r>
        <w:rPr>
          <w:rFonts w:ascii="Times New Roman" w:hAnsi="Times New Roman"/>
          <w:sz w:val="24"/>
          <w:szCs w:val="24"/>
          <w:rtl w:val="0"/>
          <w:lang w:val="en-US"/>
        </w:rPr>
        <w:t xml:space="preserve">pon </w:t>
      </w:r>
      <w:r>
        <w:rPr>
          <w:rFonts w:ascii="Times New Roman" w:hAnsi="Times New Roman"/>
          <w:sz w:val="24"/>
          <w:szCs w:val="24"/>
          <w:rtl w:val="0"/>
          <w:lang w:val="en-US"/>
        </w:rPr>
        <w:t>E</w:t>
      </w:r>
      <w:r>
        <w:rPr>
          <w:rFonts w:ascii="Times New Roman" w:hAnsi="Times New Roman"/>
          <w:sz w:val="24"/>
          <w:szCs w:val="24"/>
          <w:rtl w:val="0"/>
          <w:lang w:val="en-US"/>
        </w:rPr>
        <w:t xml:space="preserve">xperiments and </w:t>
      </w:r>
      <w:r>
        <w:rPr>
          <w:rFonts w:ascii="Times New Roman" w:hAnsi="Times New Roman"/>
          <w:sz w:val="24"/>
          <w:szCs w:val="24"/>
          <w:rtl w:val="0"/>
          <w:lang w:val="en-US"/>
        </w:rPr>
        <w:t>O</w:t>
      </w:r>
      <w:r>
        <w:rPr>
          <w:rFonts w:ascii="Times New Roman" w:hAnsi="Times New Roman"/>
          <w:sz w:val="24"/>
          <w:szCs w:val="24"/>
          <w:rtl w:val="0"/>
          <w:lang w:val="en-US"/>
        </w:rPr>
        <w:t>bservations in Wales, Aberystwyth: University College of Wales</w:t>
      </w:r>
      <w:r>
        <w:rPr>
          <w:rFonts w:ascii="Times New Roman" w:hAnsi="Times New Roman"/>
          <w:sz w:val="24"/>
          <w:szCs w:val="24"/>
          <w:rtl w:val="0"/>
          <w:lang w:val="en-US"/>
        </w:rPr>
        <w: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Thiery, C. (1978). True Bilingualism and Second-language Learning in Gerver, D. &amp; Sinaiko,H. (Eds.), Language, Interpretation and Communication. New York: Plenum Press.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UNESCO (1953).</w:t>
      </w:r>
      <w:r>
        <w:rPr>
          <w:rFonts w:ascii="Times New Roman" w:hAnsi="Times New Roman" w:hint="default"/>
          <w:sz w:val="24"/>
          <w:szCs w:val="24"/>
          <w:rtl w:val="0"/>
          <w:lang w:val="en-US"/>
        </w:rPr>
        <w:t> </w:t>
      </w:r>
      <w:r>
        <w:rPr>
          <w:rFonts w:ascii="Times New Roman" w:hAnsi="Times New Roman"/>
          <w:sz w:val="24"/>
          <w:szCs w:val="24"/>
          <w:rtl w:val="0"/>
          <w:lang w:val="en-US"/>
        </w:rPr>
        <w:t>The Use of the Vernacular Languages in Education. Monographs on Foundations of Education, No. 8. Paris: UNESCO.</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rPr>
        <w:t>Valde</w:t>
      </w:r>
      <w:r>
        <w:rPr>
          <w:rFonts w:ascii="Times New Roman" w:hAnsi="Times New Roman" w:hint="default"/>
          <w:sz w:val="24"/>
          <w:szCs w:val="24"/>
          <w:rtl w:val="0"/>
        </w:rPr>
        <w:t>́</w:t>
      </w:r>
      <w:r>
        <w:rPr>
          <w:rFonts w:ascii="Times New Roman" w:hAnsi="Times New Roman"/>
          <w:sz w:val="24"/>
          <w:szCs w:val="24"/>
          <w:rtl w:val="0"/>
          <w:lang w:val="en-US"/>
        </w:rPr>
        <w:t xml:space="preserve">s, G., &amp; Figueroa, R. A. (1994). Bilingualism and testing: A </w:t>
      </w:r>
      <w:r>
        <w:rPr>
          <w:rFonts w:ascii="Times New Roman" w:hAnsi="Times New Roman"/>
          <w:sz w:val="24"/>
          <w:szCs w:val="24"/>
          <w:rtl w:val="0"/>
          <w:lang w:val="en-US"/>
        </w:rPr>
        <w:t>S</w:t>
      </w:r>
      <w:r>
        <w:rPr>
          <w:rFonts w:ascii="Times New Roman" w:hAnsi="Times New Roman"/>
          <w:sz w:val="24"/>
          <w:szCs w:val="24"/>
          <w:rtl w:val="0"/>
          <w:lang w:val="pt-PT"/>
        </w:rPr>
        <w:t xml:space="preserve">pecial </w:t>
      </w:r>
      <w:r>
        <w:rPr>
          <w:rFonts w:ascii="Times New Roman" w:hAnsi="Times New Roman"/>
          <w:sz w:val="24"/>
          <w:szCs w:val="24"/>
          <w:rtl w:val="0"/>
          <w:lang w:val="en-US"/>
        </w:rPr>
        <w:t>C</w:t>
      </w:r>
      <w:r>
        <w:rPr>
          <w:rFonts w:ascii="Times New Roman" w:hAnsi="Times New Roman"/>
          <w:sz w:val="24"/>
          <w:szCs w:val="24"/>
          <w:rtl w:val="0"/>
          <w:lang w:val="en-US"/>
        </w:rPr>
        <w:t xml:space="preserve">ase of </w:t>
      </w:r>
      <w:r>
        <w:rPr>
          <w:rFonts w:ascii="Times New Roman" w:hAnsi="Times New Roman"/>
          <w:sz w:val="24"/>
          <w:szCs w:val="24"/>
          <w:rtl w:val="0"/>
          <w:lang w:val="en-US"/>
        </w:rPr>
        <w:t>B</w:t>
      </w:r>
      <w:r>
        <w:rPr>
          <w:rFonts w:ascii="Times New Roman" w:hAnsi="Times New Roman"/>
          <w:sz w:val="24"/>
          <w:szCs w:val="24"/>
          <w:rtl w:val="0"/>
        </w:rPr>
        <w:t>ias. Norwood, NJ: Ablex.</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Welsh Government. (2015) Foundation Phase Framework. Cardiff. Crown Copyright 2015.</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(2015b) </w:t>
      </w:r>
      <w:r>
        <w:rPr>
          <w:rFonts w:ascii="Times New Roman" w:hAnsi="Times New Roman"/>
          <w:sz w:val="24"/>
          <w:szCs w:val="24"/>
          <w:rtl w:val="0"/>
          <w:lang w:val="en-US"/>
        </w:rPr>
        <w:t>Welsh language use in Wales, 2013-15</w:t>
      </w:r>
      <w:r>
        <w:rPr>
          <w:rFonts w:ascii="Times New Roman" w:hAnsi="Times New Roman"/>
          <w:sz w:val="24"/>
          <w:szCs w:val="24"/>
          <w:rtl w:val="0"/>
          <w:lang w:val="en-US"/>
        </w:rPr>
        <w:t>. Cardiff. Crown Copyright 2015.</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(2016) </w:t>
      </w:r>
      <w:r>
        <w:rPr>
          <w:rFonts w:ascii="Times New Roman" w:hAnsi="Times New Roman"/>
          <w:sz w:val="24"/>
          <w:szCs w:val="24"/>
          <w:rtl w:val="0"/>
          <w:lang w:val="en-US"/>
        </w:rPr>
        <w:t>Programme of Study for Welsh Key Stages 2</w:t>
      </w:r>
      <w:r>
        <w:rPr>
          <w:rFonts w:ascii="Times New Roman" w:hAnsi="Times New Roman" w:hint="default"/>
          <w:sz w:val="24"/>
          <w:szCs w:val="24"/>
          <w:rtl w:val="0"/>
        </w:rPr>
        <w:t>–</w:t>
      </w:r>
      <w:r>
        <w:rPr>
          <w:rFonts w:ascii="Times New Roman" w:hAnsi="Times New Roman"/>
          <w:sz w:val="24"/>
          <w:szCs w:val="24"/>
          <w:rtl w:val="0"/>
        </w:rPr>
        <w:t>4</w:t>
      </w:r>
      <w:r>
        <w:rPr>
          <w:rFonts w:ascii="Times New Roman" w:hAnsi="Times New Roman"/>
          <w:sz w:val="24"/>
          <w:szCs w:val="24"/>
          <w:rtl w:val="0"/>
          <w:lang w:val="en-US"/>
        </w:rPr>
        <w:t>. Cardiff. Crown Copyright 2016.</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(2017) </w:t>
      </w:r>
      <w:r>
        <w:rPr>
          <w:rFonts w:ascii="Times New Roman" w:hAnsi="Times New Roman"/>
          <w:sz w:val="24"/>
          <w:szCs w:val="24"/>
          <w:rtl w:val="0"/>
        </w:rPr>
        <w:t>Cymraeg 2050</w:t>
      </w:r>
      <w:r>
        <w:rPr>
          <w:rFonts w:ascii="Times New Roman" w:hAnsi="Times New Roman"/>
          <w:sz w:val="24"/>
          <w:szCs w:val="24"/>
          <w:rtl w:val="0"/>
          <w:lang w:val="en-US"/>
        </w:rPr>
        <w:t xml:space="preserve">: </w:t>
      </w:r>
      <w:r>
        <w:rPr>
          <w:rFonts w:ascii="Times New Roman" w:hAnsi="Times New Roman"/>
          <w:sz w:val="24"/>
          <w:szCs w:val="24"/>
          <w:rtl w:val="0"/>
          <w:lang w:val="pt-PT"/>
        </w:rPr>
        <w:t xml:space="preserve">A </w:t>
      </w:r>
      <w:r>
        <w:rPr>
          <w:rFonts w:ascii="Times New Roman" w:hAnsi="Times New Roman"/>
          <w:sz w:val="24"/>
          <w:szCs w:val="24"/>
          <w:rtl w:val="0"/>
          <w:lang w:val="en-US"/>
        </w:rPr>
        <w:t>M</w:t>
      </w:r>
      <w:r>
        <w:rPr>
          <w:rFonts w:ascii="Times New Roman" w:hAnsi="Times New Roman"/>
          <w:sz w:val="24"/>
          <w:szCs w:val="24"/>
          <w:rtl w:val="0"/>
          <w:lang w:val="en-US"/>
        </w:rPr>
        <w:t xml:space="preserve">illion Welsh </w:t>
      </w:r>
      <w:r>
        <w:rPr>
          <w:rFonts w:ascii="Times New Roman" w:hAnsi="Times New Roman"/>
          <w:sz w:val="24"/>
          <w:szCs w:val="24"/>
          <w:rtl w:val="0"/>
          <w:lang w:val="en-US"/>
        </w:rPr>
        <w:t>S</w:t>
      </w:r>
      <w:r>
        <w:rPr>
          <w:rFonts w:ascii="Times New Roman" w:hAnsi="Times New Roman"/>
          <w:sz w:val="24"/>
          <w:szCs w:val="24"/>
          <w:rtl w:val="0"/>
          <w:lang w:val="en-US"/>
        </w:rPr>
        <w:t>peakers</w:t>
      </w:r>
      <w:r>
        <w:rPr>
          <w:rFonts w:ascii="Times New Roman" w:hAnsi="Times New Roman"/>
          <w:sz w:val="24"/>
          <w:szCs w:val="24"/>
          <w:rtl w:val="0"/>
          <w:lang w:val="en-US"/>
        </w:rPr>
        <w:t>. Cardiff. Crown copyright 2017.</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pPr>
      <w:r>
        <w:rPr>
          <w:rFonts w:ascii="Times New Roman" w:hAnsi="Times New Roman"/>
          <w:sz w:val="24"/>
          <w:szCs w:val="24"/>
          <w:rtl w:val="0"/>
          <w:lang w:val="en-US"/>
        </w:rPr>
        <w:t>Welsh Government</w:t>
      </w:r>
      <w:r>
        <w:rPr>
          <w:rFonts w:ascii="Times New Roman" w:hAnsi="Times New Roman"/>
          <w:sz w:val="24"/>
          <w:szCs w:val="24"/>
          <w:rtl w:val="0"/>
          <w:lang w:val="en-US"/>
        </w:rPr>
        <w:t>.</w:t>
      </w:r>
      <w:r>
        <w:rPr>
          <w:rFonts w:ascii="Times New Roman" w:hAnsi="Times New Roman"/>
          <w:sz w:val="24"/>
          <w:szCs w:val="24"/>
          <w:rtl w:val="0"/>
          <w:lang w:val="en-US"/>
        </w:rPr>
        <w:t xml:space="preserve"> (2017b) Welsh Language Transmission and Usein Families. Research into conditions influencing Welsh language transmission and use in families, Cardiff. </w:t>
      </w:r>
      <w:r>
        <w:rPr>
          <w:rFonts w:ascii="Times New Roman" w:hAnsi="Times New Roman"/>
          <w:sz w:val="24"/>
          <w:szCs w:val="24"/>
          <w:rtl w:val="0"/>
          <w:lang w:val="en-US"/>
        </w:rPr>
        <w:t>Crown Copyright 2017.</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sz w:val="20"/>
        <w:szCs w:val="20"/>
      </w:rPr>
      <w:tab/>
    </w:r>
    <w:r>
      <w:rPr>
        <w:rFonts w:ascii="Times New Roman" w:cs="Times New Roman" w:hAnsi="Times New Roman" w:eastAsia="Times New Roman"/>
        <w:sz w:val="20"/>
        <w:szCs w:val="20"/>
      </w:rPr>
      <w:fldChar w:fldCharType="begin" w:fldLock="0"/>
    </w:r>
    <w:r>
      <w:rPr>
        <w:rFonts w:ascii="Times New Roman" w:cs="Times New Roman" w:hAnsi="Times New Roman" w:eastAsia="Times New Roman"/>
        <w:sz w:val="20"/>
        <w:szCs w:val="20"/>
      </w:rPr>
      <w:instrText xml:space="preserve"> PAGE </w:instrText>
    </w:r>
    <w:r>
      <w:rPr>
        <w:rFonts w:ascii="Times New Roman" w:cs="Times New Roman" w:hAnsi="Times New Roman" w:eastAsia="Times New Roman"/>
        <w:sz w:val="20"/>
        <w:szCs w:val="20"/>
      </w:rPr>
      <w:fldChar w:fldCharType="separate" w:fldLock="0"/>
    </w:r>
    <w:r>
      <w:rPr>
        <w:rFonts w:ascii="Times New Roman" w:cs="Times New Roman" w:hAnsi="Times New Roman" w:eastAsia="Times New Roman"/>
        <w:sz w:val="20"/>
        <w:szCs w:val="20"/>
      </w:rPr>
      <w:t>1</w:t>
    </w:r>
    <w:r>
      <w:rPr>
        <w:rFonts w:ascii="Times New Roman" w:cs="Times New Roman" w:hAnsi="Times New Roman" w:eastAsia="Times New Roman"/>
        <w:sz w:val="20"/>
        <w:szCs w:val="2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sz w:val="22"/>
        <w:szCs w:val="22"/>
        <w:rtl w:val="0"/>
        <w:lang w:val="en-US"/>
      </w:rPr>
      <w:t>Joseff Edwards</w:t>
    </w:r>
    <w:r>
      <w:rPr>
        <w:rFonts w:ascii="Times New Roman" w:cs="Times New Roman" w:hAnsi="Times New Roman" w:eastAsia="Times New Roman"/>
        <w:sz w:val="22"/>
        <w:szCs w:val="22"/>
      </w:rPr>
      <w:tab/>
      <w:tab/>
    </w:r>
    <w:r>
      <w:rPr>
        <w:rFonts w:ascii="Times New Roman" w:hAnsi="Times New Roman"/>
        <w:sz w:val="22"/>
        <w:szCs w:val="22"/>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