
<file path=[Content_Types].xml><?xml version="1.0" encoding="utf-8"?>
<Types xmlns="http://schemas.openxmlformats.org/package/2006/content-types">
  <Default Extension="xml" ContentType="application/xml"/>
  <Default Extension="jpg" ContentType="image/jpeg"/>
  <Default Extension="ttf" ContentType="application/x-font-ttf"/>
  <Default Extension="png" ContentType="image/png"/>
  <Default Extension="rels" ContentType="application/vnd.openxmlformats-package.relationships+xml"/>
  <Default Extension="jpeg" ContentType="image/jpeg"/>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customXML/item1.xml" ContentType="application/xml"/>
  <Override PartName="/word/footer1.xml" ContentType="application/vnd.openxmlformats-officedocument.wordprocessingml.footer+xml"/>
  <Override PartName="/customXML/itemProps1.xml" ContentType="application/vnd.openxmlformats-officedocument.customXmlProperties+xml"/>
  <Override PartName="/word/styles.xml" ContentType="application/vnd.openxmlformats-officedocument.wordprocessingml.styles+xml"/>
  <Override PartName="/docProps/core.xml" ContentType="application/vnd.openxmlformats-package.core-properties+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xmlns:wp14="http://schemas.microsoft.com/office/word/2010/wordprocessingDrawing" xmlns:wpi="http://schemas.microsoft.com/office/word/2010/wordprocessingInk" xmlns:aink="http://schemas.microsoft.com/office/drawing/2016/ink">
  <w:body>
    <w:p w14:paraId="00000001">
      <w:pPr>
        <w:jc w:val="center"/>
        <w:rPr>
          <w:b/>
          <w:sz w:val="36"/>
          <w:szCs w:val="36"/>
        </w:rPr>
      </w:pPr>
    </w:p>
    <w:p w14:paraId="00000002">
      <w:pPr>
        <w:jc w:val="center"/>
        <w:rPr>
          <w:b/>
          <w:sz w:val="36"/>
          <w:szCs w:val="36"/>
        </w:rPr>
      </w:pPr>
    </w:p>
    <w:p w14:paraId="00000003">
      <w:pPr>
        <w:jc w:val="center"/>
        <w:rPr>
          <w:b/>
          <w:sz w:val="36"/>
          <w:szCs w:val="36"/>
        </w:rPr>
      </w:pPr>
    </w:p>
    <w:p w14:paraId="00000004">
      <w:pPr>
        <w:jc w:val="left"/>
        <w:rPr>
          <w:b/>
          <w:sz w:val="40"/>
          <w:szCs w:val="40"/>
        </w:rPr>
      </w:pPr>
    </w:p>
    <w:p w14:paraId="00000005">
      <w:pPr>
        <w:jc w:val="center"/>
        <w:rPr>
          <w:b/>
          <w:sz w:val="40"/>
          <w:szCs w:val="40"/>
        </w:rPr>
      </w:pPr>
    </w:p>
    <w:p w14:paraId="00000006">
      <w:pPr>
        <w:spacing w:line="480" w:lineRule="auto"/>
        <w:jc w:val="center"/>
        <w:rPr>
          <w:b/>
          <w:sz w:val="40"/>
          <w:szCs w:val="40"/>
        </w:rPr>
      </w:pPr>
      <w:r>
        <w:rPr>
          <w:b/>
          <w:sz w:val="40"/>
          <w:szCs w:val="40"/>
        </w:rPr>
        <w:drawing xmlns:mc="http://schemas.openxmlformats.org/markup-compatibility/2006">
          <wp:inline distT="0" distB="0" distL="0" distR="0">
            <wp:extent cx="2352675" cy="809625"/>
            <wp:effectExtent l="0" t="0" r="0" b="0"/>
            <wp:docPr id="1971350787"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1350780" name="image6.png"/>
                    <pic:cNvPicPr preferRelativeResize="0"/>
                  </pic:nvPicPr>
                  <pic:blipFill>
                    <a:blip r:embed="rId25"/>
                    <a:srcRect/>
                    <a:stretch>
                      <a:fillRect/>
                    </a:stretch>
                  </pic:blipFill>
                  <pic:spPr>
                    <a:xfrm>
                      <a:off x="0" y="0"/>
                      <a:ext cx="2352675" cy="809625"/>
                    </a:xfrm>
                    <a:prstGeom prst="rect">
                      <a:avLst/>
                    </a:prstGeom>
                  </pic:spPr>
                </pic:pic>
              </a:graphicData>
            </a:graphic>
          </wp:inline>
        </w:drawing>
      </w:r>
    </w:p>
    <w:p w14:paraId="00000007">
      <w:pPr>
        <w:spacing w:line="480" w:lineRule="auto"/>
        <w:jc w:val="center"/>
        <w:rPr>
          <w:b/>
          <w:sz w:val="40"/>
          <w:szCs w:val="40"/>
        </w:rPr>
      </w:pPr>
      <w:r>
        <w:rPr>
          <w:b/>
          <w:sz w:val="40"/>
          <w:szCs w:val="40"/>
          <w:rtl w:val="off"/>
        </w:rPr>
        <w:t>LCLM6003: Leading and Implementing Change (LIC)</w:t>
      </w:r>
    </w:p>
    <w:p w14:paraId="00000008">
      <w:pPr>
        <w:spacing w:line="480" w:lineRule="auto"/>
        <w:jc w:val="center"/>
        <w:rPr>
          <w:b/>
          <w:sz w:val="32"/>
          <w:szCs w:val="32"/>
        </w:rPr>
      </w:pPr>
      <w:r>
        <w:rPr>
          <w:b/>
          <w:sz w:val="32"/>
          <w:szCs w:val="32"/>
          <w:rtl w:val="off"/>
        </w:rPr>
        <w:t>A Strategic Change Plan</w:t>
      </w:r>
    </w:p>
    <w:p w14:paraId="00000009">
      <w:pPr>
        <w:spacing w:line="480" w:lineRule="auto"/>
        <w:jc w:val="center"/>
        <w:rPr/>
      </w:pPr>
      <w:r>
        <w:rPr>
          <w:rtl w:val="off"/>
        </w:rPr>
        <w:t>Student Name:Livia Hirsova</w:t>
      </w:r>
    </w:p>
    <w:p w14:paraId="0000000A">
      <w:pPr>
        <w:spacing w:line="480" w:lineRule="auto"/>
        <w:jc w:val="center"/>
        <w:rPr/>
      </w:pPr>
      <w:r>
        <w:rPr>
          <w:rtl w:val="off"/>
        </w:rPr>
        <w:t>Student ID:2238099</w:t>
      </w:r>
    </w:p>
    <w:p w14:paraId="0000000B">
      <w:pPr>
        <w:jc w:val="center"/>
        <w:rPr>
          <w:b/>
          <w:sz w:val="36"/>
          <w:szCs w:val="36"/>
        </w:rPr>
      </w:pPr>
    </w:p>
    <w:p w14:paraId="0000000C">
      <w:pPr>
        <w:spacing w:after="160"/>
        <w:jc w:val="left"/>
        <w:rPr>
          <w:b/>
          <w:sz w:val="36"/>
          <w:szCs w:val="36"/>
        </w:rPr>
      </w:pPr>
      <w:r>
        <w:rPr/>
        <w:br w:type="page"/>
      </w:r>
    </w:p>
    <w:p w14:paraId="0000000D">
      <w:pPr>
        <w:jc w:val="center"/>
        <w:rPr>
          <w:b/>
        </w:rPr>
      </w:pPr>
      <w:r>
        <w:rPr>
          <w:b/>
          <w:rtl w:val="off"/>
        </w:rPr>
        <w:t>Executive Summary</w:t>
      </w:r>
    </w:p>
    <w:p w14:paraId="0000000E">
      <w:r>
        <w:rPr>
          <w:rtl w:val="off"/>
        </w:rPr>
        <w:t>Within this report, Morrison has been discussed as one of the UK's major supermarket chains, which examines the effects of internal and external factors such as its recent history and digital disruption, online shopping, and artificial intelligence. This has analysed the strategic response of the organisation using the change management model and evaluated the role of leadership styles and organisational culture in shaping the results. In addition, the report has developed a suitable change management plan, outlining objectives, financial ideas, communication strategies, and evaluation measures. Further, the report has displayed how effective leadership, cultural alignment, and a structured plan are required for long-term competition of Morrison.</w:t>
      </w:r>
    </w:p>
    <w:p w14:paraId="0000000F">
      <w:pPr>
        <w:spacing w:after="160"/>
        <w:jc w:val="left"/>
        <w:rPr/>
      </w:pPr>
      <w:r>
        <w:rPr/>
        <w:br w:type="page"/>
      </w:r>
    </w:p>
    <w:p w14:paraId="00000010">
      <w:pPr>
        <w:keepNext w:val="on"/>
        <w:keepLines w:val="on"/>
        <w:pageBreakBefore w:val="off"/>
        <w:widowControl w:val="on"/>
        <w:pBdr>
          <w:top w:val="nil" w:sz="4" w:space="0"/>
          <w:left w:val="nil" w:sz="4" w:space="0"/>
          <w:bottom w:val="nil" w:sz="4" w:space="0"/>
          <w:right w:val="nil" w:sz="4" w:space="0"/>
          <w:between w:val="nil" w:sz="4" w:space="0"/>
        </w:pBdr>
        <w:shd w:val="clear" w:fill="auto"/>
        <w:spacing w:before="240" w:after="0" w:line="360" w:lineRule="auto"/>
        <w:ind w:left="0" w:right="0" w:firstLine="0"/>
        <w:jc w:val="left"/>
        <w:rPr>
          <w:rFonts w:ascii="Play" w:cs="Play" w:eastAsia="Play" w:hAnsi="Play"/>
          <w:b w:val="off"/>
          <w:i w:val="off"/>
          <w:smallCaps w:val="off"/>
          <w:color w:val="0f4761"/>
          <w:sz w:val="32"/>
          <w:szCs w:val="32"/>
          <w:u w:val="none"/>
          <w:shd w:val="clear" w:fill="auto"/>
          <w:vertAlign w:val="baseline"/>
        </w:rPr>
      </w:pPr>
      <w:r>
        <w:rPr>
          <w:rFonts w:ascii="Play" w:cs="Play" w:eastAsia="Play" w:hAnsi="Play"/>
          <w:b w:val="off"/>
          <w:i w:val="off"/>
          <w:smallCaps w:val="off"/>
          <w:color w:val="0f4761"/>
          <w:sz w:val="32"/>
          <w:szCs w:val="32"/>
          <w:u w:val="none"/>
          <w:shd w:val="clear" w:fill="auto"/>
          <w:vertAlign w:val="baseline"/>
          <w:rtl w:val="off"/>
        </w:rPr>
        <w:t>Table of Contents</w:t>
      </w:r>
    </w:p>
    <w:p w14:paraId="00000011">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 TOC \h \u \z \t "Heading 1,1,Heading 2,2,Heading 3,3,Heading 4,4,Heading 5,5,Heading 6,6,"</w:instrText>
      </w:r>
      <w:r>
        <w:rPr>
          <w:b/>
          <w:color w:val="000000"/>
          <w:u w:val="none"/>
          <w:rtl w:val="off"/>
        </w:rPr>
        <w:fldChar w:fldCharType="separate"/>
      </w:r>
      <w:r>
        <w:rPr>
          <w:b/>
          <w:color w:val="000000"/>
          <w:u w:val="none"/>
          <w:rtl w:val="off"/>
        </w:rPr>
        <w:fldChar w:fldCharType="begin"/>
      </w:r>
      <w:r>
        <w:rPr>
          <w:b/>
          <w:color w:val="000000"/>
          <w:u w:val="none"/>
          <w:rtl w:val="off"/>
        </w:rPr>
        <w:instrText xml:space="preserve">HYPERLINK \l "_heading=" </w:instrText>
      </w:r>
      <w:r>
        <w:rPr>
          <w:b/>
          <w:color w:val="000000"/>
          <w:u w:val="none"/>
          <w:rtl w:val="off"/>
        </w:rPr>
        <w:fldChar w:fldCharType="separate"/>
      </w:r>
      <w:r>
        <w:rPr>
          <w:b/>
          <w:color w:val="000000"/>
          <w:u w:val="none"/>
          <w:rtl w:val="off"/>
        </w:rPr>
        <w:t>Introduction</w:t>
        <w:tab/>
      </w:r>
      <w:r>
        <w:rPr>
          <w:b/>
          <w:rtl w:val="off"/>
        </w:rPr>
        <w:fldChar w:fldCharType="end"/>
      </w:r>
      <w:r>
        <w:rPr>
          <w:b/>
          <w:rtl w:val="off"/>
        </w:rPr>
        <w:fldChar w:fldCharType="begin"/>
      </w:r>
      <w:r>
        <w:rPr>
          <w:b/>
          <w:rtl w:val="off"/>
        </w:rPr>
        <w:instrText xml:space="preserve"> PAGEREF _heading= \h </w:instrText>
      </w:r>
      <w:r>
        <w:rPr>
          <w:b/>
          <w:rtl w:val="off"/>
        </w:rPr>
        <w:fldChar w:fldCharType="separate"/>
      </w:r>
      <w:r>
        <w:rPr>
          <w:b/>
          <w:rtl w:val="off"/>
        </w:rPr>
        <w:t>4</w:t>
      </w:r>
      <w:r>
        <w:rPr>
          <w:b/>
          <w:color w:val="000000"/>
          <w:u w:val="none"/>
        </w:rPr>
        <w:fldChar w:fldCharType="end"/>
      </w:r>
    </w:p>
    <w:p w14:paraId="00000012">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"_heading=h.hfa1ook1tnl" </w:instrText>
      </w:r>
      <w:r>
        <w:rPr>
          <w:b/>
          <w:color w:val="000000"/>
          <w:u w:val="none"/>
          <w:rtl w:val="off"/>
        </w:rPr>
        <w:fldChar w:fldCharType="separate"/>
      </w:r>
      <w:r>
        <w:rPr>
          <w:b/>
          <w:color w:val="000000"/>
          <w:u w:val="none"/>
          <w:rtl w:val="off"/>
        </w:rPr>
        <w:t>Overview of the Organisation</w:t>
        <w:tab/>
      </w:r>
      <w:r>
        <w:rPr>
          <w:b/>
          <w:rtl w:val="off"/>
        </w:rPr>
        <w:fldChar w:fldCharType="end"/>
      </w:r>
      <w:r>
        <w:rPr>
          <w:b/>
          <w:rtl w:val="off"/>
        </w:rPr>
        <w:fldChar w:fldCharType="begin"/>
      </w:r>
      <w:r>
        <w:rPr>
          <w:b/>
          <w:rtl w:val="off"/>
        </w:rPr>
        <w:instrText xml:space="preserve"> PAGEREF _heading=h.hfa1ook1tnl \h </w:instrText>
      </w:r>
      <w:r>
        <w:rPr>
          <w:b/>
          <w:rtl w:val="off"/>
        </w:rPr>
        <w:fldChar w:fldCharType="separate"/>
      </w:r>
      <w:r>
        <w:rPr>
          <w:b/>
          <w:rtl w:val="off"/>
        </w:rPr>
        <w:t>5</w:t>
      </w:r>
      <w:r>
        <w:rPr>
          <w:b/>
          <w:color w:val="000000"/>
          <w:u w:val="none"/>
        </w:rPr>
        <w:fldChar w:fldCharType="end"/>
      </w:r>
    </w:p>
    <w:p w14:paraId="00000013">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"_heading=h.nrmfx7flqofi" </w:instrText>
      </w:r>
      <w:r>
        <w:rPr>
          <w:b/>
          <w:color w:val="000000"/>
          <w:u w:val="none"/>
          <w:rtl w:val="off"/>
        </w:rPr>
        <w:fldChar w:fldCharType="separate"/>
      </w:r>
      <w:r>
        <w:rPr>
          <w:b/>
          <w:color w:val="000000"/>
          <w:u w:val="none"/>
          <w:rtl w:val="off"/>
        </w:rPr>
        <w:t>Analyses the recent history of the organisation and explains how changes in the internal and external environment have impacted the company</w:t>
        <w:tab/>
      </w:r>
      <w:r>
        <w:rPr>
          <w:b/>
          <w:rtl w:val="off"/>
        </w:rPr>
        <w:fldChar w:fldCharType="end"/>
      </w:r>
      <w:r>
        <w:rPr>
          <w:b/>
          <w:rtl w:val="off"/>
        </w:rPr>
        <w:fldChar w:fldCharType="begin"/>
      </w:r>
      <w:r>
        <w:rPr>
          <w:b/>
          <w:rtl w:val="off"/>
        </w:rPr>
        <w:instrText xml:space="preserve"> PAGEREF _heading=h.nrmfx7flqofi \h </w:instrText>
      </w:r>
      <w:r>
        <w:rPr>
          <w:b/>
          <w:rtl w:val="off"/>
        </w:rPr>
        <w:fldChar w:fldCharType="separate"/>
      </w:r>
      <w:r>
        <w:rPr>
          <w:b/>
          <w:rtl w:val="off"/>
        </w:rPr>
        <w:t>6</w:t>
      </w:r>
      <w:r>
        <w:rPr>
          <w:b/>
          <w:color w:val="000000"/>
          <w:u w:val="none"/>
        </w:rPr>
        <w:fldChar w:fldCharType="end"/>
      </w:r>
    </w:p>
    <w:p w14:paraId="00000014">
      <w:pPr>
        <w:widowControl w:val="off"/>
        <w:tabs>
          <w:tab w:val="right" w:leader="dot" w:pos="9360"/>
        </w:tabs>
        <w:spacing w:before="60" w:line="360" w:lineRule="auto"/>
        <w:ind w:left="360" w:firstLine="0"/>
        <w:jc w:val="left"/>
        <w:rPr>
          <w:color w:val="000000"/>
          <w:u w:val="none"/>
        </w:rPr>
      </w:pPr>
      <w:r>
        <w:rPr>
          <w:color w:val="000000"/>
          <w:u w:val="none"/>
          <w:rtl w:val="off"/>
        </w:rPr>
        <w:fldChar w:fldCharType="begin"/>
      </w:r>
      <w:r>
        <w:rPr>
          <w:color w:val="000000"/>
          <w:u w:val="none"/>
          <w:rtl w:val="off"/>
        </w:rPr>
        <w:instrText xml:space="preserve">HYPERLINK \l "_heading=h.weikntdhdnbe" </w:instrText>
      </w:r>
      <w:r>
        <w:rPr>
          <w:color w:val="000000"/>
          <w:u w:val="none"/>
          <w:rtl w:val="off"/>
        </w:rPr>
        <w:fldChar w:fldCharType="separate"/>
      </w:r>
      <w:r>
        <w:rPr>
          <w:color w:val="000000"/>
          <w:u w:val="none"/>
          <w:rtl w:val="off"/>
        </w:rPr>
        <w:t>Analysis of Recent History and Environmental Impacts on Morrisons</w:t>
        <w:tab/>
      </w:r>
      <w:r>
        <w:rPr>
          <w:rtl w:val="off"/>
        </w:rPr>
        <w:fldChar w:fldCharType="end"/>
      </w:r>
      <w:r>
        <w:rPr>
          <w:rtl w:val="off"/>
        </w:rPr>
        <w:fldChar w:fldCharType="begin"/>
      </w:r>
      <w:r>
        <w:rPr>
          <w:rtl w:val="off"/>
        </w:rPr>
        <w:instrText xml:space="preserve"> PAGEREF _heading=h.weikntdhdnbe \h </w:instrText>
      </w:r>
      <w:r>
        <w:rPr>
          <w:rtl w:val="off"/>
        </w:rPr>
        <w:fldChar w:fldCharType="separate"/>
      </w:r>
      <w:r>
        <w:rPr>
          <w:rtl w:val="off"/>
        </w:rPr>
        <w:t>6</w:t>
      </w:r>
      <w:r>
        <w:rPr>
          <w:color w:val="000000"/>
          <w:u w:val="none"/>
        </w:rPr>
        <w:fldChar w:fldCharType="end"/>
      </w:r>
    </w:p>
    <w:p w14:paraId="00000015">
      <w:pPr>
        <w:widowControl w:val="off"/>
        <w:tabs>
          <w:tab w:val="right" w:leader="dot" w:pos="9360"/>
        </w:tabs>
        <w:spacing w:before="60" w:line="360" w:lineRule="auto"/>
        <w:ind w:left="360" w:firstLine="0"/>
        <w:jc w:val="left"/>
        <w:rPr>
          <w:color w:val="000000"/>
          <w:u w:val="none"/>
        </w:rPr>
      </w:pPr>
      <w:r>
        <w:rPr>
          <w:color w:val="000000"/>
          <w:u w:val="none"/>
          <w:rtl w:val="off"/>
        </w:rPr>
        <w:fldChar w:fldCharType="begin"/>
      </w:r>
      <w:r>
        <w:rPr>
          <w:color w:val="000000"/>
          <w:u w:val="none"/>
          <w:rtl w:val="off"/>
        </w:rPr>
        <w:instrText xml:space="preserve">HYPERLINK \l "_heading=h.urfnaa85y4x0" </w:instrText>
      </w:r>
      <w:r>
        <w:rPr>
          <w:color w:val="000000"/>
          <w:u w:val="none"/>
          <w:rtl w:val="off"/>
        </w:rPr>
        <w:fldChar w:fldCharType="separate"/>
      </w:r>
      <w:r>
        <w:rPr>
          <w:color w:val="000000"/>
          <w:u w:val="none"/>
          <w:rtl w:val="off"/>
        </w:rPr>
        <w:t>Internal Changes and Organisational Developments</w:t>
        <w:tab/>
      </w:r>
      <w:r>
        <w:rPr>
          <w:rtl w:val="off"/>
        </w:rPr>
        <w:fldChar w:fldCharType="end"/>
      </w:r>
      <w:r>
        <w:rPr>
          <w:rtl w:val="off"/>
        </w:rPr>
        <w:fldChar w:fldCharType="begin"/>
      </w:r>
      <w:r>
        <w:rPr>
          <w:rtl w:val="off"/>
        </w:rPr>
        <w:instrText xml:space="preserve"> PAGEREF _heading=h.urfnaa85y4x0 \h </w:instrText>
      </w:r>
      <w:r>
        <w:rPr>
          <w:rtl w:val="off"/>
        </w:rPr>
        <w:fldChar w:fldCharType="separate"/>
      </w:r>
      <w:r>
        <w:rPr>
          <w:rtl w:val="off"/>
        </w:rPr>
        <w:t>6</w:t>
      </w:r>
      <w:r>
        <w:rPr>
          <w:color w:val="000000"/>
          <w:u w:val="none"/>
        </w:rPr>
        <w:fldChar w:fldCharType="end"/>
      </w:r>
    </w:p>
    <w:p w14:paraId="00000016">
      <w:pPr>
        <w:widowControl w:val="off"/>
        <w:tabs>
          <w:tab w:val="right" w:leader="dot" w:pos="9360"/>
        </w:tabs>
        <w:spacing w:before="60" w:line="360" w:lineRule="auto"/>
        <w:ind w:left="360" w:firstLine="0"/>
        <w:jc w:val="left"/>
        <w:rPr>
          <w:color w:val="000000"/>
          <w:u w:val="none"/>
        </w:rPr>
      </w:pPr>
      <w:r>
        <w:rPr>
          <w:color w:val="000000"/>
          <w:u w:val="none"/>
          <w:rtl w:val="off"/>
        </w:rPr>
        <w:fldChar w:fldCharType="begin"/>
      </w:r>
      <w:r>
        <w:rPr>
          <w:color w:val="000000"/>
          <w:u w:val="none"/>
          <w:rtl w:val="off"/>
        </w:rPr>
        <w:instrText xml:space="preserve">HYPERLINK \l "_heading=h.8w5nw79gi4qb" </w:instrText>
      </w:r>
      <w:r>
        <w:rPr>
          <w:color w:val="000000"/>
          <w:u w:val="none"/>
          <w:rtl w:val="off"/>
        </w:rPr>
        <w:fldChar w:fldCharType="separate"/>
      </w:r>
      <w:r>
        <w:rPr>
          <w:color w:val="000000"/>
          <w:u w:val="none"/>
          <w:rtl w:val="off"/>
        </w:rPr>
        <w:t>External Environment Changes</w:t>
        <w:tab/>
      </w:r>
      <w:r>
        <w:rPr>
          <w:rtl w:val="off"/>
        </w:rPr>
        <w:fldChar w:fldCharType="end"/>
      </w:r>
      <w:r>
        <w:rPr>
          <w:rtl w:val="off"/>
        </w:rPr>
        <w:fldChar w:fldCharType="begin"/>
      </w:r>
      <w:r>
        <w:rPr>
          <w:rtl w:val="off"/>
        </w:rPr>
        <w:instrText xml:space="preserve"> PAGEREF _heading=h.8w5nw79gi4qb \h </w:instrText>
      </w:r>
      <w:r>
        <w:rPr>
          <w:rtl w:val="off"/>
        </w:rPr>
        <w:fldChar w:fldCharType="separate"/>
      </w:r>
      <w:r>
        <w:rPr>
          <w:rtl w:val="off"/>
        </w:rPr>
        <w:t>7</w:t>
      </w:r>
      <w:r>
        <w:rPr>
          <w:color w:val="000000"/>
          <w:u w:val="none"/>
        </w:rPr>
        <w:fldChar w:fldCharType="end"/>
      </w:r>
    </w:p>
    <w:p w14:paraId="00000017">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"_heading=h.jla96zq45zn" </w:instrText>
      </w:r>
      <w:r>
        <w:rPr>
          <w:b/>
          <w:color w:val="000000"/>
          <w:u w:val="none"/>
          <w:rtl w:val="off"/>
        </w:rPr>
        <w:fldChar w:fldCharType="separate"/>
      </w:r>
      <w:r>
        <w:rPr>
          <w:b/>
          <w:color w:val="000000"/>
          <w:u w:val="none"/>
          <w:rtl w:val="off"/>
        </w:rPr>
        <w:t>Evaluation of Change Management Models in Morrisons</w:t>
        <w:tab/>
      </w:r>
      <w:r>
        <w:rPr>
          <w:b/>
          <w:rtl w:val="off"/>
        </w:rPr>
        <w:fldChar w:fldCharType="end"/>
      </w:r>
      <w:r>
        <w:rPr>
          <w:b/>
          <w:rtl w:val="off"/>
        </w:rPr>
        <w:fldChar w:fldCharType="begin"/>
      </w:r>
      <w:r>
        <w:rPr>
          <w:b/>
          <w:rtl w:val="off"/>
        </w:rPr>
        <w:instrText xml:space="preserve"> PAGEREF _heading=h.jla96zq45zn \h </w:instrText>
      </w:r>
      <w:r>
        <w:rPr>
          <w:b/>
          <w:rtl w:val="off"/>
        </w:rPr>
        <w:fldChar w:fldCharType="separate"/>
      </w:r>
      <w:r>
        <w:rPr>
          <w:b/>
          <w:rtl w:val="off"/>
        </w:rPr>
        <w:t>9</w:t>
      </w:r>
      <w:r>
        <w:rPr>
          <w:b/>
          <w:color w:val="000000"/>
          <w:u w:val="none"/>
        </w:rPr>
        <w:fldChar w:fldCharType="end"/>
      </w:r>
    </w:p>
    <w:p w14:paraId="00000018">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"_heading=h.qfr32boqy3y3" </w:instrText>
      </w:r>
      <w:r>
        <w:rPr>
          <w:b/>
          <w:color w:val="000000"/>
          <w:u w:val="none"/>
          <w:rtl w:val="off"/>
        </w:rPr>
        <w:fldChar w:fldCharType="separate"/>
      </w:r>
      <w:r>
        <w:rPr>
          <w:b/>
          <w:color w:val="000000"/>
          <w:u w:val="none"/>
          <w:rtl w:val="off"/>
        </w:rPr>
        <w:t>The way the change was managed and how leadership played a role therein by applying a leadership style or approach</w:t>
        <w:tab/>
      </w:r>
      <w:r>
        <w:rPr>
          <w:b/>
          <w:rtl w:val="off"/>
        </w:rPr>
        <w:fldChar w:fldCharType="end"/>
      </w:r>
      <w:r>
        <w:rPr>
          <w:b/>
          <w:rtl w:val="off"/>
        </w:rPr>
        <w:fldChar w:fldCharType="begin"/>
      </w:r>
      <w:r>
        <w:rPr>
          <w:b/>
          <w:rtl w:val="off"/>
        </w:rPr>
        <w:instrText xml:space="preserve"> PAGEREF _heading=h.qfr32boqy3y3 \h </w:instrText>
      </w:r>
      <w:r>
        <w:rPr>
          <w:b/>
          <w:rtl w:val="off"/>
        </w:rPr>
        <w:fldChar w:fldCharType="separate"/>
      </w:r>
      <w:r>
        <w:rPr>
          <w:b/>
          <w:rtl w:val="off"/>
        </w:rPr>
        <w:t>12</w:t>
      </w:r>
      <w:r>
        <w:rPr>
          <w:b/>
          <w:color w:val="000000"/>
          <w:u w:val="none"/>
        </w:rPr>
        <w:fldChar w:fldCharType="end"/>
      </w:r>
    </w:p>
    <w:p w14:paraId="00000019">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"_heading=h.7s6q6gf0vq47" </w:instrText>
      </w:r>
      <w:r>
        <w:rPr>
          <w:b/>
          <w:color w:val="000000"/>
          <w:u w:val="none"/>
          <w:rtl w:val="off"/>
        </w:rPr>
        <w:fldChar w:fldCharType="separate"/>
      </w:r>
      <w:r>
        <w:rPr>
          <w:b/>
          <w:color w:val="000000"/>
          <w:u w:val="none"/>
          <w:rtl w:val="off"/>
        </w:rPr>
        <w:t>Evaluating the impact of organisational culture on the change management programme</w:t>
        <w:tab/>
      </w:r>
      <w:r>
        <w:rPr>
          <w:b/>
          <w:rtl w:val="off"/>
        </w:rPr>
        <w:fldChar w:fldCharType="end"/>
      </w:r>
      <w:r>
        <w:rPr>
          <w:b/>
          <w:rtl w:val="off"/>
        </w:rPr>
        <w:fldChar w:fldCharType="begin"/>
      </w:r>
      <w:r>
        <w:rPr>
          <w:b/>
          <w:rtl w:val="off"/>
        </w:rPr>
        <w:instrText xml:space="preserve"> PAGEREF _heading=h.7s6q6gf0vq47 \h </w:instrText>
      </w:r>
      <w:r>
        <w:rPr>
          <w:b/>
          <w:rtl w:val="off"/>
        </w:rPr>
        <w:fldChar w:fldCharType="separate"/>
      </w:r>
      <w:r>
        <w:rPr>
          <w:b/>
          <w:rtl w:val="off"/>
        </w:rPr>
        <w:t>14</w:t>
      </w:r>
      <w:r>
        <w:rPr>
          <w:b/>
          <w:color w:val="000000"/>
          <w:u w:val="none"/>
        </w:rPr>
        <w:fldChar w:fldCharType="end"/>
      </w:r>
    </w:p>
    <w:p w14:paraId="0000001A">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"_heading=h.3iby2zyileje" </w:instrText>
      </w:r>
      <w:r>
        <w:rPr>
          <w:b/>
          <w:color w:val="000000"/>
          <w:u w:val="none"/>
          <w:rtl w:val="off"/>
        </w:rPr>
        <w:fldChar w:fldCharType="separate"/>
      </w:r>
      <w:r>
        <w:rPr>
          <w:b/>
          <w:color w:val="000000"/>
          <w:u w:val="none"/>
          <w:rtl w:val="off"/>
        </w:rPr>
        <w:t>Developing a suitable change management plan for Morrisons</w:t>
        <w:tab/>
      </w:r>
      <w:r>
        <w:rPr>
          <w:b/>
          <w:rtl w:val="off"/>
        </w:rPr>
        <w:fldChar w:fldCharType="end"/>
      </w:r>
      <w:r>
        <w:rPr>
          <w:b/>
          <w:rtl w:val="off"/>
        </w:rPr>
        <w:fldChar w:fldCharType="begin"/>
      </w:r>
      <w:r>
        <w:rPr>
          <w:b/>
          <w:rtl w:val="off"/>
        </w:rPr>
        <w:instrText xml:space="preserve"> PAGEREF _heading=h.3iby2zyileje \h </w:instrText>
      </w:r>
      <w:r>
        <w:rPr>
          <w:b/>
          <w:rtl w:val="off"/>
        </w:rPr>
        <w:fldChar w:fldCharType="separate"/>
      </w:r>
      <w:r>
        <w:rPr>
          <w:b/>
          <w:rtl w:val="off"/>
        </w:rPr>
        <w:t>17</w:t>
      </w:r>
      <w:r>
        <w:rPr>
          <w:b/>
          <w:color w:val="000000"/>
          <w:u w:val="none"/>
        </w:rPr>
        <w:fldChar w:fldCharType="end"/>
      </w:r>
    </w:p>
    <w:p w14:paraId="0000001B">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"_heading=h.aloe2zoy7ep9" </w:instrText>
      </w:r>
      <w:r>
        <w:rPr>
          <w:b/>
          <w:color w:val="000000"/>
          <w:u w:val="none"/>
          <w:rtl w:val="off"/>
        </w:rPr>
        <w:fldChar w:fldCharType="separate"/>
      </w:r>
      <w:r>
        <w:rPr>
          <w:b/>
          <w:color w:val="000000"/>
          <w:u w:val="none"/>
          <w:rtl w:val="off"/>
        </w:rPr>
        <w:t>Conclusion</w:t>
        <w:tab/>
      </w:r>
      <w:r>
        <w:rPr>
          <w:b/>
          <w:rtl w:val="off"/>
        </w:rPr>
        <w:fldChar w:fldCharType="end"/>
      </w:r>
      <w:r>
        <w:rPr>
          <w:b/>
          <w:rtl w:val="off"/>
        </w:rPr>
        <w:fldChar w:fldCharType="begin"/>
      </w:r>
      <w:r>
        <w:rPr>
          <w:b/>
          <w:rtl w:val="off"/>
        </w:rPr>
        <w:instrText xml:space="preserve"> PAGEREF _heading=h.aloe2zoy7ep9 \h </w:instrText>
      </w:r>
      <w:r>
        <w:rPr>
          <w:b/>
          <w:rtl w:val="off"/>
        </w:rPr>
        <w:fldChar w:fldCharType="separate"/>
      </w:r>
      <w:r>
        <w:rPr>
          <w:b/>
          <w:rtl w:val="off"/>
        </w:rPr>
        <w:t>20</w:t>
      </w:r>
      <w:r>
        <w:rPr>
          <w:b/>
          <w:color w:val="000000"/>
          <w:u w:val="none"/>
        </w:rPr>
        <w:fldChar w:fldCharType="end"/>
      </w:r>
    </w:p>
    <w:p w14:paraId="0000001C">
      <w:pPr>
        <w:widowControl w:val="off"/>
        <w:tabs>
          <w:tab w:val="right" w:leader="dot" w:pos="9360"/>
        </w:tabs>
        <w:spacing w:before="60" w:line="360" w:lineRule="auto"/>
        <w:jc w:val="left"/>
        <w:rPr>
          <w:b/>
          <w:color w:val="000000"/>
          <w:u w:val="none"/>
        </w:rPr>
      </w:pPr>
      <w:r>
        <w:rPr>
          <w:b/>
          <w:color w:val="000000"/>
          <w:u w:val="none"/>
          <w:rtl w:val="off"/>
        </w:rPr>
        <w:fldChar w:fldCharType="begin"/>
      </w:r>
      <w:r>
        <w:rPr>
          <w:b/>
          <w:color w:val="000000"/>
          <w:u w:val="none"/>
          <w:rtl w:val="off"/>
        </w:rPr>
        <w:instrText xml:space="preserve">HYPERLINK \l "_heading=h.clvfkvy5k5wo" </w:instrText>
      </w:r>
      <w:r>
        <w:rPr>
          <w:b/>
          <w:color w:val="000000"/>
          <w:u w:val="none"/>
          <w:rtl w:val="off"/>
        </w:rPr>
        <w:fldChar w:fldCharType="separate"/>
      </w:r>
      <w:r>
        <w:rPr>
          <w:b/>
          <w:color w:val="000000"/>
          <w:u w:val="none"/>
          <w:rtl w:val="off"/>
        </w:rPr>
        <w:t>References</w:t>
        <w:tab/>
      </w:r>
      <w:r>
        <w:rPr>
          <w:b/>
          <w:rtl w:val="off"/>
        </w:rPr>
        <w:fldChar w:fldCharType="end"/>
      </w:r>
      <w:r>
        <w:rPr>
          <w:b/>
          <w:rtl w:val="off"/>
        </w:rPr>
        <w:fldChar w:fldCharType="begin"/>
      </w:r>
      <w:r>
        <w:rPr>
          <w:b/>
          <w:rtl w:val="off"/>
        </w:rPr>
        <w:instrText xml:space="preserve"> PAGEREF _heading=h.clvfkvy5k5wo \h </w:instrText>
      </w:r>
      <w:r>
        <w:rPr>
          <w:b/>
          <w:rtl w:val="off"/>
        </w:rPr>
        <w:fldChar w:fldCharType="separate"/>
      </w:r>
      <w:r>
        <w:rPr>
          <w:b/>
          <w:rtl w:val="off"/>
        </w:rPr>
        <w:t>21</w:t>
      </w:r>
      <w:r>
        <w:rPr>
          <w:b/>
          <w:color w:val="000000"/>
          <w:u w:val="none"/>
        </w:rPr>
        <w:fldChar w:fldCharType="end"/>
      </w:r>
      <w:r>
        <w:rPr>
          <w:b/>
          <w:color w:val="000000"/>
          <w:u w:val="none"/>
        </w:rPr>
        <w:fldChar w:fldCharType="end"/>
      </w:r>
    </w:p>
    <w:p w14:paraId="0000001D">
      <w:pPr>
        <w:keepNext w:val="on"/>
        <w:keepLines w:val="on"/>
        <w:pageBreakBefore w:val="off"/>
        <w:widowControl w:val="on"/>
        <w:pBdr>
          <w:top w:val="nil" w:sz="4" w:space="0"/>
          <w:left w:val="nil" w:sz="4" w:space="0"/>
          <w:bottom w:val="nil" w:sz="4" w:space="0"/>
          <w:right w:val="nil" w:sz="4" w:space="0"/>
          <w:between w:val="nil" w:sz="4" w:space="0"/>
        </w:pBdr>
        <w:shd w:val="clear" w:fill="auto"/>
        <w:spacing w:before="240" w:after="0" w:line="360" w:lineRule="auto"/>
        <w:ind w:left="0" w:right="0" w:firstLine="0"/>
        <w:jc w:val="left"/>
        <w:rPr>
          <w:rFonts w:ascii="Play" w:cs="Play" w:eastAsia="Play" w:hAnsi="Play"/>
          <w:color w:val="0f4761"/>
          <w:sz w:val="32"/>
          <w:szCs w:val="32"/>
        </w:rPr>
      </w:pPr>
    </w:p>
    <w:p w14:paraId="0000001E">
      <w:pPr>
        <w:jc w:val="left"/>
        <w:rPr/>
      </w:pPr>
    </w:p>
    <w:p w14:paraId="0000001F">
      <w:pPr>
        <w:spacing w:after="160" w:line="278" w:lineRule="auto"/>
        <w:jc w:val="left"/>
        <w:rPr>
          <w:b/>
          <w:sz w:val="28"/>
          <w:szCs w:val="28"/>
        </w:rPr>
      </w:pPr>
      <w:bookmarkStart w:id="0" w:name="_heading=h.o875u87gs2hf"/>
      <w:bookmarkEnd w:id="0"/>
      <w:r>
        <w:rPr/>
        <w:br w:type="page"/>
      </w:r>
    </w:p>
    <w:p w14:paraId="00000020">
      <w:pPr>
        <w:pStyle w:val="Heading1"/>
        <w:rPr/>
      </w:pPr>
      <w:r>
        <w:rPr>
          <w:rtl w:val="off"/>
        </w:rPr>
        <w:t>Introduction</w:t>
      </w:r>
    </w:p>
    <w:p w14:paraId="00000021">
      <w:r>
        <w:rPr>
          <w:rtl w:val="off"/>
        </w:rPr>
        <w:t xml:space="preserve">The </w:t>
      </w:r>
      <w:r>
        <w:rPr>
          <w:rtl w:val="off"/>
        </w:rPr>
        <w:t>largest grocery store in the UK is Morrison's. It was formed in 1899 and has its main office in Bradford. The company has more than 500 shops across the country and is known for its vertically integrated supply chain, which ensures quality and low costs. But in the last few years, Morrison has had a lot of problems due to digital disruption, changing customer tastes and more competition from online and discount stores. The following report will discuss Morrison's strategic change management plan. This environment will study trigger, leadership and culture, and it will also suggest a complete outline for long-lasting changes.</w:t>
      </w:r>
    </w:p>
    <w:p w14:paraId="00000022"/>
    <w:p w14:paraId="00000023">
      <w:pPr>
        <w:jc w:val="left"/>
        <w:rPr/>
      </w:pPr>
    </w:p>
    <w:p w14:paraId="00000024">
      <w:pPr>
        <w:jc w:val="left"/>
        <w:rPr/>
      </w:pPr>
      <w:r>
        <w:rPr/>
        <w:br w:type="page"/>
      </w:r>
    </w:p>
    <w:p w14:paraId="00000025">
      <w:pPr>
        <w:pStyle w:val="Heading1"/>
        <w:rPr/>
      </w:pPr>
      <w:bookmarkStart w:id="1" w:name="_heading=h.hfa1ook1tnl"/>
      <w:bookmarkEnd w:id="1"/>
      <w:r>
        <w:rPr>
          <w:rtl w:val="off"/>
        </w:rPr>
        <w:t>O</w:t>
      </w:r>
      <w:r>
        <w:rPr>
          <w:rtl w:val="off"/>
        </w:rPr>
        <w:t>verview of the Organisation</w:t>
      </w:r>
    </w:p>
    <w:p w14:paraId="00000026">
      <w:r>
        <w:rPr>
          <w:rtl w:val="off"/>
        </w:rPr>
        <w:t xml:space="preserve">William Morrison founded WM Morrison Supermarkets Limited, which was also known as Morrisons, in 1899 in Bradford, West Yorkshire. It is one of the top supermarket chains in the United Kingdom (Morrisons, 2025). The company has expanded from a single booth in a market to more than 500 locations across the country and a workforce of some 110,000 people over more than a century. </w:t>
      </w:r>
    </w:p>
    <w:p w14:paraId="00000027">
      <w:r>
        <w:rPr/>
        <w:drawing xmlns:mc="http://schemas.openxmlformats.org/markup-compatibility/2006">
          <wp:inline distT="0" distB="0" distL="0" distR="0">
            <wp:extent cx="5943600" cy="3122295"/>
            <wp:effectExtent l="0" t="0" r="0" b="0"/>
            <wp:docPr id="1971350788" name="image2.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1350781" name="image2.jpg"/>
                    <pic:cNvPicPr preferRelativeResize="0"/>
                  </pic:nvPicPr>
                  <pic:blipFill>
                    <a:blip r:embed="rId26"/>
                    <a:srcRect/>
                    <a:stretch>
                      <a:fillRect/>
                    </a:stretch>
                  </pic:blipFill>
                  <pic:spPr>
                    <a:xfrm>
                      <a:off x="0" y="0"/>
                      <a:ext cx="5943600" cy="3122295"/>
                    </a:xfrm>
                    <a:prstGeom prst="rect">
                      <a:avLst/>
                    </a:prstGeom>
                  </pic:spPr>
                </pic:pic>
              </a:graphicData>
            </a:graphic>
          </wp:inline>
        </w:drawing>
      </w:r>
    </w:p>
    <w:p w14:paraId="00000028">
      <w:pPr>
        <w:jc w:val="center"/>
        <w:rPr>
          <w:b/>
        </w:rPr>
      </w:pPr>
      <w:r>
        <w:rPr>
          <w:b/>
          <w:rtl w:val="off"/>
        </w:rPr>
        <w:t>Figure: Morrisons</w:t>
      </w:r>
    </w:p>
    <w:p w14:paraId="00000029">
      <w:pPr>
        <w:jc w:val="center"/>
        <w:rPr>
          <w:b/>
        </w:rPr>
      </w:pPr>
      <w:r>
        <w:rPr>
          <w:b/>
          <w:rtl w:val="off"/>
        </w:rPr>
        <w:t>Source:</w:t>
      </w:r>
      <w:r>
        <w:rPr>
          <w:rtl w:val="off"/>
        </w:rPr>
        <w:t xml:space="preserve"> (Morrisons, 2025)</w:t>
      </w:r>
    </w:p>
    <w:p w14:paraId="0000002A">
      <w:r>
        <w:rPr>
          <w:rtl w:val="off"/>
        </w:rPr>
        <w:t>Morrison is known for its vertically integrated supply chain, which allows it to reduce prices and keep the product quality good. The company owns a lot of its processing, manufacturing and distribution facilities. The company aims to meet its customers' various requirements by providing grocery, fresh food and a wide choice of domestic products.</w:t>
      </w:r>
    </w:p>
    <w:p w14:paraId="0000002B">
      <w:pPr>
        <w:pStyle w:val="Heading1"/>
        <w:rPr/>
      </w:pPr>
      <w:bookmarkStart w:id="2" w:name="_heading=h.chx69umytjuc"/>
      <w:bookmarkEnd w:id="2"/>
      <w:r>
        <w:rPr/>
        <w:br w:type="page"/>
      </w:r>
    </w:p>
    <w:p w14:paraId="0000002C">
      <w:pPr>
        <w:pStyle w:val="Heading1"/>
        <w:rPr/>
      </w:pPr>
      <w:bookmarkStart w:id="3" w:name="_heading=h.nrmfx7flqofi"/>
      <w:bookmarkEnd w:id="3"/>
      <w:r>
        <w:rPr>
          <w:rtl w:val="off"/>
        </w:rPr>
        <w:t>A</w:t>
      </w:r>
      <w:r>
        <w:rPr>
          <w:rtl w:val="off"/>
        </w:rPr>
        <w:t>nalyses the recent history of the organisation and explains how changes in the internal and external environment have impacted the company</w:t>
      </w:r>
    </w:p>
    <w:p w14:paraId="0000002D">
      <w:pPr>
        <w:pStyle w:val="Heading2"/>
        <w:rPr/>
      </w:pPr>
      <w:bookmarkStart w:id="4" w:name="_heading=h.weikntdhdnbe"/>
      <w:bookmarkEnd w:id="4"/>
      <w:r>
        <w:rPr>
          <w:rtl w:val="off"/>
        </w:rPr>
        <w:t>A</w:t>
      </w:r>
      <w:r>
        <w:rPr>
          <w:rtl w:val="off"/>
        </w:rPr>
        <w:t>nalysis of Recent History and Environmental Impacts on Morrisons</w:t>
      </w:r>
    </w:p>
    <w:p w14:paraId="0000002E">
      <w:r>
        <w:rPr>
          <w:rtl w:val="off"/>
        </w:rPr>
        <w:t xml:space="preserve">Morrisons, a leading supermarket chain in the United Kingdom, has faced significant modifications in its operational and strategic environment in the last decade (Parnell </w:t>
      </w:r>
      <w:r>
        <w:rPr>
          <w:i/>
          <w:rtl w:val="off"/>
        </w:rPr>
        <w:t>et al.,</w:t>
      </w:r>
      <w:r>
        <w:rPr>
          <w:rtl w:val="off"/>
        </w:rPr>
        <w:t xml:space="preserve"> 2022). The organisation historically depends on a vertically integrated supply chain that incorporates in-house manufacturing, processing and distribution as well as a strong physical store presence. Morrisons was able to keep operational control, competitive pricing and high-quality products as a result of this strategy. Nevertheless, the company has faced adequate challenges as a result of changes in both internal and external environments, including the expansion of online purchases, the rise of Artificial Intelligence (AI) and the development of consumer expectations.</w:t>
      </w:r>
    </w:p>
    <w:p w14:paraId="0000002F">
      <w:pPr>
        <w:pStyle w:val="Heading2"/>
        <w:rPr/>
      </w:pPr>
      <w:bookmarkStart w:id="5" w:name="_heading=h.urfnaa85y4x0"/>
      <w:bookmarkEnd w:id="5"/>
      <w:r>
        <w:rPr>
          <w:rtl w:val="off"/>
        </w:rPr>
        <w:t>I</w:t>
      </w:r>
      <w:r>
        <w:rPr>
          <w:rtl w:val="off"/>
        </w:rPr>
        <w:t>nternal Changes and Organisational Developments</w:t>
      </w:r>
    </w:p>
    <w:p w14:paraId="00000030">
      <w:r>
        <w:rPr>
          <w:rtl w:val="off"/>
        </w:rPr>
        <w:t xml:space="preserve">Morrisons has gone through major changes from the inside, especially in terms of ownership and management. A private equity company from the United States, called Clayton, Dubilier and Rice (CD &amp; R), bought Morrisons for £ 7 billion in 2021 (Hagger </w:t>
      </w:r>
      <w:r>
        <w:rPr>
          <w:i/>
          <w:rtl w:val="off"/>
        </w:rPr>
        <w:t>et al.,</w:t>
      </w:r>
      <w:r>
        <w:rPr>
          <w:rtl w:val="off"/>
        </w:rPr>
        <w:t xml:space="preserve"> 2022). The goal of this acquisition was to bring new money, to streamline processes and update the business. But this change also caused problems within the company's culture as employees got used to new management methods focusing on speed and profit, which were different from the traditional culture of Morrisons, which focused on family and employees.</w:t>
      </w:r>
    </w:p>
    <w:p w14:paraId="00000031">
      <w:pPr>
        <w:jc w:val="center"/>
        <w:rPr/>
      </w:pPr>
      <w:r>
        <w:rPr/>
        <w:drawing xmlns:mc="http://schemas.openxmlformats.org/markup-compatibility/2006">
          <wp:inline distT="0" distB="0" distL="0" distR="0">
            <wp:extent cx="5943600" cy="2910840"/>
            <wp:effectExtent l="0" t="0" r="0" b="0"/>
            <wp:docPr id="1971350789" name="image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1350782" name="image3.jpg"/>
                    <pic:cNvPicPr preferRelativeResize="0"/>
                  </pic:nvPicPr>
                  <pic:blipFill>
                    <a:blip r:embed="rId27"/>
                    <a:srcRect/>
                    <a:stretch>
                      <a:fillRect/>
                    </a:stretch>
                  </pic:blipFill>
                  <pic:spPr>
                    <a:xfrm>
                      <a:off x="0" y="0"/>
                      <a:ext cx="5943600" cy="2910840"/>
                    </a:xfrm>
                    <a:prstGeom prst="rect">
                      <a:avLst/>
                    </a:prstGeom>
                  </pic:spPr>
                </pic:pic>
              </a:graphicData>
            </a:graphic>
          </wp:inline>
        </w:drawing>
      </w:r>
    </w:p>
    <w:p w14:paraId="00000032">
      <w:pPr>
        <w:jc w:val="center"/>
        <w:rPr>
          <w:b/>
        </w:rPr>
      </w:pPr>
      <w:r>
        <w:rPr>
          <w:b/>
          <w:rtl w:val="off"/>
        </w:rPr>
        <w:t>Figure: Internal changes and development in Morrisons</w:t>
      </w:r>
    </w:p>
    <w:p w14:paraId="00000033">
      <w:pPr>
        <w:jc w:val="center"/>
        <w:rPr>
          <w:b/>
        </w:rPr>
      </w:pPr>
      <w:r>
        <w:rPr>
          <w:b/>
          <w:rtl w:val="off"/>
        </w:rPr>
        <w:t>Source:</w:t>
      </w:r>
      <w:r>
        <w:rPr>
          <w:rtl w:val="off"/>
        </w:rPr>
        <w:t xml:space="preserve"> (Parnell, 2022)</w:t>
      </w:r>
    </w:p>
    <w:p w14:paraId="00000034">
      <w:r>
        <w:rPr>
          <w:rtl w:val="off"/>
        </w:rPr>
        <w:t xml:space="preserve">Morrisons has tried to update its business by integrating digital and integrated technology. The company invested money in its relationship with Ocado to improve its online delivery services. Now, customers can order grocery items to their homes. Before the partnership, Morrisons did not have an online footprint like contestants such as Tesco and Sainsbury (Hagger </w:t>
      </w:r>
      <w:r>
        <w:rPr>
          <w:i/>
          <w:rtl w:val="off"/>
        </w:rPr>
        <w:t>et al.,</w:t>
      </w:r>
      <w:r>
        <w:rPr>
          <w:rtl w:val="off"/>
        </w:rPr>
        <w:t xml:space="preserve"> 2022). This was a major step towards dealing with digital disruption. Adding new technology meant that the workers had to withdraw, and the logistics had to be reorganised. This shows how important management is for an organisation.</w:t>
      </w:r>
    </w:p>
    <w:p w14:paraId="00000035">
      <w:pPr>
        <w:pStyle w:val="Heading2"/>
        <w:rPr/>
      </w:pPr>
      <w:bookmarkStart w:id="6" w:name="_heading=h.8w5nw79gi4qb"/>
      <w:bookmarkEnd w:id="6"/>
      <w:r>
        <w:rPr>
          <w:rtl w:val="off"/>
        </w:rPr>
        <w:t>E</w:t>
      </w:r>
      <w:r>
        <w:rPr>
          <w:rtl w:val="off"/>
        </w:rPr>
        <w:t>xternal Environment Changes</w:t>
      </w:r>
    </w:p>
    <w:p w14:paraId="00000036">
      <w:pPr>
        <w:rPr>
          <w:b/>
          <w:i/>
        </w:rPr>
      </w:pPr>
      <w:r>
        <w:rPr>
          <w:b/>
          <w:i/>
          <w:rtl w:val="off"/>
        </w:rPr>
        <w:t>a) Digital Disruption</w:t>
      </w:r>
    </w:p>
    <w:p w14:paraId="00000037">
      <w:r>
        <w:rPr>
          <w:rtl w:val="off"/>
        </w:rPr>
        <w:t xml:space="preserve">The retail industry has been completely replaced by digital turmoil. Tesco, Censor, and Amazon Fresh, who are competitors, use new techniques such as AI to handle their supply chains, future analysis and personal marketing for their inventory. Morrisons was first slow to accept these techniques, which harmed his ability to compete (Parnell </w:t>
      </w:r>
      <w:r>
        <w:rPr>
          <w:i/>
          <w:rtl w:val="off"/>
        </w:rPr>
        <w:t>et al.,</w:t>
      </w:r>
      <w:r>
        <w:rPr>
          <w:rtl w:val="off"/>
        </w:rPr>
        <w:t xml:space="preserve"> 2022). For example, Tesco used the AI ​​tools to set dynamic prices and predict demand, but Morrisons was slow to integrate them, making it difficult to react to changes in customers' demand change for the store and sometimes caused it to run out of stock or it caused it to have too much.</w:t>
      </w:r>
    </w:p>
    <w:p w14:paraId="00000038">
      <w:pPr>
        <w:rPr>
          <w:b/>
          <w:i/>
        </w:rPr>
      </w:pPr>
      <w:r>
        <w:rPr>
          <w:b/>
          <w:i/>
          <w:rtl w:val="off"/>
        </w:rPr>
        <w:t>b) Online Shopping Growth</w:t>
      </w:r>
    </w:p>
    <w:p w14:paraId="00000039">
      <w:r>
        <w:rPr>
          <w:rtl w:val="off"/>
        </w:rPr>
        <w:t xml:space="preserve">People started online shopping due to the outbreak of COVID-19. Between 2020 and 2022, online shopping sales in the UK increased by 70%. Even though Morrisons provided more online services by working with Ocado, it still had a smaller part of the online food market than Tesco (17.4%) and Sainsbury (14.2%). Morrisons had 8.6% market share in 2024. To meet customer standards for ease of speed and use, it made it clear that more money needs to be put in digital platforms, delivery logistics and mobile apps (Hagger </w:t>
      </w:r>
      <w:r>
        <w:rPr>
          <w:i/>
          <w:rtl w:val="off"/>
        </w:rPr>
        <w:t>et al.,</w:t>
      </w:r>
      <w:r>
        <w:rPr>
          <w:rtl w:val="off"/>
        </w:rPr>
        <w:t xml:space="preserve"> 2022).</w:t>
      </w:r>
    </w:p>
    <w:p w14:paraId="0000003A">
      <w:pPr>
        <w:rPr>
          <w:b/>
          <w:i/>
        </w:rPr>
      </w:pPr>
      <w:r>
        <w:rPr>
          <w:b/>
          <w:i/>
          <w:rtl w:val="off"/>
        </w:rPr>
        <w:t>c) Artificial Intelligence and Automation</w:t>
      </w:r>
    </w:p>
    <w:p w14:paraId="0000003B">
      <w:r>
        <w:rPr>
          <w:rtl w:val="off"/>
        </w:rPr>
        <w:t xml:space="preserve">The use of AI and automation has become necessary to run things more smoothly and to remain competitive. Competitors use AI for things such as individual customer service, automated warehouses, and shops without checkout lines. Morrisons began testing automation in his store and distribution centres to make them more efficient, cut labour costs and speed up distribution time (Cassidy </w:t>
      </w:r>
      <w:r>
        <w:rPr>
          <w:i/>
          <w:rtl w:val="off"/>
        </w:rPr>
        <w:t>et al.,</w:t>
      </w:r>
      <w:r>
        <w:rPr>
          <w:rtl w:val="off"/>
        </w:rPr>
        <w:t xml:space="preserve"> 2025). AI-powered equipment also helps the company restock, which helps them deal with changes in regular demand. Even with these efforts, complete AI integration is still not complete. This means that Morrisons has a great strategic chance to modernise its operation completely.</w:t>
      </w:r>
    </w:p>
    <w:p w14:paraId="0000003C">
      <w:pPr>
        <w:rPr>
          <w:b/>
          <w:i/>
        </w:rPr>
      </w:pPr>
      <w:r>
        <w:rPr>
          <w:b/>
          <w:i/>
          <w:rtl w:val="off"/>
        </w:rPr>
        <w:t>d) Market Competition</w:t>
      </w:r>
    </w:p>
    <w:p w14:paraId="0000003D">
      <w:r>
        <w:rPr>
          <w:rtl w:val="off"/>
        </w:rPr>
        <w:t>Discount stores like Aldi and Lidl have made the UK supermarket business more competitive. These stores focus on low prices, lean operations and efficient supply chains. In 2024, Aldi's market share increased to 10.6%, which is more than 8.6% of Morrisons. Tesco and Sainsbury, two traditional competitors, also have strong digital platforms and loyalty programs. This puts more pressure on Morrisons with new methods to connect customers and set prices.</w:t>
      </w:r>
    </w:p>
    <w:p w14:paraId="0000003E">
      <w:pPr>
        <w:rPr>
          <w:b/>
          <w:i/>
        </w:rPr>
      </w:pPr>
      <w:r>
        <w:rPr>
          <w:b/>
          <w:i/>
          <w:rtl w:val="off"/>
        </w:rPr>
        <w:t>e) Consumer Preferences and Social Trends</w:t>
      </w:r>
    </w:p>
    <w:p w14:paraId="0000003F">
      <w:r>
        <w:rPr>
          <w:rtl w:val="off"/>
        </w:rPr>
        <w:t xml:space="preserve">Morrison's business has been affected by changing customer preferences. Stability, local sourcing and health-conscious options are becoming more and more important for customers. As a result, Morrisons has switched to environmentally friendly packaging, used less plastic, and has more emphasis on goods made in the UK (Cassidy </w:t>
      </w:r>
      <w:r>
        <w:rPr>
          <w:i/>
          <w:rtl w:val="off"/>
        </w:rPr>
        <w:t>et al.,</w:t>
      </w:r>
      <w:r>
        <w:rPr>
          <w:rtl w:val="off"/>
        </w:rPr>
        <w:t xml:space="preserve"> 2025). Customers also want a personal experience and ease of use. They want strong online presentations, click-and-collect services and quick home orders. If organisations do not meet these standards, their customers may not be so loyal, and their sales may be reduced.</w:t>
      </w:r>
    </w:p>
    <w:p w14:paraId="00000040">
      <w:pPr>
        <w:rPr>
          <w:b/>
          <w:i/>
        </w:rPr>
      </w:pPr>
      <w:r>
        <w:rPr>
          <w:b/>
          <w:i/>
          <w:rtl w:val="off"/>
        </w:rPr>
        <w:t>f) Economic and Regulatory Environment</w:t>
      </w:r>
    </w:p>
    <w:p w14:paraId="00000041">
      <w:r>
        <w:rPr>
          <w:rtl w:val="off"/>
        </w:rPr>
        <w:t xml:space="preserve">Morrisons has been affected by economic problems such as inflation, increasing energy costs and problems in the supply chain due to Brexit. Transport and energy prices have increased, making it difficult to make a profit (Jansen </w:t>
      </w:r>
      <w:r>
        <w:rPr>
          <w:i/>
          <w:rtl w:val="off"/>
        </w:rPr>
        <w:t>et al.,</w:t>
      </w:r>
      <w:r>
        <w:rPr>
          <w:rtl w:val="off"/>
        </w:rPr>
        <w:t xml:space="preserve"> 2023). All-time compliance expenses are required to meet regulatory requirements such as food safety standards, environmental rules and labour laws. </w:t>
      </w:r>
    </w:p>
    <w:p w14:paraId="00000042">
      <w:pPr>
        <w:rPr>
          <w:b/>
          <w:i/>
          <w:u w:val="single"/>
        </w:rPr>
      </w:pPr>
      <w:r>
        <w:rPr>
          <w:b/>
          <w:i/>
          <w:u w:val="single"/>
          <w:rtl w:val="off"/>
        </w:rPr>
        <w:t>Summary of Impacts</w:t>
      </w:r>
    </w:p>
    <w:tbl>
      <w:tblPr>
        <w:tblStyle w:val="Table1"/>
        <w:tblW w:w="935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116"/>
        <w:gridCol w:w="3117"/>
        <w:gridCol w:w="3117"/>
      </w:tblGrid>
      <w:tr>
        <w:trPr>
          <w:cantSplit w:val="off"/>
          <w:tblHeader w:val="off"/>
        </w:trPr>
        <w:tc>
          <w:tcPr>
            <w:cnfStyle w:val="000000100000"/>
          </w:tcPr>
          <w:p w14:paraId="00000043">
            <w:pPr>
              <w:jc w:val="center"/>
              <w:rPr>
                <w:b/>
              </w:rPr>
            </w:pPr>
            <w:r>
              <w:rPr>
                <w:b/>
                <w:rtl w:val="off"/>
              </w:rPr>
              <w:t>Factor</w:t>
            </w:r>
          </w:p>
        </w:tc>
        <w:tc>
          <w:tcPr>
            <w:cnfStyle w:val="000000100000"/>
          </w:tcPr>
          <w:p w14:paraId="00000044">
            <w:pPr>
              <w:jc w:val="center"/>
              <w:rPr>
                <w:b/>
              </w:rPr>
            </w:pPr>
            <w:r>
              <w:rPr>
                <w:b/>
                <w:rtl w:val="off"/>
              </w:rPr>
              <w:t>Impact on Morrisons</w:t>
            </w:r>
          </w:p>
        </w:tc>
        <w:tc>
          <w:tcPr>
            <w:cnfStyle w:val="000000100000"/>
          </w:tcPr>
          <w:p w14:paraId="00000045">
            <w:pPr>
              <w:jc w:val="center"/>
              <w:rPr>
                <w:b/>
              </w:rPr>
            </w:pPr>
            <w:r>
              <w:rPr>
                <w:b/>
                <w:rtl w:val="off"/>
              </w:rPr>
              <w:t>Example</w:t>
            </w:r>
          </w:p>
        </w:tc>
      </w:tr>
      <w:tr>
        <w:trPr>
          <w:cantSplit w:val="off"/>
          <w:tblHeader w:val="off"/>
        </w:trPr>
        <w:tc>
          <w:tcPr>
            <w:cnfStyle w:val="000000010000"/>
          </w:tcPr>
          <w:p w14:paraId="00000046">
            <w:r>
              <w:rPr>
                <w:rtl w:val="off"/>
              </w:rPr>
              <w:t>Digital Disruption</w:t>
            </w:r>
          </w:p>
        </w:tc>
        <w:tc>
          <w:tcPr>
            <w:cnfStyle w:val="000000010000"/>
          </w:tcPr>
          <w:p w14:paraId="00000047">
            <w:r>
              <w:rPr>
                <w:rtl w:val="off"/>
              </w:rPr>
              <w:t>Lag in adopting AI and predictive analytics affects competitiveness</w:t>
            </w:r>
          </w:p>
        </w:tc>
        <w:tc>
          <w:tcPr>
            <w:cnfStyle w:val="000000010000"/>
          </w:tcPr>
          <w:p w14:paraId="00000048">
            <w:r>
              <w:rPr>
                <w:rtl w:val="off"/>
              </w:rPr>
              <w:t>Competitors like Tesco use AI for inventory optimisation</w:t>
            </w:r>
          </w:p>
        </w:tc>
      </w:tr>
      <w:tr>
        <w:trPr>
          <w:cantSplit w:val="off"/>
          <w:tblHeader w:val="off"/>
        </w:trPr>
        <w:tc>
          <w:tcPr>
            <w:cnfStyle w:val="000000100000"/>
          </w:tcPr>
          <w:p w14:paraId="00000049">
            <w:r>
              <w:rPr>
                <w:rtl w:val="off"/>
              </w:rPr>
              <w:t>Online Shopping</w:t>
            </w:r>
          </w:p>
        </w:tc>
        <w:tc>
          <w:tcPr>
            <w:cnfStyle w:val="000000100000"/>
          </w:tcPr>
          <w:p w14:paraId="0000004A">
            <w:r>
              <w:rPr>
                <w:rtl w:val="off"/>
              </w:rPr>
              <w:t>Limited market share in online grocery retail</w:t>
            </w:r>
          </w:p>
        </w:tc>
        <w:tc>
          <w:tcPr>
            <w:cnfStyle w:val="000000100000"/>
          </w:tcPr>
          <w:p w14:paraId="0000004B">
            <w:r>
              <w:rPr>
                <w:rtl w:val="off"/>
              </w:rPr>
              <w:t>Ocado's partnership expanded its digital reach, but its market share remains 8.6%</w:t>
            </w:r>
          </w:p>
        </w:tc>
      </w:tr>
      <w:tr>
        <w:trPr>
          <w:cantSplit w:val="off"/>
          <w:tblHeader w:val="off"/>
        </w:trPr>
        <w:tc>
          <w:tcPr>
            <w:cnfStyle w:val="000000010000"/>
          </w:tcPr>
          <w:p w14:paraId="0000004C">
            <w:r>
              <w:rPr>
                <w:rtl w:val="off"/>
              </w:rPr>
              <w:t>AI &amp; Automation</w:t>
            </w:r>
          </w:p>
        </w:tc>
        <w:tc>
          <w:tcPr>
            <w:cnfStyle w:val="000000010000"/>
          </w:tcPr>
          <w:p w14:paraId="0000004D">
            <w:r>
              <w:rPr>
                <w:rtl w:val="off"/>
              </w:rPr>
              <w:t xml:space="preserve">Gradual integration in the supply chain and warehouses (Cassidy </w:t>
            </w:r>
            <w:r>
              <w:rPr>
                <w:i/>
                <w:rtl w:val="off"/>
              </w:rPr>
              <w:t>et al.,</w:t>
            </w:r>
            <w:r>
              <w:rPr>
                <w:rtl w:val="off"/>
              </w:rPr>
              <w:t xml:space="preserve"> 2025)</w:t>
            </w:r>
          </w:p>
        </w:tc>
        <w:tc>
          <w:tcPr>
            <w:cnfStyle w:val="000000010000"/>
          </w:tcPr>
          <w:p w14:paraId="0000004E">
            <w:r>
              <w:rPr>
                <w:rtl w:val="off"/>
              </w:rPr>
              <w:t>AI tools are improving stock replenishment and delivery speed</w:t>
            </w:r>
          </w:p>
        </w:tc>
      </w:tr>
      <w:tr>
        <w:trPr>
          <w:cantSplit w:val="off"/>
          <w:tblHeader w:val="off"/>
        </w:trPr>
        <w:tc>
          <w:tcPr>
            <w:cnfStyle w:val="000000100000"/>
          </w:tcPr>
          <w:p w14:paraId="0000004F">
            <w:r>
              <w:rPr>
                <w:rtl w:val="off"/>
              </w:rPr>
              <w:t>Market Competition</w:t>
            </w:r>
          </w:p>
        </w:tc>
        <w:tc>
          <w:tcPr>
            <w:cnfStyle w:val="000000100000"/>
          </w:tcPr>
          <w:p w14:paraId="00000050">
            <w:r>
              <w:rPr>
                <w:rtl w:val="off"/>
              </w:rPr>
              <w:t>Pressure from discounters and traditional rivals</w:t>
            </w:r>
          </w:p>
        </w:tc>
        <w:tc>
          <w:tcPr>
            <w:cnfStyle w:val="000000100000"/>
          </w:tcPr>
          <w:p w14:paraId="00000051">
            <w:r>
              <w:rPr>
                <w:rtl w:val="off"/>
              </w:rPr>
              <w:t>Aldi market share 10.6%, Tesco 17.4%</w:t>
            </w:r>
          </w:p>
        </w:tc>
      </w:tr>
      <w:tr>
        <w:trPr>
          <w:cantSplit w:val="off"/>
          <w:tblHeader w:val="off"/>
        </w:trPr>
        <w:tc>
          <w:tcPr>
            <w:cnfStyle w:val="000000010000"/>
          </w:tcPr>
          <w:p w14:paraId="00000052">
            <w:r>
              <w:rPr>
                <w:rtl w:val="off"/>
              </w:rPr>
              <w:t>Consumer Trends</w:t>
            </w:r>
          </w:p>
        </w:tc>
        <w:tc>
          <w:tcPr>
            <w:cnfStyle w:val="000000010000"/>
          </w:tcPr>
          <w:p w14:paraId="00000053">
            <w:r>
              <w:rPr>
                <w:rtl w:val="off"/>
              </w:rPr>
              <w:t>Shift towards sustainability and convenience</w:t>
            </w:r>
          </w:p>
        </w:tc>
        <w:tc>
          <w:tcPr>
            <w:cnfStyle w:val="000000010000"/>
          </w:tcPr>
          <w:p w14:paraId="00000054">
            <w:r>
              <w:rPr>
                <w:rtl w:val="off"/>
              </w:rPr>
              <w:t>Eco-friendly packaging, British-sourced products, home delivery</w:t>
            </w:r>
          </w:p>
        </w:tc>
      </w:tr>
      <w:tr>
        <w:trPr>
          <w:cantSplit w:val="off"/>
          <w:tblHeader w:val="off"/>
        </w:trPr>
        <w:tc>
          <w:tcPr>
            <w:cnfStyle w:val="000000100000"/>
          </w:tcPr>
          <w:p w14:paraId="00000055">
            <w:r>
              <w:rPr>
                <w:rtl w:val="off"/>
              </w:rPr>
              <w:t>Economic Pressures</w:t>
            </w:r>
          </w:p>
        </w:tc>
        <w:tc>
          <w:tcPr>
            <w:cnfStyle w:val="000000100000"/>
          </w:tcPr>
          <w:p w14:paraId="00000056">
            <w:r>
              <w:rPr>
                <w:rtl w:val="off"/>
              </w:rPr>
              <w:t>Rising costs reduce profit margins</w:t>
            </w:r>
          </w:p>
        </w:tc>
        <w:tc>
          <w:tcPr>
            <w:cnfStyle w:val="000000100000"/>
          </w:tcPr>
          <w:p w14:paraId="00000057">
            <w:r>
              <w:rPr>
                <w:rtl w:val="off"/>
              </w:rPr>
              <w:t>Inflation, energy prices, and supply chain disruptions</w:t>
            </w:r>
          </w:p>
        </w:tc>
      </w:tr>
    </w:tbl>
    <w:p w14:paraId="00000058"/>
    <w:p w14:paraId="00000059">
      <w:pPr>
        <w:pStyle w:val="Heading1"/>
        <w:rPr/>
      </w:pPr>
      <w:bookmarkStart w:id="7" w:name="_heading=h.jla96zq45zn"/>
      <w:bookmarkEnd w:id="7"/>
      <w:r>
        <w:rPr>
          <w:rtl w:val="off"/>
        </w:rPr>
        <w:t>E</w:t>
      </w:r>
      <w:r>
        <w:rPr>
          <w:rtl w:val="off"/>
        </w:rPr>
        <w:t>valuation of Change Management Models in Morrisons</w:t>
      </w:r>
    </w:p>
    <w:p w14:paraId="0000005A">
      <w:r>
        <w:rPr>
          <w:rtl w:val="off"/>
        </w:rPr>
        <w:t>Morrison, a leading UK company, has recently dealt with a lot of problems, such as changing customer habits and more competition than online and discount stores. To properly deal with these problems, the company needs to implement organised change management strategies. There are two main structures that can help Morrison through strategic changes. These are the 8-step change models of the coat and the change management models of Levin.</w:t>
      </w:r>
    </w:p>
    <w:p w14:paraId="0000005B">
      <w:pPr>
        <w:rPr>
          <w:b/>
          <w:i/>
          <w:u w:val="single"/>
        </w:rPr>
      </w:pPr>
      <w:r>
        <w:rPr>
          <w:b/>
          <w:i/>
          <w:u w:val="single"/>
          <w:rtl w:val="off"/>
        </w:rPr>
        <w:t>1. Kotter’s 8-Step Change Model</w:t>
      </w:r>
    </w:p>
    <w:p w14:paraId="0000005C">
      <w:r>
        <w:rPr>
          <w:rtl w:val="off"/>
        </w:rPr>
        <w:t xml:space="preserve">The model, which was created by John Kotter in 1996, indicates how to work in a step-by-step manner and emphasises the value of leadership, communication and employee participation (Pantano </w:t>
      </w:r>
      <w:r>
        <w:rPr>
          <w:i/>
          <w:rtl w:val="off"/>
        </w:rPr>
        <w:t>et al.,</w:t>
      </w:r>
      <w:r>
        <w:rPr>
          <w:rtl w:val="off"/>
        </w:rPr>
        <w:t xml:space="preserve"> 2021). The idea of ​​the coater works well for large digital and organisational changes of Morrison.</w:t>
      </w:r>
    </w:p>
    <w:p w14:paraId="0000005D">
      <w:r>
        <w:rPr/>
        <w:drawing xmlns:mc="http://schemas.openxmlformats.org/markup-compatibility/2006">
          <wp:inline distT="0" distB="0" distL="0" distR="0">
            <wp:extent cx="5943600" cy="2461260"/>
            <wp:effectExtent l="0" t="0" r="0" b="0"/>
            <wp:docPr id="1971350790"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1350783" name="image1.png"/>
                    <pic:cNvPicPr preferRelativeResize="0"/>
                  </pic:nvPicPr>
                  <pic:blipFill>
                    <a:blip r:embed="rId28"/>
                    <a:srcRect/>
                    <a:stretch>
                      <a:fillRect/>
                    </a:stretch>
                  </pic:blipFill>
                  <pic:spPr>
                    <a:xfrm>
                      <a:off x="0" y="0"/>
                      <a:ext cx="5943600" cy="2461260"/>
                    </a:xfrm>
                    <a:prstGeom prst="rect">
                      <a:avLst/>
                    </a:prstGeom>
                  </pic:spPr>
                </pic:pic>
              </a:graphicData>
            </a:graphic>
          </wp:inline>
        </w:drawing>
      </w:r>
    </w:p>
    <w:p w14:paraId="0000005E">
      <w:pPr>
        <w:jc w:val="center"/>
        <w:rPr>
          <w:b/>
        </w:rPr>
      </w:pPr>
      <w:r>
        <w:rPr>
          <w:b/>
          <w:rtl w:val="off"/>
        </w:rPr>
        <w:t>Figure: Kotter’s 8-step model</w:t>
      </w:r>
    </w:p>
    <w:p w14:paraId="0000005F">
      <w:pPr>
        <w:jc w:val="center"/>
        <w:rPr>
          <w:b/>
        </w:rPr>
      </w:pPr>
      <w:r>
        <w:rPr>
          <w:b/>
          <w:rtl w:val="off"/>
        </w:rPr>
        <w:t>Source:</w:t>
      </w:r>
      <w:r>
        <w:rPr>
          <w:rtl w:val="off"/>
        </w:rPr>
        <w:t xml:space="preserve"> (Pantano, 2021)</w:t>
      </w:r>
    </w:p>
    <w:p w14:paraId="00000060">
      <w:pPr>
        <w:rPr>
          <w:b/>
          <w:i/>
        </w:rPr>
      </w:pPr>
      <w:r>
        <w:rPr>
          <w:b/>
          <w:i/>
          <w:rtl w:val="off"/>
        </w:rPr>
        <w:t>Application to Morrisons</w:t>
      </w:r>
    </w:p>
    <w:tbl>
      <w:tblPr>
        <w:tblStyle w:val="Table2"/>
        <w:tblW w:w="935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2337"/>
        <w:gridCol w:w="2337"/>
        <w:gridCol w:w="2338"/>
        <w:gridCol w:w="2338"/>
      </w:tblGrid>
      <w:tr>
        <w:trPr>
          <w:cantSplit w:val="off"/>
          <w:tblHeader w:val="off"/>
        </w:trPr>
        <w:tc>
          <w:tcPr>
            <w:cnfStyle w:val="000000100000"/>
          </w:tcPr>
          <w:p w14:paraId="00000061">
            <w:pPr>
              <w:jc w:val="center"/>
              <w:rPr>
                <w:b/>
                <w:i/>
              </w:rPr>
            </w:pPr>
            <w:r>
              <w:rPr>
                <w:b/>
                <w:rtl w:val="off"/>
              </w:rPr>
              <w:t>Step</w:t>
            </w:r>
          </w:p>
        </w:tc>
        <w:tc>
          <w:tcPr>
            <w:cnfStyle w:val="000000100000"/>
          </w:tcPr>
          <w:p w14:paraId="00000062">
            <w:pPr>
              <w:jc w:val="center"/>
              <w:rPr>
                <w:b/>
                <w:i/>
              </w:rPr>
            </w:pPr>
            <w:r>
              <w:rPr>
                <w:b/>
                <w:rtl w:val="off"/>
              </w:rPr>
              <w:t>Description</w:t>
            </w:r>
          </w:p>
        </w:tc>
        <w:tc>
          <w:tcPr>
            <w:cnfStyle w:val="000000100000"/>
          </w:tcPr>
          <w:p w14:paraId="00000063">
            <w:pPr>
              <w:jc w:val="center"/>
              <w:rPr>
                <w:b/>
                <w:i/>
              </w:rPr>
            </w:pPr>
            <w:r>
              <w:rPr>
                <w:b/>
                <w:rtl w:val="off"/>
              </w:rPr>
              <w:t>Application to Morrisons</w:t>
            </w:r>
          </w:p>
        </w:tc>
        <w:tc>
          <w:tcPr>
            <w:cnfStyle w:val="000000100000"/>
          </w:tcPr>
          <w:p w14:paraId="00000064">
            <w:pPr>
              <w:jc w:val="center"/>
              <w:rPr>
                <w:b/>
                <w:i/>
              </w:rPr>
            </w:pPr>
            <w:r>
              <w:rPr>
                <w:b/>
                <w:rtl w:val="off"/>
              </w:rPr>
              <w:t>Example</w:t>
            </w:r>
          </w:p>
        </w:tc>
      </w:tr>
      <w:tr>
        <w:trPr>
          <w:cantSplit w:val="off"/>
          <w:tblHeader w:val="off"/>
        </w:trPr>
        <w:tc>
          <w:tcPr>
            <w:cnfStyle w:val="000000010000"/>
          </w:tcPr>
          <w:p w14:paraId="00000065">
            <w:pPr>
              <w:rPr>
                <w:b/>
                <w:i/>
              </w:rPr>
            </w:pPr>
            <w:r>
              <w:rPr>
                <w:b/>
                <w:rtl w:val="off"/>
              </w:rPr>
              <w:t>1. Create Urgency</w:t>
            </w:r>
          </w:p>
        </w:tc>
        <w:tc>
          <w:tcPr>
            <w:cnfStyle w:val="000000010000"/>
          </w:tcPr>
          <w:p w14:paraId="00000066">
            <w:pPr>
              <w:rPr>
                <w:b/>
                <w:i/>
              </w:rPr>
            </w:pPr>
            <w:r>
              <w:rPr>
                <w:rtl w:val="off"/>
              </w:rPr>
              <w:t xml:space="preserve">Establish the need for change to motivate employees and stakeholders (Yang </w:t>
            </w:r>
            <w:r>
              <w:rPr>
                <w:i/>
                <w:rtl w:val="off"/>
              </w:rPr>
              <w:t>et al.,</w:t>
            </w:r>
            <w:r>
              <w:rPr>
                <w:rtl w:val="off"/>
              </w:rPr>
              <w:t xml:space="preserve"> 2024).</w:t>
            </w:r>
          </w:p>
        </w:tc>
        <w:tc>
          <w:tcPr>
            <w:cnfStyle w:val="000000010000"/>
          </w:tcPr>
          <w:p w14:paraId="00000067">
            <w:pPr>
              <w:rPr>
                <w:b/>
                <w:i/>
              </w:rPr>
            </w:pPr>
            <w:r>
              <w:rPr>
                <w:rtl w:val="off"/>
              </w:rPr>
              <w:t>Highlight the challenges Morrisons faces, including declining market share, online competition, and changing consumer expectations. Use data on digital disruption and competitor performance to create awareness.</w:t>
            </w:r>
          </w:p>
        </w:tc>
        <w:tc>
          <w:tcPr>
            <w:cnfStyle w:val="000000010000"/>
          </w:tcPr>
          <w:p w14:paraId="00000068">
            <w:pPr>
              <w:rPr>
                <w:b/>
                <w:i/>
              </w:rPr>
            </w:pPr>
            <w:r>
              <w:rPr>
                <w:rtl w:val="off"/>
              </w:rPr>
              <w:t>Internal workshops and presentations showing Aldi and Tesco gaining market share while Morrisons lags in online retail.</w:t>
            </w:r>
          </w:p>
        </w:tc>
      </w:tr>
      <w:tr>
        <w:trPr>
          <w:cantSplit w:val="off"/>
          <w:tblHeader w:val="off"/>
        </w:trPr>
        <w:tc>
          <w:tcPr>
            <w:cnfStyle w:val="000000100000"/>
          </w:tcPr>
          <w:p w14:paraId="00000069">
            <w:pPr>
              <w:rPr>
                <w:b/>
                <w:i/>
              </w:rPr>
            </w:pPr>
            <w:r>
              <w:rPr>
                <w:b/>
                <w:rtl w:val="off"/>
              </w:rPr>
              <w:t>2. Form a Powerful Coalition</w:t>
            </w:r>
          </w:p>
        </w:tc>
        <w:tc>
          <w:tcPr>
            <w:cnfStyle w:val="000000100000"/>
          </w:tcPr>
          <w:p w14:paraId="0000006A">
            <w:pPr>
              <w:rPr>
                <w:b/>
                <w:i/>
              </w:rPr>
            </w:pPr>
            <w:r>
              <w:rPr>
                <w:rtl w:val="off"/>
              </w:rPr>
              <w:t xml:space="preserve">Build a team of influential leaders to drive the change process (Doherty </w:t>
            </w:r>
            <w:r>
              <w:rPr>
                <w:i/>
                <w:rtl w:val="off"/>
              </w:rPr>
              <w:t xml:space="preserve">et al., </w:t>
            </w:r>
            <w:r>
              <w:rPr>
                <w:rtl w:val="off"/>
              </w:rPr>
              <w:t>2025).</w:t>
            </w:r>
          </w:p>
        </w:tc>
        <w:tc>
          <w:tcPr>
            <w:cnfStyle w:val="000000100000"/>
          </w:tcPr>
          <w:p w14:paraId="0000006B">
            <w:pPr>
              <w:rPr>
                <w:b/>
                <w:i/>
              </w:rPr>
            </w:pPr>
            <w:r>
              <w:rPr>
                <w:rtl w:val="off"/>
              </w:rPr>
              <w:t>Senior management, IT, marketing, and operations leaders collaborate to champion digital transformation initiatives.</w:t>
            </w:r>
          </w:p>
        </w:tc>
        <w:tc>
          <w:tcPr>
            <w:cnfStyle w:val="000000100000"/>
          </w:tcPr>
          <w:p w14:paraId="0000006C">
            <w:pPr>
              <w:rPr>
                <w:b/>
                <w:i/>
              </w:rPr>
            </w:pPr>
            <w:r>
              <w:rPr>
                <w:rtl w:val="off"/>
              </w:rPr>
              <w:t>A cross-functional task force oversees the Ocado online platform expansion.</w:t>
            </w:r>
          </w:p>
        </w:tc>
      </w:tr>
      <w:tr>
        <w:trPr>
          <w:cantSplit w:val="off"/>
          <w:tblHeader w:val="off"/>
        </w:trPr>
        <w:tc>
          <w:tcPr>
            <w:cnfStyle w:val="000000010000"/>
          </w:tcPr>
          <w:p w14:paraId="0000006D">
            <w:pPr>
              <w:rPr>
                <w:b/>
                <w:i/>
              </w:rPr>
            </w:pPr>
            <w:r>
              <w:rPr>
                <w:b/>
                <w:rtl w:val="off"/>
              </w:rPr>
              <w:t>3. Create a Vision for Change</w:t>
            </w:r>
          </w:p>
        </w:tc>
        <w:tc>
          <w:tcPr>
            <w:cnfStyle w:val="000000010000"/>
          </w:tcPr>
          <w:p w14:paraId="0000006E">
            <w:pPr>
              <w:rPr>
                <w:b/>
                <w:i/>
              </w:rPr>
            </w:pPr>
            <w:r>
              <w:rPr>
                <w:rtl w:val="off"/>
              </w:rPr>
              <w:t>Develop a clear vision to guide decisions and inspire commitment.</w:t>
            </w:r>
          </w:p>
        </w:tc>
        <w:tc>
          <w:tcPr>
            <w:cnfStyle w:val="000000010000"/>
          </w:tcPr>
          <w:p w14:paraId="0000006F">
            <w:pPr>
              <w:rPr>
                <w:b/>
                <w:i/>
              </w:rPr>
            </w:pPr>
            <w:r>
              <w:rPr>
                <w:rtl w:val="off"/>
              </w:rPr>
              <w:t>Vision: "To be a digitally empowered, customer-centric, and sustainable supermarket." Emphasise innovation, AI integration, and improved customer experience.</w:t>
            </w:r>
          </w:p>
        </w:tc>
        <w:tc>
          <w:tcPr>
            <w:cnfStyle w:val="000000010000"/>
          </w:tcPr>
          <w:p w14:paraId="00000070">
            <w:pPr>
              <w:rPr>
                <w:b/>
                <w:i/>
              </w:rPr>
            </w:pPr>
            <w:r>
              <w:rPr>
                <w:rtl w:val="off"/>
              </w:rPr>
              <w:t>Communication of the vision via company newsletters, meetings, and leadership messages.</w:t>
            </w:r>
          </w:p>
        </w:tc>
      </w:tr>
      <w:tr>
        <w:trPr>
          <w:cantSplit w:val="off"/>
          <w:trHeight w:val="890" w:hRule="atLeast"/>
          <w:tblHeader w:val="off"/>
        </w:trPr>
        <w:tc>
          <w:tcPr>
            <w:cnfStyle w:val="000000100000"/>
          </w:tcPr>
          <w:p w14:paraId="00000071">
            <w:pPr>
              <w:rPr>
                <w:b/>
                <w:i/>
              </w:rPr>
            </w:pPr>
            <w:r>
              <w:rPr>
                <w:b/>
                <w:rtl w:val="off"/>
              </w:rPr>
              <w:t>4. Communicate the Vision</w:t>
            </w:r>
          </w:p>
        </w:tc>
        <w:tc>
          <w:tcPr>
            <w:cnfStyle w:val="000000100000"/>
          </w:tcPr>
          <w:p w14:paraId="00000072">
            <w:pPr>
              <w:rPr>
                <w:b/>
                <w:i/>
              </w:rPr>
            </w:pPr>
            <w:r>
              <w:rPr>
                <w:rtl w:val="off"/>
              </w:rPr>
              <w:t xml:space="preserve">Ensure all employees understand and embrace the vision (Timba </w:t>
            </w:r>
            <w:r>
              <w:rPr>
                <w:i/>
                <w:rtl w:val="off"/>
              </w:rPr>
              <w:t>et al.,</w:t>
            </w:r>
            <w:r>
              <w:rPr>
                <w:rtl w:val="off"/>
              </w:rPr>
              <w:t xml:space="preserve"> 2025).</w:t>
            </w:r>
          </w:p>
        </w:tc>
        <w:tc>
          <w:tcPr>
            <w:cnfStyle w:val="000000100000"/>
          </w:tcPr>
          <w:p w14:paraId="00000073">
            <w:pPr>
              <w:rPr>
                <w:b/>
                <w:i/>
              </w:rPr>
            </w:pPr>
            <w:r>
              <w:rPr>
                <w:rtl w:val="off"/>
              </w:rPr>
              <w:t>Use multiple channels to explain the objectives and benefits of digital transformation and sustainability initiatives.</w:t>
            </w:r>
          </w:p>
        </w:tc>
        <w:tc>
          <w:tcPr>
            <w:cnfStyle w:val="000000100000"/>
          </w:tcPr>
          <w:p w14:paraId="00000074">
            <w:pPr>
              <w:rPr>
                <w:b/>
                <w:i/>
              </w:rPr>
            </w:pPr>
            <w:r>
              <w:rPr>
                <w:rtl w:val="off"/>
              </w:rPr>
              <w:t>Regular town halls, internal intranet updates, and training sessions.</w:t>
            </w:r>
          </w:p>
        </w:tc>
      </w:tr>
      <w:tr>
        <w:trPr>
          <w:cantSplit w:val="off"/>
          <w:tblHeader w:val="off"/>
        </w:trPr>
        <w:tc>
          <w:tcPr>
            <w:cnfStyle w:val="000000010000"/>
          </w:tcPr>
          <w:p w14:paraId="00000075">
            <w:pPr>
              <w:rPr>
                <w:b/>
                <w:i/>
              </w:rPr>
            </w:pPr>
            <w:r>
              <w:rPr>
                <w:b/>
                <w:rtl w:val="off"/>
              </w:rPr>
              <w:t>5. Remove Obstacles</w:t>
            </w:r>
          </w:p>
        </w:tc>
        <w:tc>
          <w:tcPr>
            <w:cnfStyle w:val="000000010000"/>
          </w:tcPr>
          <w:p w14:paraId="00000076">
            <w:pPr>
              <w:rPr>
                <w:b/>
                <w:i/>
              </w:rPr>
            </w:pPr>
            <w:r>
              <w:rPr>
                <w:rtl w:val="off"/>
              </w:rPr>
              <w:t>Identify and address barriers to change to encourage adoption.</w:t>
            </w:r>
          </w:p>
        </w:tc>
        <w:tc>
          <w:tcPr>
            <w:cnfStyle w:val="000000010000"/>
          </w:tcPr>
          <w:p w14:paraId="00000077">
            <w:pPr>
              <w:rPr>
                <w:b/>
                <w:i/>
              </w:rPr>
            </w:pPr>
            <w:r>
              <w:rPr>
                <w:rtl w:val="off"/>
              </w:rPr>
              <w:t>Provide digital skills training, address technological limitations, and incentivise employees to embrace new systems.</w:t>
            </w:r>
          </w:p>
        </w:tc>
        <w:tc>
          <w:tcPr>
            <w:cnfStyle w:val="000000010000"/>
          </w:tcPr>
          <w:p w14:paraId="00000078">
            <w:pPr>
              <w:rPr>
                <w:b/>
                <w:i/>
              </w:rPr>
            </w:pPr>
            <w:r>
              <w:rPr>
                <w:rtl w:val="off"/>
              </w:rPr>
              <w:t>Staff training programs for AI inventory management and online ordering systems.</w:t>
            </w:r>
          </w:p>
        </w:tc>
      </w:tr>
      <w:tr>
        <w:trPr>
          <w:cantSplit w:val="off"/>
          <w:tblHeader w:val="off"/>
        </w:trPr>
        <w:tc>
          <w:tcPr>
            <w:cnfStyle w:val="000000100000"/>
          </w:tcPr>
          <w:p w14:paraId="00000079">
            <w:pPr>
              <w:rPr>
                <w:b/>
                <w:i/>
              </w:rPr>
            </w:pPr>
            <w:r>
              <w:rPr>
                <w:b/>
                <w:rtl w:val="off"/>
              </w:rPr>
              <w:t>6. Create Short-Term Wins</w:t>
            </w:r>
          </w:p>
        </w:tc>
        <w:tc>
          <w:tcPr>
            <w:cnfStyle w:val="000000100000"/>
          </w:tcPr>
          <w:p w14:paraId="0000007A">
            <w:pPr>
              <w:rPr>
                <w:b/>
                <w:i/>
              </w:rPr>
            </w:pPr>
            <w:r>
              <w:rPr>
                <w:rtl w:val="off"/>
              </w:rPr>
              <w:t>Generate early successes to build momentum and credibility.</w:t>
            </w:r>
          </w:p>
        </w:tc>
        <w:tc>
          <w:tcPr>
            <w:cnfStyle w:val="000000100000"/>
          </w:tcPr>
          <w:p w14:paraId="0000007B">
            <w:pPr>
              <w:rPr>
                <w:b/>
                <w:i/>
              </w:rPr>
            </w:pPr>
            <w:r>
              <w:rPr>
                <w:rtl w:val="off"/>
              </w:rPr>
              <w:t>Launch pilot projects for AI-driven inventory, digital checkouts, or Ocado delivery systems to show immediate results.</w:t>
            </w:r>
          </w:p>
        </w:tc>
        <w:tc>
          <w:tcPr>
            <w:cnfStyle w:val="000000100000"/>
          </w:tcPr>
          <w:p w14:paraId="0000007C">
            <w:pPr>
              <w:rPr>
                <w:b/>
                <w:i/>
              </w:rPr>
            </w:pPr>
            <w:r>
              <w:rPr>
                <w:rtl w:val="off"/>
              </w:rPr>
              <w:t>Pilot testing AI forecasting in select stores to optimise stock levels and reduce waste.</w:t>
            </w:r>
          </w:p>
        </w:tc>
      </w:tr>
      <w:tr>
        <w:trPr>
          <w:cantSplit w:val="off"/>
          <w:tblHeader w:val="off"/>
        </w:trPr>
        <w:tc>
          <w:tcPr>
            <w:cnfStyle w:val="000000010000"/>
          </w:tcPr>
          <w:p w14:paraId="0000007D">
            <w:pPr>
              <w:rPr>
                <w:b/>
                <w:i/>
              </w:rPr>
            </w:pPr>
            <w:r>
              <w:rPr>
                <w:b/>
                <w:rtl w:val="off"/>
              </w:rPr>
              <w:t>7. Build on the Change</w:t>
            </w:r>
          </w:p>
        </w:tc>
        <w:tc>
          <w:tcPr>
            <w:cnfStyle w:val="000000010000"/>
          </w:tcPr>
          <w:p w14:paraId="0000007E">
            <w:pPr>
              <w:rPr>
                <w:b/>
                <w:i/>
              </w:rPr>
            </w:pPr>
            <w:r>
              <w:rPr>
                <w:rtl w:val="off"/>
              </w:rPr>
              <w:t xml:space="preserve">Consolidate gains and implement continuous improvements (Pantano </w:t>
            </w:r>
            <w:r>
              <w:rPr>
                <w:i/>
                <w:rtl w:val="off"/>
              </w:rPr>
              <w:t>et al.,</w:t>
            </w:r>
            <w:r>
              <w:rPr>
                <w:rtl w:val="off"/>
              </w:rPr>
              <w:t xml:space="preserve"> 2021).</w:t>
            </w:r>
          </w:p>
        </w:tc>
        <w:tc>
          <w:tcPr>
            <w:cnfStyle w:val="000000010000"/>
          </w:tcPr>
          <w:p w14:paraId="0000007F">
            <w:pPr>
              <w:rPr>
                <w:b/>
                <w:i/>
              </w:rPr>
            </w:pPr>
            <w:r>
              <w:rPr>
                <w:rtl w:val="off"/>
              </w:rPr>
              <w:t>Expand successful initiatives across all stores and supply chains, integrating feedback to refine processes.</w:t>
            </w:r>
          </w:p>
        </w:tc>
        <w:tc>
          <w:tcPr>
            <w:cnfStyle w:val="000000010000"/>
          </w:tcPr>
          <w:p w14:paraId="00000080">
            <w:pPr>
              <w:rPr>
                <w:b/>
                <w:i/>
              </w:rPr>
            </w:pPr>
            <w:r>
              <w:rPr>
                <w:rtl w:val="off"/>
              </w:rPr>
              <w:t>Gradual rollout of digital checkout systems and warehouse automation across multiple locations.</w:t>
            </w:r>
          </w:p>
        </w:tc>
      </w:tr>
      <w:tr>
        <w:trPr>
          <w:cantSplit w:val="off"/>
          <w:tblHeader w:val="off"/>
        </w:trPr>
        <w:tc>
          <w:tcPr>
            <w:cnfStyle w:val="000000100000"/>
          </w:tcPr>
          <w:p w14:paraId="00000081">
            <w:pPr>
              <w:rPr>
                <w:b/>
                <w:i/>
              </w:rPr>
            </w:pPr>
            <w:r>
              <w:rPr>
                <w:b/>
                <w:rtl w:val="off"/>
              </w:rPr>
              <w:t>8. Anchor Changes in Culture</w:t>
            </w:r>
          </w:p>
        </w:tc>
        <w:tc>
          <w:tcPr>
            <w:cnfStyle w:val="000000100000"/>
          </w:tcPr>
          <w:p w14:paraId="00000082">
            <w:pPr>
              <w:rPr>
                <w:b/>
                <w:i/>
              </w:rPr>
            </w:pPr>
            <w:r>
              <w:rPr>
                <w:rtl w:val="off"/>
              </w:rPr>
              <w:t>Ensure the change is embedded in the organisation's culture for long-term sustainability.</w:t>
            </w:r>
          </w:p>
        </w:tc>
        <w:tc>
          <w:tcPr>
            <w:cnfStyle w:val="000000100000"/>
          </w:tcPr>
          <w:p w14:paraId="00000083">
            <w:pPr>
              <w:rPr>
                <w:b/>
                <w:i/>
              </w:rPr>
            </w:pPr>
            <w:r>
              <w:rPr>
                <w:rtl w:val="off"/>
              </w:rPr>
              <w:t>Reinforce desired behaviours through recognition, rewards, and integration into daily operations and performance metrics.</w:t>
            </w:r>
          </w:p>
        </w:tc>
        <w:tc>
          <w:tcPr>
            <w:cnfStyle w:val="000000100000"/>
          </w:tcPr>
          <w:p w14:paraId="00000084">
            <w:pPr>
              <w:rPr>
                <w:b/>
                <w:i/>
              </w:rPr>
            </w:pPr>
            <w:r>
              <w:rPr>
                <w:rtl w:val="off"/>
              </w:rPr>
              <w:t>Recognition programs for teams adopting digital systems, embedding innovation into company values.</w:t>
            </w:r>
          </w:p>
        </w:tc>
      </w:tr>
    </w:tbl>
    <w:p w14:paraId="00000085"/>
    <w:p w14:paraId="00000086">
      <w:pPr>
        <w:rPr>
          <w:b/>
          <w:i/>
          <w:u w:val="single"/>
        </w:rPr>
      </w:pPr>
      <w:r>
        <w:rPr>
          <w:b/>
          <w:i/>
          <w:u w:val="single"/>
          <w:rtl w:val="off"/>
        </w:rPr>
        <w:t>2. Lewin’s Change Management Model</w:t>
      </w:r>
    </w:p>
    <w:p w14:paraId="00000087">
      <w:r>
        <w:rPr>
          <w:rtl w:val="off"/>
        </w:rPr>
        <w:t xml:space="preserve">The model of Kurt Levin since 1951 has three main stages: unfreeze, changes, and refreeze (Pentano </w:t>
      </w:r>
      <w:r>
        <w:rPr>
          <w:i/>
          <w:rtl w:val="off"/>
        </w:rPr>
        <w:t>et al.,</w:t>
      </w:r>
      <w:r>
        <w:rPr>
          <w:rtl w:val="off"/>
        </w:rPr>
        <w:t xml:space="preserve"> 2021). In this way, it is great for people to prepare for changes at cultural and psychological levels, which is important in Morrison as the company has the history of hiring the family first.</w:t>
      </w:r>
      <w:r>
        <w:rPr/>
        <w:drawing xmlns:mc="http://schemas.openxmlformats.org/markup-compatibility/2006">
          <wp:inline distT="0" distB="0" distL="0" distR="0">
            <wp:extent cx="5943600" cy="2842260"/>
            <wp:effectExtent l="0" t="0" r="0" b="0"/>
            <wp:docPr id="1971350791"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1350784" name="image4.png"/>
                    <pic:cNvPicPr preferRelativeResize="0"/>
                  </pic:nvPicPr>
                  <pic:blipFill>
                    <a:blip r:embed="rId29"/>
                    <a:srcRect/>
                    <a:stretch>
                      <a:fillRect/>
                    </a:stretch>
                  </pic:blipFill>
                  <pic:spPr>
                    <a:xfrm>
                      <a:off x="0" y="0"/>
                      <a:ext cx="5943600" cy="2842260"/>
                    </a:xfrm>
                    <a:prstGeom prst="rect">
                      <a:avLst/>
                    </a:prstGeom>
                  </pic:spPr>
                </pic:pic>
              </a:graphicData>
            </a:graphic>
          </wp:inline>
        </w:drawing>
      </w:r>
    </w:p>
    <w:p w14:paraId="00000088">
      <w:pPr>
        <w:jc w:val="center"/>
        <w:rPr>
          <w:b/>
        </w:rPr>
      </w:pPr>
      <w:r>
        <w:rPr>
          <w:b/>
          <w:rtl w:val="off"/>
        </w:rPr>
        <w:t>Figure: Lewin’s Change Model</w:t>
      </w:r>
    </w:p>
    <w:p w14:paraId="00000089">
      <w:pPr>
        <w:jc w:val="center"/>
        <w:rPr>
          <w:b/>
        </w:rPr>
      </w:pPr>
      <w:r>
        <w:rPr>
          <w:b/>
          <w:rtl w:val="off"/>
        </w:rPr>
        <w:t>Source:</w:t>
      </w:r>
      <w:r>
        <w:rPr>
          <w:rtl w:val="off"/>
        </w:rPr>
        <w:t xml:space="preserve"> (Benghezal, 2022)</w:t>
      </w:r>
    </w:p>
    <w:p w14:paraId="0000008A">
      <w:pPr>
        <w:rPr>
          <w:b/>
          <w:i/>
        </w:rPr>
      </w:pPr>
      <w:r>
        <w:rPr>
          <w:b/>
          <w:i/>
          <w:rtl w:val="off"/>
        </w:rPr>
        <w:t>Application to Morrisons</w:t>
      </w:r>
    </w:p>
    <w:tbl>
      <w:tblPr>
        <w:tblStyle w:val="Table3"/>
        <w:tblW w:w="935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2337"/>
        <w:gridCol w:w="2337"/>
        <w:gridCol w:w="2338"/>
        <w:gridCol w:w="2338"/>
      </w:tblGrid>
      <w:tr>
        <w:trPr>
          <w:cantSplit w:val="off"/>
          <w:tblHeader w:val="off"/>
        </w:trPr>
        <w:tc>
          <w:tcPr>
            <w:cnfStyle w:val="000000100000"/>
          </w:tcPr>
          <w:p w14:paraId="0000008B">
            <w:pPr>
              <w:jc w:val="center"/>
              <w:rPr>
                <w:b/>
                <w:i/>
              </w:rPr>
            </w:pPr>
            <w:r>
              <w:rPr>
                <w:b/>
                <w:rtl w:val="off"/>
              </w:rPr>
              <w:t>Stage</w:t>
            </w:r>
          </w:p>
        </w:tc>
        <w:tc>
          <w:tcPr>
            <w:cnfStyle w:val="000000100000"/>
          </w:tcPr>
          <w:p w14:paraId="0000008C">
            <w:pPr>
              <w:jc w:val="center"/>
              <w:rPr>
                <w:b/>
                <w:i/>
              </w:rPr>
            </w:pPr>
            <w:r>
              <w:rPr>
                <w:b/>
                <w:rtl w:val="off"/>
              </w:rPr>
              <w:t>Description</w:t>
            </w:r>
          </w:p>
        </w:tc>
        <w:tc>
          <w:tcPr>
            <w:cnfStyle w:val="000000100000"/>
          </w:tcPr>
          <w:p w14:paraId="0000008D">
            <w:pPr>
              <w:jc w:val="center"/>
              <w:rPr>
                <w:b/>
                <w:i/>
              </w:rPr>
            </w:pPr>
            <w:r>
              <w:rPr>
                <w:b/>
                <w:rtl w:val="off"/>
              </w:rPr>
              <w:t>Application to Morrisons</w:t>
            </w:r>
          </w:p>
        </w:tc>
        <w:tc>
          <w:tcPr>
            <w:cnfStyle w:val="000000100000"/>
          </w:tcPr>
          <w:p w14:paraId="0000008E">
            <w:pPr>
              <w:jc w:val="center"/>
              <w:rPr>
                <w:b/>
                <w:i/>
              </w:rPr>
            </w:pPr>
            <w:r>
              <w:rPr>
                <w:b/>
                <w:rtl w:val="off"/>
              </w:rPr>
              <w:t>Example</w:t>
            </w:r>
          </w:p>
        </w:tc>
      </w:tr>
      <w:tr>
        <w:trPr>
          <w:cantSplit w:val="off"/>
          <w:tblHeader w:val="off"/>
        </w:trPr>
        <w:tc>
          <w:tcPr>
            <w:cnfStyle w:val="000000010000"/>
          </w:tcPr>
          <w:p w14:paraId="0000008F">
            <w:pPr>
              <w:rPr>
                <w:b/>
                <w:i/>
              </w:rPr>
            </w:pPr>
            <w:r>
              <w:rPr>
                <w:b/>
                <w:rtl w:val="off"/>
              </w:rPr>
              <w:t>1. Unfreeze</w:t>
            </w:r>
          </w:p>
        </w:tc>
        <w:tc>
          <w:tcPr>
            <w:cnfStyle w:val="000000010000"/>
          </w:tcPr>
          <w:p w14:paraId="00000090">
            <w:pPr>
              <w:rPr>
                <w:b/>
                <w:i/>
              </w:rPr>
            </w:pPr>
            <w:r>
              <w:rPr>
                <w:rtl w:val="off"/>
              </w:rPr>
              <w:t>Prepare the organisation for change by challenging the status quo and creating awareness of the need for transformation.</w:t>
            </w:r>
          </w:p>
        </w:tc>
        <w:tc>
          <w:tcPr>
            <w:cnfStyle w:val="000000010000"/>
          </w:tcPr>
          <w:p w14:paraId="00000091">
            <w:pPr>
              <w:rPr>
                <w:b/>
                <w:i/>
              </w:rPr>
            </w:pPr>
            <w:r>
              <w:rPr>
                <w:rtl w:val="off"/>
              </w:rPr>
              <w:t>Morrisons communicates the urgency of adopting digital solutions, AI, and online platforms due to declining market share, growing competition, and changing consumer expectations.</w:t>
            </w:r>
          </w:p>
        </w:tc>
        <w:tc>
          <w:tcPr>
            <w:cnfStyle w:val="000000010000"/>
          </w:tcPr>
          <w:p w14:paraId="00000092">
            <w:pPr>
              <w:rPr>
                <w:b/>
                <w:i/>
              </w:rPr>
            </w:pPr>
            <w:r>
              <w:rPr>
                <w:rtl w:val="off"/>
              </w:rPr>
              <w:t>Town hall meetings and internal surveys highlight gaps in online sales and operational inefficiencies compared to competitors like Tesco and Aldi.</w:t>
            </w:r>
          </w:p>
        </w:tc>
      </w:tr>
      <w:tr>
        <w:trPr>
          <w:cantSplit w:val="off"/>
          <w:tblHeader w:val="off"/>
        </w:trPr>
        <w:tc>
          <w:tcPr>
            <w:cnfStyle w:val="000000100000"/>
          </w:tcPr>
          <w:p w14:paraId="00000093">
            <w:pPr>
              <w:rPr>
                <w:b/>
                <w:i/>
              </w:rPr>
            </w:pPr>
            <w:r>
              <w:rPr>
                <w:b/>
                <w:rtl w:val="off"/>
              </w:rPr>
              <w:t>2. Change (Transition)</w:t>
            </w:r>
          </w:p>
        </w:tc>
        <w:tc>
          <w:tcPr>
            <w:cnfStyle w:val="000000100000"/>
          </w:tcPr>
          <w:p w14:paraId="00000094">
            <w:pPr>
              <w:rPr>
                <w:b/>
                <w:i/>
              </w:rPr>
            </w:pPr>
            <w:r>
              <w:rPr>
                <w:rtl w:val="off"/>
              </w:rPr>
              <w:t>Implement the change by introducing new processes, technologies, or behaviours, while supporting employees through the transition (Benghezal and Izadi, 2022).</w:t>
            </w:r>
          </w:p>
        </w:tc>
        <w:tc>
          <w:tcPr>
            <w:cnfStyle w:val="000000100000"/>
          </w:tcPr>
          <w:p w14:paraId="00000095">
            <w:pPr>
              <w:rPr>
                <w:b/>
                <w:i/>
              </w:rPr>
            </w:pPr>
            <w:r>
              <w:rPr>
                <w:rtl w:val="off"/>
              </w:rPr>
              <w:t>Morrisons introduces AI-driven inventory systems, online delivery enhancements through Ocado, and staff training programs. Employees are encouraged to adopt new digital tools, processes, and workflows.</w:t>
            </w:r>
          </w:p>
        </w:tc>
        <w:tc>
          <w:tcPr>
            <w:cnfStyle w:val="000000100000"/>
          </w:tcPr>
          <w:p w14:paraId="00000096">
            <w:pPr>
              <w:rPr>
                <w:b/>
                <w:i/>
              </w:rPr>
            </w:pPr>
            <w:r>
              <w:rPr>
                <w:rtl w:val="off"/>
              </w:rPr>
              <w:t>Training employees on AI-based stock replenishment and using Ocado systems for online grocery delivery. Pilot programs in select stores demonstrate effectiveness before full-scale rollout.</w:t>
            </w:r>
          </w:p>
        </w:tc>
      </w:tr>
      <w:tr>
        <w:trPr>
          <w:cantSplit w:val="off"/>
          <w:tblHeader w:val="off"/>
        </w:trPr>
        <w:tc>
          <w:tcPr>
            <w:cnfStyle w:val="000000010000"/>
          </w:tcPr>
          <w:p w14:paraId="00000097">
            <w:pPr>
              <w:rPr>
                <w:b/>
                <w:i/>
              </w:rPr>
            </w:pPr>
            <w:r>
              <w:rPr>
                <w:b/>
                <w:rtl w:val="off"/>
              </w:rPr>
              <w:t>3. Refreeze</w:t>
            </w:r>
          </w:p>
        </w:tc>
        <w:tc>
          <w:tcPr>
            <w:cnfStyle w:val="000000010000"/>
          </w:tcPr>
          <w:p w14:paraId="00000098">
            <w:pPr>
              <w:rPr>
                <w:b/>
                <w:i/>
              </w:rPr>
            </w:pPr>
            <w:r>
              <w:rPr>
                <w:rtl w:val="off"/>
              </w:rPr>
              <w:t>Stabilise the change by embedding new behaviours into the organisation's culture, policies, and routines to ensure sustainability.</w:t>
            </w:r>
          </w:p>
        </w:tc>
        <w:tc>
          <w:tcPr>
            <w:cnfStyle w:val="000000010000"/>
          </w:tcPr>
          <w:p w14:paraId="00000099">
            <w:pPr>
              <w:rPr>
                <w:b/>
                <w:i/>
              </w:rPr>
            </w:pPr>
            <w:r>
              <w:rPr>
                <w:rtl w:val="off"/>
              </w:rPr>
              <w:t>Morrisons integrates digital processes into daily operations, aligns performance metrics with new objectives, and rewards employees for adopting innovative practices.</w:t>
            </w:r>
          </w:p>
        </w:tc>
        <w:tc>
          <w:tcPr>
            <w:cnfStyle w:val="000000010000"/>
          </w:tcPr>
          <w:p w14:paraId="0000009A">
            <w:pPr>
              <w:rPr>
                <w:b/>
                <w:i/>
              </w:rPr>
            </w:pPr>
            <w:r>
              <w:rPr>
                <w:rtl w:val="off"/>
              </w:rPr>
              <w:t>Recognition programs for teams successfully implementing new technologies, incorporating digital KPIs into performance reviews, and standardising AI-driven inventory practices across stores.</w:t>
            </w:r>
          </w:p>
        </w:tc>
      </w:tr>
    </w:tbl>
    <w:p w14:paraId="0000009B">
      <w:pPr>
        <w:rPr>
          <w:b/>
          <w:i/>
        </w:rPr>
      </w:pPr>
    </w:p>
    <w:p w14:paraId="0000009C">
      <w:pPr>
        <w:rPr>
          <w:b/>
          <w:i/>
          <w:u w:val="single"/>
        </w:rPr>
      </w:pPr>
      <w:r>
        <w:rPr>
          <w:b/>
          <w:i/>
          <w:u w:val="single"/>
          <w:rtl w:val="off"/>
        </w:rPr>
        <w:t>Evaluation and Strategic Implications</w:t>
      </w:r>
    </w:p>
    <w:p w14:paraId="0000009D">
      <w:r>
        <w:rPr>
          <w:rtl w:val="off"/>
        </w:rPr>
        <w:t>Morrison is benefited by both ways of thinking, but they work in their own unique ways. The 8-step plan by the coater can help with strategic reforms such as digital changes and supply chain automation. It gives a disciplined and leadership way to do things. Lewin's plan ensures that workers are mentally and culturally more traditional and people-focused businesses (Benghezal and Izadi, 2022).</w:t>
      </w:r>
    </w:p>
    <w:p w14:paraId="0000009E">
      <w:r>
        <w:rPr>
          <w:rtl w:val="off"/>
        </w:rPr>
        <w:t>Morrisons can put these principles into action by combining these two models. Lewin's model can control the phase of preparation and cultural alignment, while Kotter’s stages can direct the scaling, communication and implementation of digital initiatives (Morrison, 2022). Morrisons can successfully manage the operations and human components of changes with this integrated strategy, which guarantees permanent changes in a retail environment that is always changing.</w:t>
      </w:r>
    </w:p>
    <w:p w14:paraId="0000009F">
      <w:pPr>
        <w:pStyle w:val="Heading1"/>
        <w:rPr/>
      </w:pPr>
      <w:bookmarkStart w:id="8" w:name="_heading=h.qfr32boqy3y3"/>
      <w:bookmarkEnd w:id="8"/>
      <w:r>
        <w:rPr>
          <w:rtl w:val="off"/>
        </w:rPr>
        <w:t>T</w:t>
      </w:r>
      <w:r>
        <w:rPr>
          <w:rtl w:val="off"/>
        </w:rPr>
        <w:t>he way the change was managed and how leadership played a role therein by applying a leadership style or approach</w:t>
      </w:r>
    </w:p>
    <w:p w14:paraId="000000A0">
      <w:pPr>
        <w:rPr>
          <w:b/>
          <w:i/>
        </w:rPr>
      </w:pPr>
      <w:r>
        <w:rPr>
          <w:b/>
          <w:i/>
          <w:rtl w:val="off"/>
        </w:rPr>
        <w:t>Reference to the change in Morrison</w:t>
      </w:r>
    </w:p>
    <w:p w14:paraId="000000A1">
      <w:r>
        <w:rPr>
          <w:rtl w:val="off"/>
        </w:rPr>
        <w:t>Morrison, one of the largest supermarket groups in the UK, had to make a lot of changes, as discount stores like Aldi and Lidl were becoming more popular and wanted to buy more grocery items online. The company updated its store, added more digital services, and strengthened its supply chain to adjust. To ensure that everyone in the company was on the same page with these strategic changes, strong leadership and good management were required.</w:t>
      </w:r>
    </w:p>
    <w:p w14:paraId="000000A2">
      <w:pPr>
        <w:jc w:val="center"/>
        <w:rPr/>
      </w:pPr>
      <w:r>
        <w:rPr/>
        <w:drawing xmlns:mc="http://schemas.openxmlformats.org/markup-compatibility/2006">
          <wp:inline distT="0" distB="0" distL="0" distR="0">
            <wp:extent cx="5948660" cy="2729116"/>
            <wp:effectExtent l="0" t="0" r="0" b="0"/>
            <wp:docPr id="1971350792"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1350785" name="image7.png"/>
                    <pic:cNvPicPr preferRelativeResize="0"/>
                  </pic:nvPicPr>
                  <pic:blipFill>
                    <a:blip r:embed="rId30"/>
                    <a:srcRect/>
                    <a:stretch>
                      <a:fillRect/>
                    </a:stretch>
                  </pic:blipFill>
                  <pic:spPr>
                    <a:xfrm>
                      <a:off x="0" y="0"/>
                      <a:ext cx="5948660" cy="2729116"/>
                    </a:xfrm>
                    <a:prstGeom prst="rect">
                      <a:avLst/>
                    </a:prstGeom>
                  </pic:spPr>
                </pic:pic>
              </a:graphicData>
            </a:graphic>
          </wp:inline>
        </w:drawing>
      </w:r>
    </w:p>
    <w:p w14:paraId="000000A3">
      <w:pPr>
        <w:jc w:val="center"/>
        <w:rPr/>
      </w:pPr>
      <w:r>
        <w:rPr>
          <w:rtl w:val="off"/>
        </w:rPr>
        <w:t>Figure: The role of leadership in change</w:t>
      </w:r>
    </w:p>
    <w:p w14:paraId="000000A4">
      <w:pPr>
        <w:jc w:val="center"/>
        <w:rPr/>
      </w:pPr>
      <w:r>
        <w:rPr>
          <w:rtl w:val="off"/>
        </w:rPr>
        <w:t>Source: (Musaigwa, 2023)</w:t>
      </w:r>
    </w:p>
    <w:p w14:paraId="000000A5">
      <w:pPr>
        <w:rPr>
          <w:b/>
          <w:i/>
        </w:rPr>
      </w:pPr>
      <w:r>
        <w:rPr>
          <w:b/>
          <w:i/>
          <w:rtl w:val="off"/>
        </w:rPr>
        <w:t>Leadership style: Transformative leadership</w:t>
      </w:r>
    </w:p>
    <w:p w14:paraId="000000A6">
      <w:r>
        <w:rPr>
          <w:rtl w:val="off"/>
        </w:rPr>
        <w:t>If people want to understand how Morrison is changing, then they should see it through the lens of transformative leadership (Musaigwa, 2023). This method of leading focuses on vision, inspiration, and motivation, which helps workers to stay open to new ideas and adjust the new directions of the organisation. The Morrison leaders wanted to convert the company into a more dynamic and customer-focused business from a standard supermarket. This change will depend on motivating employees and changing the company's culture.</w:t>
      </w:r>
    </w:p>
    <w:p w14:paraId="000000A7">
      <w:pPr>
        <w:rPr>
          <w:b/>
          <w:i/>
        </w:rPr>
      </w:pPr>
      <w:r>
        <w:rPr>
          <w:b/>
          <w:i/>
          <w:rtl w:val="off"/>
        </w:rPr>
        <w:t>Role of leadership in vision and direction</w:t>
      </w:r>
    </w:p>
    <w:p w14:paraId="000000A8">
      <w:r>
        <w:rPr>
          <w:rtl w:val="off"/>
        </w:rPr>
        <w:t>The leaders of Morrison had a clear strategic goal that included better for customers, making prices more competitive, and embracing digital innovation. This direction seen towards the future ensures that workers know why the company is changing. Transforming leaders gave teams a sense of long-term viability, allowing them to focus on large goals rather than short-term problems.</w:t>
      </w:r>
    </w:p>
    <w:p w14:paraId="000000A9">
      <w:pPr>
        <w:rPr>
          <w:b/>
          <w:i/>
        </w:rPr>
      </w:pPr>
      <w:r>
        <w:rPr>
          <w:b/>
          <w:i/>
          <w:rtl w:val="off"/>
        </w:rPr>
        <w:t>Employee connect and inspiration</w:t>
      </w:r>
    </w:p>
    <w:p w14:paraId="000000AA">
      <w:r>
        <w:rPr>
          <w:rtl w:val="off"/>
        </w:rPr>
        <w:t>The leaders actively engaged the employees during the change process to talk to them and involve them. Employees were told that they should be an active partner in change, not only inactive receivers of new rules (Jaroliya and Gyanchandani, 2022). The leaders kept the workers inspired by recognising their hard work, promoting morale, and showing them how important their jobs were for the future success of the company. This method made people less resistant to change and more committed to the new direction.</w:t>
      </w:r>
    </w:p>
    <w:p w14:paraId="000000AB">
      <w:pPr>
        <w:rPr>
          <w:b/>
          <w:i/>
        </w:rPr>
      </w:pPr>
      <w:r>
        <w:rPr>
          <w:b/>
          <w:i/>
          <w:rtl w:val="off"/>
        </w:rPr>
        <w:t>Innovation and change power</w:t>
      </w:r>
    </w:p>
    <w:p w14:paraId="000000AC">
      <w:r>
        <w:rPr>
          <w:rtl w:val="off"/>
        </w:rPr>
        <w:t>Morrison leaders laid great emphasis on coming up with new ideas. Leaders pushed for customers to use digital tools and partner with delivery services to make things easier. The transformational leadership helped the company to adapt to technical solutions, which strengthened it in the face of economic and competitive pressures.</w:t>
      </w:r>
    </w:p>
    <w:p w14:paraId="000000AD">
      <w:pPr>
        <w:rPr>
          <w:b/>
          <w:i/>
        </w:rPr>
      </w:pPr>
      <w:r>
        <w:rPr>
          <w:b/>
          <w:i/>
          <w:rtl w:val="off"/>
        </w:rPr>
        <w:t>Challenges in leadership and change</w:t>
      </w:r>
    </w:p>
    <w:p w14:paraId="000000AE">
      <w:r>
        <w:rPr>
          <w:rtl w:val="off"/>
        </w:rPr>
        <w:t>Even with all these efforts, the process did not happen smoothly. The fast pace of digital change made things difficult for workers, who required more help and training. Leaders sometimes have trouble balancing the need to spend on innovation over long periods with the need to cut costs in the short term. These problems showed how difficult it is to use innovative leadership in settings with some resources and lots of competition.</w:t>
      </w:r>
    </w:p>
    <w:p w14:paraId="000000AF">
      <w:pPr>
        <w:rPr>
          <w:b/>
          <w:i/>
        </w:rPr>
      </w:pPr>
      <w:r>
        <w:rPr>
          <w:b/>
          <w:i/>
          <w:rtl w:val="off"/>
        </w:rPr>
        <w:t>Effect of leadership on results</w:t>
      </w:r>
    </w:p>
    <w:p w14:paraId="000000B0">
      <w:r>
        <w:rPr>
          <w:rtl w:val="off"/>
        </w:rPr>
        <w:t>The transformational leadership created a big difference in how well Morrison adapted to change. The company became more competitive, improved its digital skills, and boosted its employees' morale (Ojogiwa, 2021). The leaders were very important in ensuring that the change went beyond a small adjustment to operations and became part of the company's culture. This change in culture towards flexibility and new ideas has been very important for Morrison to be relevant in a retail world that is always changing.</w:t>
      </w:r>
    </w:p>
    <w:p w14:paraId="000000B1">
      <w:pPr>
        <w:pStyle w:val="Heading1"/>
        <w:rPr/>
      </w:pPr>
      <w:bookmarkStart w:id="9" w:name="_heading=h.7s6q6gf0vq47"/>
      <w:bookmarkEnd w:id="9"/>
      <w:r>
        <w:rPr>
          <w:rtl w:val="off"/>
        </w:rPr>
        <w:t>E</w:t>
      </w:r>
      <w:r>
        <w:rPr>
          <w:rtl w:val="off"/>
        </w:rPr>
        <w:t>valuating the impact of organisational culture on the change management programme</w:t>
      </w:r>
    </w:p>
    <w:p w14:paraId="000000B2">
      <w:pPr>
        <w:rPr>
          <w:b/>
          <w:i/>
        </w:rPr>
      </w:pPr>
      <w:r>
        <w:rPr>
          <w:b/>
          <w:i/>
          <w:rtl w:val="off"/>
        </w:rPr>
        <w:t>Nature of Morrison's organisational culture</w:t>
      </w:r>
    </w:p>
    <w:p w14:paraId="000000B3">
      <w:r>
        <w:rPr>
          <w:rtl w:val="off"/>
        </w:rPr>
        <w:t>In the past, Morrison has been a strong culture based on traditional retail values ​​that focus on quality, customer service, and loyalty. The company has a long history of security and continuity. It began as a family-owned business and is now one of the largest supermarket chains in the UK. This highly vested identity affected how the employees and managers first saw the change, causing both strengths and weaknesses in the company's journey of change.</w:t>
      </w:r>
    </w:p>
    <w:p w14:paraId="000000B4">
      <w:pPr>
        <w:jc w:val="center"/>
        <w:rPr/>
      </w:pPr>
      <w:r>
        <w:rPr/>
        <w:drawing xmlns:mc="http://schemas.openxmlformats.org/markup-compatibility/2006">
          <wp:inline distT="0" distB="0" distL="0" distR="0">
            <wp:extent cx="5797756" cy="3259628"/>
            <wp:effectExtent l="0" t="0" r="0" b="0"/>
            <wp:docPr id="1971350793"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1350786" name="image5.png"/>
                    <pic:cNvPicPr preferRelativeResize="0"/>
                  </pic:nvPicPr>
                  <pic:blipFill>
                    <a:blip r:embed="rId31"/>
                    <a:srcRect/>
                    <a:stretch>
                      <a:fillRect/>
                    </a:stretch>
                  </pic:blipFill>
                  <pic:spPr>
                    <a:xfrm>
                      <a:off x="0" y="0"/>
                      <a:ext cx="5797756" cy="3259628"/>
                    </a:xfrm>
                    <a:prstGeom prst="rect">
                      <a:avLst/>
                    </a:prstGeom>
                  </pic:spPr>
                </pic:pic>
              </a:graphicData>
            </a:graphic>
          </wp:inline>
        </w:drawing>
      </w:r>
    </w:p>
    <w:p w14:paraId="000000B5">
      <w:pPr>
        <w:jc w:val="center"/>
        <w:rPr/>
      </w:pPr>
      <w:r>
        <w:rPr>
          <w:rtl w:val="off"/>
        </w:rPr>
        <w:t>Figure: The role of organisational culture</w:t>
      </w:r>
    </w:p>
    <w:p w14:paraId="000000B6">
      <w:pPr>
        <w:jc w:val="center"/>
        <w:rPr/>
      </w:pPr>
      <w:r>
        <w:rPr>
          <w:rtl w:val="off"/>
        </w:rPr>
        <w:t>Source: (Zulu, 2021)</w:t>
      </w:r>
    </w:p>
    <w:p w14:paraId="000000B7">
      <w:pPr>
        <w:rPr>
          <w:b/>
          <w:i/>
        </w:rPr>
      </w:pPr>
      <w:r>
        <w:rPr>
          <w:b/>
          <w:i/>
          <w:rtl w:val="off"/>
        </w:rPr>
        <w:t>Culture as a way to fight back</w:t>
      </w:r>
    </w:p>
    <w:p w14:paraId="000000B8">
      <w:r>
        <w:rPr>
          <w:rtl w:val="off"/>
        </w:rPr>
        <w:t>One of the biggest impacts of organisational culture on Morrison's plans to manage change did not want to digitise people (Zulu and Khosrowshahi, 2021). Many workers were used to using old-fashioned ways in shops and found it difficult to use online shopping and delivery services. This shows how an established society can slow down new ideas when it is very rigid. Some employees did not want to use new techniques, which slowed down the company's digital adoption compared to rivals such as Aldi, Lidl, and Ocado, which were more flexible.</w:t>
      </w:r>
    </w:p>
    <w:p w14:paraId="000000B9">
      <w:pPr>
        <w:rPr>
          <w:b/>
          <w:i/>
        </w:rPr>
      </w:pPr>
      <w:r>
        <w:rPr>
          <w:b/>
          <w:i/>
          <w:rtl w:val="off"/>
        </w:rPr>
        <w:t>A culture that supports changes for customers</w:t>
      </w:r>
    </w:p>
    <w:p w14:paraId="000000BA">
      <w:r>
        <w:rPr>
          <w:rtl w:val="off"/>
        </w:rPr>
        <w:t>On the other hand, Morrison's attitude of customer service supported the efforts of change that were to improve shopping. The shops were in line with their values ​​of quality and community participation to update, make them easier to use, and provide a fair price. When Morrison added more fresh produce and bakery items in his "Market Street" section, for example, he was happy with labour changes because they fit with his culture and service.</w:t>
      </w:r>
    </w:p>
    <w:p w14:paraId="000000BB">
      <w:pPr>
        <w:rPr>
          <w:b/>
          <w:i/>
        </w:rPr>
      </w:pPr>
      <w:r>
        <w:rPr>
          <w:b/>
          <w:i/>
          <w:rtl w:val="off"/>
        </w:rPr>
        <w:t>Employment impact on employee engagement</w:t>
      </w:r>
    </w:p>
    <w:p w14:paraId="000000BC">
      <w:r>
        <w:rPr>
          <w:rtl w:val="off"/>
        </w:rPr>
        <w:t>The level of participation of the employee during the change program was also affected by the culture of the organisation. Morrison created a sense of loyalty and long-term identity, helping the leaders bring people to the board with their plans when they explained the change in the expansion of existing ideals rather than a departure. When changes were explained in terms of improvement in quality of service, which is a main cultural value, the employees were more inclined to participate (Montero Guerra and Danvila-Del Valle, 2024). However, when things changed, which started going against this identity, such as cost-cutting measures based on efficiency, confidence often fell.</w:t>
      </w:r>
    </w:p>
    <w:p w14:paraId="000000BD">
      <w:pPr>
        <w:rPr>
          <w:b/>
          <w:i/>
        </w:rPr>
      </w:pPr>
      <w:r>
        <w:rPr>
          <w:b/>
          <w:i/>
          <w:rtl w:val="off"/>
        </w:rPr>
        <w:t>Adaptability and new ideas</w:t>
      </w:r>
    </w:p>
    <w:p w14:paraId="000000BE">
      <w:r>
        <w:rPr>
          <w:rtl w:val="off"/>
        </w:rPr>
        <w:t>Morrison's ability to come up with new ideas was greatly influenced by culture. In the past, society gave importance to tradition and stability. However, as the leaders pushed for new ideas, people had to become more flexible. As an example, Morrison was quickly replaced during the COVID-19 epidemic by forming a team to offer more home delivery services. This showed that the culture could change, even though it was first conservative, when the leaders added new ideas to help the customers in their neighbourhood with the main ideals of the company.</w:t>
      </w:r>
    </w:p>
    <w:p w14:paraId="000000BF">
      <w:pPr>
        <w:rPr>
          <w:b/>
          <w:i/>
        </w:rPr>
      </w:pPr>
      <w:r>
        <w:rPr>
          <w:b/>
          <w:i/>
          <w:rtl w:val="off"/>
        </w:rPr>
        <w:t>Problems with the alignment of cultures</w:t>
      </w:r>
    </w:p>
    <w:p w14:paraId="000000C0">
      <w:r>
        <w:rPr>
          <w:rtl w:val="off"/>
        </w:rPr>
        <w:t>To ensure that the culture was one of the most difficult things to fit with strategic goals. Even a thought-out change program can fail if they do not fit with the culture. The cultural attention of Morrison on history and tradition collides with the need to quickly respond to digital changes (Lerutla and Steyn, 2022). The leaders had to stop this gap by encouraging people to be flexible and always search for ways to do things better. This shows how important the alignment of culture is to managing change well.</w:t>
      </w:r>
    </w:p>
    <w:p w14:paraId="000000C1">
      <w:pPr>
        <w:rPr>
          <w:b/>
          <w:i/>
        </w:rPr>
      </w:pPr>
      <w:r>
        <w:rPr>
          <w:b/>
          <w:i/>
          <w:rtl w:val="off"/>
        </w:rPr>
        <w:t>Overall impact</w:t>
      </w:r>
    </w:p>
    <w:p w14:paraId="000000C2">
      <w:r>
        <w:rPr>
          <w:rtl w:val="off"/>
        </w:rPr>
        <w:t>The overall impact of organisational culture on Morrison's attempt to change was doubled. It created a basis for loyalty, service, and commitment, which supported the customer-focused efforts, but it also created people to fight new ideas that threatened the status quo. Finally, the culture impressed both of them with how quickly and effectively things changed. This means that it is very important for leaders to reopen and align cultural beliefs with strategy.</w:t>
      </w:r>
    </w:p>
    <w:p w14:paraId="000000C3">
      <w:pPr>
        <w:pStyle w:val="Heading1"/>
        <w:rPr/>
      </w:pPr>
      <w:bookmarkStart w:id="10" w:name="_heading=h.j4hxzidpj2e6"/>
      <w:bookmarkEnd w:id="10"/>
      <w:r>
        <w:rPr/>
        <w:br w:type="page"/>
      </w:r>
    </w:p>
    <w:p w14:paraId="000000C4">
      <w:pPr>
        <w:pStyle w:val="Heading1"/>
        <w:rPr/>
      </w:pPr>
      <w:bookmarkStart w:id="11" w:name="_heading=h.3iby2zyileje"/>
      <w:bookmarkEnd w:id="11"/>
      <w:r>
        <w:rPr>
          <w:rtl w:val="off"/>
        </w:rPr>
        <w:t>D</w:t>
      </w:r>
      <w:r>
        <w:rPr>
          <w:rtl w:val="off"/>
        </w:rPr>
        <w:t>eveloping a suitable change management plan for Morrisons</w:t>
      </w:r>
    </w:p>
    <w:p w14:paraId="000000C5">
      <w:pPr>
        <w:rPr>
          <w:b/>
          <w:i/>
          <w:u w:val="single"/>
        </w:rPr>
      </w:pPr>
      <w:r>
        <w:rPr>
          <w:b/>
          <w:i/>
          <w:u w:val="single"/>
          <w:rtl w:val="off"/>
        </w:rPr>
        <w:t>Proposed change</w:t>
      </w:r>
    </w:p>
    <w:p w14:paraId="000000C6">
      <w:r>
        <w:rPr>
          <w:rtl w:val="off"/>
        </w:rPr>
        <w:t>Discount stores give a lot of competition to Morrison, and the company has greater pressure to develop its digital and online services. The suggested change is to incorporate completely state-of-the-art digital retail technology, such as AI-managed demand forecast, better online delivery system, and construction of a customer loyalty app (Alvesson and Sveningsson, 2024). The goal of this change is to make the company more competitive, improve customer experience, and run operations more smoothly.</w:t>
      </w:r>
    </w:p>
    <w:p w14:paraId="000000C7">
      <w:pPr>
        <w:rPr>
          <w:b/>
          <w:i/>
          <w:u w:val="single"/>
        </w:rPr>
      </w:pPr>
      <w:r>
        <w:rPr>
          <w:b/>
          <w:i/>
          <w:u w:val="single"/>
          <w:rtl w:val="off"/>
        </w:rPr>
        <w:t>Clear objective</w:t>
      </w:r>
    </w:p>
    <w:p w14:paraId="000000C8">
      <w:r>
        <w:rPr>
          <w:rtl w:val="off"/>
        </w:rPr>
        <w:t>1. The goals can be measured and correspond to the strategic goals of Morrison; the change will guide the program.</w:t>
      </w:r>
    </w:p>
    <w:p w14:paraId="000000C9">
      <w:r>
        <w:rPr>
          <w:rtl w:val="off"/>
        </w:rPr>
        <w:t>2. By strengthening online and mobile shopping sites, people can increase digital sales by 20% in two years.</w:t>
      </w:r>
    </w:p>
    <w:p w14:paraId="000000CA">
      <w:r>
        <w:rPr>
          <w:rtl w:val="off"/>
        </w:rPr>
        <w:t>3. By putting an individual award app, people can get 15% more loyal customers in the first year.</w:t>
      </w:r>
    </w:p>
    <w:p w14:paraId="000000CB">
      <w:r>
        <w:rPr>
          <w:rtl w:val="off"/>
        </w:rPr>
        <w:t>4. Use AI-powered forecasting and automation tools up to 10% to cut waste in the supply chain.</w:t>
      </w:r>
    </w:p>
    <w:p w14:paraId="000000CC">
      <w:r>
        <w:rPr>
          <w:rtl w:val="off"/>
        </w:rPr>
        <w:t>5. Keep the cost low to compete with cheap stores, and keep a good name for Morrison for quality and service.</w:t>
      </w:r>
    </w:p>
    <w:p w14:paraId="000000CD">
      <w:r>
        <w:rPr>
          <w:rtl w:val="off"/>
        </w:rPr>
        <w:t>6. These goals ensure that the change attacks a mixture between being profitable, keeping the customer first, and running the business more efficiently.</w:t>
      </w:r>
    </w:p>
    <w:p w14:paraId="000000CE">
      <w:pPr>
        <w:rPr>
          <w:b/>
          <w:i/>
          <w:u w:val="single"/>
        </w:rPr>
      </w:pPr>
      <w:r>
        <w:rPr>
          <w:b/>
          <w:i/>
          <w:u w:val="single"/>
          <w:rtl w:val="off"/>
        </w:rPr>
        <w:t>Financial plan</w:t>
      </w:r>
    </w:p>
    <w:p w14:paraId="000000CF">
      <w:r>
        <w:rPr>
          <w:rtl w:val="off"/>
        </w:rPr>
        <w:t>The budget plan ensures that the plan for change is both attainable and long-lasting.</w:t>
      </w:r>
    </w:p>
    <w:p w14:paraId="000000D0">
      <w:r>
        <w:rPr>
          <w:b/>
          <w:i/>
          <w:rtl w:val="off"/>
        </w:rPr>
        <w:t>Initial investment:</w:t>
      </w:r>
      <w:r>
        <w:rPr>
          <w:rtl w:val="off"/>
        </w:rPr>
        <w:t xml:space="preserve"> In the next three years, around £120 million will be given. In this amount, £ 50 million will go to £40 million for digital infrastructure, £40 million for shipping and delivery participation, and £30 million for marketing and training for employees (Phillips and Klein, 2023).</w:t>
      </w:r>
    </w:p>
    <w:p w14:paraId="000000D1">
      <w:r>
        <w:rPr>
          <w:b/>
          <w:i/>
          <w:rtl w:val="off"/>
        </w:rPr>
        <w:t>Cost Control:</w:t>
      </w:r>
      <w:r>
        <w:rPr>
          <w:rtl w:val="off"/>
        </w:rPr>
        <w:t xml:space="preserve"> Investment will spread over time, with pilot projects in some areas to test digital systems before being used across the country. This will reduce the chances of failure.</w:t>
      </w:r>
    </w:p>
    <w:p w14:paraId="000000D2">
      <w:r>
        <w:rPr>
          <w:b/>
          <w:i/>
          <w:rtl w:val="off"/>
        </w:rPr>
        <w:t>Revenue growth:</w:t>
      </w:r>
      <w:r>
        <w:rPr>
          <w:rtl w:val="off"/>
        </w:rPr>
        <w:t xml:space="preserve"> Better online sales and customers are expected to continue for a long time. After three years, it is expected to bring an additional £200 million per year.</w:t>
      </w:r>
    </w:p>
    <w:p w14:paraId="000000D3">
      <w:r>
        <w:rPr>
          <w:b/>
          <w:i/>
          <w:rtl w:val="off"/>
        </w:rPr>
        <w:t>Cost Savings:</w:t>
      </w:r>
      <w:r>
        <w:rPr>
          <w:rtl w:val="off"/>
        </w:rPr>
        <w:t xml:space="preserve"> An AI-managed forecast will cut the problems of waste and stock, making the company save 25 million pounds per year.</w:t>
      </w:r>
    </w:p>
    <w:p w14:paraId="000000D4">
      <w:r>
        <w:rPr>
          <w:rtl w:val="off"/>
        </w:rPr>
        <w:t>This step-by-step method can be seen in the previous partnership of Morrison with Deliveroo during the epidemic. Small pilots helped to see if the partnership would work before rolling out for more people (Errida and Lotfi, 2021).</w:t>
      </w:r>
    </w:p>
    <w:p w14:paraId="000000D5">
      <w:pPr>
        <w:rPr>
          <w:b/>
          <w:i/>
          <w:u w:val="single"/>
        </w:rPr>
      </w:pPr>
      <w:r>
        <w:rPr>
          <w:b/>
          <w:i/>
          <w:u w:val="single"/>
          <w:rtl w:val="off"/>
        </w:rPr>
        <w:t>Plan for communication</w:t>
      </w:r>
    </w:p>
    <w:p w14:paraId="000000D6">
      <w:r>
        <w:rPr>
          <w:rtl w:val="off"/>
        </w:rPr>
        <w:t>Change can only work when everyone talks to each other in an open and regular way.</w:t>
      </w:r>
    </w:p>
    <w:p w14:paraId="000000D7">
      <w:r>
        <w:rPr>
          <w:b/>
          <w:i/>
          <w:rtl w:val="off"/>
        </w:rPr>
        <w:t>Internal Communication:</w:t>
      </w:r>
      <w:r>
        <w:rPr>
          <w:rtl w:val="off"/>
        </w:rPr>
        <w:t xml:space="preserve"> Employees will be regularly updated through the Town Hall meeting, email updates, and a private intranet page. Leaders will talk about how digital changes fit Morrison's customers with the values ​​of first insert. There will be training sessions to ensure that employees are comfortable with new methods.</w:t>
      </w:r>
    </w:p>
    <w:p w14:paraId="000000D8">
      <w:r>
        <w:rPr>
          <w:b/>
          <w:i/>
          <w:rtl w:val="off"/>
        </w:rPr>
        <w:t>Employee engagement:</w:t>
      </w:r>
      <w:r>
        <w:rPr>
          <w:rtl w:val="off"/>
        </w:rPr>
        <w:t xml:space="preserve"> The Middle Manager will make a way to implement change to get employees on board. Employees who adopt digital practices and push will be rewarded through programs that praise them.</w:t>
      </w:r>
    </w:p>
    <w:p w14:paraId="000000D9">
      <w:r>
        <w:rPr>
          <w:b/>
          <w:i/>
          <w:rtl w:val="off"/>
        </w:rPr>
        <w:t>External communication:</w:t>
      </w:r>
      <w:r>
        <w:rPr>
          <w:rtl w:val="off"/>
        </w:rPr>
        <w:t xml:space="preserve"> The benefits of new loyalty apps and online services will be shared with customers through marketing efforts, in-store promotion, and social media.</w:t>
      </w:r>
    </w:p>
    <w:p w14:paraId="000000DA">
      <w:r>
        <w:rPr>
          <w:b/>
          <w:i/>
          <w:rtl w:val="off"/>
        </w:rPr>
        <w:t>Updates for stakeholders:</w:t>
      </w:r>
      <w:r>
        <w:rPr>
          <w:rtl w:val="off"/>
        </w:rPr>
        <w:t xml:space="preserve"> Success will be reported every three months to help investors and suppliers rely on financial and strategic direction (Akpa et al., 2021).</w:t>
      </w:r>
    </w:p>
    <w:p w14:paraId="000000DB">
      <w:r>
        <w:rPr>
          <w:rtl w:val="off"/>
        </w:rPr>
        <w:t>For example, when Morrison expanded the "Market Street" in his stores, it informed how the change fit with its basic values ​​of quality and service. This helped both workers and customers support the move.</w:t>
      </w:r>
    </w:p>
    <w:p w14:paraId="000000DC">
      <w:pPr>
        <w:rPr>
          <w:b/>
          <w:i/>
          <w:u w:val="single"/>
        </w:rPr>
      </w:pPr>
      <w:r>
        <w:rPr>
          <w:b/>
          <w:i/>
          <w:u w:val="single"/>
          <w:rtl w:val="off"/>
        </w:rPr>
        <w:t>Plan for evaluation</w:t>
      </w:r>
    </w:p>
    <w:p w14:paraId="000000DD">
      <w:r>
        <w:rPr>
          <w:rtl w:val="off"/>
        </w:rPr>
        <w:t>A structured evaluation method will be used to find out how well the change program works.</w:t>
      </w:r>
    </w:p>
    <w:p w14:paraId="000000DE">
      <w:r>
        <w:rPr>
          <w:b/>
          <w:i/>
          <w:rtl w:val="off"/>
        </w:rPr>
        <w:t>Major performance indicators (KPI):</w:t>
      </w:r>
      <w:r>
        <w:rPr>
          <w:rtl w:val="off"/>
        </w:rPr>
        <w:t xml:space="preserve"> Things such as app download numbers, increase in digital sales, cost reduction in supply chain, and satisfaction scores of customers will be seen (Franklin, 2021).</w:t>
      </w:r>
    </w:p>
    <w:p w14:paraId="000000DF">
      <w:r>
        <w:rPr>
          <w:b/>
          <w:i/>
          <w:rtl w:val="off"/>
        </w:rPr>
        <w:t>Short-term review:</w:t>
      </w:r>
      <w:r>
        <w:rPr>
          <w:rtl w:val="off"/>
        </w:rPr>
        <w:t xml:space="preserve"> Pilot projects will be evaluated every three months so that changes can be made before the program is rolled out.</w:t>
      </w:r>
    </w:p>
    <w:p w14:paraId="000000E0">
      <w:r>
        <w:rPr>
          <w:b/>
          <w:i/>
          <w:rtl w:val="off"/>
        </w:rPr>
        <w:t>Response from employees:</w:t>
      </w:r>
      <w:r>
        <w:rPr>
          <w:rtl w:val="off"/>
        </w:rPr>
        <w:t xml:space="preserve"> To find out how to find and retain employees, surveys and focus groups will be held. More training and assistance will be based on what our team learn from these reviews.</w:t>
      </w:r>
    </w:p>
    <w:p w14:paraId="000000E1">
      <w:r>
        <w:rPr>
          <w:b/>
          <w:i/>
          <w:rtl w:val="off"/>
        </w:rPr>
        <w:t xml:space="preserve">Customer response: </w:t>
      </w:r>
      <w:r>
        <w:rPr>
          <w:rtl w:val="off"/>
        </w:rPr>
        <w:t>Information, online reviews about how apps are used, and choices will help to find out if digital services live up to their hopes.</w:t>
      </w:r>
    </w:p>
    <w:p w14:paraId="000000E2">
      <w:r>
        <w:rPr>
          <w:b/>
          <w:i/>
          <w:rtl w:val="off"/>
        </w:rPr>
        <w:t>Final Review:</w:t>
      </w:r>
      <w:r>
        <w:rPr>
          <w:rtl w:val="off"/>
        </w:rPr>
        <w:t xml:space="preserve"> If, after three years, the targets for money, operation, and culture are achieved, they will be seen by a third party (Sancak, 2023).</w:t>
      </w:r>
    </w:p>
    <w:p w14:paraId="000000E3">
      <w:r>
        <w:rPr>
          <w:rtl w:val="off"/>
        </w:rPr>
        <w:t>For example, Morrison's partnership with Amazon to bring groceries shows how customers used the service and how satisfied they were with it; it can be used to improve it.</w:t>
      </w:r>
    </w:p>
    <w:p w14:paraId="000000E4">
      <w:pPr>
        <w:rPr>
          <w:b/>
          <w:i/>
          <w:u w:val="single"/>
        </w:rPr>
      </w:pPr>
      <w:r>
        <w:rPr>
          <w:b/>
          <w:i/>
          <w:u w:val="single"/>
          <w:rtl w:val="off"/>
        </w:rPr>
        <w:t>Risk management</w:t>
      </w:r>
    </w:p>
    <w:p w14:paraId="000000E5">
      <w:r>
        <w:rPr>
          <w:rtl w:val="off"/>
        </w:rPr>
        <w:t>There are risks with every change, but they are particularly large when it comes to technology and society.</w:t>
      </w:r>
    </w:p>
    <w:p w14:paraId="000000E6">
      <w:r>
        <w:rPr>
          <w:b/>
          <w:i/>
          <w:rtl w:val="off"/>
        </w:rPr>
        <w:t>Resistance from employees:</w:t>
      </w:r>
      <w:r>
        <w:rPr>
          <w:rtl w:val="off"/>
        </w:rPr>
        <w:t xml:space="preserve"> Training and prizes will make employees less resistant to digital.</w:t>
      </w:r>
    </w:p>
    <w:p w14:paraId="000000E7">
      <w:r>
        <w:rPr>
          <w:b/>
          <w:i/>
          <w:rtl w:val="off"/>
        </w:rPr>
        <w:t>Cost Overrun:</w:t>
      </w:r>
      <w:r>
        <w:rPr>
          <w:rtl w:val="off"/>
        </w:rPr>
        <w:t xml:space="preserve"> The phased investment method is at risk before it grows.</w:t>
      </w:r>
    </w:p>
    <w:p w14:paraId="000000E8">
      <w:r>
        <w:rPr>
          <w:b/>
          <w:i/>
          <w:rtl w:val="off"/>
        </w:rPr>
        <w:t xml:space="preserve">Approval by customers: </w:t>
      </w:r>
      <w:r>
        <w:rPr>
          <w:rtl w:val="off"/>
        </w:rPr>
        <w:t>Marketing and rewards for loyalty will get customers to use new digital tools (Sancak, 2023).</w:t>
      </w:r>
    </w:p>
    <w:p w14:paraId="000000E9">
      <w:r>
        <w:rPr>
          <w:b/>
          <w:i/>
          <w:rtl w:val="off"/>
        </w:rPr>
        <w:t xml:space="preserve">Technical challenges: </w:t>
      </w:r>
      <w:r>
        <w:rPr>
          <w:rtl w:val="off"/>
        </w:rPr>
        <w:t>If people work with famous digital providers, the probability of system breakdown will be less.</w:t>
      </w:r>
    </w:p>
    <w:p w14:paraId="000000EA">
      <w:pPr>
        <w:spacing w:after="160"/>
        <w:jc w:val="left"/>
        <w:rPr>
          <w:b/>
          <w:sz w:val="28"/>
          <w:szCs w:val="28"/>
        </w:rPr>
      </w:pPr>
      <w:r>
        <w:rPr/>
        <w:br w:type="page"/>
      </w:r>
    </w:p>
    <w:p w14:paraId="000000EB">
      <w:pPr>
        <w:pStyle w:val="Heading1"/>
        <w:rPr/>
      </w:pPr>
      <w:bookmarkStart w:id="12" w:name="_heading=h.aloe2zoy7ep9"/>
      <w:bookmarkEnd w:id="12"/>
      <w:r>
        <w:rPr>
          <w:rtl w:val="off"/>
        </w:rPr>
        <w:t>C</w:t>
      </w:r>
      <w:r>
        <w:rPr>
          <w:rtl w:val="off"/>
        </w:rPr>
        <w:t>onclusion</w:t>
      </w:r>
    </w:p>
    <w:p w14:paraId="000000EC">
      <w:r>
        <w:rPr>
          <w:rtl w:val="off"/>
        </w:rPr>
        <w:t>The report has discussed Morrison as a top UK supermarket, going through its recent times and facing problems with external forces such as digital disintegration, online shopping, and AI. This saw how the leadership and culture of the company affect the results of strategic change and how the change management model could be used to help Morrison. In addition, it has given a good change management plan with clear goals, a budget, communication plans, and ways to evaluate the scheme. Further, the study suggests that to stay competitive for Morrison and achieve long-term success, they require strong leadership, cultural alignment, and a well-structured plan.</w:t>
      </w:r>
    </w:p>
    <w:p w14:paraId="000000ED">
      <w:pPr>
        <w:spacing w:after="160"/>
        <w:jc w:val="left"/>
        <w:rPr>
          <w:b/>
          <w:sz w:val="28"/>
          <w:szCs w:val="28"/>
        </w:rPr>
      </w:pPr>
      <w:r>
        <w:rPr/>
        <w:br w:type="page"/>
      </w:r>
    </w:p>
    <w:p w14:paraId="000000EE">
      <w:pPr>
        <w:pStyle w:val="Heading1"/>
        <w:rPr/>
      </w:pPr>
      <w:bookmarkStart w:id="13" w:name="_heading=h.clvfkvy5k5wo"/>
      <w:bookmarkEnd w:id="13"/>
      <w:r>
        <w:rPr>
          <w:rtl w:val="off"/>
        </w:rPr>
        <w:t>R</w:t>
      </w:r>
      <w:r>
        <w:rPr>
          <w:rtl w:val="off"/>
        </w:rPr>
        <w:t>eferences</w:t>
      </w:r>
    </w:p>
    <w:p w14:paraId="000000EF">
      <w:pPr>
        <w:spacing w:before="240" w:after="240"/>
        <w:rPr/>
      </w:pPr>
      <w:r>
        <w:rPr>
          <w:rtl w:val="off"/>
        </w:rPr>
        <w:t xml:space="preserve">Akpa, V.O., Asikhia, O.U. and Nneji, N.E., (2021). Organizational culture and organizational performance: A review of literature. </w:t>
      </w:r>
      <w:r>
        <w:rPr>
          <w:i/>
          <w:rtl w:val="off"/>
        </w:rPr>
        <w:t>International journal of advances in engineering and management</w:t>
      </w:r>
      <w:r>
        <w:rPr>
          <w:rtl w:val="off"/>
        </w:rPr>
        <w:t xml:space="preserve">, </w:t>
      </w:r>
      <w:r>
        <w:rPr>
          <w:i/>
          <w:rtl w:val="off"/>
        </w:rPr>
        <w:t>3</w:t>
      </w:r>
      <w:r>
        <w:rPr>
          <w:rtl w:val="off"/>
        </w:rPr>
        <w:t>(1), pp.361-372.</w:t>
      </w:r>
    </w:p>
    <w:p w14:paraId="000000F0">
      <w:pPr>
        <w:spacing w:before="240" w:after="240"/>
        <w:rPr/>
      </w:pPr>
      <w:r>
        <w:rPr>
          <w:rtl w:val="off"/>
        </w:rPr>
        <w:t xml:space="preserve">Alvesson, M. and Sveningsson, S., (2024). </w:t>
      </w:r>
      <w:r>
        <w:rPr>
          <w:i/>
          <w:rtl w:val="off"/>
        </w:rPr>
        <w:t>Changing organizational culture: Cultural change work in progress</w:t>
      </w:r>
      <w:r>
        <w:rPr>
          <w:rtl w:val="off"/>
        </w:rPr>
        <w:t>. Routledge.</w:t>
      </w:r>
    </w:p>
    <w:p w14:paraId="000000F1">
      <w:pPr>
        <w:spacing w:before="240" w:after="240"/>
        <w:rPr/>
      </w:pPr>
      <w:r>
        <w:rPr>
          <w:rtl w:val="off"/>
        </w:rPr>
        <w:t xml:space="preserve">Beevers, L., Bedinger, M., McClymont, K., Morrison, D., Aitken, G. and Visser-Quinn, A., (2022). Modelling systemic COVID-19 impacts in cities. </w:t>
      </w:r>
      <w:r>
        <w:rPr>
          <w:i/>
          <w:rtl w:val="off"/>
        </w:rPr>
        <w:t>NPJ Urban Sustainability</w:t>
      </w:r>
      <w:r>
        <w:rPr>
          <w:rtl w:val="off"/>
        </w:rPr>
        <w:t xml:space="preserve">, </w:t>
      </w:r>
      <w:r>
        <w:rPr>
          <w:i/>
          <w:rtl w:val="off"/>
        </w:rPr>
        <w:t>2</w:t>
      </w:r>
      <w:r>
        <w:rPr>
          <w:rtl w:val="off"/>
        </w:rPr>
        <w:t>(1), p.17.</w:t>
      </w:r>
    </w:p>
    <w:p w14:paraId="000000F2">
      <w:pPr>
        <w:spacing w:before="240" w:after="240"/>
        <w:rPr/>
      </w:pPr>
      <w:r>
        <w:rPr>
          <w:rtl w:val="off"/>
        </w:rPr>
        <w:t>Benghezal, D. and Izadi, J., (2022). Exploring the impact of CSR strategy in food retail sector firms.</w:t>
      </w:r>
    </w:p>
    <w:p w14:paraId="000000F3">
      <w:pPr>
        <w:spacing w:before="240" w:after="240"/>
        <w:rPr/>
      </w:pPr>
      <w:r>
        <w:rPr>
          <w:rtl w:val="off"/>
        </w:rPr>
        <w:t xml:space="preserve">Cassidy, K.J., Grimsey, W. and Yostrakul, A., (2025). A new business model (BM) for small independent retailers. </w:t>
      </w:r>
      <w:r>
        <w:rPr>
          <w:i/>
          <w:rtl w:val="off"/>
        </w:rPr>
        <w:t>Journal of Place Management and Development</w:t>
      </w:r>
      <w:r>
        <w:rPr>
          <w:rtl w:val="off"/>
        </w:rPr>
        <w:t xml:space="preserve">, </w:t>
      </w:r>
      <w:r>
        <w:rPr>
          <w:i/>
          <w:rtl w:val="off"/>
        </w:rPr>
        <w:t>18</w:t>
      </w:r>
      <w:r>
        <w:rPr>
          <w:rtl w:val="off"/>
        </w:rPr>
        <w:t>(1), pp.116-134.</w:t>
      </w:r>
    </w:p>
    <w:p w14:paraId="000000F4">
      <w:pPr>
        <w:spacing w:before="240" w:after="240"/>
        <w:rPr/>
      </w:pPr>
      <w:r>
        <w:rPr>
          <w:rtl w:val="off"/>
        </w:rPr>
        <w:t xml:space="preserve">Doherty, A., Hoeber, L., Hoeber, O., Morrison, K.A. and Wolfe, R., (2025). The radicalness of innovation in nonprofit community sport organizations. </w:t>
      </w:r>
      <w:r>
        <w:rPr>
          <w:i/>
          <w:rtl w:val="off"/>
        </w:rPr>
        <w:t>Administrative Sciences</w:t>
      </w:r>
      <w:r>
        <w:rPr>
          <w:rtl w:val="off"/>
        </w:rPr>
        <w:t xml:space="preserve">, </w:t>
      </w:r>
      <w:r>
        <w:rPr>
          <w:i/>
          <w:rtl w:val="off"/>
        </w:rPr>
        <w:t>15</w:t>
      </w:r>
      <w:r>
        <w:rPr>
          <w:rtl w:val="off"/>
        </w:rPr>
        <w:t>(2), p.37.</w:t>
      </w:r>
    </w:p>
    <w:p w14:paraId="000000F5">
      <w:pPr>
        <w:spacing w:before="240" w:after="240"/>
        <w:rPr/>
      </w:pPr>
      <w:r>
        <w:rPr>
          <w:rtl w:val="off"/>
        </w:rPr>
        <w:t xml:space="preserve">Errida, A. and Lotfi, B., (2021). The determinants of organizational change management success: Literature review and case study. </w:t>
      </w:r>
      <w:r>
        <w:rPr>
          <w:i/>
          <w:rtl w:val="off"/>
        </w:rPr>
        <w:t>International Journal of Engineering Business Management</w:t>
      </w:r>
      <w:r>
        <w:rPr>
          <w:rtl w:val="off"/>
        </w:rPr>
        <w:t xml:space="preserve">, </w:t>
      </w:r>
      <w:r>
        <w:rPr>
          <w:i/>
          <w:rtl w:val="off"/>
        </w:rPr>
        <w:t>13</w:t>
      </w:r>
      <w:r>
        <w:rPr>
          <w:rtl w:val="off"/>
        </w:rPr>
        <w:t>, p.18479790211016273.</w:t>
      </w:r>
    </w:p>
    <w:p w14:paraId="000000F6">
      <w:pPr>
        <w:spacing w:before="240" w:after="240"/>
        <w:rPr/>
      </w:pPr>
      <w:r>
        <w:rPr>
          <w:rtl w:val="off"/>
        </w:rPr>
        <w:t xml:space="preserve">Franklin, M., (2021). </w:t>
      </w:r>
      <w:r>
        <w:rPr>
          <w:i/>
          <w:rtl w:val="off"/>
        </w:rPr>
        <w:t>Agile change management: A practical framework for successful change planning and implementation</w:t>
      </w:r>
      <w:r>
        <w:rPr>
          <w:rtl w:val="off"/>
        </w:rPr>
        <w:t>. Kogan Page Publishers.</w:t>
      </w:r>
    </w:p>
    <w:p w14:paraId="000000F7">
      <w:pPr>
        <w:spacing w:before="240" w:after="240"/>
        <w:rPr/>
      </w:pPr>
      <w:r>
        <w:rPr>
          <w:rtl w:val="off"/>
        </w:rPr>
        <w:t xml:space="preserve">Hagger, V., Worthington, T.A., Lovelock, C.E., Adame, M.F., Amano, T., Brown, B.M., Friess, D.A., Landis, E., Mumby, P.J., Morrison, T.H. and O’brien, K.R., (2022). Drivers of global mangrove loss and gain in social-ecological systems. </w:t>
      </w:r>
      <w:r>
        <w:rPr>
          <w:i/>
          <w:rtl w:val="off"/>
        </w:rPr>
        <w:t>Nature Communications</w:t>
      </w:r>
      <w:r>
        <w:rPr>
          <w:rtl w:val="off"/>
        </w:rPr>
        <w:t xml:space="preserve">, </w:t>
      </w:r>
      <w:r>
        <w:rPr>
          <w:i/>
          <w:rtl w:val="off"/>
        </w:rPr>
        <w:t>13</w:t>
      </w:r>
      <w:r>
        <w:rPr>
          <w:rtl w:val="off"/>
        </w:rPr>
        <w:t>(1), p.6373.</w:t>
      </w:r>
    </w:p>
    <w:p w14:paraId="000000F8">
      <w:pPr>
        <w:spacing w:before="240" w:after="240"/>
        <w:rPr/>
      </w:pPr>
      <w:r>
        <w:rPr>
          <w:rtl w:val="off"/>
        </w:rPr>
        <w:t xml:space="preserve">Jansen, J.O., Hudson, J., Cochran, C., MacLennan, G., Lendrum, R., Sadek, S., Gillies, K., Cotton, S., Kennedy, C., Boyers, D. and Ferry, G., (2023). Emergency department resuscitative endovascular balloon occlusion of the aorta in trauma patients with exsanguinating hemorrhage: the UK-REBOA randomized clinical trial. </w:t>
      </w:r>
      <w:r>
        <w:rPr>
          <w:i/>
          <w:rtl w:val="off"/>
        </w:rPr>
        <w:t>Jama</w:t>
      </w:r>
      <w:r>
        <w:rPr>
          <w:rtl w:val="off"/>
        </w:rPr>
        <w:t xml:space="preserve">, </w:t>
      </w:r>
      <w:r>
        <w:rPr>
          <w:i/>
          <w:rtl w:val="off"/>
        </w:rPr>
        <w:t>330</w:t>
      </w:r>
      <w:r>
        <w:rPr>
          <w:rtl w:val="off"/>
        </w:rPr>
        <w:t>(19), pp.1862-1871.</w:t>
      </w:r>
    </w:p>
    <w:p w14:paraId="000000F9">
      <w:pPr>
        <w:spacing w:before="240" w:after="240"/>
        <w:rPr/>
      </w:pPr>
      <w:r>
        <w:rPr>
          <w:rtl w:val="off"/>
        </w:rPr>
        <w:t xml:space="preserve">Jaroliya, D. and Gyanchandani, R., (2022). Transformational leadership style: a boost or hindrance to team performance in IT sector. </w:t>
      </w:r>
      <w:r>
        <w:rPr>
          <w:i/>
          <w:rtl w:val="off"/>
        </w:rPr>
        <w:t>Vilakshan-XIMB Journal of Management</w:t>
      </w:r>
      <w:r>
        <w:rPr>
          <w:rtl w:val="off"/>
        </w:rPr>
        <w:t xml:space="preserve">, </w:t>
      </w:r>
      <w:r>
        <w:rPr>
          <w:i/>
          <w:rtl w:val="off"/>
        </w:rPr>
        <w:t>19</w:t>
      </w:r>
      <w:r>
        <w:rPr>
          <w:rtl w:val="off"/>
        </w:rPr>
        <w:t>(1), pp.87-105.</w:t>
      </w:r>
    </w:p>
    <w:p w14:paraId="000000FA">
      <w:pPr>
        <w:spacing w:before="240" w:after="240"/>
        <w:rPr/>
      </w:pPr>
      <w:r>
        <w:rPr>
          <w:rtl w:val="off"/>
        </w:rPr>
        <w:t xml:space="preserve">Lerutla, M. and Steyn, R., (2022). Distinct leadership styles and differential effectiveness across culture: An analysis of South African business leaders. </w:t>
      </w:r>
      <w:r>
        <w:rPr>
          <w:i/>
          <w:rtl w:val="off"/>
        </w:rPr>
        <w:t>SA Journal of Human Resource Management</w:t>
      </w:r>
      <w:r>
        <w:rPr>
          <w:rtl w:val="off"/>
        </w:rPr>
        <w:t xml:space="preserve">, </w:t>
      </w:r>
      <w:r>
        <w:rPr>
          <w:i/>
          <w:rtl w:val="off"/>
        </w:rPr>
        <w:t>20</w:t>
      </w:r>
      <w:r>
        <w:rPr>
          <w:rtl w:val="off"/>
        </w:rPr>
        <w:t>, p.1957.</w:t>
      </w:r>
    </w:p>
    <w:p w14:paraId="000000FB">
      <w:pPr>
        <w:spacing w:before="240" w:after="240"/>
        <w:rPr/>
      </w:pPr>
      <w:r>
        <w:rPr>
          <w:rtl w:val="off"/>
        </w:rPr>
        <w:t xml:space="preserve">Montero Guerra, J.M. and Danvila-Del Valle, I., (2024). Exploring organizational change in the age of digital transformation and its impact on talent management: trends and challenges. </w:t>
      </w:r>
      <w:r>
        <w:rPr>
          <w:i/>
          <w:rtl w:val="off"/>
        </w:rPr>
        <w:t>Journal of Organizational Change Management</w:t>
      </w:r>
      <w:r>
        <w:rPr>
          <w:rtl w:val="off"/>
        </w:rPr>
        <w:t xml:space="preserve">, </w:t>
      </w:r>
      <w:r>
        <w:rPr>
          <w:i/>
          <w:rtl w:val="off"/>
        </w:rPr>
        <w:t>37</w:t>
      </w:r>
      <w:r>
        <w:rPr>
          <w:rtl w:val="off"/>
        </w:rPr>
        <w:t>(6), pp.1273-1294.</w:t>
      </w:r>
    </w:p>
    <w:p w14:paraId="000000FC">
      <w:pPr>
        <w:spacing w:before="240" w:after="240"/>
        <w:rPr/>
      </w:pPr>
      <w:r>
        <w:rPr>
          <w:rtl w:val="off"/>
        </w:rPr>
        <w:t xml:space="preserve">Morrison, R., (2022). </w:t>
      </w:r>
      <w:r>
        <w:rPr>
          <w:i/>
          <w:rtl w:val="off"/>
        </w:rPr>
        <w:t>Organizational Planning and Analysis: Building the Capability to Secure Business Performance</w:t>
      </w:r>
      <w:r>
        <w:rPr>
          <w:rtl w:val="off"/>
        </w:rPr>
        <w:t>. Kogan Page Publishers.</w:t>
      </w:r>
    </w:p>
    <w:p w14:paraId="000000FD">
      <w:pPr>
        <w:spacing w:before="240" w:after="240"/>
        <w:rPr/>
      </w:pPr>
      <w:r>
        <w:rPr>
          <w:rtl w:val="off"/>
        </w:rPr>
        <w:t xml:space="preserve">Morrisons, (2025). </w:t>
      </w:r>
      <w:r>
        <w:rPr>
          <w:i/>
          <w:rtl w:val="off"/>
        </w:rPr>
        <w:t xml:space="preserve">Morrisons. </w:t>
      </w:r>
      <w:r>
        <w:rPr>
          <w:rtl w:val="off"/>
        </w:rPr>
        <w:t xml:space="preserve">[Online] Available at: </w:t>
      </w:r>
      <w:r>
        <w:rPr>
          <w:u w:val="single"/>
          <w:rtl w:val="off"/>
        </w:rPr>
        <w:t>https://www.morrisons-corporate.com/about-us/</w:t>
      </w:r>
      <w:r>
        <w:rPr>
          <w:rtl w:val="off"/>
        </w:rPr>
        <w:t xml:space="preserve"> [Accessed 3 October 2025].</w:t>
      </w:r>
    </w:p>
    <w:p w14:paraId="000000FE">
      <w:pPr>
        <w:spacing w:before="240" w:after="240"/>
        <w:rPr/>
      </w:pPr>
      <w:r>
        <w:rPr>
          <w:rtl w:val="off"/>
        </w:rPr>
        <w:t xml:space="preserve">Musaigwa, M., (2023). The role of leadership in managing change. </w:t>
      </w:r>
      <w:r>
        <w:rPr>
          <w:i/>
          <w:rtl w:val="off"/>
        </w:rPr>
        <w:t>International review of management and marketing</w:t>
      </w:r>
      <w:r>
        <w:rPr>
          <w:rtl w:val="off"/>
        </w:rPr>
        <w:t xml:space="preserve">, </w:t>
      </w:r>
      <w:r>
        <w:rPr>
          <w:i/>
          <w:rtl w:val="off"/>
        </w:rPr>
        <w:t>13</w:t>
      </w:r>
      <w:r>
        <w:rPr>
          <w:rtl w:val="off"/>
        </w:rPr>
        <w:t>(6), p.1.</w:t>
      </w:r>
    </w:p>
    <w:p w14:paraId="000000FF">
      <w:pPr>
        <w:spacing w:before="240" w:after="240"/>
        <w:rPr/>
      </w:pPr>
      <w:r>
        <w:rPr>
          <w:rtl w:val="off"/>
        </w:rPr>
        <w:t xml:space="preserve">Ojogiwa, O.T., (2021). The crux of strategic leadership for a transformed public sector management in Nigeria. </w:t>
      </w:r>
      <w:r>
        <w:rPr>
          <w:i/>
          <w:rtl w:val="off"/>
        </w:rPr>
        <w:t>International Journal of Business and Management Studies</w:t>
      </w:r>
      <w:r>
        <w:rPr>
          <w:rtl w:val="off"/>
        </w:rPr>
        <w:t xml:space="preserve">, </w:t>
      </w:r>
      <w:r>
        <w:rPr>
          <w:i/>
          <w:rtl w:val="off"/>
        </w:rPr>
        <w:t>13</w:t>
      </w:r>
      <w:r>
        <w:rPr>
          <w:rtl w:val="off"/>
        </w:rPr>
        <w:t>(1), pp.83-96.</w:t>
      </w:r>
    </w:p>
    <w:p w14:paraId="00000100">
      <w:pPr>
        <w:spacing w:before="240" w:after="240"/>
        <w:rPr/>
      </w:pPr>
      <w:r>
        <w:rPr>
          <w:rtl w:val="off"/>
        </w:rPr>
        <w:t xml:space="preserve">Pantano, E., Pizzi, G. and Rogers, A., (2021). Who is interested in retail education? The (mis) match between the leading universities’ offerings and job demand in the UK. </w:t>
      </w:r>
      <w:r>
        <w:rPr>
          <w:i/>
          <w:rtl w:val="off"/>
        </w:rPr>
        <w:t>International Journal of Retail &amp; Distribution Management</w:t>
      </w:r>
      <w:r>
        <w:rPr>
          <w:rtl w:val="off"/>
        </w:rPr>
        <w:t xml:space="preserve">, </w:t>
      </w:r>
      <w:r>
        <w:rPr>
          <w:i/>
          <w:rtl w:val="off"/>
        </w:rPr>
        <w:t>49</w:t>
      </w:r>
      <w:r>
        <w:rPr>
          <w:rtl w:val="off"/>
        </w:rPr>
        <w:t>(3), pp.317-340.</w:t>
      </w:r>
    </w:p>
    <w:p w14:paraId="00000101">
      <w:pPr>
        <w:spacing w:before="240" w:after="240"/>
        <w:rPr/>
      </w:pPr>
      <w:r>
        <w:rPr>
          <w:rtl w:val="off"/>
        </w:rPr>
        <w:t xml:space="preserve">Parnell, J.A., Barrett, J.D. and Morrison, E.M., (2022). Leveraging organisational hierarchies and networks: reassessing strategic planning and strategic doing. </w:t>
      </w:r>
      <w:r>
        <w:rPr>
          <w:i/>
          <w:rtl w:val="off"/>
        </w:rPr>
        <w:t>International Journal of Management and Decision Making</w:t>
      </w:r>
      <w:r>
        <w:rPr>
          <w:rtl w:val="off"/>
        </w:rPr>
        <w:t xml:space="preserve">, </w:t>
      </w:r>
      <w:r>
        <w:rPr>
          <w:i/>
          <w:rtl w:val="off"/>
        </w:rPr>
        <w:t>21</w:t>
      </w:r>
      <w:r>
        <w:rPr>
          <w:rtl w:val="off"/>
        </w:rPr>
        <w:t>(4), pp.426-442.</w:t>
      </w:r>
    </w:p>
    <w:p w14:paraId="00000102">
      <w:pPr>
        <w:spacing w:before="240" w:after="240"/>
        <w:rPr/>
      </w:pPr>
      <w:r>
        <w:rPr>
          <w:rtl w:val="off"/>
        </w:rPr>
        <w:t xml:space="preserve">Phillips, J. and Klein, J.D., (2023). Change management: From theory to practice. </w:t>
      </w:r>
      <w:r>
        <w:rPr>
          <w:i/>
          <w:rtl w:val="off"/>
        </w:rPr>
        <w:t>TechTrends</w:t>
      </w:r>
      <w:r>
        <w:rPr>
          <w:rtl w:val="off"/>
        </w:rPr>
        <w:t xml:space="preserve">, </w:t>
      </w:r>
      <w:r>
        <w:rPr>
          <w:i/>
          <w:rtl w:val="off"/>
        </w:rPr>
        <w:t>67</w:t>
      </w:r>
      <w:r>
        <w:rPr>
          <w:rtl w:val="off"/>
        </w:rPr>
        <w:t>(1), pp.189-197.</w:t>
      </w:r>
    </w:p>
    <w:p w14:paraId="00000103">
      <w:pPr>
        <w:spacing w:before="240" w:after="240"/>
        <w:rPr/>
      </w:pPr>
      <w:r>
        <w:rPr>
          <w:rtl w:val="off"/>
        </w:rPr>
        <w:t xml:space="preserve">Sancak, I.E., (2023). Change management in sustainability transformation: A model for business organizations. </w:t>
      </w:r>
      <w:r>
        <w:rPr>
          <w:i/>
          <w:rtl w:val="off"/>
        </w:rPr>
        <w:t>Journal of Environmental Management</w:t>
      </w:r>
      <w:r>
        <w:rPr>
          <w:rtl w:val="off"/>
        </w:rPr>
        <w:t xml:space="preserve">, </w:t>
      </w:r>
      <w:r>
        <w:rPr>
          <w:i/>
          <w:rtl w:val="off"/>
        </w:rPr>
        <w:t>330</w:t>
      </w:r>
      <w:r>
        <w:rPr>
          <w:rtl w:val="off"/>
        </w:rPr>
        <w:t>, p.117165.</w:t>
      </w:r>
    </w:p>
    <w:p w14:paraId="00000104">
      <w:pPr>
        <w:spacing w:before="240" w:after="240"/>
        <w:rPr/>
      </w:pPr>
      <w:r>
        <w:rPr>
          <w:rtl w:val="off"/>
        </w:rPr>
        <w:t xml:space="preserve">Timba, R., Morrison, N. and Paine, G., (2025). A rapid-mapping methodology for local food environments, and associated health actions: the case of Penrith, Australia. </w:t>
      </w:r>
      <w:r>
        <w:rPr>
          <w:i/>
          <w:rtl w:val="off"/>
        </w:rPr>
        <w:t>Journal of Urbanism: International Research on Placemaking and Urban Sustainability</w:t>
      </w:r>
      <w:r>
        <w:rPr>
          <w:rtl w:val="off"/>
        </w:rPr>
        <w:t xml:space="preserve">, </w:t>
      </w:r>
      <w:r>
        <w:rPr>
          <w:i/>
          <w:rtl w:val="off"/>
        </w:rPr>
        <w:t>18</w:t>
      </w:r>
      <w:r>
        <w:rPr>
          <w:rtl w:val="off"/>
        </w:rPr>
        <w:t>(3), pp.373-392.</w:t>
      </w:r>
    </w:p>
    <w:p w14:paraId="00000105">
      <w:pPr>
        <w:spacing w:before="240" w:after="240"/>
        <w:rPr/>
      </w:pPr>
      <w:r>
        <w:rPr>
          <w:rtl w:val="off"/>
        </w:rPr>
        <w:t xml:space="preserve">Yang, Y., Barnes, H., Yang, B., Onofrei, G. and Nguyen, H., (2024). Food waste management for the UK grocery retail sector—a supply chain collaboration perspective. </w:t>
      </w:r>
      <w:r>
        <w:rPr>
          <w:i/>
          <w:rtl w:val="off"/>
        </w:rPr>
        <w:t>Production Planning &amp; Control</w:t>
      </w:r>
      <w:r>
        <w:rPr>
          <w:rtl w:val="off"/>
        </w:rPr>
        <w:t xml:space="preserve">, </w:t>
      </w:r>
      <w:r>
        <w:rPr>
          <w:i/>
          <w:rtl w:val="off"/>
        </w:rPr>
        <w:t>35</w:t>
      </w:r>
      <w:r>
        <w:rPr>
          <w:rtl w:val="off"/>
        </w:rPr>
        <w:t>(15), pp.1961-1974.</w:t>
      </w:r>
    </w:p>
    <w:p w14:paraId="00000106">
      <w:pPr>
        <w:spacing w:before="240" w:after="240"/>
        <w:rPr/>
      </w:pPr>
      <w:r>
        <w:rPr>
          <w:rtl w:val="off"/>
        </w:rPr>
        <w:t xml:space="preserve">Zulu, S.L. and Khosrowshahi, F., (2021). A taxonomy of digital leadership in the construction industry. </w:t>
      </w:r>
      <w:r>
        <w:rPr>
          <w:i/>
          <w:rtl w:val="off"/>
        </w:rPr>
        <w:t>Construction management and economics</w:t>
      </w:r>
      <w:r>
        <w:rPr>
          <w:rtl w:val="off"/>
        </w:rPr>
        <w:t xml:space="preserve">, </w:t>
      </w:r>
      <w:r>
        <w:rPr>
          <w:i/>
          <w:rtl w:val="off"/>
        </w:rPr>
        <w:t>39</w:t>
      </w:r>
      <w:r>
        <w:rPr>
          <w:rtl w:val="off"/>
        </w:rPr>
        <w:t>(7), pp.565-578.</w:t>
      </w:r>
    </w:p>
    <w:p w14:paraId="00000107">
      <w:pPr>
        <w:spacing w:before="240" w:after="240"/>
        <w:rPr/>
      </w:pPr>
    </w:p>
    <w:p w14:paraId="00000108"/>
    <w:sectPr>
      <w:headerReference w:type="default" r:id="rId32"/>
      <w:footerReference w:type="default" r:id="rId33"/>
      <w:pgSz w:w="12240" w:h="15840" w:orient="portrait"/>
      <w:pgMar w:top="1440" w:right="1440" w:bottom="1440" w:left="1440" w:header="720" w:footer="720"/>
      <w:pgNumType w:start="1"/>
      <w:titlePg/>
    </w:sectPr>
  </w:body>
</w:document>
</file>

<file path=word/fontTable.xml><?xml version="1.0" encoding="utf-8"?>
<w:fonts xmlns:r="http://schemas.openxmlformats.org/officeDocument/2006/relationships" xmlns:w="http://schemas.openxmlformats.org/wordprocessingml/2006/main">
  <w:font w:name="Times New Roman"/>
  <w:font w:name="Aptos"/>
  <w:font w:name="Play">
    <w:embedRegular w:fontKey="{00000000-0000-0000-0000-000000000000}" r:id="rId1" w:subsetted="0"/>
    <w:embedBold w:fontKey="{00000000-0000-0000-0000-000000000000}" r:id="rId2" w:subsetted="0"/>
  </w:font>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xmlns:wp14="http://schemas.microsoft.com/office/word/2010/wordprocessingDrawing" xmlns:wpi="http://schemas.microsoft.com/office/word/2010/wordprocessingInk" xmlns:aink="http://schemas.microsoft.com/office/drawing/2016/ink">
  <w:p w14:paraId="0000010A">
    <w:pPr>
      <w:keepNext w:val="off"/>
      <w:keepLines w:val="off"/>
      <w:pageBreakBefore w:val="off"/>
      <w:widowControl w:val="on"/>
      <w:pBdr>
        <w:top w:val="nil" w:sz="4" w:space="0"/>
        <w:left w:val="nil" w:sz="4" w:space="0"/>
        <w:bottom w:val="nil" w:sz="4" w:space="0"/>
        <w:right w:val="nil" w:sz="4" w:space="0"/>
        <w:between w:val="nil" w:sz="4" w:space="0"/>
      </w:pBdr>
      <w:shd w:val="clear" w:fill="auto"/>
      <w:tabs>
        <w:tab w:val="center" w:leader="none" w:pos="4680"/>
        <w:tab w:val="right" w:leader="none" w:pos="9360"/>
      </w:tabs>
      <w:spacing w:before="0" w:after="0" w:line="240" w:lineRule="auto"/>
      <w:ind w:left="0" w:right="0" w:firstLine="0"/>
      <w:jc w:val="right"/>
      <w:rPr>
        <w:rFonts w:ascii="Times New Roman" w:cs="Times New Roman" w:eastAsia="Times New Roman" w:hAnsi="Times New Roman"/>
        <w:b w:val="off"/>
        <w:i w:val="off"/>
        <w:smallCaps w:val="off"/>
        <w:color w:val="000000"/>
        <w:sz w:val="24"/>
        <w:szCs w:val="24"/>
        <w:u w:val="none"/>
        <w:shd w:val="clear" w:fill="auto"/>
        <w:vertAlign w:val="baseline"/>
      </w:rPr>
    </w:pPr>
    <w:r>
      <w:rPr>
        <w:rFonts w:ascii="Times New Roman" w:cs="Times New Roman" w:eastAsia="Times New Roman" w:hAnsi="Times New Roman"/>
        <w:b w:val="off"/>
        <w:i w:val="off"/>
        <w:smallCaps w:val="off"/>
        <w:color w:val="000000"/>
        <w:sz w:val="24"/>
        <w:szCs w:val="24"/>
        <w:u w:val="none"/>
        <w:shd w:val="clear" w:fill="auto"/>
        <w:vertAlign w:val="baseline"/>
        <w:rtl w:val="off"/>
      </w:rPr>
      <w:t xml:space="preserve">Page </w:t>
    </w:r>
    <w:r>
      <w:fldChar w:fldCharType="begin"/>
    </w:r>
    <w:r>
      <w:instrText xml:space="preserve">PAGE</w:instrText>
    </w:r>
    <w:r>
      <w:fldChar w:fldCharType="separate"/>
    </w:r>
    <w:r>
      <w:rPr>
        <w:rFonts w:ascii="Times New Roman" w:cs="Times New Roman" w:eastAsia="Times New Roman" w:hAnsi="Times New Roman"/>
        <w:b w:val="off"/>
        <w:i w:val="off"/>
        <w:smallCaps w:val="off"/>
        <w:color w:val="000000"/>
        <w:sz w:val="24"/>
        <w:szCs w:val="24"/>
        <w:u w:val="none"/>
        <w:shd w:val="clear" w:fill="auto"/>
        <w:vertAlign w:val="baseline"/>
        <w:rtl w:val="off"/>
      </w:rPr>
      <w:fldChar w:fldCharType="end"/>
    </w:r>
    <w:r>
      <w:rPr>
        <w:rFonts w:ascii="Times New Roman" w:cs="Times New Roman" w:eastAsia="Times New Roman" w:hAnsi="Times New Roman"/>
        <w:b w:val="off"/>
        <w:i w:val="off"/>
        <w:smallCaps w:val="off"/>
        <w:color w:val="000000"/>
        <w:sz w:val="24"/>
        <w:szCs w:val="24"/>
        <w:u w:val="none"/>
        <w:shd w:val="clear" w:fill="auto"/>
        <w:vertAlign w:val="baseline"/>
        <w:rtl w:val="off"/>
      </w:rPr>
      <w:t xml:space="preserve"> of </w:t>
    </w:r>
    <w:r>
      <w:fldChar w:fldCharType="begin"/>
    </w:r>
    <w:r>
      <w:instrText xml:space="preserve">NUMPAGES</w:instrText>
    </w:r>
    <w:r>
      <w:fldChar w:fldCharType="separate"/>
    </w:r>
    <w:r>
      <w:rPr>
        <w:rFonts w:ascii="Times New Roman" w:cs="Times New Roman" w:eastAsia="Times New Roman" w:hAnsi="Times New Roman"/>
        <w:b w:val="off"/>
        <w:i w:val="off"/>
        <w:smallCaps w:val="off"/>
        <w:color w:val="000000"/>
        <w:sz w:val="24"/>
        <w:szCs w:val="24"/>
        <w:u w:val="none"/>
        <w:shd w:val="clear" w:fill="auto"/>
        <w:vertAlign w:val="baseline"/>
      </w:rPr>
      <w:fldChar w:fldCharType="end"/>
    </w:r>
  </w:p>
  <w:p w14:paraId="0000010B">
    <w:pPr>
      <w:keepNext w:val="off"/>
      <w:keepLines w:val="off"/>
      <w:pageBreakBefore w:val="off"/>
      <w:widowControl w:val="on"/>
      <w:pBdr>
        <w:top w:val="nil" w:sz="4" w:space="0"/>
        <w:left w:val="nil" w:sz="4" w:space="0"/>
        <w:bottom w:val="nil" w:sz="4" w:space="0"/>
        <w:right w:val="nil" w:sz="4" w:space="0"/>
        <w:between w:val="nil" w:sz="4" w:space="0"/>
      </w:pBdr>
      <w:shd w:val="clear" w:fill="auto"/>
      <w:tabs>
        <w:tab w:val="center" w:leader="none" w:pos="4680"/>
        <w:tab w:val="right" w:leader="none" w:pos="9360"/>
      </w:tabs>
      <w:spacing w:before="0" w:after="0" w:line="240" w:lineRule="auto"/>
      <w:ind w:left="0" w:right="0" w:firstLine="0"/>
      <w:jc w:val="both"/>
      <w:rPr>
        <w:rFonts w:ascii="Times New Roman" w:cs="Times New Roman" w:eastAsia="Times New Roman" w:hAnsi="Times New Roman"/>
        <w:b w:val="off"/>
        <w:i w:val="off"/>
        <w:smallCaps w:val="off"/>
        <w:color w:val="000000"/>
        <w:sz w:val="24"/>
        <w:szCs w:val="24"/>
        <w:u w:val="none"/>
        <w:shd w:val="clear" w:fill="auto"/>
        <w:vertAlign w:val="baseline"/>
      </w:rPr>
    </w:pP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xmlns:wp14="http://schemas.microsoft.com/office/word/2010/wordprocessingDrawing" xmlns:wpi="http://schemas.microsoft.com/office/word/2010/wordprocessingInk" xmlns:aink="http://schemas.microsoft.com/office/drawing/2016/ink">
  <w:p w14:paraId="00000109">
    <w:pPr>
      <w:keepNext w:val="off"/>
      <w:keepLines w:val="off"/>
      <w:pageBreakBefore w:val="off"/>
      <w:widowControl w:val="on"/>
      <w:pBdr>
        <w:top w:val="nil" w:sz="4" w:space="0"/>
        <w:left w:val="nil" w:sz="4" w:space="0"/>
        <w:bottom w:val="nil" w:sz="4" w:space="0"/>
        <w:right w:val="nil" w:sz="4" w:space="0"/>
        <w:between w:val="nil" w:sz="4" w:space="0"/>
      </w:pBdr>
      <w:shd w:val="clear" w:fill="auto"/>
      <w:tabs>
        <w:tab w:val="center" w:leader="none" w:pos="4680"/>
        <w:tab w:val="right" w:leader="none" w:pos="9360"/>
      </w:tabs>
      <w:spacing w:before="0" w:after="0" w:line="240" w:lineRule="auto"/>
      <w:ind w:left="0" w:right="0" w:firstLine="0"/>
      <w:jc w:val="right"/>
      <w:rPr>
        <w:rFonts w:ascii="Times New Roman" w:cs="Times New Roman" w:eastAsia="Times New Roman" w:hAnsi="Times New Roman"/>
        <w:b w:val="off"/>
        <w:i w:val="off"/>
        <w:smallCaps w:val="off"/>
        <w:color w:val="000000"/>
        <w:sz w:val="24"/>
        <w:szCs w:val="24"/>
        <w:u w:val="none"/>
        <w:shd w:val="clear" w:fill="auto"/>
        <w:vertAlign w:val="baseline"/>
      </w:rPr>
    </w:pPr>
    <w:r>
      <w:rPr>
        <w:rFonts w:ascii="Times New Roman" w:cs="Times New Roman" w:eastAsia="Times New Roman" w:hAnsi="Times New Roman"/>
        <w:b w:val="off"/>
        <w:i w:val="off"/>
        <w:smallCaps w:val="off"/>
        <w:color w:val="000000"/>
        <w:sz w:val="24"/>
        <w:szCs w:val="24"/>
        <w:u w:val="none"/>
        <w:shd w:val="clear" w:fill="auto"/>
        <w:vertAlign w:val="baseline"/>
        <w:rtl w:val="off"/>
      </w:rPr>
      <w:t>Leading and Implementing Change (LIC)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sz w:val="22"/>
        <w:szCs w:val="22"/>
        <w:lang w:val="en-GB"/>
      </w:rPr>
    </w:rPrDefault>
    <w:pPrDefault>
      <w:pPr>
        <w:spacing w:line="360" w:lineRule="auto"/>
        <w:jc w:val="both"/>
      </w:pPr>
    </w:pPrDefault>
  </w:docDefaults>
  <w:style w:type="table"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table" w:default="1" w:styleId="TableNormal">
    <w:name w:val="TableNormal"/>
    <w:uiPriority w:val="99"/>
    <w:tblPr>
      <w:tblCellMar>
        <w:top w:w="100" w:type="dxa"/>
        <w:left w:w="100" w:type="dxa"/>
        <w:bottom w:w="100" w:type="dxa"/>
        <w:right w:w="100" w:type="dxa"/>
      </w:tblCellMar>
    </w:tblPr>
  </w:style>
  <w:style w:type="paragraph" w:default="1" w:styleId="Normal">
    <w:name w:val="Normal"/>
    <w:uiPriority w:val="99"/>
  </w:style>
  <w:style w:type="paragraph" w:styleId="Heading1">
    <w:name w:val="Heading 1"/>
    <w:basedOn w:val="Normal"/>
    <w:next w:val="Normal"/>
    <w:uiPriority w:val="99"/>
    <w:pPr>
      <w:keepNext w:val="on"/>
      <w:keepLines w:val="on"/>
      <w:spacing w:before="360" w:after="80"/>
    </w:pPr>
    <w:rPr>
      <w:b/>
      <w:sz w:val="28"/>
      <w:szCs w:val="28"/>
    </w:rPr>
  </w:style>
  <w:style w:type="paragraph" w:styleId="Heading2">
    <w:name w:val="Heading 2"/>
    <w:basedOn w:val="Normal"/>
    <w:next w:val="Normal"/>
    <w:uiPriority w:val="99"/>
    <w:pPr>
      <w:keepNext w:val="on"/>
      <w:keepLines w:val="on"/>
      <w:spacing w:before="160" w:after="80"/>
    </w:pPr>
    <w:rPr>
      <w:b/>
      <w:sz w:val="26"/>
      <w:szCs w:val="26"/>
    </w:rPr>
  </w:style>
  <w:style w:type="paragraph" w:styleId="Heading3">
    <w:name w:val="Heading 3"/>
    <w:basedOn w:val="Normal"/>
    <w:next w:val="Normal"/>
    <w:uiPriority w:val="99"/>
    <w:pPr>
      <w:keepNext w:val="on"/>
      <w:keepLines w:val="on"/>
      <w:spacing w:before="160" w:after="80"/>
    </w:pPr>
    <w:rPr>
      <w:rFonts w:ascii="Aptos" w:cs="Aptos" w:eastAsia="Aptos" w:hAnsi="Aptos"/>
      <w:color w:val="0f4761"/>
      <w:sz w:val="28"/>
      <w:szCs w:val="28"/>
    </w:rPr>
  </w:style>
  <w:style w:type="paragraph" w:styleId="Heading4">
    <w:name w:val="Heading 4"/>
    <w:basedOn w:val="Normal"/>
    <w:next w:val="Normal"/>
    <w:uiPriority w:val="99"/>
    <w:pPr>
      <w:keepNext w:val="on"/>
      <w:keepLines w:val="on"/>
      <w:spacing w:before="80" w:after="40"/>
    </w:pPr>
    <w:rPr>
      <w:rFonts w:ascii="Aptos" w:cs="Aptos" w:eastAsia="Aptos" w:hAnsi="Aptos"/>
      <w:i/>
      <w:color w:val="0f4761"/>
    </w:rPr>
  </w:style>
  <w:style w:type="paragraph" w:styleId="Heading5">
    <w:name w:val="Heading 5"/>
    <w:basedOn w:val="Normal"/>
    <w:next w:val="Normal"/>
    <w:uiPriority w:val="99"/>
    <w:pPr>
      <w:keepNext w:val="on"/>
      <w:keepLines w:val="on"/>
      <w:spacing w:before="80" w:after="40"/>
    </w:pPr>
    <w:rPr>
      <w:rFonts w:ascii="Aptos" w:cs="Aptos" w:eastAsia="Aptos" w:hAnsi="Aptos"/>
      <w:color w:val="0f4761"/>
    </w:rPr>
  </w:style>
  <w:style w:type="paragraph" w:styleId="Heading6">
    <w:name w:val="Heading 6"/>
    <w:basedOn w:val="Normal"/>
    <w:next w:val="Normal"/>
    <w:uiPriority w:val="99"/>
    <w:pPr>
      <w:keepNext w:val="on"/>
      <w:keepLines w:val="on"/>
      <w:spacing w:before="40"/>
    </w:pPr>
    <w:rPr>
      <w:rFonts w:ascii="Aptos" w:cs="Aptos" w:eastAsia="Aptos" w:hAnsi="Aptos"/>
      <w:i/>
      <w:color w:val="595959"/>
    </w:rPr>
  </w:style>
  <w:style w:type="paragraph" w:styleId="Title">
    <w:name w:val="Title"/>
    <w:basedOn w:val="Normal"/>
    <w:next w:val="Normal"/>
    <w:uiPriority w:val="99"/>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on"/>
    <w:unhideWhenUsed w:val="on"/>
    <w:qFormat w:val="on"/>
    <w:pPr>
      <w:keepNext w:val="on"/>
      <w:keepLines w:val="on"/>
      <w:spacing w:before="40"/>
    </w:pPr>
    <w:rPr>
      <w:rFonts w:asciiTheme="minorHAnsi" w:cstheme="majorBidi" w:eastAsiaTheme="majorEastAsia" w:hAnsiTheme="minorHAnsi"/>
      <w:color w:val="ffffff" w:themeColor="text1" w:themeTint="00"/>
    </w:rPr>
  </w:style>
  <w:style w:type="paragraph" w:styleId="Heading8">
    <w:name w:val="Heading 8"/>
    <w:basedOn w:val="Normal"/>
    <w:next w:val="Normal"/>
    <w:link w:val="Heading8Char"/>
    <w:uiPriority w:val="9"/>
    <w:semiHidden w:val="on"/>
    <w:unhideWhenUsed w:val="on"/>
    <w:qFormat w:val="on"/>
    <w:pPr>
      <w:keepNext w:val="on"/>
      <w:keepLines w:val="on"/>
    </w:pPr>
    <w:rPr>
      <w:rFonts w:asciiTheme="minorHAnsi" w:cstheme="majorBidi" w:eastAsiaTheme="majorEastAsia" w:hAnsiTheme="minorHAnsi"/>
      <w:i/>
      <w:iCs/>
      <w:color w:val="ffffff" w:themeColor="text1" w:themeTint="00"/>
    </w:rPr>
  </w:style>
  <w:style w:type="paragraph" w:styleId="Heading9">
    <w:name w:val="Heading 9"/>
    <w:basedOn w:val="Normal"/>
    <w:next w:val="Normal"/>
    <w:link w:val="Heading9Char"/>
    <w:uiPriority w:val="9"/>
    <w:semiHidden w:val="on"/>
    <w:unhideWhenUsed w:val="on"/>
    <w:qFormat w:val="on"/>
    <w:pPr>
      <w:keepNext w:val="on"/>
      <w:keepLines w:val="on"/>
    </w:pPr>
    <w:rPr>
      <w:rFonts w:asciiTheme="minorHAnsi" w:cstheme="majorBidi" w:eastAsiaTheme="majorEastAsia" w:hAnsiTheme="minorHAnsi"/>
      <w:color w:val="ffffff" w:themeColor="text1" w:themeTint="00"/>
    </w:rPr>
  </w:style>
  <w:style w:type="character" w:default="1" w:styleId="DefaultParagraphFont">
    <w:name w:val="Default Paragraph Font"/>
    <w:uiPriority w:val="1"/>
    <w:semiHidden w:val="on"/>
    <w:unhideWhenUsed w:val="on"/>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sz w:val="28"/>
      <w:szCs w:val="40"/>
      <w:lang w:val="en-GB" w:eastAsia="en-IN"/>
    </w:rPr>
  </w:style>
  <w:style w:type="character" w:customStyle="1" w:styleId="Heading2Char">
    <w:name w:val="Heading 2 Char"/>
    <w:basedOn w:val="DefaultParagraphFont"/>
    <w:link w:val="Heading2"/>
    <w:uiPriority w:val="9"/>
    <w:semiHidden w:val="on"/>
    <w:rPr>
      <w:rFonts w:ascii="Times New Roman" w:cstheme="majorBidi" w:eastAsiaTheme="majorEastAsia" w:hAnsi="Times New Roman"/>
      <w:b/>
      <w:sz w:val="26"/>
      <w:szCs w:val="32"/>
      <w:lang w:val="en-GB" w:eastAsia="en-IN"/>
    </w:rPr>
  </w:style>
  <w:style w:type="character" w:customStyle="1" w:styleId="Heading3Char">
    <w:name w:val="Heading 3 Char"/>
    <w:basedOn w:val="DefaultParagraphFont"/>
    <w:link w:val="Heading3"/>
    <w:uiPriority w:val="9"/>
    <w:semiHidden w:val="on"/>
    <w:rPr>
      <w:rFonts w:cstheme="majorBidi" w:eastAsiaTheme="majorEastAsia"/>
      <w:color w:val="000000" w:themeColor="accent1" w:themeShade="00"/>
      <w:sz w:val="28"/>
      <w:szCs w:val="28"/>
      <w:lang w:val="en-GB" w:eastAsia="en-IN"/>
    </w:rPr>
  </w:style>
  <w:style w:type="character" w:customStyle="1" w:styleId="Heading4Char">
    <w:name w:val="Heading 4 Char"/>
    <w:basedOn w:val="DefaultParagraphFont"/>
    <w:link w:val="Heading4"/>
    <w:uiPriority w:val="9"/>
    <w:semiHidden w:val="on"/>
    <w:rPr>
      <w:rFonts w:cstheme="majorBidi" w:eastAsiaTheme="majorEastAsia"/>
      <w:i/>
      <w:iCs/>
      <w:color w:val="000000" w:themeColor="accent1" w:themeShade="00"/>
      <w:szCs w:val="22"/>
      <w:lang w:val="en-GB" w:eastAsia="en-IN"/>
    </w:rPr>
  </w:style>
  <w:style w:type="character" w:customStyle="1" w:styleId="Heading5Char">
    <w:name w:val="Heading 5 Char"/>
    <w:basedOn w:val="DefaultParagraphFont"/>
    <w:link w:val="Heading5"/>
    <w:uiPriority w:val="9"/>
    <w:semiHidden w:val="on"/>
    <w:rPr>
      <w:rFonts w:cstheme="majorBidi" w:eastAsiaTheme="majorEastAsia"/>
      <w:color w:val="000000" w:themeColor="accent1" w:themeShade="00"/>
      <w:szCs w:val="22"/>
      <w:lang w:val="en-GB" w:eastAsia="en-IN"/>
    </w:rPr>
  </w:style>
  <w:style w:type="character" w:customStyle="1" w:styleId="Heading6Char">
    <w:name w:val="Heading 6 Char"/>
    <w:basedOn w:val="DefaultParagraphFont"/>
    <w:link w:val="Heading6"/>
    <w:uiPriority w:val="9"/>
    <w:semiHidden w:val="on"/>
    <w:rPr>
      <w:rFonts w:cstheme="majorBidi" w:eastAsiaTheme="majorEastAsia"/>
      <w:i/>
      <w:iCs/>
      <w:color w:val="ffffff" w:themeColor="text1" w:themeTint="00"/>
      <w:szCs w:val="22"/>
      <w:lang w:val="en-GB" w:eastAsia="en-IN"/>
    </w:rPr>
  </w:style>
  <w:style w:type="character" w:customStyle="1" w:styleId="Heading7Char">
    <w:name w:val="Heading 7 Char"/>
    <w:basedOn w:val="DefaultParagraphFont"/>
    <w:link w:val="Heading7"/>
    <w:uiPriority w:val="9"/>
    <w:semiHidden w:val="on"/>
    <w:rPr>
      <w:rFonts w:cstheme="majorBidi" w:eastAsiaTheme="majorEastAsia"/>
      <w:color w:val="ffffff" w:themeColor="text1" w:themeTint="00"/>
      <w:szCs w:val="22"/>
      <w:lang w:val="en-GB" w:eastAsia="en-IN"/>
    </w:rPr>
  </w:style>
  <w:style w:type="character" w:customStyle="1" w:styleId="Heading8Char">
    <w:name w:val="Heading 8 Char"/>
    <w:basedOn w:val="DefaultParagraphFont"/>
    <w:link w:val="Heading8"/>
    <w:uiPriority w:val="9"/>
    <w:semiHidden w:val="on"/>
    <w:rPr>
      <w:rFonts w:cstheme="majorBidi" w:eastAsiaTheme="majorEastAsia"/>
      <w:i/>
      <w:iCs/>
      <w:color w:val="ffffff" w:themeColor="text1" w:themeTint="00"/>
      <w:szCs w:val="22"/>
      <w:lang w:val="en-GB" w:eastAsia="en-IN"/>
    </w:rPr>
  </w:style>
  <w:style w:type="character" w:customStyle="1" w:styleId="Heading9Char">
    <w:name w:val="Heading 9 Char"/>
    <w:basedOn w:val="DefaultParagraphFont"/>
    <w:link w:val="Heading9"/>
    <w:uiPriority w:val="9"/>
    <w:semiHidden w:val="on"/>
    <w:rPr>
      <w:rFonts w:cstheme="majorBidi" w:eastAsiaTheme="majorEastAsia"/>
      <w:color w:val="ffffff" w:themeColor="text1" w:themeTint="00"/>
      <w:szCs w:val="22"/>
      <w:lang w:val="en-GB" w:eastAsia="en-IN"/>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lang w:val="en-GB" w:eastAsia="en-IN"/>
    </w:rPr>
  </w:style>
  <w:style w:type="character" w:customStyle="1" w:styleId="SubtitleChar">
    <w:name w:val="Subtitle Char"/>
    <w:basedOn w:val="DefaultParagraphFont"/>
    <w:link w:val="Subtitle"/>
    <w:uiPriority w:val="11"/>
    <w:rPr>
      <w:rFonts w:cstheme="majorBidi" w:eastAsiaTheme="majorEastAsia"/>
      <w:color w:val="ffffff" w:themeColor="text1" w:themeTint="00"/>
      <w:spacing w:val="15"/>
      <w:sz w:val="28"/>
      <w:szCs w:val="28"/>
      <w:lang w:val="en-GB" w:eastAsia="en-IN"/>
    </w:rPr>
  </w:style>
  <w:style w:type="paragraph" w:styleId="Quote">
    <w:name w:val="Quote"/>
    <w:basedOn w:val="Normal"/>
    <w:next w:val="Normal"/>
    <w:link w:val="QuoteChar"/>
    <w:uiPriority w:val="29"/>
    <w:qFormat w:val="on"/>
    <w:pPr>
      <w:spacing w:before="160" w:after="160"/>
      <w:jc w:val="center"/>
    </w:pPr>
    <w:rPr>
      <w:i/>
      <w:iCs/>
      <w:color w:val="ffffff" w:themeColor="text1" w:themeTint="00"/>
    </w:rPr>
  </w:style>
  <w:style w:type="character" w:customStyle="1" w:styleId="QuoteChar">
    <w:name w:val="Quote Char"/>
    <w:basedOn w:val="DefaultParagraphFont"/>
    <w:link w:val="Quote"/>
    <w:uiPriority w:val="29"/>
    <w:rPr>
      <w:rFonts w:ascii="Arial" w:cs="Arial" w:hAnsi="Arial"/>
      <w:i/>
      <w:iCs/>
      <w:color w:val="ffffff" w:themeColor="text1" w:themeTint="00"/>
      <w:szCs w:val="22"/>
      <w:lang w:val="en-GB" w:eastAsia="en-IN"/>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000000" w:themeColor="accent1" w:themeShade="00"/>
    </w:rPr>
  </w:style>
  <w:style w:type="paragraph" w:styleId="IntenseQuote">
    <w:name w:val="Intense Quote"/>
    <w:basedOn w:val="Normal"/>
    <w:next w:val="Normal"/>
    <w:link w:val="IntenseQuoteChar"/>
    <w:uiPriority w:val="30"/>
    <w:qFormat w:val="on"/>
    <w:pPr>
      <w:pBdr>
        <w:top w:val="single" w:color="000000" w:themeColor="accent1" w:themeShade="00" w:sz="4" w:space="10"/>
        <w:bottom w:val="single" w:color="000000" w:themeColor="accent1" w:themeShade="00" w:sz="4" w:space="10"/>
      </w:pBdr>
      <w:spacing w:before="360" w:after="360"/>
      <w:ind w:left="864" w:right="864"/>
      <w:jc w:val="center"/>
    </w:pPr>
    <w:rPr>
      <w:i/>
      <w:iCs/>
      <w:color w:val="000000" w:themeColor="accent1" w:themeShade="00"/>
    </w:rPr>
  </w:style>
  <w:style w:type="character" w:customStyle="1" w:styleId="IntenseQuoteChar">
    <w:name w:val="Intense Quote Char"/>
    <w:basedOn w:val="DefaultParagraphFont"/>
    <w:link w:val="IntenseQuote"/>
    <w:uiPriority w:val="30"/>
    <w:rPr>
      <w:rFonts w:ascii="Arial" w:cs="Arial" w:hAnsi="Arial"/>
      <w:i/>
      <w:iCs/>
      <w:color w:val="000000" w:themeColor="accent1" w:themeShade="00"/>
      <w:szCs w:val="22"/>
      <w:lang w:val="en-GB" w:eastAsia="en-IN"/>
    </w:rPr>
  </w:style>
  <w:style w:type="character" w:styleId="IntenseReference">
    <w:name w:val="Intense Reference"/>
    <w:basedOn w:val="DefaultParagraphFont"/>
    <w:uiPriority w:val="32"/>
    <w:qFormat w:val="on"/>
    <w:rPr>
      <w:b/>
      <w:bCs/>
      <w:smallCaps/>
      <w:color w:val="000000" w:themeColor="accent1" w:themeShade="00"/>
      <w:spacing w:val="5"/>
    </w:rPr>
  </w:style>
  <w:style w:type="paragraph" w:styleId="Header">
    <w:name w:val="Header"/>
    <w:basedOn w:val="Normal"/>
    <w:link w:val="HeaderChar"/>
    <w:uiPriority w:val="99"/>
    <w:unhideWhenUsed w:val="on"/>
    <w:pPr>
      <w:tabs>
        <w:tab w:val="center" w:pos="4680"/>
        <w:tab w:val="right" w:pos="9360"/>
      </w:tabs>
      <w:spacing w:line="240" w:lineRule="auto"/>
    </w:pPr>
  </w:style>
  <w:style w:type="character" w:customStyle="1" w:styleId="HeaderChar">
    <w:name w:val="Header Char"/>
    <w:basedOn w:val="DefaultParagraphFont"/>
    <w:link w:val="Header"/>
    <w:uiPriority w:val="99"/>
    <w:rPr>
      <w:rFonts w:ascii="Times New Roman" w:cs="Arial" w:hAnsi="Times New Roman"/>
      <w:szCs w:val="22"/>
      <w:lang w:val="en-GB" w:eastAsia="en-IN"/>
    </w:rPr>
  </w:style>
  <w:style w:type="paragraph" w:styleId="Footer">
    <w:name w:val="Footer"/>
    <w:basedOn w:val="Normal"/>
    <w:link w:val="FooterChar"/>
    <w:uiPriority w:val="99"/>
    <w:unhideWhenUsed w:val="on"/>
    <w:pPr>
      <w:tabs>
        <w:tab w:val="center" w:pos="4680"/>
        <w:tab w:val="right" w:pos="9360"/>
      </w:tabs>
      <w:spacing w:line="240" w:lineRule="auto"/>
    </w:pPr>
  </w:style>
  <w:style w:type="character" w:customStyle="1" w:styleId="FooterChar">
    <w:name w:val="Footer Char"/>
    <w:basedOn w:val="DefaultParagraphFont"/>
    <w:link w:val="Footer"/>
    <w:uiPriority w:val="99"/>
    <w:rPr>
      <w:rFonts w:ascii="Times New Roman" w:cs="Arial" w:hAnsi="Times New Roman"/>
      <w:szCs w:val="22"/>
      <w:lang w:val="en-GB" w:eastAsia="en-IN"/>
    </w:rPr>
  </w:style>
  <w:style w:type="table" w:styleId="TableGrid">
    <w:name w:val="Table Grid"/>
    <w:basedOn w:val="NormalTable"/>
    <w:uiPriority w:val="39"/>
    <w:pPr>
      <w:spacing w:after="0" w:line="240" w:lineRule="auto"/>
    </w:pPr>
    <w:rPr>
      <w:rFonts w:eastAsiaTheme="minorHAns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ibliography">
    <w:name w:val="Bibliography"/>
    <w:basedOn w:val="Normal"/>
    <w:next w:val="Normal"/>
    <w:uiPriority w:val="37"/>
    <w:unhideWhenUsed w:val="on"/>
    <w:pPr>
      <w:spacing w:after="160" w:line="480" w:lineRule="auto"/>
    </w:pPr>
    <w:rPr>
      <w:rFonts w:cstheme="minorBidi" w:eastAsiaTheme="minorHAnsi"/>
      <w:szCs w:val="24"/>
      <w:lang w:val="en-US" w:eastAsia="en-US"/>
    </w:rPr>
  </w:style>
  <w:style w:type="paragraph" w:styleId="TOCHeading">
    <w:name w:val="TOC Heading"/>
    <w:basedOn w:val="Heading1"/>
    <w:next w:val="Normal"/>
    <w:uiPriority w:val="39"/>
    <w:unhideWhenUsed w:val="on"/>
    <w:qFormat w:val="on"/>
    <w:pPr>
      <w:spacing w:before="240" w:after="0" w:line="259" w:lineRule="auto"/>
      <w:jc w:val="left"/>
    </w:pPr>
    <w:rPr>
      <w:rFonts w:asciiTheme="majorHAnsi" w:hAnsiTheme="majorHAnsi"/>
      <w:b w:val="off"/>
      <w:color w:val="000000" w:themeColor="accent1" w:themeShade="00"/>
      <w:sz w:val="32"/>
      <w:szCs w:val="32"/>
      <w:lang w:val="en-US" w:eastAsia="en-US"/>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character" w:styleId="Hyperlink">
    <w:name w:val="Hyperlink"/>
    <w:basedOn w:val="DefaultParagraphFont"/>
    <w:uiPriority w:val="99"/>
    <w:unhideWhenUsed w:val="on"/>
    <w:rPr>
      <w:color w:val="467886" w:themeColor="hyperlink"/>
      <w:u w:val="single"/>
    </w:rPr>
  </w:style>
  <w:style w:type="paragraph" w:styleId="Subtitle">
    <w:name w:val="Subtitle"/>
    <w:basedOn w:val="Normal"/>
    <w:next w:val="Normal"/>
    <w:uiPriority w:val="99"/>
    <w:pPr>
      <w:spacing w:after="160"/>
    </w:pPr>
    <w:rPr>
      <w:rFonts w:ascii="Aptos" w:cs="Aptos" w:eastAsia="Aptos" w:hAnsi="Aptos"/>
      <w:color w:val="595959"/>
      <w:sz w:val="28"/>
      <w:szCs w:val="28"/>
    </w:rPr>
  </w:style>
  <w:style w:type="table" w:styleId="Table1">
    <w:name w:val="Table1"/>
    <w:basedOn w:val="NormalTable"/>
    <w:uiPriority w:val="99"/>
    <w:pPr>
      <w:spacing w:after="0" w:line="240" w:lineRule="auto"/>
    </w:pPr>
    <w:tblPr>
      <w:tblStyleRowBandSize w:val="1"/>
      <w:tblStyleColBandSize w:val="1"/>
      <w:tblCellMar>
        <w:top w:w="0" w:type="dxa"/>
        <w:left w:w="108" w:type="dxa"/>
        <w:bottom w:w="0" w:type="dxa"/>
        <w:right w:w="108" w:type="dxa"/>
      </w:tblCellMar>
    </w:tblPr>
  </w:style>
  <w:style w:type="table" w:styleId="Table2">
    <w:name w:val="Table2"/>
    <w:basedOn w:val="NormalTable"/>
    <w:uiPriority w:val="99"/>
    <w:pPr>
      <w:spacing w:after="0" w:line="240" w:lineRule="auto"/>
    </w:pPr>
    <w:tblPr>
      <w:tblStyleRowBandSize w:val="1"/>
      <w:tblStyleColBandSize w:val="1"/>
      <w:tblCellMar>
        <w:top w:w="0" w:type="dxa"/>
        <w:left w:w="108" w:type="dxa"/>
        <w:bottom w:w="0" w:type="dxa"/>
        <w:right w:w="108" w:type="dxa"/>
      </w:tblCellMar>
    </w:tblPr>
  </w:style>
  <w:style w:type="table" w:styleId="Table3">
    <w:name w:val="Table3"/>
    <w:basedOn w:val="NormalTable"/>
    <w:uiPriority w:val="99"/>
    <w:pPr>
      <w:spacing w:after="0" w:line="240" w:lineRule="auto"/>
    </w:pPr>
    <w:tblPr>
      <w:tblStyleRowBandSize w:val="1"/>
      <w:tblStyleColBandSize w:val="1"/>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25" Type="http://schemas.openxmlformats.org/officeDocument/2006/relationships/image" Target="media/image1.png"/><Relationship Id="rId26" Type="http://schemas.openxmlformats.org/officeDocument/2006/relationships/image" Target="media/image2.jpeg"/><Relationship Id="rId27" Type="http://schemas.openxmlformats.org/officeDocument/2006/relationships/image" Target="media/image5.jpeg"/><Relationship Id="rId28" Type="http://schemas.openxmlformats.org/officeDocument/2006/relationships/image" Target="media/image6.png"/><Relationship Id="rId29" Type="http://schemas.openxmlformats.org/officeDocument/2006/relationships/image" Target="media/image7.png"/><Relationship Id="rId3" Type="http://schemas.openxmlformats.org/officeDocument/2006/relationships/fontTable" Target="fontTable.xml"/><Relationship Id="rId30" Type="http://schemas.openxmlformats.org/officeDocument/2006/relationships/image" Target="media/image12.png"/><Relationship Id="rId31" Type="http://schemas.openxmlformats.org/officeDocument/2006/relationships/image" Target="media/image13.png"/><Relationship Id="rId32" Type="http://schemas.openxmlformats.org/officeDocument/2006/relationships/header" Target="header1.xml"/><Relationship Id="rId3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O0iybJ4QyW6n4Cv0vI1oqA6NvA==">CgMxLjAyDmgubzg3NXU4N2dzMmhmMg1oLmhmYTFvb2sxdG5sMg5oLmNoeDY5dW15dGp1YzIOaC5ucm1meDdmbHFvZmkyDmgud2Vpa250ZGhkbmJlMg5oLnVyZm5hYTg1eTR4MDIOaC44dzVudzc5Z2k0cWIyDWguamxhOTZ6cTQ1em4yDmgucWZyMzJib3F5M3kzMg5oLjdzNnE2Z2YwdnE0NzIOaC5qNGh4emlkcGoyZTYyDmguM2lieTJ6eWlsZWplMg5oLmFsb2Uyem95N2VwOTIOaC5jbHZma3Z5NWs1d284AHIhMTJCeXVyUTJXdmNFdUNLOGlpWGVYcHNUZ3R6QzF4WU5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Narcis Hirsova</dc:creator>
  <cp:lastModifiedBy>Narcis Hirsova</cp:lastModifiedBy>
</cp:coreProperties>
</file>