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B05FF" w14:textId="77777777" w:rsidR="00FA0209" w:rsidRDefault="00FA0209" w:rsidP="00FA0209">
      <w:pPr>
        <w:pStyle w:val="Heading1"/>
        <w:numPr>
          <w:ilvl w:val="0"/>
          <w:numId w:val="0"/>
        </w:numPr>
        <w:jc w:val="center"/>
      </w:pPr>
      <w:r>
        <w:t>A report focussing on:</w:t>
      </w:r>
    </w:p>
    <w:p w14:paraId="18A1E36D" w14:textId="77777777" w:rsidR="00FA0209" w:rsidRDefault="00FA0209" w:rsidP="00FA0209"/>
    <w:p w14:paraId="159E93A2" w14:textId="77777777" w:rsidR="00FA0209" w:rsidRPr="00963FDB" w:rsidRDefault="00FA0209" w:rsidP="00FA0209"/>
    <w:p w14:paraId="2ECC1842" w14:textId="3D60AD0A" w:rsidR="00FA0209" w:rsidRDefault="0097279E" w:rsidP="0097279E">
      <w:pPr>
        <w:pStyle w:val="NormalWeb"/>
        <w:ind w:left="2160"/>
        <w:rPr>
          <w:rFonts w:ascii="Arial" w:hAnsi="Arial" w:cs="Arial"/>
          <w:b/>
          <w:color w:val="000000"/>
          <w:sz w:val="40"/>
          <w:szCs w:val="40"/>
        </w:rPr>
      </w:pPr>
      <w:r>
        <w:rPr>
          <w:rFonts w:ascii="Arial" w:hAnsi="Arial" w:cs="Arial"/>
          <w:b/>
          <w:color w:val="000000"/>
          <w:sz w:val="40"/>
          <w:szCs w:val="40"/>
        </w:rPr>
        <w:t>Negligence in Construction</w:t>
      </w:r>
    </w:p>
    <w:p w14:paraId="66CB590B" w14:textId="77777777" w:rsidR="00FA0209" w:rsidRDefault="00FA0209" w:rsidP="00FA0209">
      <w:pPr>
        <w:spacing w:after="240"/>
        <w:rPr>
          <w:rFonts w:ascii="Arial" w:hAnsi="Arial" w:cs="Arial"/>
          <w:color w:val="000000"/>
          <w:sz w:val="28"/>
          <w:szCs w:val="28"/>
        </w:rPr>
      </w:pPr>
    </w:p>
    <w:p w14:paraId="2223D643" w14:textId="77777777" w:rsidR="00FA0209" w:rsidRPr="00F31411" w:rsidRDefault="00FA0209" w:rsidP="00FA0209">
      <w:pPr>
        <w:spacing w:after="240"/>
        <w:jc w:val="center"/>
        <w:rPr>
          <w:rFonts w:ascii="Arial" w:hAnsi="Arial" w:cs="Arial"/>
          <w:color w:val="000000"/>
          <w:sz w:val="32"/>
          <w:szCs w:val="32"/>
        </w:rPr>
      </w:pPr>
      <w:r w:rsidRPr="00F31411">
        <w:rPr>
          <w:rFonts w:ascii="Arial" w:hAnsi="Arial" w:cs="Arial"/>
          <w:color w:val="000000"/>
          <w:sz w:val="32"/>
          <w:szCs w:val="32"/>
        </w:rPr>
        <w:t>Prepared for:</w:t>
      </w:r>
    </w:p>
    <w:p w14:paraId="53DF84F5" w14:textId="738A1992" w:rsidR="00FA0209" w:rsidRPr="00F31411" w:rsidRDefault="00FA0209" w:rsidP="00FA0209">
      <w:pPr>
        <w:spacing w:after="240"/>
        <w:jc w:val="center"/>
        <w:rPr>
          <w:rFonts w:ascii="Arial" w:hAnsi="Arial" w:cs="Arial"/>
          <w:color w:val="000000"/>
          <w:sz w:val="32"/>
          <w:szCs w:val="32"/>
        </w:rPr>
      </w:pPr>
      <w:r>
        <w:rPr>
          <w:rFonts w:ascii="Arial" w:hAnsi="Arial" w:cs="Arial"/>
          <w:color w:val="000000"/>
          <w:sz w:val="32"/>
          <w:szCs w:val="32"/>
        </w:rPr>
        <w:t>L. Hopkinson</w:t>
      </w:r>
    </w:p>
    <w:p w14:paraId="40FC82D2" w14:textId="77777777" w:rsidR="00FA0209" w:rsidRDefault="00FA0209" w:rsidP="00FA0209">
      <w:pPr>
        <w:spacing w:after="240"/>
        <w:rPr>
          <w:rFonts w:ascii="Arial" w:hAnsi="Arial" w:cs="Arial"/>
          <w:color w:val="000000"/>
          <w:sz w:val="28"/>
          <w:szCs w:val="28"/>
        </w:rPr>
      </w:pPr>
    </w:p>
    <w:p w14:paraId="323387A2" w14:textId="77777777" w:rsidR="00FA0209" w:rsidRDefault="00FA0209" w:rsidP="00FA0209">
      <w:pPr>
        <w:spacing w:after="240"/>
        <w:jc w:val="center"/>
        <w:rPr>
          <w:rFonts w:ascii="Arial" w:hAnsi="Arial" w:cs="Arial"/>
          <w:color w:val="000000"/>
          <w:sz w:val="28"/>
          <w:szCs w:val="28"/>
        </w:rPr>
      </w:pPr>
    </w:p>
    <w:p w14:paraId="7DE7276B" w14:textId="77777777" w:rsidR="00FA0209" w:rsidRPr="00F31411" w:rsidRDefault="00FA0209" w:rsidP="00FA0209">
      <w:pPr>
        <w:spacing w:after="240"/>
        <w:jc w:val="center"/>
        <w:rPr>
          <w:rFonts w:ascii="Arial" w:hAnsi="Arial" w:cs="Arial"/>
          <w:color w:val="000000"/>
          <w:sz w:val="32"/>
          <w:szCs w:val="32"/>
        </w:rPr>
      </w:pPr>
      <w:r w:rsidRPr="00F31411">
        <w:rPr>
          <w:rFonts w:ascii="Arial" w:hAnsi="Arial" w:cs="Arial"/>
          <w:color w:val="000000"/>
          <w:sz w:val="32"/>
          <w:szCs w:val="32"/>
        </w:rPr>
        <w:t>Created by:</w:t>
      </w:r>
    </w:p>
    <w:p w14:paraId="27E01E59" w14:textId="77777777" w:rsidR="00FA0209" w:rsidRPr="00F31411" w:rsidRDefault="00FA0209" w:rsidP="00FA0209">
      <w:pPr>
        <w:spacing w:after="240"/>
        <w:jc w:val="center"/>
        <w:rPr>
          <w:rFonts w:ascii="Arial" w:hAnsi="Arial" w:cs="Arial"/>
          <w:color w:val="000000"/>
          <w:sz w:val="32"/>
          <w:szCs w:val="32"/>
        </w:rPr>
      </w:pPr>
      <w:r w:rsidRPr="00F31411">
        <w:rPr>
          <w:rFonts w:ascii="Arial" w:hAnsi="Arial" w:cs="Arial"/>
          <w:color w:val="000000"/>
          <w:sz w:val="32"/>
          <w:szCs w:val="32"/>
        </w:rPr>
        <w:t>D. Hole</w:t>
      </w:r>
    </w:p>
    <w:p w14:paraId="5BF8F427" w14:textId="77777777" w:rsidR="00FA0209" w:rsidRDefault="00FA0209" w:rsidP="00FA0209">
      <w:pPr>
        <w:spacing w:after="240"/>
        <w:jc w:val="center"/>
        <w:rPr>
          <w:rFonts w:ascii="Arial" w:hAnsi="Arial" w:cs="Arial"/>
          <w:color w:val="000000"/>
          <w:sz w:val="28"/>
          <w:szCs w:val="28"/>
        </w:rPr>
      </w:pPr>
    </w:p>
    <w:p w14:paraId="78BB625E" w14:textId="77777777" w:rsidR="00FA0209" w:rsidRDefault="00FA0209" w:rsidP="00FA0209">
      <w:pPr>
        <w:spacing w:after="240"/>
        <w:jc w:val="center"/>
        <w:rPr>
          <w:rFonts w:ascii="Arial" w:hAnsi="Arial" w:cs="Arial"/>
          <w:color w:val="000000"/>
          <w:sz w:val="28"/>
          <w:szCs w:val="28"/>
        </w:rPr>
      </w:pPr>
    </w:p>
    <w:p w14:paraId="47B9A70F" w14:textId="77777777" w:rsidR="00FA0209" w:rsidRPr="00F31411" w:rsidRDefault="00FA0209" w:rsidP="00FA0209">
      <w:pPr>
        <w:spacing w:after="240"/>
        <w:jc w:val="center"/>
        <w:rPr>
          <w:rFonts w:ascii="Arial" w:hAnsi="Arial" w:cs="Arial"/>
          <w:color w:val="000000"/>
          <w:sz w:val="32"/>
          <w:szCs w:val="32"/>
        </w:rPr>
      </w:pPr>
      <w:r w:rsidRPr="00F31411">
        <w:rPr>
          <w:rFonts w:ascii="Arial" w:hAnsi="Arial" w:cs="Arial"/>
          <w:color w:val="000000"/>
          <w:sz w:val="32"/>
          <w:szCs w:val="32"/>
        </w:rPr>
        <w:t>Date completed:</w:t>
      </w:r>
    </w:p>
    <w:p w14:paraId="384ACE7B" w14:textId="0E575A25" w:rsidR="00FA0209" w:rsidRPr="00F31411" w:rsidRDefault="007E104E" w:rsidP="00FA0209">
      <w:pPr>
        <w:spacing w:after="240"/>
        <w:jc w:val="center"/>
        <w:rPr>
          <w:rFonts w:ascii="Arial" w:hAnsi="Arial" w:cs="Arial"/>
          <w:color w:val="000000"/>
          <w:sz w:val="32"/>
          <w:szCs w:val="32"/>
        </w:rPr>
      </w:pPr>
      <w:r>
        <w:rPr>
          <w:rFonts w:ascii="Arial" w:hAnsi="Arial" w:cs="Arial"/>
          <w:color w:val="000000"/>
          <w:sz w:val="32"/>
          <w:szCs w:val="32"/>
        </w:rPr>
        <w:t>December 1st</w:t>
      </w:r>
      <w:r w:rsidR="00FA0209" w:rsidRPr="00F31411">
        <w:rPr>
          <w:rFonts w:ascii="Arial" w:hAnsi="Arial" w:cs="Arial"/>
          <w:color w:val="000000"/>
          <w:sz w:val="32"/>
          <w:szCs w:val="32"/>
        </w:rPr>
        <w:t>, 2022</w:t>
      </w:r>
    </w:p>
    <w:p w14:paraId="28E00AF8" w14:textId="77777777" w:rsidR="00FA0209" w:rsidRDefault="00FA0209" w:rsidP="00FA0209"/>
    <w:p w14:paraId="36118E1B" w14:textId="77777777" w:rsidR="00FA0209" w:rsidRDefault="00FA0209" w:rsidP="00FA0209"/>
    <w:p w14:paraId="5A857C9F" w14:textId="77777777" w:rsidR="00FA0209" w:rsidRDefault="00FA0209" w:rsidP="00FA0209"/>
    <w:p w14:paraId="4E0ABF4B" w14:textId="77777777" w:rsidR="00FA0209" w:rsidRDefault="00FA0209" w:rsidP="00FA0209"/>
    <w:p w14:paraId="0D5990CB" w14:textId="77777777" w:rsidR="00FA0209" w:rsidRDefault="00FA0209" w:rsidP="00FA0209">
      <w:pPr>
        <w:ind w:left="3600"/>
        <w:rPr>
          <w:rFonts w:ascii="Arial" w:hAnsi="Arial" w:cs="Arial"/>
          <w:sz w:val="32"/>
          <w:szCs w:val="32"/>
        </w:rPr>
      </w:pPr>
      <w:r w:rsidRPr="00F31411">
        <w:rPr>
          <w:rFonts w:ascii="Arial" w:hAnsi="Arial" w:cs="Arial"/>
          <w:sz w:val="32"/>
          <w:szCs w:val="32"/>
        </w:rPr>
        <w:t>Word Count:</w:t>
      </w:r>
    </w:p>
    <w:p w14:paraId="0FC2BB79" w14:textId="6C657F07" w:rsidR="00FA0209" w:rsidRPr="00615CA9" w:rsidRDefault="00FA0209" w:rsidP="00615CA9">
      <w:pPr>
        <w:ind w:left="3600"/>
        <w:rPr>
          <w:rFonts w:ascii="Arial" w:hAnsi="Arial" w:cs="Arial"/>
          <w:color w:val="FF0000"/>
          <w:sz w:val="32"/>
          <w:szCs w:val="32"/>
        </w:rPr>
      </w:pPr>
      <w:r w:rsidRPr="00F525FB">
        <w:rPr>
          <w:rFonts w:ascii="Arial" w:hAnsi="Arial" w:cs="Arial"/>
          <w:color w:val="FF0000"/>
          <w:sz w:val="32"/>
          <w:szCs w:val="32"/>
        </w:rPr>
        <w:t xml:space="preserve">     </w:t>
      </w:r>
      <w:r w:rsidR="00615CA9" w:rsidRPr="00615CA9">
        <w:rPr>
          <w:rFonts w:ascii="Arial" w:hAnsi="Arial" w:cs="Arial"/>
          <w:color w:val="000000" w:themeColor="text1"/>
          <w:sz w:val="32"/>
          <w:szCs w:val="32"/>
        </w:rPr>
        <w:t>1817</w:t>
      </w:r>
    </w:p>
    <w:p w14:paraId="3C9EBD77" w14:textId="77777777" w:rsidR="00FA0209" w:rsidRDefault="00FA0209" w:rsidP="00FA0209"/>
    <w:p w14:paraId="30D75406" w14:textId="77777777" w:rsidR="00FA0209" w:rsidRDefault="00FA0209" w:rsidP="00FA0209"/>
    <w:p w14:paraId="4FBF4332" w14:textId="77777777" w:rsidR="00FA0209" w:rsidRDefault="00FA0209" w:rsidP="00FA0209"/>
    <w:p w14:paraId="7781A6E8" w14:textId="77777777" w:rsidR="00FA0209" w:rsidRDefault="00FA0209" w:rsidP="00FA0209"/>
    <w:p w14:paraId="43ED1901" w14:textId="77777777" w:rsidR="00FA0209" w:rsidRDefault="00FA0209" w:rsidP="00FA0209"/>
    <w:p w14:paraId="79E5059D" w14:textId="2E9DD101" w:rsidR="00FA0209" w:rsidRDefault="00FA0209" w:rsidP="00FA0209">
      <w:pPr>
        <w:spacing w:after="240" w:line="360" w:lineRule="auto"/>
        <w:rPr>
          <w:rFonts w:ascii="Arial" w:hAnsi="Arial" w:cs="Arial"/>
          <w:b/>
          <w:color w:val="000000"/>
          <w:u w:val="single"/>
        </w:rPr>
      </w:pPr>
    </w:p>
    <w:p w14:paraId="7767E0C3" w14:textId="77777777" w:rsidR="00E1648A" w:rsidRDefault="00E1648A" w:rsidP="00FA0209">
      <w:pPr>
        <w:spacing w:after="240" w:line="360" w:lineRule="auto"/>
        <w:rPr>
          <w:rFonts w:ascii="Arial" w:hAnsi="Arial" w:cs="Arial"/>
          <w:b/>
          <w:color w:val="000000"/>
          <w:u w:val="single"/>
        </w:rPr>
      </w:pPr>
    </w:p>
    <w:p w14:paraId="2D137F93" w14:textId="77777777" w:rsidR="00F525FB" w:rsidRDefault="00F525FB" w:rsidP="00FA0209">
      <w:pPr>
        <w:spacing w:after="240" w:line="360" w:lineRule="auto"/>
        <w:rPr>
          <w:rFonts w:ascii="Arial" w:hAnsi="Arial" w:cs="Arial"/>
          <w:b/>
          <w:color w:val="000000"/>
          <w:u w:val="single"/>
        </w:rPr>
      </w:pPr>
    </w:p>
    <w:p w14:paraId="62155876" w14:textId="77777777"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u w:val="single"/>
        </w:rPr>
        <w:lastRenderedPageBreak/>
        <w:t>Table of Contents</w:t>
      </w:r>
      <w:r w:rsidRPr="00A73E31">
        <w:rPr>
          <w:rFonts w:ascii="Arial" w:hAnsi="Arial" w:cs="Arial"/>
          <w:b/>
          <w:color w:val="000000"/>
        </w:rPr>
        <w:tab/>
      </w:r>
    </w:p>
    <w:p w14:paraId="67EF8D97" w14:textId="77777777"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t>Page Number</w:t>
      </w:r>
    </w:p>
    <w:p w14:paraId="6C17DB2E" w14:textId="77777777"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rPr>
        <w:t>1.0</w:t>
      </w:r>
      <w:r w:rsidRPr="00A73E31">
        <w:rPr>
          <w:rFonts w:ascii="Arial" w:hAnsi="Arial" w:cs="Arial"/>
          <w:b/>
          <w:color w:val="000000"/>
        </w:rPr>
        <w:tab/>
        <w:t>Executive Summary</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t>3</w:t>
      </w:r>
    </w:p>
    <w:p w14:paraId="6A40612E" w14:textId="77777777"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rPr>
        <w:t>2.0</w:t>
      </w:r>
      <w:r w:rsidRPr="00A73E31">
        <w:rPr>
          <w:rFonts w:ascii="Arial" w:hAnsi="Arial" w:cs="Arial"/>
          <w:b/>
          <w:color w:val="000000"/>
        </w:rPr>
        <w:tab/>
        <w:t>Terms of reference</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3</w:t>
      </w:r>
    </w:p>
    <w:p w14:paraId="42DD0A16" w14:textId="77777777" w:rsidR="00FA0209" w:rsidRPr="00A73E31" w:rsidRDefault="00FA0209" w:rsidP="00FA0209">
      <w:pPr>
        <w:spacing w:after="240" w:line="360" w:lineRule="auto"/>
        <w:rPr>
          <w:rFonts w:ascii="Arial" w:hAnsi="Arial" w:cs="Arial"/>
          <w:b/>
          <w:color w:val="000000"/>
        </w:rPr>
      </w:pPr>
      <w:r>
        <w:rPr>
          <w:rFonts w:ascii="Arial" w:hAnsi="Arial" w:cs="Arial"/>
          <w:b/>
          <w:color w:val="000000"/>
        </w:rPr>
        <w:t>3.0</w:t>
      </w:r>
      <w:r>
        <w:rPr>
          <w:rFonts w:ascii="Arial" w:hAnsi="Arial" w:cs="Arial"/>
          <w:b/>
          <w:color w:val="000000"/>
        </w:rPr>
        <w:tab/>
        <w:t>Procedure</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3</w:t>
      </w:r>
    </w:p>
    <w:p w14:paraId="34D8C8CE" w14:textId="77777777"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rPr>
        <w:t>4.0</w:t>
      </w:r>
      <w:r w:rsidRPr="00A73E31">
        <w:rPr>
          <w:rFonts w:ascii="Arial" w:hAnsi="Arial" w:cs="Arial"/>
          <w:b/>
          <w:color w:val="000000"/>
        </w:rPr>
        <w:tab/>
        <w:t>Findings</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4</w:t>
      </w:r>
      <w:r>
        <w:rPr>
          <w:rFonts w:ascii="Arial" w:hAnsi="Arial" w:cs="Arial"/>
          <w:b/>
          <w:color w:val="000000"/>
        </w:rPr>
        <w:tab/>
      </w:r>
    </w:p>
    <w:p w14:paraId="7B9C665E" w14:textId="3ED670E5" w:rsidR="00FA0209" w:rsidRPr="00A73E31" w:rsidRDefault="00FA0209" w:rsidP="00FA0209">
      <w:pPr>
        <w:spacing w:after="240" w:line="360" w:lineRule="auto"/>
        <w:rPr>
          <w:rFonts w:ascii="Arial" w:hAnsi="Arial" w:cs="Arial"/>
          <w:b/>
          <w:color w:val="000000"/>
        </w:rPr>
      </w:pPr>
      <w:r w:rsidRPr="00A73E31">
        <w:rPr>
          <w:rFonts w:ascii="Arial" w:hAnsi="Arial" w:cs="Arial"/>
          <w:b/>
          <w:color w:val="000000"/>
        </w:rPr>
        <w:t>5.0</w:t>
      </w:r>
      <w:r w:rsidRPr="00A73E31">
        <w:rPr>
          <w:rFonts w:ascii="Arial" w:hAnsi="Arial" w:cs="Arial"/>
          <w:b/>
          <w:color w:val="000000"/>
        </w:rPr>
        <w:tab/>
        <w:t>Conclusion</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ab/>
      </w:r>
      <w:r>
        <w:rPr>
          <w:rFonts w:ascii="Arial" w:hAnsi="Arial" w:cs="Arial"/>
          <w:b/>
          <w:color w:val="000000"/>
        </w:rPr>
        <w:tab/>
      </w:r>
      <w:r w:rsidR="00C006BC">
        <w:rPr>
          <w:rFonts w:ascii="Arial" w:hAnsi="Arial" w:cs="Arial"/>
          <w:b/>
          <w:color w:val="000000"/>
        </w:rPr>
        <w:t>8</w:t>
      </w:r>
    </w:p>
    <w:p w14:paraId="5AAEFF1E" w14:textId="2ADEC273" w:rsidR="00C006BC" w:rsidRPr="00A73E31" w:rsidRDefault="00FA0209" w:rsidP="00FA0209">
      <w:pPr>
        <w:spacing w:after="240" w:line="360" w:lineRule="auto"/>
        <w:rPr>
          <w:rFonts w:ascii="Arial" w:hAnsi="Arial" w:cs="Arial"/>
          <w:b/>
          <w:color w:val="000000"/>
        </w:rPr>
      </w:pPr>
      <w:r w:rsidRPr="00A73E31">
        <w:rPr>
          <w:rFonts w:ascii="Arial" w:hAnsi="Arial" w:cs="Arial"/>
          <w:b/>
          <w:color w:val="000000"/>
        </w:rPr>
        <w:t>6.0</w:t>
      </w:r>
      <w:r w:rsidRPr="00A73E31">
        <w:rPr>
          <w:rFonts w:ascii="Arial" w:hAnsi="Arial" w:cs="Arial"/>
          <w:b/>
          <w:color w:val="000000"/>
        </w:rPr>
        <w:tab/>
        <w:t>References</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C006BC">
        <w:rPr>
          <w:rFonts w:ascii="Arial" w:hAnsi="Arial" w:cs="Arial"/>
          <w:b/>
          <w:color w:val="000000"/>
        </w:rPr>
        <w:t>9</w:t>
      </w:r>
    </w:p>
    <w:p w14:paraId="4384BF8C" w14:textId="56B540B0" w:rsidR="0097279E" w:rsidRDefault="0097279E" w:rsidP="00FA0209">
      <w:pPr>
        <w:spacing w:after="240" w:line="360" w:lineRule="auto"/>
        <w:rPr>
          <w:rFonts w:ascii="Arial" w:hAnsi="Arial" w:cs="Arial"/>
          <w:b/>
          <w:color w:val="000000"/>
        </w:rPr>
      </w:pPr>
    </w:p>
    <w:p w14:paraId="027F902F" w14:textId="72CB124B" w:rsidR="0097279E" w:rsidRDefault="0097279E" w:rsidP="00FA0209">
      <w:pPr>
        <w:spacing w:after="240" w:line="360" w:lineRule="auto"/>
        <w:rPr>
          <w:rFonts w:ascii="Arial" w:hAnsi="Arial" w:cs="Arial"/>
          <w:b/>
          <w:color w:val="000000"/>
        </w:rPr>
      </w:pPr>
    </w:p>
    <w:p w14:paraId="7389C26D" w14:textId="58EB8735" w:rsidR="0097279E" w:rsidRDefault="0097279E" w:rsidP="00FA0209">
      <w:pPr>
        <w:spacing w:after="240" w:line="360" w:lineRule="auto"/>
        <w:rPr>
          <w:rFonts w:ascii="Arial" w:hAnsi="Arial" w:cs="Arial"/>
          <w:b/>
          <w:bCs/>
          <w:color w:val="FF0000"/>
        </w:rPr>
      </w:pPr>
    </w:p>
    <w:p w14:paraId="5EAEDA36" w14:textId="74F64146" w:rsidR="00EE5241" w:rsidRDefault="00EE5241" w:rsidP="00FA0209">
      <w:pPr>
        <w:spacing w:after="240" w:line="360" w:lineRule="auto"/>
        <w:rPr>
          <w:rFonts w:ascii="Arial" w:hAnsi="Arial" w:cs="Arial"/>
          <w:b/>
          <w:bCs/>
          <w:color w:val="FF0000"/>
        </w:rPr>
      </w:pPr>
    </w:p>
    <w:p w14:paraId="26331DB5" w14:textId="12076539" w:rsidR="00EE5241" w:rsidRDefault="00EE5241" w:rsidP="00FA0209">
      <w:pPr>
        <w:spacing w:after="240" w:line="360" w:lineRule="auto"/>
        <w:rPr>
          <w:rFonts w:ascii="Arial" w:hAnsi="Arial" w:cs="Arial"/>
          <w:b/>
          <w:bCs/>
          <w:color w:val="FF0000"/>
        </w:rPr>
      </w:pPr>
    </w:p>
    <w:p w14:paraId="40C30596" w14:textId="77777777" w:rsidR="00EE5241" w:rsidRPr="00A73E31" w:rsidRDefault="00EE5241" w:rsidP="00FA0209">
      <w:pPr>
        <w:spacing w:after="240" w:line="360" w:lineRule="auto"/>
        <w:rPr>
          <w:rFonts w:ascii="Arial" w:hAnsi="Arial" w:cs="Arial"/>
          <w:color w:val="000000"/>
        </w:rPr>
      </w:pPr>
    </w:p>
    <w:p w14:paraId="328ADE30" w14:textId="0F0DAA56" w:rsidR="00FA0209" w:rsidRDefault="00FA0209"/>
    <w:p w14:paraId="1A4C61A3" w14:textId="7F4A6D1F" w:rsidR="00672B54" w:rsidRDefault="00672B54"/>
    <w:p w14:paraId="65494654" w14:textId="471BFF53" w:rsidR="00672B54" w:rsidRDefault="00672B54"/>
    <w:p w14:paraId="181EE1D4" w14:textId="73CA5136" w:rsidR="00672B54" w:rsidRDefault="00672B54"/>
    <w:p w14:paraId="339A8499" w14:textId="49DD9E59" w:rsidR="00672B54" w:rsidRDefault="00672B54"/>
    <w:p w14:paraId="5610A215" w14:textId="5726F318" w:rsidR="00672B54" w:rsidRDefault="00672B54"/>
    <w:p w14:paraId="0C48B60A" w14:textId="1A191711" w:rsidR="00672B54" w:rsidRDefault="00672B54"/>
    <w:p w14:paraId="4F96A18B" w14:textId="60C03E71" w:rsidR="00E1648A" w:rsidRDefault="00E1648A"/>
    <w:p w14:paraId="4A2852F0" w14:textId="08028B85" w:rsidR="00E1648A" w:rsidRDefault="00E1648A"/>
    <w:p w14:paraId="64AF27FC" w14:textId="77777777" w:rsidR="00E1648A" w:rsidRDefault="00E1648A"/>
    <w:p w14:paraId="29B0604B" w14:textId="16B74C26" w:rsidR="00672B54" w:rsidRDefault="00672B54"/>
    <w:p w14:paraId="10F10867" w14:textId="09DC0C8C" w:rsidR="00EE5241" w:rsidRDefault="00EE5241"/>
    <w:p w14:paraId="59DA0204" w14:textId="1A8D464C" w:rsidR="00EE5241" w:rsidRDefault="00EE5241"/>
    <w:p w14:paraId="38CE9BF0" w14:textId="77777777" w:rsidR="002C74D3" w:rsidRDefault="002C74D3"/>
    <w:p w14:paraId="6F4A3E88" w14:textId="77777777" w:rsidR="00EE5241" w:rsidRDefault="00EE5241"/>
    <w:p w14:paraId="44C6B916" w14:textId="77777777" w:rsidR="00EE5241" w:rsidRDefault="00EE5241"/>
    <w:p w14:paraId="0ECE5D45" w14:textId="1DDCC6BB" w:rsidR="00672B54" w:rsidRDefault="00672B54"/>
    <w:p w14:paraId="4A444C95" w14:textId="46B0BEBA" w:rsidR="00005809" w:rsidRPr="00904FF4" w:rsidRDefault="00672B54" w:rsidP="00005809">
      <w:pPr>
        <w:numPr>
          <w:ilvl w:val="0"/>
          <w:numId w:val="2"/>
        </w:numPr>
        <w:spacing w:after="240" w:line="360" w:lineRule="auto"/>
        <w:rPr>
          <w:rFonts w:ascii="Arial" w:hAnsi="Arial" w:cs="Arial"/>
          <w:b/>
          <w:color w:val="000000" w:themeColor="text1"/>
          <w:u w:val="single"/>
        </w:rPr>
      </w:pPr>
      <w:r w:rsidRPr="00904FF4">
        <w:rPr>
          <w:rFonts w:ascii="Arial" w:hAnsi="Arial" w:cs="Arial"/>
          <w:b/>
          <w:color w:val="000000" w:themeColor="text1"/>
          <w:u w:val="single"/>
        </w:rPr>
        <w:lastRenderedPageBreak/>
        <w:t>Executive Summary</w:t>
      </w:r>
    </w:p>
    <w:p w14:paraId="0D304C0B" w14:textId="5C2EADA5" w:rsidR="00941941" w:rsidRPr="00904FF4" w:rsidRDefault="001D55FA" w:rsidP="005F4356">
      <w:pPr>
        <w:spacing w:after="240" w:line="360" w:lineRule="auto"/>
        <w:ind w:left="720"/>
        <w:rPr>
          <w:rFonts w:ascii="Arial" w:hAnsi="Arial" w:cs="Arial"/>
          <w:bCs/>
          <w:color w:val="000000" w:themeColor="text1"/>
        </w:rPr>
      </w:pPr>
      <w:r w:rsidRPr="00904FF4">
        <w:rPr>
          <w:rFonts w:ascii="Arial" w:hAnsi="Arial" w:cs="Arial"/>
          <w:bCs/>
          <w:color w:val="000000" w:themeColor="text1"/>
        </w:rPr>
        <w:t xml:space="preserve">This report aims to describe my knowledge and understanding of compliance frameworks associated with the construction industry, in addition to the application of relevant legislation.  </w:t>
      </w:r>
      <w:r w:rsidR="00AC7DFE" w:rsidRPr="00904FF4">
        <w:rPr>
          <w:rFonts w:ascii="Arial" w:hAnsi="Arial" w:cs="Arial"/>
          <w:bCs/>
          <w:color w:val="000000" w:themeColor="text1"/>
        </w:rPr>
        <w:t xml:space="preserve">Negligent acts are often breaches of statutory duty. Should </w:t>
      </w:r>
      <w:r w:rsidR="00941941" w:rsidRPr="00904FF4">
        <w:rPr>
          <w:rFonts w:ascii="Arial" w:hAnsi="Arial" w:cs="Arial"/>
          <w:bCs/>
          <w:color w:val="000000" w:themeColor="text1"/>
        </w:rPr>
        <w:t>businesses not comply with legislation or regulations they may be held liable for breach of statutory duty, in addition to negligence</w:t>
      </w:r>
      <w:r w:rsidR="0003062B" w:rsidRPr="00904FF4">
        <w:rPr>
          <w:rFonts w:ascii="Arial" w:hAnsi="Arial" w:cs="Arial"/>
          <w:bCs/>
          <w:color w:val="000000" w:themeColor="text1"/>
        </w:rPr>
        <w:t>, [</w:t>
      </w:r>
      <w:r w:rsidR="0003062B" w:rsidRPr="00904FF4">
        <w:rPr>
          <w:rFonts w:ascii="Arial" w:hAnsi="Arial" w:cs="Arial"/>
          <w:color w:val="000000" w:themeColor="text1"/>
        </w:rPr>
        <w:t>Hopcraft, 2015]</w:t>
      </w:r>
      <w:r w:rsidR="00941941" w:rsidRPr="00904FF4">
        <w:rPr>
          <w:rFonts w:ascii="Arial" w:hAnsi="Arial" w:cs="Arial"/>
          <w:bCs/>
          <w:color w:val="000000" w:themeColor="text1"/>
        </w:rPr>
        <w:t xml:space="preserve">.  Negligence is known as the most common form of tort law which can cover numerous disputes such as </w:t>
      </w:r>
      <w:r w:rsidR="00543829" w:rsidRPr="00904FF4">
        <w:rPr>
          <w:rFonts w:ascii="Arial" w:hAnsi="Arial" w:cs="Arial"/>
          <w:bCs/>
          <w:color w:val="000000" w:themeColor="text1"/>
        </w:rPr>
        <w:t xml:space="preserve">breaches in contracts, poor construction designs and even lack of project supervision (Uff, 2013). </w:t>
      </w:r>
    </w:p>
    <w:p w14:paraId="523036B4" w14:textId="1EAF7E58" w:rsidR="00817A56" w:rsidRPr="00904FF4" w:rsidRDefault="00817A56" w:rsidP="002765A8">
      <w:pPr>
        <w:spacing w:after="240" w:line="360" w:lineRule="auto"/>
        <w:ind w:left="720"/>
        <w:rPr>
          <w:rFonts w:ascii="Arial" w:hAnsi="Arial" w:cs="Arial"/>
          <w:bCs/>
          <w:color w:val="000000" w:themeColor="text1"/>
        </w:rPr>
      </w:pPr>
    </w:p>
    <w:p w14:paraId="78546610" w14:textId="77777777" w:rsidR="00817A56" w:rsidRPr="00904FF4" w:rsidRDefault="00817A56" w:rsidP="00817A56">
      <w:pPr>
        <w:numPr>
          <w:ilvl w:val="0"/>
          <w:numId w:val="2"/>
        </w:numPr>
        <w:spacing w:after="240" w:line="360" w:lineRule="auto"/>
        <w:rPr>
          <w:rFonts w:ascii="Arial" w:hAnsi="Arial" w:cs="Arial"/>
          <w:b/>
          <w:color w:val="000000" w:themeColor="text1"/>
          <w:u w:val="single"/>
        </w:rPr>
      </w:pPr>
      <w:r w:rsidRPr="00904FF4">
        <w:rPr>
          <w:rFonts w:ascii="Arial" w:hAnsi="Arial" w:cs="Arial"/>
          <w:b/>
          <w:color w:val="000000" w:themeColor="text1"/>
          <w:u w:val="single"/>
        </w:rPr>
        <w:t>Terms of Reference</w:t>
      </w:r>
    </w:p>
    <w:p w14:paraId="565CA532" w14:textId="77777777" w:rsidR="004902A5" w:rsidRPr="00904FF4" w:rsidRDefault="00817A56" w:rsidP="00193325">
      <w:pPr>
        <w:spacing w:after="240" w:line="360" w:lineRule="auto"/>
        <w:rPr>
          <w:rFonts w:ascii="Arial" w:hAnsi="Arial" w:cs="Arial"/>
          <w:color w:val="000000" w:themeColor="text1"/>
        </w:rPr>
      </w:pPr>
      <w:r w:rsidRPr="00904FF4">
        <w:rPr>
          <w:rFonts w:ascii="Arial" w:hAnsi="Arial" w:cs="Arial"/>
          <w:color w:val="000000" w:themeColor="text1"/>
        </w:rPr>
        <w:t>The principal focuses are:</w:t>
      </w:r>
    </w:p>
    <w:p w14:paraId="18F1B685" w14:textId="3B3A4FAC" w:rsidR="00817A56" w:rsidRPr="00904FF4" w:rsidRDefault="00817A56" w:rsidP="004902A5">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t>To describe the tort of negligence clearly and include its essential elements.</w:t>
      </w:r>
    </w:p>
    <w:p w14:paraId="0BF3B921" w14:textId="5E839ABC" w:rsidR="00817A56" w:rsidRDefault="00817A56" w:rsidP="004902A5">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t xml:space="preserve">To provide a case law opted by me and outline the importance of such construction, in addition to the how it may impact project progression. </w:t>
      </w:r>
    </w:p>
    <w:p w14:paraId="79D403D2" w14:textId="6A8D2AB4" w:rsidR="00B279A0" w:rsidRPr="00904FF4" w:rsidRDefault="00B279A0" w:rsidP="004902A5">
      <w:pPr>
        <w:numPr>
          <w:ilvl w:val="1"/>
          <w:numId w:val="2"/>
        </w:numPr>
        <w:spacing w:after="240" w:line="360" w:lineRule="auto"/>
        <w:rPr>
          <w:rFonts w:ascii="Arial" w:hAnsi="Arial" w:cs="Arial"/>
          <w:color w:val="000000" w:themeColor="text1"/>
        </w:rPr>
      </w:pPr>
      <w:r>
        <w:rPr>
          <w:rFonts w:ascii="Arial" w:hAnsi="Arial" w:cs="Arial"/>
          <w:color w:val="000000" w:themeColor="text1"/>
        </w:rPr>
        <w:t>Construction adjudication.</w:t>
      </w:r>
    </w:p>
    <w:p w14:paraId="2011CBEE" w14:textId="3CE038C0" w:rsidR="00817A56" w:rsidRPr="00904FF4" w:rsidRDefault="00817A56" w:rsidP="004902A5">
      <w:pPr>
        <w:numPr>
          <w:ilvl w:val="1"/>
          <w:numId w:val="2"/>
        </w:numPr>
        <w:spacing w:after="240" w:line="360" w:lineRule="auto"/>
        <w:rPr>
          <w:rStyle w:val="Strong"/>
          <w:rFonts w:ascii="Arial" w:hAnsi="Arial" w:cs="Arial"/>
          <w:b w:val="0"/>
          <w:bCs w:val="0"/>
          <w:color w:val="000000" w:themeColor="text1"/>
        </w:rPr>
      </w:pPr>
      <w:r w:rsidRPr="00904FF4">
        <w:rPr>
          <w:rFonts w:ascii="Arial" w:hAnsi="Arial" w:cs="Arial"/>
          <w:color w:val="000000" w:themeColor="text1"/>
        </w:rPr>
        <w:t>Discuss</w:t>
      </w:r>
      <w:r w:rsidR="00B836B4" w:rsidRPr="00904FF4">
        <w:rPr>
          <w:rFonts w:ascii="Arial" w:hAnsi="Arial" w:cs="Arial"/>
          <w:color w:val="000000" w:themeColor="text1"/>
        </w:rPr>
        <w:t>ion</w:t>
      </w:r>
      <w:r w:rsidRPr="00904FF4">
        <w:rPr>
          <w:rFonts w:ascii="Arial" w:hAnsi="Arial" w:cs="Arial"/>
          <w:color w:val="000000" w:themeColor="text1"/>
        </w:rPr>
        <w:t xml:space="preserve"> of Vinci </w:t>
      </w:r>
      <w:r w:rsidRPr="00904FF4">
        <w:rPr>
          <w:rStyle w:val="Strong"/>
          <w:rFonts w:ascii="Arial" w:hAnsi="Arial" w:cs="Arial"/>
          <w:b w:val="0"/>
          <w:bCs w:val="0"/>
          <w:color w:val="000000" w:themeColor="text1"/>
          <w:shd w:val="clear" w:color="auto" w:fill="FFFFFF"/>
        </w:rPr>
        <w:t>Construction UK Ltd v Beumer Group UK Ltd</w:t>
      </w:r>
      <w:r w:rsidR="00B836B4" w:rsidRPr="00904FF4">
        <w:rPr>
          <w:rStyle w:val="Strong"/>
          <w:rFonts w:ascii="Arial" w:hAnsi="Arial" w:cs="Arial"/>
          <w:b w:val="0"/>
          <w:bCs w:val="0"/>
          <w:color w:val="000000" w:themeColor="text1"/>
          <w:shd w:val="clear" w:color="auto" w:fill="FFFFFF"/>
        </w:rPr>
        <w:t xml:space="preserve"> </w:t>
      </w:r>
      <w:r w:rsidRPr="00904FF4">
        <w:rPr>
          <w:rStyle w:val="Strong"/>
          <w:rFonts w:ascii="Arial" w:hAnsi="Arial" w:cs="Arial"/>
          <w:b w:val="0"/>
          <w:bCs w:val="0"/>
          <w:color w:val="000000" w:themeColor="text1"/>
          <w:shd w:val="clear" w:color="auto" w:fill="FFFFFF"/>
        </w:rPr>
        <w:t>[2018]</w:t>
      </w:r>
      <w:r w:rsidR="00B836B4" w:rsidRPr="00904FF4">
        <w:rPr>
          <w:rStyle w:val="Strong"/>
          <w:rFonts w:ascii="Arial" w:hAnsi="Arial" w:cs="Arial"/>
          <w:b w:val="0"/>
          <w:bCs w:val="0"/>
          <w:color w:val="000000" w:themeColor="text1"/>
          <w:shd w:val="clear" w:color="auto" w:fill="FFFFFF"/>
        </w:rPr>
        <w:t xml:space="preserve"> case.</w:t>
      </w:r>
    </w:p>
    <w:p w14:paraId="05629655" w14:textId="2BF8DDB9" w:rsidR="00B836B4" w:rsidRPr="00904FF4" w:rsidRDefault="00817A56" w:rsidP="004902A5">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t xml:space="preserve">The report is due by the </w:t>
      </w:r>
      <w:r w:rsidR="00C320C3" w:rsidRPr="00904FF4">
        <w:rPr>
          <w:rFonts w:ascii="Arial" w:hAnsi="Arial" w:cs="Arial"/>
          <w:color w:val="000000" w:themeColor="text1"/>
        </w:rPr>
        <w:t>1</w:t>
      </w:r>
      <w:r w:rsidR="00C320C3" w:rsidRPr="00904FF4">
        <w:rPr>
          <w:rFonts w:ascii="Arial" w:hAnsi="Arial" w:cs="Arial"/>
          <w:color w:val="000000" w:themeColor="text1"/>
          <w:vertAlign w:val="superscript"/>
        </w:rPr>
        <w:t>st of</w:t>
      </w:r>
      <w:r w:rsidRPr="00904FF4">
        <w:rPr>
          <w:rFonts w:ascii="Arial" w:hAnsi="Arial" w:cs="Arial"/>
          <w:color w:val="000000" w:themeColor="text1"/>
          <w:vertAlign w:val="superscript"/>
        </w:rPr>
        <w:t xml:space="preserve"> </w:t>
      </w:r>
      <w:r w:rsidRPr="00904FF4">
        <w:rPr>
          <w:rFonts w:ascii="Arial" w:hAnsi="Arial" w:cs="Arial"/>
          <w:color w:val="000000" w:themeColor="text1"/>
        </w:rPr>
        <w:t>December 2022</w:t>
      </w:r>
      <w:r w:rsidR="00B836B4" w:rsidRPr="00904FF4">
        <w:rPr>
          <w:rFonts w:ascii="Arial" w:hAnsi="Arial" w:cs="Arial"/>
          <w:color w:val="000000" w:themeColor="text1"/>
        </w:rPr>
        <w:t>.</w:t>
      </w:r>
    </w:p>
    <w:p w14:paraId="1AC7A92D" w14:textId="77777777" w:rsidR="00B836B4" w:rsidRPr="00904FF4" w:rsidRDefault="00B836B4" w:rsidP="00B836B4">
      <w:pPr>
        <w:spacing w:after="240" w:line="360" w:lineRule="auto"/>
        <w:rPr>
          <w:rFonts w:ascii="Arial" w:hAnsi="Arial" w:cs="Arial"/>
          <w:color w:val="000000" w:themeColor="text1"/>
        </w:rPr>
      </w:pPr>
    </w:p>
    <w:p w14:paraId="399AF563" w14:textId="77777777" w:rsidR="00FE5B1A" w:rsidRPr="00904FF4" w:rsidRDefault="00B836B4" w:rsidP="00FE5B1A">
      <w:pPr>
        <w:numPr>
          <w:ilvl w:val="0"/>
          <w:numId w:val="2"/>
        </w:numPr>
        <w:spacing w:after="240" w:line="360" w:lineRule="auto"/>
        <w:rPr>
          <w:rFonts w:ascii="Arial" w:hAnsi="Arial" w:cs="Arial"/>
          <w:color w:val="000000" w:themeColor="text1"/>
          <w:u w:val="single"/>
        </w:rPr>
      </w:pPr>
      <w:r w:rsidRPr="00904FF4">
        <w:rPr>
          <w:rFonts w:ascii="Arial" w:hAnsi="Arial" w:cs="Arial"/>
          <w:b/>
          <w:color w:val="000000" w:themeColor="text1"/>
          <w:u w:val="single"/>
        </w:rPr>
        <w:t>Procedur</w:t>
      </w:r>
      <w:r w:rsidR="00DF075D" w:rsidRPr="00904FF4">
        <w:rPr>
          <w:rFonts w:ascii="Arial" w:hAnsi="Arial" w:cs="Arial"/>
          <w:b/>
          <w:color w:val="000000" w:themeColor="text1"/>
          <w:u w:val="single"/>
        </w:rPr>
        <w:t>e</w:t>
      </w:r>
    </w:p>
    <w:p w14:paraId="2772FB44" w14:textId="705CBCC7" w:rsidR="00FE5B1A" w:rsidRPr="00904FF4" w:rsidRDefault="00FE5B1A" w:rsidP="00FE5B1A">
      <w:pPr>
        <w:spacing w:after="240" w:line="360" w:lineRule="auto"/>
        <w:ind w:left="720"/>
        <w:rPr>
          <w:rFonts w:ascii="Arial" w:hAnsi="Arial" w:cs="Arial"/>
          <w:color w:val="000000" w:themeColor="text1"/>
        </w:rPr>
      </w:pPr>
      <w:r w:rsidRPr="00904FF4">
        <w:rPr>
          <w:rFonts w:ascii="Arial" w:hAnsi="Arial" w:cs="Arial"/>
          <w:color w:val="000000" w:themeColor="text1"/>
        </w:rPr>
        <w:t>This section identifies the research sources used.</w:t>
      </w:r>
    </w:p>
    <w:p w14:paraId="0AABB6CB" w14:textId="07C3D0C8" w:rsidR="004902A5" w:rsidRPr="00904FF4" w:rsidRDefault="004902A5" w:rsidP="004902A5">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t>The research included sources about</w:t>
      </w:r>
      <w:r w:rsidR="00193325" w:rsidRPr="00904FF4">
        <w:rPr>
          <w:rFonts w:ascii="Arial" w:hAnsi="Arial" w:cs="Arial"/>
          <w:color w:val="000000" w:themeColor="text1"/>
        </w:rPr>
        <w:t xml:space="preserve"> tort law and negligence </w:t>
      </w:r>
      <w:r w:rsidRPr="00904FF4">
        <w:rPr>
          <w:rFonts w:ascii="Arial" w:hAnsi="Arial" w:cs="Arial"/>
          <w:color w:val="000000" w:themeColor="text1"/>
        </w:rPr>
        <w:t>from websites and textbooks set out in the references and bibliography.</w:t>
      </w:r>
    </w:p>
    <w:p w14:paraId="78902FF5" w14:textId="205E5859" w:rsidR="004902A5" w:rsidRPr="00904FF4" w:rsidRDefault="004902A5" w:rsidP="00193325">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lastRenderedPageBreak/>
        <w:t>Researc</w:t>
      </w:r>
      <w:r w:rsidR="00193325" w:rsidRPr="00904FF4">
        <w:rPr>
          <w:rFonts w:ascii="Arial" w:hAnsi="Arial" w:cs="Arial"/>
          <w:color w:val="000000" w:themeColor="text1"/>
        </w:rPr>
        <w:t>h</w:t>
      </w:r>
      <w:r w:rsidRPr="00904FF4">
        <w:rPr>
          <w:rFonts w:ascii="Arial" w:hAnsi="Arial" w:cs="Arial"/>
          <w:color w:val="000000" w:themeColor="text1"/>
        </w:rPr>
        <w:t xml:space="preserve"> obtained by taking notes during lectures</w:t>
      </w:r>
      <w:r w:rsidR="00193325" w:rsidRPr="00904FF4">
        <w:rPr>
          <w:rFonts w:ascii="Arial" w:hAnsi="Arial" w:cs="Arial"/>
          <w:color w:val="000000" w:themeColor="text1"/>
        </w:rPr>
        <w:t xml:space="preserve"> and referring to PowerPoints used.</w:t>
      </w:r>
    </w:p>
    <w:p w14:paraId="1A24777A" w14:textId="783FA7EA" w:rsidR="00AC7DFE" w:rsidRPr="00904FF4" w:rsidRDefault="00193325" w:rsidP="00AC7DFE">
      <w:pPr>
        <w:numPr>
          <w:ilvl w:val="1"/>
          <w:numId w:val="2"/>
        </w:numPr>
        <w:spacing w:after="240" w:line="360" w:lineRule="auto"/>
        <w:rPr>
          <w:rFonts w:ascii="Arial" w:hAnsi="Arial" w:cs="Arial"/>
          <w:color w:val="000000" w:themeColor="text1"/>
        </w:rPr>
      </w:pPr>
      <w:r w:rsidRPr="00904FF4">
        <w:rPr>
          <w:rFonts w:ascii="Arial" w:hAnsi="Arial" w:cs="Arial"/>
          <w:color w:val="000000" w:themeColor="text1"/>
        </w:rPr>
        <w:t>Case studies</w:t>
      </w:r>
    </w:p>
    <w:p w14:paraId="3D19ABE0" w14:textId="77777777" w:rsidR="00DF1812" w:rsidRPr="00904FF4" w:rsidRDefault="00DF1812" w:rsidP="00DF1812">
      <w:pPr>
        <w:spacing w:after="240" w:line="360" w:lineRule="auto"/>
        <w:rPr>
          <w:rFonts w:ascii="Arial" w:hAnsi="Arial" w:cs="Arial"/>
          <w:color w:val="000000" w:themeColor="text1"/>
        </w:rPr>
      </w:pPr>
    </w:p>
    <w:p w14:paraId="3D2CCCCE" w14:textId="46F127DC" w:rsidR="00DF1812" w:rsidRPr="00904FF4" w:rsidRDefault="00DF1812" w:rsidP="00DF1812">
      <w:pPr>
        <w:numPr>
          <w:ilvl w:val="0"/>
          <w:numId w:val="2"/>
        </w:numPr>
        <w:spacing w:after="240" w:line="360" w:lineRule="auto"/>
        <w:rPr>
          <w:rFonts w:ascii="Arial" w:hAnsi="Arial" w:cs="Arial"/>
          <w:b/>
          <w:bCs/>
          <w:color w:val="000000" w:themeColor="text1"/>
          <w:u w:val="single"/>
        </w:rPr>
      </w:pPr>
      <w:r w:rsidRPr="00904FF4">
        <w:rPr>
          <w:rFonts w:ascii="Arial" w:hAnsi="Arial" w:cs="Arial"/>
          <w:b/>
          <w:bCs/>
          <w:color w:val="000000" w:themeColor="text1"/>
          <w:u w:val="single"/>
        </w:rPr>
        <w:t xml:space="preserve">Findings </w:t>
      </w:r>
    </w:p>
    <w:p w14:paraId="43435F78" w14:textId="3D19257E" w:rsidR="005F4356" w:rsidRPr="002E582A" w:rsidRDefault="00140385" w:rsidP="002E582A">
      <w:pPr>
        <w:spacing w:line="360" w:lineRule="auto"/>
        <w:rPr>
          <w:rFonts w:ascii="Arial" w:hAnsi="Arial" w:cs="Arial"/>
          <w:color w:val="FF0000"/>
        </w:rPr>
      </w:pPr>
      <w:r w:rsidRPr="002E582A">
        <w:rPr>
          <w:rFonts w:ascii="Arial" w:hAnsi="Arial" w:cs="Arial"/>
          <w:color w:val="000000" w:themeColor="text1"/>
          <w:shd w:val="clear" w:color="auto" w:fill="FFFFFF"/>
        </w:rPr>
        <w:t xml:space="preserve">Tort law describes a ‘civil wrong’ for which the law provides a remedy. It is typically understood that tort law is the principle of corrective justice that is built on two key elements: fault and causation. </w:t>
      </w:r>
      <w:r w:rsidR="00CE38CF" w:rsidRPr="002E582A">
        <w:rPr>
          <w:rFonts w:ascii="Arial" w:hAnsi="Arial" w:cs="Arial"/>
          <w:color w:val="000000" w:themeColor="text1"/>
          <w:shd w:val="clear" w:color="auto" w:fill="FFFFFF"/>
        </w:rPr>
        <w:t>A resolution of a tort law is usually accomplished by an identified victim being financially compensated for damages</w:t>
      </w:r>
      <w:r w:rsidR="00021227" w:rsidRPr="002E582A">
        <w:rPr>
          <w:rFonts w:ascii="Arial" w:hAnsi="Arial" w:cs="Arial"/>
          <w:color w:val="000000" w:themeColor="text1"/>
          <w:shd w:val="clear" w:color="auto" w:fill="FFFFFF"/>
        </w:rPr>
        <w:t xml:space="preserve"> </w:t>
      </w:r>
      <w:r w:rsidR="00021227" w:rsidRPr="002E582A">
        <w:rPr>
          <w:rFonts w:ascii="Arial" w:hAnsi="Arial" w:cs="Arial"/>
          <w:color w:val="000000"/>
        </w:rPr>
        <w:t>(Wazir, 2018)</w:t>
      </w:r>
      <w:r w:rsidR="00021227" w:rsidRPr="002E582A">
        <w:rPr>
          <w:rFonts w:ascii="Arial" w:hAnsi="Arial" w:cs="Arial"/>
          <w:color w:val="000000"/>
        </w:rPr>
        <w:t>.</w:t>
      </w:r>
    </w:p>
    <w:p w14:paraId="4E601B33" w14:textId="77777777" w:rsidR="005F4356" w:rsidRPr="002E582A" w:rsidRDefault="005F4356" w:rsidP="002E582A">
      <w:pPr>
        <w:spacing w:line="360" w:lineRule="auto"/>
        <w:rPr>
          <w:rFonts w:ascii="Arial" w:hAnsi="Arial" w:cs="Arial"/>
          <w:color w:val="FF0000"/>
        </w:rPr>
      </w:pPr>
    </w:p>
    <w:p w14:paraId="0DF58F74" w14:textId="1D098FF4" w:rsidR="00904FF4" w:rsidRPr="002E582A" w:rsidRDefault="00904FF4" w:rsidP="002E582A">
      <w:pPr>
        <w:spacing w:after="240" w:line="360" w:lineRule="auto"/>
        <w:rPr>
          <w:rFonts w:ascii="Arial" w:hAnsi="Arial" w:cs="Arial"/>
          <w:color w:val="000000" w:themeColor="text1"/>
          <w:shd w:val="clear" w:color="auto" w:fill="FFFFFF"/>
        </w:rPr>
      </w:pPr>
      <w:r w:rsidRPr="002E582A">
        <w:rPr>
          <w:rFonts w:ascii="Arial" w:hAnsi="Arial" w:cs="Arial"/>
          <w:color w:val="000000" w:themeColor="text1"/>
          <w:shd w:val="clear" w:color="auto" w:fill="FFFFFF"/>
        </w:rPr>
        <w:t>There are three elements in the tort of negligence such as duty of care, breach of duty and damages</w:t>
      </w:r>
      <w:r w:rsidR="005F4356" w:rsidRPr="002E582A">
        <w:rPr>
          <w:rFonts w:ascii="Arial" w:hAnsi="Arial" w:cs="Arial"/>
          <w:color w:val="000000" w:themeColor="text1"/>
          <w:shd w:val="clear" w:color="auto" w:fill="FFFFFF"/>
        </w:rPr>
        <w:t xml:space="preserve"> as a direct consequence of the breach. </w:t>
      </w:r>
      <w:r w:rsidRPr="002E582A">
        <w:rPr>
          <w:rFonts w:ascii="Arial" w:hAnsi="Arial" w:cs="Arial"/>
          <w:color w:val="000000" w:themeColor="text1"/>
          <w:shd w:val="clear" w:color="auto" w:fill="FFFFFF"/>
        </w:rPr>
        <w:t xml:space="preserve"> A single person must always take reasonable care to avoid omissions and acts that can be foreseen as likely to cause injury in explaining a duty of care. Negligence is a form of tort and is best used to describe the failure to use reasonable care and in common law negligence is explained as an action taken that would contradict how an ordinary reasonable community member would act like when showing thought and care for the future</w:t>
      </w:r>
      <w:r w:rsidR="000800C6" w:rsidRPr="002E582A">
        <w:rPr>
          <w:rFonts w:ascii="Arial" w:hAnsi="Arial" w:cs="Arial"/>
          <w:color w:val="000000" w:themeColor="text1"/>
          <w:shd w:val="clear" w:color="auto" w:fill="FFFFFF"/>
        </w:rPr>
        <w:t xml:space="preserve"> </w:t>
      </w:r>
      <w:r w:rsidR="000800C6" w:rsidRPr="002E582A">
        <w:rPr>
          <w:rFonts w:ascii="Arial" w:hAnsi="Arial" w:cs="Arial"/>
          <w:color w:val="000000"/>
        </w:rPr>
        <w:t>(Deacon et al., 2003)</w:t>
      </w:r>
      <w:r w:rsidRPr="002E582A">
        <w:rPr>
          <w:rFonts w:ascii="Arial" w:hAnsi="Arial" w:cs="Arial"/>
          <w:color w:val="000000" w:themeColor="text1"/>
          <w:shd w:val="clear" w:color="auto" w:fill="FFFFFF"/>
        </w:rPr>
        <w:t>.</w:t>
      </w:r>
    </w:p>
    <w:p w14:paraId="33BD4D8C" w14:textId="260B517E" w:rsidR="00CB3BBC" w:rsidRPr="002E582A" w:rsidRDefault="00F60F49" w:rsidP="002E582A">
      <w:pPr>
        <w:spacing w:after="240" w:line="360" w:lineRule="auto"/>
        <w:rPr>
          <w:rFonts w:ascii="Arial" w:hAnsi="Arial" w:cs="Arial"/>
          <w:color w:val="FF0000"/>
          <w:shd w:val="clear" w:color="auto" w:fill="FFFFFF"/>
        </w:rPr>
      </w:pPr>
      <w:r w:rsidRPr="002E582A">
        <w:rPr>
          <w:rFonts w:ascii="Arial" w:hAnsi="Arial" w:cs="Arial"/>
          <w:color w:val="000000" w:themeColor="text1"/>
          <w:shd w:val="clear" w:color="auto" w:fill="FFFFFF"/>
        </w:rPr>
        <w:t xml:space="preserve">Tort negligence is described as the most </w:t>
      </w:r>
      <w:r w:rsidR="00CB3BBC" w:rsidRPr="002E582A">
        <w:rPr>
          <w:rFonts w:ascii="Arial" w:hAnsi="Arial" w:cs="Arial"/>
          <w:color w:val="000000" w:themeColor="text1"/>
          <w:shd w:val="clear" w:color="auto" w:fill="FFFFFF"/>
        </w:rPr>
        <w:t xml:space="preserve">common </w:t>
      </w:r>
      <w:r w:rsidR="00072FB2" w:rsidRPr="002E582A">
        <w:rPr>
          <w:rFonts w:ascii="Arial" w:hAnsi="Arial" w:cs="Arial"/>
          <w:color w:val="000000" w:themeColor="text1"/>
          <w:shd w:val="clear" w:color="auto" w:fill="FFFFFF"/>
        </w:rPr>
        <w:t>tort and</w:t>
      </w:r>
      <w:r w:rsidR="00CA34C2" w:rsidRPr="002E582A">
        <w:rPr>
          <w:rFonts w:ascii="Arial" w:hAnsi="Arial" w:cs="Arial"/>
          <w:color w:val="000000" w:themeColor="text1"/>
          <w:shd w:val="clear" w:color="auto" w:fill="FFFFFF"/>
        </w:rPr>
        <w:t xml:space="preserve"> are instigated when a party/person neglects to take any responsibility in avoiding what is considered a foreseeable </w:t>
      </w:r>
      <w:r w:rsidR="00AF0862" w:rsidRPr="002E582A">
        <w:rPr>
          <w:rFonts w:ascii="Arial" w:hAnsi="Arial" w:cs="Arial"/>
          <w:color w:val="000000" w:themeColor="text1"/>
          <w:shd w:val="clear" w:color="auto" w:fill="FFFFFF"/>
        </w:rPr>
        <w:t>risk and</w:t>
      </w:r>
      <w:r w:rsidRPr="002E582A">
        <w:rPr>
          <w:rFonts w:ascii="Arial" w:hAnsi="Arial" w:cs="Arial"/>
          <w:color w:val="000000" w:themeColor="text1"/>
          <w:shd w:val="clear" w:color="auto" w:fill="FFFFFF"/>
        </w:rPr>
        <w:t xml:space="preserve"> imposes an obligation not to breach the duty of care</w:t>
      </w:r>
      <w:r w:rsidR="00011D37" w:rsidRPr="002E582A">
        <w:rPr>
          <w:rFonts w:ascii="Arial" w:hAnsi="Arial" w:cs="Arial"/>
          <w:color w:val="000000" w:themeColor="text1"/>
          <w:shd w:val="clear" w:color="auto" w:fill="FFFFFF"/>
        </w:rPr>
        <w:t xml:space="preserve"> </w:t>
      </w:r>
      <w:r w:rsidR="00011D37" w:rsidRPr="002E582A">
        <w:rPr>
          <w:rFonts w:ascii="Arial" w:hAnsi="Arial" w:cs="Arial"/>
          <w:color w:val="000000"/>
        </w:rPr>
        <w:t>(Wazir, 2018)</w:t>
      </w:r>
      <w:r w:rsidRPr="002E582A">
        <w:rPr>
          <w:rFonts w:ascii="Arial" w:hAnsi="Arial" w:cs="Arial"/>
          <w:color w:val="000000" w:themeColor="text1"/>
          <w:shd w:val="clear" w:color="auto" w:fill="FFFFFF"/>
        </w:rPr>
        <w:t xml:space="preserve">. Duty of care is the duty to behave as a reasonable person would behave in circumstances which the law says is owed to those who may be injured by any conduct foreseeably. </w:t>
      </w:r>
      <w:r w:rsidR="00904FF4" w:rsidRPr="002E582A">
        <w:rPr>
          <w:rFonts w:ascii="Arial" w:hAnsi="Arial" w:cs="Arial"/>
          <w:color w:val="000000" w:themeColor="text1"/>
          <w:shd w:val="clear" w:color="auto" w:fill="FFFFFF"/>
        </w:rPr>
        <w:t>Additionally, a tort is a wrongful act except breach of trust or contract which has resulted in injury to another individual’s property and/or reputation for which injured individuals qualify to be compensated</w:t>
      </w:r>
      <w:r w:rsidR="00325E16" w:rsidRPr="002E582A">
        <w:rPr>
          <w:rFonts w:ascii="Arial" w:hAnsi="Arial" w:cs="Arial"/>
          <w:color w:val="000000" w:themeColor="text1"/>
          <w:shd w:val="clear" w:color="auto" w:fill="FFFFFF"/>
        </w:rPr>
        <w:t>, [Ellison ,2020].</w:t>
      </w:r>
    </w:p>
    <w:p w14:paraId="2B9E6A20" w14:textId="5F25052D" w:rsidR="00D13380" w:rsidRPr="002E582A" w:rsidRDefault="00CB3BBC" w:rsidP="002E582A">
      <w:pPr>
        <w:pStyle w:val="NormalWeb"/>
        <w:spacing w:before="0" w:beforeAutospacing="0" w:line="360" w:lineRule="auto"/>
        <w:rPr>
          <w:rFonts w:ascii="Arial" w:hAnsi="Arial" w:cs="Arial"/>
          <w:color w:val="000000" w:themeColor="text1"/>
        </w:rPr>
      </w:pPr>
      <w:r w:rsidRPr="002E582A">
        <w:rPr>
          <w:rFonts w:ascii="Arial" w:hAnsi="Arial" w:cs="Arial"/>
          <w:color w:val="FFFFFF" w:themeColor="background1"/>
        </w:rPr>
        <w:t xml:space="preserve">It is considered that negligence is often harder to prove than breach of statutory duty. </w:t>
      </w:r>
      <w:r w:rsidRPr="002E582A">
        <w:rPr>
          <w:rFonts w:ascii="Arial" w:hAnsi="Arial" w:cs="Arial"/>
          <w:color w:val="000000" w:themeColor="text1"/>
        </w:rPr>
        <w:t xml:space="preserve">Regulations and legislations impose define care duties and present how such duty can be discharged. An example being regulations for maintaining workspace safety on construction sites such as scaffolding. Appropriate scaffolding is required to be in </w:t>
      </w:r>
      <w:r w:rsidRPr="002E582A">
        <w:rPr>
          <w:rFonts w:ascii="Arial" w:hAnsi="Arial" w:cs="Arial"/>
          <w:color w:val="000000" w:themeColor="text1"/>
        </w:rPr>
        <w:lastRenderedPageBreak/>
        <w:t xml:space="preserve">situ on sites to benefit the safety and well-being of construction employees from suffering falls from height.  Should such an accident occur, it would be easy to establish that there was a breach of statutory duty just with the knowledge that sufficient scaffolding was not used and how it was breached. </w:t>
      </w:r>
      <w:r w:rsidR="00D13380" w:rsidRPr="002E582A">
        <w:rPr>
          <w:rFonts w:ascii="Arial" w:hAnsi="Arial" w:cs="Arial"/>
          <w:color w:val="000000" w:themeColor="text1"/>
        </w:rPr>
        <w:t xml:space="preserve">Negligence whilst being a tort is not concerned with a breach of contract, but with wrongful acts. This tort does not require any formal contract, just a need that it can be evidenced that a person owed a duty of care to </w:t>
      </w:r>
      <w:r w:rsidR="00AE1F0A" w:rsidRPr="002E582A">
        <w:rPr>
          <w:rFonts w:ascii="Arial" w:hAnsi="Arial" w:cs="Arial"/>
          <w:color w:val="000000" w:themeColor="text1"/>
        </w:rPr>
        <w:t>another,</w:t>
      </w:r>
      <w:r w:rsidR="00D13380" w:rsidRPr="002E582A">
        <w:rPr>
          <w:rFonts w:ascii="Arial" w:hAnsi="Arial" w:cs="Arial"/>
          <w:color w:val="000000" w:themeColor="text1"/>
        </w:rPr>
        <w:t xml:space="preserve"> and such duty of care was breached</w:t>
      </w:r>
      <w:r w:rsidR="00A659A4" w:rsidRPr="002E582A">
        <w:rPr>
          <w:rFonts w:ascii="Arial" w:hAnsi="Arial" w:cs="Arial"/>
          <w:color w:val="000000" w:themeColor="text1"/>
        </w:rPr>
        <w:t xml:space="preserve"> </w:t>
      </w:r>
      <w:r w:rsidR="00A659A4" w:rsidRPr="002E582A">
        <w:rPr>
          <w:rFonts w:ascii="Arial" w:hAnsi="Arial" w:cs="Arial"/>
          <w:color w:val="000000"/>
        </w:rPr>
        <w:t>(Owen, 2007)</w:t>
      </w:r>
      <w:r w:rsidR="00A659A4" w:rsidRPr="002E582A">
        <w:rPr>
          <w:rFonts w:ascii="Arial" w:hAnsi="Arial" w:cs="Arial"/>
          <w:color w:val="000000"/>
        </w:rPr>
        <w:t>.</w:t>
      </w:r>
      <w:r w:rsidR="00D13380" w:rsidRPr="002E582A">
        <w:rPr>
          <w:rFonts w:ascii="Arial" w:hAnsi="Arial" w:cs="Arial"/>
          <w:color w:val="000000" w:themeColor="text1"/>
        </w:rPr>
        <w:t xml:space="preserve">  </w:t>
      </w:r>
    </w:p>
    <w:p w14:paraId="0054B49A" w14:textId="43AD44F6" w:rsidR="00CB3BBC" w:rsidRPr="002E582A" w:rsidRDefault="00D13380" w:rsidP="002E582A">
      <w:pPr>
        <w:pStyle w:val="NormalWeb"/>
        <w:spacing w:before="0" w:beforeAutospacing="0" w:line="360" w:lineRule="auto"/>
        <w:rPr>
          <w:rFonts w:ascii="Arial" w:hAnsi="Arial" w:cs="Arial"/>
          <w:color w:val="000000" w:themeColor="text1"/>
        </w:rPr>
      </w:pPr>
      <w:r w:rsidRPr="002E582A">
        <w:rPr>
          <w:rFonts w:ascii="Arial" w:hAnsi="Arial" w:cs="Arial"/>
          <w:color w:val="000000" w:themeColor="text1"/>
        </w:rPr>
        <w:t xml:space="preserve"> A breach of contract </w:t>
      </w:r>
      <w:r w:rsidR="00785F6A" w:rsidRPr="002E582A">
        <w:rPr>
          <w:rFonts w:ascii="Arial" w:hAnsi="Arial" w:cs="Arial"/>
          <w:color w:val="000000" w:themeColor="text1"/>
        </w:rPr>
        <w:t>n</w:t>
      </w:r>
      <w:r w:rsidR="00CB3BBC" w:rsidRPr="002E582A">
        <w:rPr>
          <w:rFonts w:ascii="Arial" w:hAnsi="Arial" w:cs="Arial"/>
          <w:color w:val="000000" w:themeColor="text1"/>
        </w:rPr>
        <w:t>egligence is considered an old concept and has been made redundant in favour of regulations such as breach of statutory duty.</w:t>
      </w:r>
      <w:r w:rsidR="00785F6A" w:rsidRPr="002E582A">
        <w:rPr>
          <w:rFonts w:ascii="Arial" w:hAnsi="Arial" w:cs="Arial"/>
          <w:color w:val="000000" w:themeColor="text1"/>
        </w:rPr>
        <w:t xml:space="preserve"> </w:t>
      </w:r>
      <w:r w:rsidR="0060686D" w:rsidRPr="002E582A">
        <w:rPr>
          <w:rFonts w:ascii="Arial" w:hAnsi="Arial" w:cs="Arial"/>
          <w:color w:val="000000" w:themeColor="text1"/>
        </w:rPr>
        <w:t>Courts will evaluate in a breach of the duty of care cases what standard of care a reasonable person would have exercised and considered in court to further evaluate. Should a defendant not achieve the standard level of care, the court would assess whether the standard requires alteration for any reason given the details of the case heard</w:t>
      </w:r>
      <w:r w:rsidR="000800C6" w:rsidRPr="002E582A">
        <w:rPr>
          <w:rFonts w:ascii="Arial" w:hAnsi="Arial" w:cs="Arial"/>
          <w:color w:val="000000" w:themeColor="text1"/>
        </w:rPr>
        <w:t xml:space="preserve"> </w:t>
      </w:r>
      <w:r w:rsidR="000800C6" w:rsidRPr="002E582A">
        <w:rPr>
          <w:rFonts w:ascii="Arial" w:hAnsi="Arial" w:cs="Arial"/>
          <w:color w:val="000000"/>
        </w:rPr>
        <w:t>(Deacon et al., 2003)</w:t>
      </w:r>
      <w:r w:rsidR="0060686D" w:rsidRPr="002E582A">
        <w:rPr>
          <w:rFonts w:ascii="Arial" w:hAnsi="Arial" w:cs="Arial"/>
          <w:color w:val="000000" w:themeColor="text1"/>
        </w:rPr>
        <w:t xml:space="preserve">. </w:t>
      </w:r>
      <w:r w:rsidR="00914711" w:rsidRPr="002E582A">
        <w:rPr>
          <w:rFonts w:ascii="Arial" w:hAnsi="Arial" w:cs="Arial"/>
          <w:color w:val="000000" w:themeColor="text1"/>
        </w:rPr>
        <w:t xml:space="preserve">Damages caused </w:t>
      </w:r>
      <w:r w:rsidR="00F47EDF">
        <w:rPr>
          <w:rFonts w:ascii="Arial" w:hAnsi="Arial" w:cs="Arial"/>
          <w:color w:val="000000" w:themeColor="text1"/>
        </w:rPr>
        <w:t>by the defendant must have resulted through a breach of duty.</w:t>
      </w:r>
    </w:p>
    <w:p w14:paraId="621E5363" w14:textId="7A96E269" w:rsidR="00DF07F5" w:rsidRPr="002E582A" w:rsidRDefault="00CB3BBC" w:rsidP="002E582A">
      <w:pPr>
        <w:spacing w:after="240" w:line="360" w:lineRule="auto"/>
        <w:rPr>
          <w:rFonts w:ascii="Arial" w:hAnsi="Arial" w:cs="Arial"/>
          <w:color w:val="000000" w:themeColor="text1"/>
        </w:rPr>
      </w:pPr>
      <w:r w:rsidRPr="002E582A">
        <w:rPr>
          <w:rFonts w:ascii="Arial" w:hAnsi="Arial" w:cs="Arial"/>
          <w:color w:val="000000" w:themeColor="text1"/>
        </w:rPr>
        <w:t xml:space="preserve">A collection of civil law remedies which entitles a person to recover damages </w:t>
      </w:r>
      <w:r w:rsidR="00785F6A" w:rsidRPr="002E582A">
        <w:rPr>
          <w:rFonts w:ascii="Arial" w:hAnsi="Arial" w:cs="Arial"/>
          <w:color w:val="000000" w:themeColor="text1"/>
        </w:rPr>
        <w:t xml:space="preserve">in certain circumstances </w:t>
      </w:r>
      <w:r w:rsidRPr="002E582A">
        <w:rPr>
          <w:rFonts w:ascii="Arial" w:hAnsi="Arial" w:cs="Arial"/>
          <w:color w:val="000000" w:themeColor="text1"/>
        </w:rPr>
        <w:t xml:space="preserve">for loss and injury caused by </w:t>
      </w:r>
      <w:r w:rsidR="00785F6A" w:rsidRPr="002E582A">
        <w:rPr>
          <w:rFonts w:ascii="Arial" w:hAnsi="Arial" w:cs="Arial"/>
          <w:color w:val="000000" w:themeColor="text1"/>
        </w:rPr>
        <w:t xml:space="preserve">a </w:t>
      </w:r>
      <w:r w:rsidR="0060686D" w:rsidRPr="002E582A">
        <w:rPr>
          <w:rFonts w:ascii="Arial" w:hAnsi="Arial" w:cs="Arial"/>
          <w:color w:val="000000" w:themeColor="text1"/>
        </w:rPr>
        <w:t>defendant’s</w:t>
      </w:r>
      <w:r w:rsidR="00785F6A" w:rsidRPr="002E582A">
        <w:rPr>
          <w:rFonts w:ascii="Arial" w:hAnsi="Arial" w:cs="Arial"/>
          <w:color w:val="000000" w:themeColor="text1"/>
        </w:rPr>
        <w:t xml:space="preserve"> failure to comply with statutory obligation</w:t>
      </w:r>
      <w:r w:rsidRPr="002E582A">
        <w:rPr>
          <w:rFonts w:ascii="Arial" w:hAnsi="Arial" w:cs="Arial"/>
          <w:color w:val="000000" w:themeColor="text1"/>
        </w:rPr>
        <w:t xml:space="preserve"> is known as tort. In tort, duties and obligations are created by the courts applying common law, which has fallen into </w:t>
      </w:r>
      <w:r w:rsidR="005256C6" w:rsidRPr="002E582A">
        <w:rPr>
          <w:rFonts w:ascii="Arial" w:hAnsi="Arial" w:cs="Arial"/>
          <w:color w:val="000000" w:themeColor="text1"/>
        </w:rPr>
        <w:t>several</w:t>
      </w:r>
      <w:r w:rsidRPr="002E582A">
        <w:rPr>
          <w:rFonts w:ascii="Arial" w:hAnsi="Arial" w:cs="Arial"/>
          <w:color w:val="000000" w:themeColor="text1"/>
        </w:rPr>
        <w:t xml:space="preserve"> distinct categories: negligence, nuisance, </w:t>
      </w:r>
      <w:r w:rsidR="00FB4DEC" w:rsidRPr="002E582A">
        <w:rPr>
          <w:rFonts w:ascii="Arial" w:hAnsi="Arial" w:cs="Arial"/>
          <w:color w:val="000000" w:themeColor="text1"/>
        </w:rPr>
        <w:t xml:space="preserve">slander, libel, </w:t>
      </w:r>
      <w:r w:rsidRPr="002E582A">
        <w:rPr>
          <w:rFonts w:ascii="Arial" w:hAnsi="Arial" w:cs="Arial"/>
          <w:color w:val="000000" w:themeColor="text1"/>
        </w:rPr>
        <w:t>trespass</w:t>
      </w:r>
      <w:r w:rsidR="00FB4DEC" w:rsidRPr="002E582A">
        <w:rPr>
          <w:rFonts w:ascii="Arial" w:hAnsi="Arial" w:cs="Arial"/>
          <w:color w:val="000000" w:themeColor="text1"/>
        </w:rPr>
        <w:t xml:space="preserve">, </w:t>
      </w:r>
      <w:r w:rsidR="005256C6" w:rsidRPr="002E582A">
        <w:rPr>
          <w:rFonts w:ascii="Arial" w:hAnsi="Arial" w:cs="Arial"/>
          <w:color w:val="000000" w:themeColor="text1"/>
        </w:rPr>
        <w:t>assault,</w:t>
      </w:r>
      <w:r w:rsidR="00FB4DEC" w:rsidRPr="002E582A">
        <w:rPr>
          <w:rFonts w:ascii="Arial" w:hAnsi="Arial" w:cs="Arial"/>
          <w:color w:val="000000" w:themeColor="text1"/>
        </w:rPr>
        <w:t xml:space="preserve"> and battery</w:t>
      </w:r>
      <w:r w:rsidR="000800C6" w:rsidRPr="002E582A">
        <w:rPr>
          <w:rFonts w:ascii="Arial" w:hAnsi="Arial" w:cs="Arial"/>
          <w:color w:val="000000" w:themeColor="text1"/>
        </w:rPr>
        <w:t xml:space="preserve"> </w:t>
      </w:r>
      <w:r w:rsidR="000800C6" w:rsidRPr="002E582A">
        <w:rPr>
          <w:rFonts w:ascii="Arial" w:hAnsi="Arial" w:cs="Arial"/>
          <w:color w:val="000000"/>
        </w:rPr>
        <w:t>(Owen, 2007)</w:t>
      </w:r>
      <w:r w:rsidR="000800C6" w:rsidRPr="002E582A">
        <w:rPr>
          <w:rFonts w:ascii="Arial" w:hAnsi="Arial" w:cs="Arial"/>
          <w:color w:val="000000"/>
        </w:rPr>
        <w:t>.</w:t>
      </w:r>
      <w:r w:rsidRPr="002E582A">
        <w:rPr>
          <w:rFonts w:ascii="Arial" w:hAnsi="Arial" w:cs="Arial"/>
          <w:color w:val="000000" w:themeColor="text1"/>
        </w:rPr>
        <w:t xml:space="preserve"> </w:t>
      </w:r>
    </w:p>
    <w:p w14:paraId="212F1616" w14:textId="3B97685E" w:rsidR="00785F6A" w:rsidRPr="002E582A" w:rsidRDefault="001F282F" w:rsidP="002E582A">
      <w:pPr>
        <w:spacing w:after="240" w:line="360" w:lineRule="auto"/>
        <w:rPr>
          <w:rFonts w:ascii="Arial" w:hAnsi="Arial" w:cs="Arial"/>
          <w:color w:val="00B0F0"/>
          <w:shd w:val="clear" w:color="auto" w:fill="FFFFFF"/>
        </w:rPr>
      </w:pPr>
      <w:r w:rsidRPr="002E582A">
        <w:rPr>
          <w:rFonts w:ascii="Arial" w:hAnsi="Arial" w:cs="Arial"/>
          <w:color w:val="000000" w:themeColor="text1"/>
          <w:shd w:val="clear" w:color="auto" w:fill="FFFFFF"/>
        </w:rPr>
        <w:t xml:space="preserve">The legal cause of damage </w:t>
      </w:r>
      <w:r w:rsidR="00F358CD" w:rsidRPr="002E582A">
        <w:rPr>
          <w:rFonts w:ascii="Arial" w:hAnsi="Arial" w:cs="Arial"/>
          <w:color w:val="000000" w:themeColor="text1"/>
          <w:shd w:val="clear" w:color="auto" w:fill="FFFFFF"/>
        </w:rPr>
        <w:t xml:space="preserve">is </w:t>
      </w:r>
      <w:r w:rsidRPr="002E582A">
        <w:rPr>
          <w:rFonts w:ascii="Arial" w:hAnsi="Arial" w:cs="Arial"/>
          <w:color w:val="000000" w:themeColor="text1"/>
          <w:shd w:val="clear" w:color="auto" w:fill="FFFFFF"/>
        </w:rPr>
        <w:t xml:space="preserve">if directly, </w:t>
      </w:r>
      <w:r w:rsidR="00866219" w:rsidRPr="002E582A">
        <w:rPr>
          <w:rFonts w:ascii="Arial" w:hAnsi="Arial" w:cs="Arial"/>
          <w:color w:val="000000" w:themeColor="text1"/>
          <w:shd w:val="clear" w:color="auto" w:fill="FFFFFF"/>
        </w:rPr>
        <w:t>naturally,</w:t>
      </w:r>
      <w:r w:rsidRPr="002E582A">
        <w:rPr>
          <w:rFonts w:ascii="Arial" w:hAnsi="Arial" w:cs="Arial"/>
          <w:color w:val="000000" w:themeColor="text1"/>
          <w:shd w:val="clear" w:color="auto" w:fill="FFFFFF"/>
        </w:rPr>
        <w:t xml:space="preserve"> and continuously contribute</w:t>
      </w:r>
      <w:r w:rsidR="00F358CD" w:rsidRPr="002E582A">
        <w:rPr>
          <w:rFonts w:ascii="Arial" w:hAnsi="Arial" w:cs="Arial"/>
          <w:color w:val="000000" w:themeColor="text1"/>
          <w:shd w:val="clear" w:color="auto" w:fill="FFFFFF"/>
        </w:rPr>
        <w:t>s</w:t>
      </w:r>
      <w:r w:rsidRPr="002E582A">
        <w:rPr>
          <w:rFonts w:ascii="Arial" w:hAnsi="Arial" w:cs="Arial"/>
          <w:color w:val="000000" w:themeColor="text1"/>
          <w:shd w:val="clear" w:color="auto" w:fill="FFFFFF"/>
        </w:rPr>
        <w:t xml:space="preserve"> </w:t>
      </w:r>
      <w:r w:rsidR="00F358CD" w:rsidRPr="002E582A">
        <w:rPr>
          <w:rFonts w:ascii="Arial" w:hAnsi="Arial" w:cs="Arial"/>
          <w:color w:val="000000" w:themeColor="text1"/>
          <w:shd w:val="clear" w:color="auto" w:fill="FFFFFF"/>
        </w:rPr>
        <w:t>to</w:t>
      </w:r>
      <w:r w:rsidRPr="002E582A">
        <w:rPr>
          <w:rFonts w:ascii="Arial" w:hAnsi="Arial" w:cs="Arial"/>
          <w:color w:val="000000" w:themeColor="text1"/>
          <w:shd w:val="clear" w:color="auto" w:fill="FFFFFF"/>
        </w:rPr>
        <w:t xml:space="preserve"> </w:t>
      </w:r>
      <w:r w:rsidR="00F358CD" w:rsidRPr="002E582A">
        <w:rPr>
          <w:rFonts w:ascii="Arial" w:hAnsi="Arial" w:cs="Arial"/>
          <w:color w:val="000000" w:themeColor="text1"/>
          <w:shd w:val="clear" w:color="auto" w:fill="FFFFFF"/>
        </w:rPr>
        <w:t>causing such damag</w:t>
      </w:r>
      <w:r w:rsidR="00F358CD" w:rsidRPr="00710050">
        <w:rPr>
          <w:rFonts w:ascii="Arial" w:hAnsi="Arial" w:cs="Arial"/>
          <w:color w:val="000000" w:themeColor="text1"/>
          <w:shd w:val="clear" w:color="auto" w:fill="FFFFFF"/>
        </w:rPr>
        <w:t>e</w:t>
      </w:r>
      <w:r w:rsidR="00710050" w:rsidRPr="00710050">
        <w:rPr>
          <w:rFonts w:ascii="Arial" w:hAnsi="Arial" w:cs="Arial"/>
          <w:color w:val="000000" w:themeColor="text1"/>
          <w:shd w:val="clear" w:color="auto" w:fill="FFFFFF"/>
        </w:rPr>
        <w:t xml:space="preserve"> </w:t>
      </w:r>
      <w:r w:rsidR="00710050" w:rsidRPr="00710050">
        <w:rPr>
          <w:rFonts w:ascii="Arial" w:hAnsi="Arial" w:cs="Arial"/>
          <w:color w:val="000000" w:themeColor="text1"/>
        </w:rPr>
        <w:t>(Bailey et al., 2017)</w:t>
      </w:r>
      <w:r w:rsidR="00F358CD" w:rsidRPr="00710050">
        <w:rPr>
          <w:rFonts w:ascii="Arial" w:hAnsi="Arial" w:cs="Arial"/>
          <w:color w:val="000000" w:themeColor="text1"/>
          <w:shd w:val="clear" w:color="auto" w:fill="FFFFFF"/>
        </w:rPr>
        <w:t>. T</w:t>
      </w:r>
      <w:r w:rsidRPr="00710050">
        <w:rPr>
          <w:rFonts w:ascii="Arial" w:hAnsi="Arial" w:cs="Arial"/>
          <w:color w:val="000000" w:themeColor="text1"/>
          <w:shd w:val="clear" w:color="auto" w:fill="FFFFFF"/>
        </w:rPr>
        <w:t>hus</w:t>
      </w:r>
      <w:r w:rsidR="00F358CD" w:rsidRPr="002E582A">
        <w:rPr>
          <w:rFonts w:ascii="Arial" w:hAnsi="Arial" w:cs="Arial"/>
          <w:color w:val="000000" w:themeColor="text1"/>
          <w:shd w:val="clear" w:color="auto" w:fill="FFFFFF"/>
        </w:rPr>
        <w:t>,</w:t>
      </w:r>
      <w:r w:rsidRPr="002E582A">
        <w:rPr>
          <w:rFonts w:ascii="Arial" w:hAnsi="Arial" w:cs="Arial"/>
          <w:color w:val="000000" w:themeColor="text1"/>
          <w:shd w:val="clear" w:color="auto" w:fill="FFFFFF"/>
        </w:rPr>
        <w:t xml:space="preserve"> taken that if not for </w:t>
      </w:r>
      <w:r w:rsidR="00F358CD" w:rsidRPr="002E582A">
        <w:rPr>
          <w:rFonts w:ascii="Arial" w:hAnsi="Arial" w:cs="Arial"/>
          <w:color w:val="000000" w:themeColor="text1"/>
          <w:shd w:val="clear" w:color="auto" w:fill="FFFFFF"/>
        </w:rPr>
        <w:t>negligence,</w:t>
      </w:r>
      <w:r w:rsidRPr="002E582A">
        <w:rPr>
          <w:rFonts w:ascii="Arial" w:hAnsi="Arial" w:cs="Arial"/>
          <w:color w:val="000000" w:themeColor="text1"/>
          <w:shd w:val="clear" w:color="auto" w:fill="FFFFFF"/>
        </w:rPr>
        <w:t xml:space="preserve"> then no damage would have occurred. </w:t>
      </w:r>
    </w:p>
    <w:p w14:paraId="0190ADFF" w14:textId="77777777" w:rsidR="00C76FCB" w:rsidRPr="002E582A" w:rsidRDefault="00C76FCB" w:rsidP="002E582A">
      <w:pPr>
        <w:spacing w:after="240" w:line="360" w:lineRule="auto"/>
        <w:rPr>
          <w:rFonts w:ascii="Arial" w:hAnsi="Arial" w:cs="Arial"/>
          <w:color w:val="00B0F0"/>
          <w:shd w:val="clear" w:color="auto" w:fill="FFFFFF"/>
        </w:rPr>
      </w:pPr>
    </w:p>
    <w:p w14:paraId="2782DF06" w14:textId="3F937317" w:rsidR="00B279A0" w:rsidRPr="002E582A" w:rsidRDefault="00B279A0" w:rsidP="002E582A">
      <w:pPr>
        <w:spacing w:after="240" w:line="360" w:lineRule="auto"/>
        <w:rPr>
          <w:rFonts w:ascii="Arial" w:hAnsi="Arial" w:cs="Arial"/>
          <w:b/>
          <w:bCs/>
          <w:color w:val="000000" w:themeColor="text1"/>
          <w:u w:val="single"/>
          <w:shd w:val="clear" w:color="auto" w:fill="FFFFFF"/>
        </w:rPr>
      </w:pPr>
      <w:r w:rsidRPr="002E582A">
        <w:rPr>
          <w:rFonts w:ascii="Arial" w:hAnsi="Arial" w:cs="Arial"/>
          <w:b/>
          <w:bCs/>
          <w:color w:val="000000" w:themeColor="text1"/>
          <w:u w:val="single"/>
          <w:shd w:val="clear" w:color="auto" w:fill="FFFFFF"/>
        </w:rPr>
        <w:t>Construction Adjudication.</w:t>
      </w:r>
    </w:p>
    <w:p w14:paraId="16B32255" w14:textId="494C6E4E" w:rsidR="00DF504F" w:rsidRPr="002E582A" w:rsidRDefault="00DF504F" w:rsidP="002E582A">
      <w:pPr>
        <w:spacing w:after="240" w:line="360" w:lineRule="auto"/>
        <w:rPr>
          <w:rFonts w:ascii="Arial" w:hAnsi="Arial" w:cs="Arial"/>
          <w:color w:val="000000" w:themeColor="text1"/>
          <w:shd w:val="clear" w:color="auto" w:fill="FFFFFF"/>
        </w:rPr>
      </w:pPr>
      <w:r w:rsidRPr="002E582A">
        <w:rPr>
          <w:rFonts w:ascii="Arial" w:hAnsi="Arial" w:cs="Arial"/>
          <w:color w:val="000000" w:themeColor="text1"/>
          <w:shd w:val="clear" w:color="auto" w:fill="FFFFFF"/>
        </w:rPr>
        <w:t>Construction industries are notorious for the occurrence of arguments and disputes on construction projects.</w:t>
      </w:r>
      <w:r w:rsidR="0077401A" w:rsidRPr="002E582A">
        <w:rPr>
          <w:rFonts w:ascii="Arial" w:hAnsi="Arial" w:cs="Arial"/>
          <w:color w:val="000000" w:themeColor="text1"/>
          <w:shd w:val="clear" w:color="auto" w:fill="FFFFFF"/>
        </w:rPr>
        <w:t xml:space="preserve"> </w:t>
      </w:r>
      <w:r w:rsidR="00BD0BB5" w:rsidRPr="002E582A">
        <w:rPr>
          <w:rFonts w:ascii="Arial" w:hAnsi="Arial" w:cs="Arial"/>
          <w:color w:val="000000" w:themeColor="text1"/>
          <w:shd w:val="clear" w:color="auto" w:fill="FFFFFF"/>
        </w:rPr>
        <w:t xml:space="preserve">For each business that successfully grows and becomes more established, the risk of litigation becomes greater. Such disputes can be triggered by variations, programme delays, ambiguity in specifications of the project </w:t>
      </w:r>
      <w:r w:rsidR="00BD0BB5" w:rsidRPr="002E582A">
        <w:rPr>
          <w:rFonts w:ascii="Arial" w:hAnsi="Arial" w:cs="Arial"/>
          <w:color w:val="000000" w:themeColor="text1"/>
          <w:shd w:val="clear" w:color="auto" w:fill="FFFFFF"/>
        </w:rPr>
        <w:lastRenderedPageBreak/>
        <w:t xml:space="preserve">and cost/payment issues. </w:t>
      </w:r>
      <w:r w:rsidR="00F15410" w:rsidRPr="002E582A">
        <w:rPr>
          <w:rFonts w:ascii="Arial" w:hAnsi="Arial" w:cs="Arial"/>
          <w:color w:val="000000" w:themeColor="text1"/>
          <w:shd w:val="clear" w:color="auto" w:fill="FFFFFF"/>
        </w:rPr>
        <w:t xml:space="preserve">Disputes that are raised can often last many months and cost several thousand pounds, in addition to causing a multitude of anxieties, damage relations, inhibit business growth </w:t>
      </w:r>
      <w:r w:rsidR="00063415" w:rsidRPr="002E582A">
        <w:rPr>
          <w:rFonts w:ascii="Arial" w:hAnsi="Arial" w:cs="Arial"/>
          <w:color w:val="000000" w:themeColor="text1"/>
          <w:shd w:val="clear" w:color="auto" w:fill="FFFFFF"/>
        </w:rPr>
        <w:t>and even destabilise the best of cash flow that may lead to insolvency and the demise of businesses</w:t>
      </w:r>
      <w:r w:rsidR="00CB2CB5" w:rsidRPr="002E582A">
        <w:rPr>
          <w:rFonts w:ascii="Arial" w:hAnsi="Arial" w:cs="Arial"/>
          <w:color w:val="000000" w:themeColor="text1"/>
          <w:shd w:val="clear" w:color="auto" w:fill="FFFFFF"/>
        </w:rPr>
        <w:t xml:space="preserve"> </w:t>
      </w:r>
      <w:r w:rsidR="00CB2CB5" w:rsidRPr="002E582A">
        <w:rPr>
          <w:rFonts w:ascii="Arial" w:hAnsi="Arial" w:cs="Arial"/>
          <w:color w:val="000000"/>
        </w:rPr>
        <w:t>(</w:t>
      </w:r>
      <w:proofErr w:type="spellStart"/>
      <w:r w:rsidR="00CB2CB5" w:rsidRPr="002E582A">
        <w:rPr>
          <w:rFonts w:ascii="Arial" w:hAnsi="Arial" w:cs="Arial"/>
          <w:color w:val="000000"/>
        </w:rPr>
        <w:t>Mercantle</w:t>
      </w:r>
      <w:proofErr w:type="spellEnd"/>
      <w:r w:rsidR="00CB2CB5" w:rsidRPr="002E582A">
        <w:rPr>
          <w:rFonts w:ascii="Arial" w:hAnsi="Arial" w:cs="Arial"/>
          <w:color w:val="000000"/>
        </w:rPr>
        <w:t xml:space="preserve">, </w:t>
      </w:r>
      <w:r w:rsidR="00CB2CB5" w:rsidRPr="002E582A">
        <w:rPr>
          <w:rFonts w:ascii="Arial" w:hAnsi="Arial" w:cs="Arial"/>
          <w:color w:val="000000"/>
        </w:rPr>
        <w:t>2021)</w:t>
      </w:r>
      <w:r w:rsidR="00063415" w:rsidRPr="002E582A">
        <w:rPr>
          <w:rFonts w:ascii="Arial" w:hAnsi="Arial" w:cs="Arial"/>
          <w:color w:val="000000" w:themeColor="text1"/>
          <w:shd w:val="clear" w:color="auto" w:fill="FFFFFF"/>
        </w:rPr>
        <w:t xml:space="preserve">. </w:t>
      </w:r>
    </w:p>
    <w:p w14:paraId="0A9A19A0" w14:textId="77777777" w:rsidR="000A7C30" w:rsidRPr="002E582A" w:rsidRDefault="000A7C30" w:rsidP="002E582A">
      <w:pPr>
        <w:spacing w:after="240" w:line="360" w:lineRule="auto"/>
        <w:rPr>
          <w:rFonts w:ascii="Arial" w:hAnsi="Arial" w:cs="Arial"/>
          <w:color w:val="000000" w:themeColor="text1"/>
          <w:shd w:val="clear" w:color="auto" w:fill="FFFFFF"/>
        </w:rPr>
      </w:pPr>
    </w:p>
    <w:p w14:paraId="2E0EBF7D" w14:textId="49FC2572" w:rsidR="00450C2F" w:rsidRPr="002E582A" w:rsidRDefault="00450C2F" w:rsidP="002E582A">
      <w:pPr>
        <w:pStyle w:val="Heading1"/>
        <w:numPr>
          <w:ilvl w:val="0"/>
          <w:numId w:val="0"/>
        </w:numPr>
        <w:spacing w:before="150" w:after="150" w:line="360" w:lineRule="auto"/>
        <w:textAlignment w:val="baseline"/>
        <w:rPr>
          <w:color w:val="000042"/>
          <w:sz w:val="24"/>
          <w:szCs w:val="24"/>
          <w:u w:val="single"/>
        </w:rPr>
      </w:pPr>
      <w:proofErr w:type="spellStart"/>
      <w:r w:rsidRPr="002E582A">
        <w:rPr>
          <w:color w:val="000042"/>
          <w:sz w:val="24"/>
          <w:szCs w:val="24"/>
          <w:u w:val="single"/>
        </w:rPr>
        <w:t>Macob</w:t>
      </w:r>
      <w:proofErr w:type="spellEnd"/>
      <w:r w:rsidRPr="002E582A">
        <w:rPr>
          <w:color w:val="000042"/>
          <w:sz w:val="24"/>
          <w:szCs w:val="24"/>
          <w:u w:val="single"/>
        </w:rPr>
        <w:t xml:space="preserve"> Civil Eng. Ltd v Morrison Construction Ltd [1999] </w:t>
      </w:r>
    </w:p>
    <w:p w14:paraId="32C7C399" w14:textId="0BAC233C" w:rsidR="002B081A" w:rsidRPr="002E582A" w:rsidRDefault="002B081A" w:rsidP="002E582A">
      <w:pPr>
        <w:pStyle w:val="Heading1"/>
        <w:numPr>
          <w:ilvl w:val="0"/>
          <w:numId w:val="0"/>
        </w:numPr>
        <w:spacing w:before="150" w:after="150" w:line="360" w:lineRule="auto"/>
        <w:textAlignment w:val="baseline"/>
        <w:rPr>
          <w:b w:val="0"/>
          <w:bCs w:val="0"/>
          <w:color w:val="000042"/>
          <w:sz w:val="24"/>
          <w:szCs w:val="24"/>
        </w:rPr>
      </w:pPr>
      <w:r w:rsidRPr="002E582A">
        <w:rPr>
          <w:b w:val="0"/>
          <w:bCs w:val="0"/>
          <w:sz w:val="24"/>
          <w:szCs w:val="24"/>
        </w:rPr>
        <w:t xml:space="preserve">The case between </w:t>
      </w:r>
      <w:proofErr w:type="spellStart"/>
      <w:r w:rsidRPr="002E582A">
        <w:rPr>
          <w:b w:val="0"/>
          <w:bCs w:val="0"/>
          <w:color w:val="000042"/>
          <w:sz w:val="24"/>
          <w:szCs w:val="24"/>
        </w:rPr>
        <w:t>Macob</w:t>
      </w:r>
      <w:proofErr w:type="spellEnd"/>
      <w:r w:rsidRPr="002E582A">
        <w:rPr>
          <w:b w:val="0"/>
          <w:bCs w:val="0"/>
          <w:color w:val="000042"/>
          <w:sz w:val="24"/>
          <w:szCs w:val="24"/>
        </w:rPr>
        <w:t xml:space="preserve"> Civil Eng. Ltd v Morrison Construction Ltd [1999] was the first case in which court </w:t>
      </w:r>
      <w:r w:rsidR="00390785" w:rsidRPr="002E582A">
        <w:rPr>
          <w:b w:val="0"/>
          <w:bCs w:val="0"/>
          <w:color w:val="000042"/>
          <w:sz w:val="24"/>
          <w:szCs w:val="24"/>
        </w:rPr>
        <w:t>considered</w:t>
      </w:r>
      <w:r w:rsidRPr="002E582A">
        <w:rPr>
          <w:b w:val="0"/>
          <w:bCs w:val="0"/>
          <w:color w:val="000042"/>
          <w:sz w:val="24"/>
          <w:szCs w:val="24"/>
        </w:rPr>
        <w:t xml:space="preserve"> the adjudication provisions of H</w:t>
      </w:r>
      <w:r w:rsidR="00F143E6" w:rsidRPr="002E582A">
        <w:rPr>
          <w:b w:val="0"/>
          <w:bCs w:val="0"/>
          <w:color w:val="000042"/>
          <w:sz w:val="24"/>
          <w:szCs w:val="24"/>
        </w:rPr>
        <w:t xml:space="preserve">ousing </w:t>
      </w:r>
      <w:r w:rsidRPr="002E582A">
        <w:rPr>
          <w:b w:val="0"/>
          <w:bCs w:val="0"/>
          <w:color w:val="000042"/>
          <w:sz w:val="24"/>
          <w:szCs w:val="24"/>
        </w:rPr>
        <w:t>G</w:t>
      </w:r>
      <w:r w:rsidR="00F143E6" w:rsidRPr="002E582A">
        <w:rPr>
          <w:b w:val="0"/>
          <w:bCs w:val="0"/>
          <w:color w:val="000042"/>
          <w:sz w:val="24"/>
          <w:szCs w:val="24"/>
        </w:rPr>
        <w:t xml:space="preserve">rants, </w:t>
      </w:r>
      <w:r w:rsidRPr="002E582A">
        <w:rPr>
          <w:b w:val="0"/>
          <w:bCs w:val="0"/>
          <w:color w:val="000042"/>
          <w:sz w:val="24"/>
          <w:szCs w:val="24"/>
        </w:rPr>
        <w:t>C</w:t>
      </w:r>
      <w:r w:rsidR="00F143E6" w:rsidRPr="002E582A">
        <w:rPr>
          <w:b w:val="0"/>
          <w:bCs w:val="0"/>
          <w:color w:val="000042"/>
          <w:sz w:val="24"/>
          <w:szCs w:val="24"/>
        </w:rPr>
        <w:t>onstruction and Regeneration Act 1996, (HGC</w:t>
      </w:r>
      <w:r w:rsidRPr="002E582A">
        <w:rPr>
          <w:b w:val="0"/>
          <w:bCs w:val="0"/>
          <w:color w:val="000042"/>
          <w:sz w:val="24"/>
          <w:szCs w:val="24"/>
        </w:rPr>
        <w:t>RA</w:t>
      </w:r>
      <w:r w:rsidR="00F143E6" w:rsidRPr="002E582A">
        <w:rPr>
          <w:b w:val="0"/>
          <w:bCs w:val="0"/>
          <w:color w:val="000042"/>
          <w:sz w:val="24"/>
          <w:szCs w:val="24"/>
        </w:rPr>
        <w:t>)</w:t>
      </w:r>
      <w:r w:rsidRPr="002E582A">
        <w:rPr>
          <w:b w:val="0"/>
          <w:bCs w:val="0"/>
          <w:color w:val="000042"/>
          <w:sz w:val="24"/>
          <w:szCs w:val="24"/>
        </w:rPr>
        <w:t xml:space="preserve">. </w:t>
      </w:r>
      <w:proofErr w:type="spellStart"/>
      <w:r w:rsidR="00390785" w:rsidRPr="002E582A">
        <w:rPr>
          <w:b w:val="0"/>
          <w:bCs w:val="0"/>
          <w:color w:val="000042"/>
          <w:sz w:val="24"/>
          <w:szCs w:val="24"/>
        </w:rPr>
        <w:t>Macob</w:t>
      </w:r>
      <w:proofErr w:type="spellEnd"/>
      <w:r w:rsidR="00F143E6" w:rsidRPr="002E582A">
        <w:rPr>
          <w:b w:val="0"/>
          <w:bCs w:val="0"/>
          <w:color w:val="000042"/>
          <w:sz w:val="24"/>
          <w:szCs w:val="24"/>
        </w:rPr>
        <w:t xml:space="preserve"> employed Morrison as </w:t>
      </w:r>
      <w:r w:rsidR="00390785" w:rsidRPr="002E582A">
        <w:rPr>
          <w:b w:val="0"/>
          <w:bCs w:val="0"/>
          <w:color w:val="000042"/>
          <w:sz w:val="24"/>
          <w:szCs w:val="24"/>
        </w:rPr>
        <w:t>a sub-contract</w:t>
      </w:r>
      <w:r w:rsidR="007B2F4D" w:rsidRPr="002E582A">
        <w:rPr>
          <w:b w:val="0"/>
          <w:bCs w:val="0"/>
          <w:color w:val="000042"/>
          <w:sz w:val="24"/>
          <w:szCs w:val="24"/>
        </w:rPr>
        <w:t>or</w:t>
      </w:r>
      <w:r w:rsidR="00390785" w:rsidRPr="002E582A">
        <w:rPr>
          <w:b w:val="0"/>
          <w:bCs w:val="0"/>
          <w:color w:val="000042"/>
          <w:sz w:val="24"/>
          <w:szCs w:val="24"/>
        </w:rPr>
        <w:t xml:space="preserve"> to </w:t>
      </w:r>
      <w:r w:rsidR="007B2F4D" w:rsidRPr="002E582A">
        <w:rPr>
          <w:b w:val="0"/>
          <w:bCs w:val="0"/>
          <w:color w:val="000042"/>
          <w:sz w:val="24"/>
          <w:szCs w:val="24"/>
        </w:rPr>
        <w:t xml:space="preserve">undertake </w:t>
      </w:r>
      <w:r w:rsidR="00390785" w:rsidRPr="002E582A">
        <w:rPr>
          <w:b w:val="0"/>
          <w:bCs w:val="0"/>
          <w:color w:val="000042"/>
          <w:sz w:val="24"/>
          <w:szCs w:val="24"/>
        </w:rPr>
        <w:t>the groundwork on a project in Wales</w:t>
      </w:r>
      <w:r w:rsidR="0013773A" w:rsidRPr="002E582A">
        <w:rPr>
          <w:b w:val="0"/>
          <w:bCs w:val="0"/>
          <w:color w:val="000042"/>
          <w:sz w:val="24"/>
          <w:szCs w:val="24"/>
        </w:rPr>
        <w:t xml:space="preserve">. </w:t>
      </w:r>
      <w:proofErr w:type="spellStart"/>
      <w:r w:rsidR="00390785" w:rsidRPr="002E582A">
        <w:rPr>
          <w:b w:val="0"/>
          <w:bCs w:val="0"/>
          <w:color w:val="000042"/>
          <w:sz w:val="24"/>
          <w:szCs w:val="24"/>
        </w:rPr>
        <w:t>Macob</w:t>
      </w:r>
      <w:proofErr w:type="spellEnd"/>
      <w:r w:rsidR="00390785" w:rsidRPr="002E582A">
        <w:rPr>
          <w:b w:val="0"/>
          <w:bCs w:val="0"/>
          <w:color w:val="000042"/>
          <w:sz w:val="24"/>
          <w:szCs w:val="24"/>
        </w:rPr>
        <w:t xml:space="preserve"> </w:t>
      </w:r>
      <w:r w:rsidR="00995505" w:rsidRPr="002E582A">
        <w:rPr>
          <w:b w:val="0"/>
          <w:bCs w:val="0"/>
          <w:color w:val="000042"/>
          <w:sz w:val="24"/>
          <w:szCs w:val="24"/>
        </w:rPr>
        <w:t>alleged</w:t>
      </w:r>
      <w:r w:rsidR="00390785" w:rsidRPr="002E582A">
        <w:rPr>
          <w:b w:val="0"/>
          <w:bCs w:val="0"/>
          <w:color w:val="000042"/>
          <w:sz w:val="24"/>
          <w:szCs w:val="24"/>
        </w:rPr>
        <w:t xml:space="preserve"> that Morrison had failed to pay an interim application, and therefore served a notification of adjudication </w:t>
      </w:r>
      <w:r w:rsidR="00C85C5A" w:rsidRPr="002E582A">
        <w:rPr>
          <w:b w:val="0"/>
          <w:bCs w:val="0"/>
          <w:color w:val="000042"/>
          <w:sz w:val="24"/>
          <w:szCs w:val="24"/>
        </w:rPr>
        <w:t xml:space="preserve">based on the contract not complying </w:t>
      </w:r>
      <w:r w:rsidR="00390785" w:rsidRPr="002E582A">
        <w:rPr>
          <w:b w:val="0"/>
          <w:bCs w:val="0"/>
          <w:color w:val="000042"/>
          <w:sz w:val="24"/>
          <w:szCs w:val="24"/>
        </w:rPr>
        <w:t>under Section 108 of the Housing Grants, Construction and Regeneration Act 1996.</w:t>
      </w:r>
    </w:p>
    <w:p w14:paraId="7A1F8B17" w14:textId="09A6D5E0" w:rsidR="008F78E2" w:rsidRPr="002E582A" w:rsidRDefault="00966A4E" w:rsidP="002E582A">
      <w:pPr>
        <w:spacing w:after="240" w:line="360" w:lineRule="auto"/>
        <w:rPr>
          <w:rFonts w:ascii="Arial" w:hAnsi="Arial" w:cs="Arial"/>
          <w:color w:val="000042"/>
        </w:rPr>
      </w:pPr>
      <w:r w:rsidRPr="002E582A">
        <w:rPr>
          <w:rFonts w:ascii="Arial" w:hAnsi="Arial" w:cs="Arial"/>
        </w:rPr>
        <w:t xml:space="preserve">The adjudicator found in favour of </w:t>
      </w:r>
      <w:proofErr w:type="spellStart"/>
      <w:r w:rsidRPr="002E582A">
        <w:rPr>
          <w:rFonts w:ascii="Arial" w:hAnsi="Arial" w:cs="Arial"/>
        </w:rPr>
        <w:t>Macob</w:t>
      </w:r>
      <w:proofErr w:type="spellEnd"/>
      <w:r w:rsidRPr="002E582A">
        <w:rPr>
          <w:rFonts w:ascii="Arial" w:hAnsi="Arial" w:cs="Arial"/>
        </w:rPr>
        <w:t xml:space="preserve"> and for Morrison to pay damages of £302,366 plus VAT and interest </w:t>
      </w:r>
      <w:r w:rsidR="00811F34" w:rsidRPr="002E582A">
        <w:rPr>
          <w:rFonts w:ascii="Arial" w:hAnsi="Arial" w:cs="Arial"/>
        </w:rPr>
        <w:t xml:space="preserve">in addition to the fees of the adjudicator. </w:t>
      </w:r>
      <w:r w:rsidR="007E2F2E" w:rsidRPr="002E582A">
        <w:rPr>
          <w:rFonts w:ascii="Arial" w:hAnsi="Arial" w:cs="Arial"/>
        </w:rPr>
        <w:t>Morrison argued with this decision stating that it was invalid and therefore unenforceable since the adjudicator was guilty of procedural error in both conducting the adjudication in the breach of the rules of natural justice and the decision on merits</w:t>
      </w:r>
      <w:r w:rsidR="00325E16" w:rsidRPr="002E582A">
        <w:rPr>
          <w:rFonts w:ascii="Arial" w:hAnsi="Arial" w:cs="Arial"/>
        </w:rPr>
        <w:t xml:space="preserve"> </w:t>
      </w:r>
      <w:r w:rsidR="00325E16" w:rsidRPr="002E582A">
        <w:rPr>
          <w:rFonts w:ascii="Arial" w:hAnsi="Arial" w:cs="Arial"/>
          <w:color w:val="000000"/>
        </w:rPr>
        <w:t>(McKenna</w:t>
      </w:r>
      <w:r w:rsidR="00325E16" w:rsidRPr="002E582A">
        <w:rPr>
          <w:rFonts w:ascii="Arial" w:hAnsi="Arial" w:cs="Arial"/>
          <w:color w:val="000000"/>
        </w:rPr>
        <w:t>,2020</w:t>
      </w:r>
      <w:r w:rsidR="00325E16" w:rsidRPr="002E582A">
        <w:rPr>
          <w:rFonts w:ascii="Arial" w:hAnsi="Arial" w:cs="Arial"/>
          <w:color w:val="000000"/>
        </w:rPr>
        <w:t>)</w:t>
      </w:r>
      <w:r w:rsidR="00325E16" w:rsidRPr="002E582A">
        <w:rPr>
          <w:rFonts w:ascii="Arial" w:hAnsi="Arial" w:cs="Arial"/>
          <w:color w:val="000000"/>
        </w:rPr>
        <w:t>.</w:t>
      </w:r>
      <w:r w:rsidR="007E2F2E" w:rsidRPr="002E582A">
        <w:rPr>
          <w:rFonts w:ascii="Arial" w:hAnsi="Arial" w:cs="Arial"/>
        </w:rPr>
        <w:t xml:space="preserve"> </w:t>
      </w:r>
      <w:r w:rsidR="00A42318" w:rsidRPr="002E582A">
        <w:rPr>
          <w:rFonts w:ascii="Arial" w:hAnsi="Arial" w:cs="Arial"/>
        </w:rPr>
        <w:t xml:space="preserve">Morrison added that the adjudicator had no power to make the decision they had made. It was the court that determined that a breach of natural justice had not </w:t>
      </w:r>
      <w:r w:rsidR="00481BF9" w:rsidRPr="002E582A">
        <w:rPr>
          <w:rFonts w:ascii="Arial" w:hAnsi="Arial" w:cs="Arial"/>
        </w:rPr>
        <w:t>occurred,</w:t>
      </w:r>
      <w:r w:rsidR="00A42318" w:rsidRPr="002E582A">
        <w:rPr>
          <w:rFonts w:ascii="Arial" w:hAnsi="Arial" w:cs="Arial"/>
        </w:rPr>
        <w:t xml:space="preserve"> </w:t>
      </w:r>
      <w:r w:rsidR="00481BF9" w:rsidRPr="002E582A">
        <w:rPr>
          <w:rFonts w:ascii="Arial" w:hAnsi="Arial" w:cs="Arial"/>
        </w:rPr>
        <w:t>and the adjudicator identified clauses relevant to the dispute in the contract between both parties to evidence their claim. The judge therefore referred this case for arbitration as identified in their contract by a valid arbitration clause</w:t>
      </w:r>
      <w:r w:rsidR="0072258F" w:rsidRPr="002E582A">
        <w:rPr>
          <w:rFonts w:ascii="Arial" w:hAnsi="Arial" w:cs="Arial"/>
        </w:rPr>
        <w:t xml:space="preserve"> </w:t>
      </w:r>
      <w:r w:rsidR="0072258F" w:rsidRPr="002E582A">
        <w:rPr>
          <w:rFonts w:ascii="Arial" w:hAnsi="Arial" w:cs="Arial"/>
          <w:color w:val="000000"/>
        </w:rPr>
        <w:t>(McKenna,2020)</w:t>
      </w:r>
      <w:r w:rsidR="00481BF9" w:rsidRPr="002E582A">
        <w:rPr>
          <w:rFonts w:ascii="Arial" w:hAnsi="Arial" w:cs="Arial"/>
        </w:rPr>
        <w:t xml:space="preserve">. The case between </w:t>
      </w:r>
      <w:proofErr w:type="spellStart"/>
      <w:r w:rsidR="00481BF9" w:rsidRPr="002E582A">
        <w:rPr>
          <w:rFonts w:ascii="Arial" w:hAnsi="Arial" w:cs="Arial"/>
          <w:color w:val="000042"/>
        </w:rPr>
        <w:t>Macob</w:t>
      </w:r>
      <w:proofErr w:type="spellEnd"/>
      <w:r w:rsidR="00481BF9" w:rsidRPr="002E582A">
        <w:rPr>
          <w:rFonts w:ascii="Arial" w:hAnsi="Arial" w:cs="Arial"/>
          <w:color w:val="000042"/>
        </w:rPr>
        <w:t xml:space="preserve"> Civil Eng</w:t>
      </w:r>
      <w:r w:rsidR="00481BF9" w:rsidRPr="002E582A">
        <w:rPr>
          <w:rFonts w:ascii="Arial" w:hAnsi="Arial" w:cs="Arial"/>
          <w:color w:val="000042"/>
        </w:rPr>
        <w:t>ineering</w:t>
      </w:r>
      <w:r w:rsidR="00481BF9" w:rsidRPr="002E582A">
        <w:rPr>
          <w:rFonts w:ascii="Arial" w:hAnsi="Arial" w:cs="Arial"/>
          <w:color w:val="000042"/>
        </w:rPr>
        <w:t xml:space="preserve"> Ltd v Morrison Construction Ltd [1999] </w:t>
      </w:r>
      <w:r w:rsidR="00481BF9" w:rsidRPr="002E582A">
        <w:rPr>
          <w:rFonts w:ascii="Arial" w:hAnsi="Arial" w:cs="Arial"/>
          <w:color w:val="000042"/>
        </w:rPr>
        <w:t xml:space="preserve">provides example of how easily a adjudicators decision can be challenged for alleged breach of justice and did not really provide a simple resolution to this case as what was preferred by defendant </w:t>
      </w:r>
      <w:proofErr w:type="spellStart"/>
      <w:r w:rsidR="00481BF9" w:rsidRPr="002E582A">
        <w:rPr>
          <w:rFonts w:ascii="Arial" w:hAnsi="Arial" w:cs="Arial"/>
          <w:color w:val="000042"/>
        </w:rPr>
        <w:t>Macob</w:t>
      </w:r>
      <w:proofErr w:type="spellEnd"/>
      <w:r w:rsidR="00481BF9" w:rsidRPr="002E582A">
        <w:rPr>
          <w:rFonts w:ascii="Arial" w:hAnsi="Arial" w:cs="Arial"/>
          <w:color w:val="000042"/>
        </w:rPr>
        <w:t xml:space="preserve"> Civil Eng</w:t>
      </w:r>
      <w:r w:rsidR="00481BF9" w:rsidRPr="002E582A">
        <w:rPr>
          <w:rFonts w:ascii="Arial" w:hAnsi="Arial" w:cs="Arial"/>
          <w:color w:val="000042"/>
        </w:rPr>
        <w:t xml:space="preserve">ineering </w:t>
      </w:r>
      <w:r w:rsidR="00481BF9" w:rsidRPr="002E582A">
        <w:rPr>
          <w:rFonts w:ascii="Arial" w:hAnsi="Arial" w:cs="Arial"/>
          <w:color w:val="000042"/>
        </w:rPr>
        <w:t>Ltd</w:t>
      </w:r>
      <w:r w:rsidR="00481BF9" w:rsidRPr="002E582A">
        <w:rPr>
          <w:rFonts w:ascii="Arial" w:hAnsi="Arial" w:cs="Arial"/>
          <w:color w:val="000042"/>
        </w:rPr>
        <w:t>.</w:t>
      </w:r>
    </w:p>
    <w:p w14:paraId="60679BE2" w14:textId="69412738" w:rsidR="002E582A" w:rsidRDefault="002E582A" w:rsidP="002E582A">
      <w:pPr>
        <w:spacing w:after="240" w:line="360" w:lineRule="auto"/>
        <w:rPr>
          <w:rFonts w:ascii="Arial" w:hAnsi="Arial" w:cs="Arial"/>
          <w:color w:val="000042"/>
        </w:rPr>
      </w:pPr>
    </w:p>
    <w:p w14:paraId="038A71CE" w14:textId="77777777" w:rsidR="002C74D3" w:rsidRPr="002E582A" w:rsidRDefault="002C74D3" w:rsidP="002E582A">
      <w:pPr>
        <w:spacing w:after="240" w:line="360" w:lineRule="auto"/>
        <w:rPr>
          <w:rFonts w:ascii="Arial" w:hAnsi="Arial" w:cs="Arial"/>
          <w:color w:val="000042"/>
        </w:rPr>
      </w:pPr>
    </w:p>
    <w:p w14:paraId="41B8B394" w14:textId="43373FF4" w:rsidR="002E582A" w:rsidRPr="002E582A" w:rsidRDefault="002E582A" w:rsidP="002E582A">
      <w:pPr>
        <w:spacing w:after="240" w:line="360" w:lineRule="auto"/>
        <w:rPr>
          <w:rFonts w:ascii="Arial" w:hAnsi="Arial" w:cs="Arial"/>
          <w:b/>
          <w:bCs/>
          <w:u w:val="single"/>
        </w:rPr>
      </w:pPr>
      <w:r w:rsidRPr="002E582A">
        <w:rPr>
          <w:rFonts w:ascii="Arial" w:hAnsi="Arial" w:cs="Arial"/>
          <w:b/>
          <w:bCs/>
          <w:color w:val="000042"/>
          <w:u w:val="single"/>
        </w:rPr>
        <w:lastRenderedPageBreak/>
        <w:t xml:space="preserve">Vinci Construction UK Ltd v </w:t>
      </w:r>
      <w:proofErr w:type="spellStart"/>
      <w:r w:rsidRPr="002E582A">
        <w:rPr>
          <w:rFonts w:ascii="Arial" w:hAnsi="Arial" w:cs="Arial"/>
          <w:b/>
          <w:bCs/>
          <w:color w:val="000042"/>
          <w:u w:val="single"/>
        </w:rPr>
        <w:t>Beumer</w:t>
      </w:r>
      <w:proofErr w:type="spellEnd"/>
      <w:r w:rsidRPr="002E582A">
        <w:rPr>
          <w:rFonts w:ascii="Arial" w:hAnsi="Arial" w:cs="Arial"/>
          <w:b/>
          <w:bCs/>
          <w:color w:val="000042"/>
          <w:u w:val="single"/>
        </w:rPr>
        <w:t xml:space="preserve"> Group UK [2018]</w:t>
      </w:r>
    </w:p>
    <w:p w14:paraId="221BF39D" w14:textId="67006ECB" w:rsidR="00AC7DFE" w:rsidRPr="002E582A" w:rsidRDefault="00124271" w:rsidP="002E582A">
      <w:pPr>
        <w:spacing w:after="240" w:line="360" w:lineRule="auto"/>
        <w:rPr>
          <w:rFonts w:ascii="Arial" w:hAnsi="Arial" w:cs="Arial"/>
        </w:rPr>
      </w:pPr>
      <w:r w:rsidRPr="002E582A">
        <w:rPr>
          <w:rFonts w:ascii="Arial" w:hAnsi="Arial" w:cs="Arial"/>
        </w:rPr>
        <w:t xml:space="preserve">The case of Vinci Construction UK Ltd v </w:t>
      </w:r>
      <w:proofErr w:type="spellStart"/>
      <w:r w:rsidRPr="002E582A">
        <w:rPr>
          <w:rFonts w:ascii="Arial" w:hAnsi="Arial" w:cs="Arial"/>
        </w:rPr>
        <w:t>Beumer</w:t>
      </w:r>
      <w:proofErr w:type="spellEnd"/>
      <w:r w:rsidRPr="002E582A">
        <w:rPr>
          <w:rFonts w:ascii="Arial" w:hAnsi="Arial" w:cs="Arial"/>
        </w:rPr>
        <w:t xml:space="preserve"> Group UK Lt</w:t>
      </w:r>
      <w:r w:rsidR="007B0F30" w:rsidRPr="002E582A">
        <w:rPr>
          <w:rFonts w:ascii="Arial" w:hAnsi="Arial" w:cs="Arial"/>
        </w:rPr>
        <w:t>d began several years earlier in November 2012. Gatwick Airport Ltd engaged with defendant contractor Vinci Construction UK Ltd to undertake</w:t>
      </w:r>
      <w:r w:rsidR="00214E24" w:rsidRPr="002E582A">
        <w:rPr>
          <w:rFonts w:ascii="Arial" w:hAnsi="Arial" w:cs="Arial"/>
        </w:rPr>
        <w:t xml:space="preserve"> </w:t>
      </w:r>
      <w:r w:rsidR="007B0F30" w:rsidRPr="002E582A">
        <w:rPr>
          <w:rFonts w:ascii="Arial" w:hAnsi="Arial" w:cs="Arial"/>
        </w:rPr>
        <w:t xml:space="preserve">works at the South Terminal and Pier 1, Phase 2. </w:t>
      </w:r>
      <w:r w:rsidR="00214E24" w:rsidRPr="002E582A">
        <w:rPr>
          <w:rFonts w:ascii="Arial" w:hAnsi="Arial" w:cs="Arial"/>
        </w:rPr>
        <w:t>The works tasked to Vinci Construction UK Ltd</w:t>
      </w:r>
      <w:r w:rsidR="00536E77" w:rsidRPr="002E582A">
        <w:rPr>
          <w:rFonts w:ascii="Arial" w:hAnsi="Arial" w:cs="Arial"/>
        </w:rPr>
        <w:t xml:space="preserve"> were subcontracted to </w:t>
      </w:r>
      <w:proofErr w:type="spellStart"/>
      <w:r w:rsidR="00536E77" w:rsidRPr="002E582A">
        <w:rPr>
          <w:rFonts w:ascii="Arial" w:hAnsi="Arial" w:cs="Arial"/>
        </w:rPr>
        <w:t>Beumer</w:t>
      </w:r>
      <w:proofErr w:type="spellEnd"/>
      <w:r w:rsidR="00536E77" w:rsidRPr="002E582A">
        <w:rPr>
          <w:rFonts w:ascii="Arial" w:hAnsi="Arial" w:cs="Arial"/>
        </w:rPr>
        <w:t xml:space="preserve"> Group UK Ltd, included the delivery of the entire baggage handling system, including a tilt-tray sorter with a sub-contract value in the region of £30 million</w:t>
      </w:r>
      <w:r w:rsidR="00C9624F" w:rsidRPr="002E582A">
        <w:rPr>
          <w:rFonts w:ascii="Arial" w:hAnsi="Arial" w:cs="Arial"/>
        </w:rPr>
        <w:t xml:space="preserve"> </w:t>
      </w:r>
      <w:r w:rsidR="00C9624F" w:rsidRPr="002E582A">
        <w:rPr>
          <w:rFonts w:ascii="Arial" w:hAnsi="Arial" w:cs="Arial"/>
          <w:color w:val="000000"/>
        </w:rPr>
        <w:t>(Morris, 2018)</w:t>
      </w:r>
      <w:r w:rsidR="00536E77" w:rsidRPr="002E582A">
        <w:rPr>
          <w:rFonts w:ascii="Arial" w:hAnsi="Arial" w:cs="Arial"/>
        </w:rPr>
        <w:t xml:space="preserve">. </w:t>
      </w:r>
      <w:r w:rsidR="00EA7CD7" w:rsidRPr="002E582A">
        <w:rPr>
          <w:rFonts w:ascii="Arial" w:hAnsi="Arial" w:cs="Arial"/>
        </w:rPr>
        <w:t>By October 2014, there were significant delays with sub-contract works and both parties entered into a settlement agreement that extended tow sectional completion dates</w:t>
      </w:r>
      <w:r w:rsidR="009B2741" w:rsidRPr="002E582A">
        <w:rPr>
          <w:rFonts w:ascii="Arial" w:hAnsi="Arial" w:cs="Arial"/>
        </w:rPr>
        <w:t xml:space="preserve"> with Vinci Construction being the claimant</w:t>
      </w:r>
      <w:r w:rsidR="00EA7CD7" w:rsidRPr="002E582A">
        <w:rPr>
          <w:rFonts w:ascii="Arial" w:hAnsi="Arial" w:cs="Arial"/>
        </w:rPr>
        <w:t>. This followed further disputes over the operation of the extended sectional completion, making liquidated damages payable</w:t>
      </w:r>
      <w:r w:rsidR="00C24365" w:rsidRPr="002E582A">
        <w:rPr>
          <w:rFonts w:ascii="Arial" w:hAnsi="Arial" w:cs="Arial"/>
        </w:rPr>
        <w:t xml:space="preserve"> to Vinci </w:t>
      </w:r>
      <w:r w:rsidR="008222E2" w:rsidRPr="002E582A">
        <w:rPr>
          <w:rFonts w:ascii="Arial" w:hAnsi="Arial" w:cs="Arial"/>
        </w:rPr>
        <w:t xml:space="preserve">Construction UK Limited </w:t>
      </w:r>
      <w:r w:rsidR="00C24365" w:rsidRPr="002E582A">
        <w:rPr>
          <w:rFonts w:ascii="Arial" w:hAnsi="Arial" w:cs="Arial"/>
        </w:rPr>
        <w:t xml:space="preserve">for the sum of £9.7 million </w:t>
      </w:r>
      <w:r w:rsidR="00CC756F" w:rsidRPr="002E582A">
        <w:rPr>
          <w:rFonts w:ascii="Arial" w:hAnsi="Arial" w:cs="Arial"/>
        </w:rPr>
        <w:t xml:space="preserve">prior to interest being added </w:t>
      </w:r>
      <w:r w:rsidR="00C24365" w:rsidRPr="002E582A">
        <w:rPr>
          <w:rFonts w:ascii="Arial" w:hAnsi="Arial" w:cs="Arial"/>
        </w:rPr>
        <w:t xml:space="preserve">for </w:t>
      </w:r>
      <w:proofErr w:type="spellStart"/>
      <w:r w:rsidR="00C24365" w:rsidRPr="002E582A">
        <w:rPr>
          <w:rFonts w:ascii="Arial" w:hAnsi="Arial" w:cs="Arial"/>
        </w:rPr>
        <w:t>Beumer’s</w:t>
      </w:r>
      <w:proofErr w:type="spellEnd"/>
      <w:r w:rsidR="00C24365" w:rsidRPr="002E582A">
        <w:rPr>
          <w:rFonts w:ascii="Arial" w:hAnsi="Arial" w:cs="Arial"/>
        </w:rPr>
        <w:t xml:space="preserve"> delay</w:t>
      </w:r>
      <w:r w:rsidR="002D4EF7" w:rsidRPr="002E582A">
        <w:rPr>
          <w:rFonts w:ascii="Arial" w:hAnsi="Arial" w:cs="Arial"/>
        </w:rPr>
        <w:t xml:space="preserve"> in respect of the </w:t>
      </w:r>
      <w:r w:rsidR="00CF4EF7" w:rsidRPr="002E582A">
        <w:rPr>
          <w:rFonts w:ascii="Arial" w:hAnsi="Arial" w:cs="Arial"/>
        </w:rPr>
        <w:t>adjudicator’s</w:t>
      </w:r>
      <w:r w:rsidR="002D4EF7" w:rsidRPr="002E582A">
        <w:rPr>
          <w:rFonts w:ascii="Arial" w:hAnsi="Arial" w:cs="Arial"/>
        </w:rPr>
        <w:t xml:space="preserve"> decision dated May 2018.</w:t>
      </w:r>
    </w:p>
    <w:p w14:paraId="6130A841" w14:textId="0E81F29B" w:rsidR="007B0F30" w:rsidRPr="002E582A" w:rsidRDefault="00D86119" w:rsidP="002E582A">
      <w:pPr>
        <w:spacing w:after="240" w:line="360" w:lineRule="auto"/>
        <w:rPr>
          <w:rFonts w:ascii="Arial" w:hAnsi="Arial" w:cs="Arial"/>
        </w:rPr>
      </w:pPr>
      <w:r w:rsidRPr="002E582A">
        <w:rPr>
          <w:rFonts w:ascii="Arial" w:hAnsi="Arial" w:cs="Arial"/>
        </w:rPr>
        <w:t xml:space="preserve">In total both Vinci Construction UK limited and </w:t>
      </w:r>
      <w:proofErr w:type="spellStart"/>
      <w:r w:rsidRPr="002E582A">
        <w:rPr>
          <w:rFonts w:ascii="Arial" w:hAnsi="Arial" w:cs="Arial"/>
        </w:rPr>
        <w:t>Beumer</w:t>
      </w:r>
      <w:proofErr w:type="spellEnd"/>
      <w:r w:rsidRPr="002E582A">
        <w:rPr>
          <w:rFonts w:ascii="Arial" w:hAnsi="Arial" w:cs="Arial"/>
        </w:rPr>
        <w:t xml:space="preserve"> Group UK Limited engaged in a total of 7 adjudications</w:t>
      </w:r>
      <w:r w:rsidR="00447598" w:rsidRPr="002E582A">
        <w:rPr>
          <w:rFonts w:ascii="Arial" w:hAnsi="Arial" w:cs="Arial"/>
        </w:rPr>
        <w:t xml:space="preserve"> with three being heard at the Technology and Construction Court (TCC)</w:t>
      </w:r>
      <w:r w:rsidR="008222E2" w:rsidRPr="002E582A">
        <w:rPr>
          <w:rFonts w:ascii="Arial" w:hAnsi="Arial" w:cs="Arial"/>
        </w:rPr>
        <w:t xml:space="preserve">. </w:t>
      </w:r>
      <w:proofErr w:type="spellStart"/>
      <w:r w:rsidR="008222E2" w:rsidRPr="002E582A">
        <w:rPr>
          <w:rFonts w:ascii="Arial" w:hAnsi="Arial" w:cs="Arial"/>
        </w:rPr>
        <w:t>Beumer</w:t>
      </w:r>
      <w:proofErr w:type="spellEnd"/>
      <w:r w:rsidR="008222E2" w:rsidRPr="002E582A">
        <w:rPr>
          <w:rFonts w:ascii="Arial" w:hAnsi="Arial" w:cs="Arial"/>
        </w:rPr>
        <w:t xml:space="preserve"> Group UK Limited challenged the enforcement of the seventh adjudicator Brian Eggleston decision, stating that the adjudicator had not considered the requirements of natural justice in mind when writing his decision</w:t>
      </w:r>
      <w:r w:rsidR="00D71819" w:rsidRPr="002E582A">
        <w:rPr>
          <w:rFonts w:ascii="Arial" w:hAnsi="Arial" w:cs="Arial"/>
        </w:rPr>
        <w:t xml:space="preserve"> and therefore claimed the liquidated damages clause should be deemed void for uncertainty</w:t>
      </w:r>
      <w:r w:rsidR="00447598" w:rsidRPr="002E582A">
        <w:rPr>
          <w:rFonts w:ascii="Arial" w:hAnsi="Arial" w:cs="Arial"/>
        </w:rPr>
        <w:t xml:space="preserve"> and withheld payment of damages</w:t>
      </w:r>
      <w:r w:rsidR="00710050">
        <w:rPr>
          <w:rFonts w:ascii="Arial" w:hAnsi="Arial" w:cs="Arial"/>
        </w:rPr>
        <w:t xml:space="preserve">. </w:t>
      </w:r>
      <w:r w:rsidR="00447598" w:rsidRPr="002E582A">
        <w:rPr>
          <w:rFonts w:ascii="Arial" w:hAnsi="Arial" w:cs="Arial"/>
        </w:rPr>
        <w:t xml:space="preserve">Vinci Construction UK Limited applied to the TCC for enforcement of the </w:t>
      </w:r>
      <w:r w:rsidR="00E37692" w:rsidRPr="002E582A">
        <w:rPr>
          <w:rFonts w:ascii="Arial" w:hAnsi="Arial" w:cs="Arial"/>
        </w:rPr>
        <w:t>adjudicator’s</w:t>
      </w:r>
      <w:r w:rsidR="00447598" w:rsidRPr="002E582A">
        <w:rPr>
          <w:rFonts w:ascii="Arial" w:hAnsi="Arial" w:cs="Arial"/>
        </w:rPr>
        <w:t xml:space="preserve"> decision. </w:t>
      </w:r>
      <w:r w:rsidR="00E37692" w:rsidRPr="002E582A">
        <w:rPr>
          <w:rFonts w:ascii="Arial" w:hAnsi="Arial" w:cs="Arial"/>
        </w:rPr>
        <w:t xml:space="preserve">QC Jonathan Acton Davis the deputy high court judge enforced the adjudicators decision and dismissed </w:t>
      </w:r>
      <w:proofErr w:type="spellStart"/>
      <w:r w:rsidR="00E37692" w:rsidRPr="002E582A">
        <w:rPr>
          <w:rFonts w:ascii="Arial" w:hAnsi="Arial" w:cs="Arial"/>
        </w:rPr>
        <w:t>Beumers</w:t>
      </w:r>
      <w:proofErr w:type="spellEnd"/>
      <w:r w:rsidR="00E37692" w:rsidRPr="002E582A">
        <w:rPr>
          <w:rFonts w:ascii="Arial" w:hAnsi="Arial" w:cs="Arial"/>
        </w:rPr>
        <w:t xml:space="preserve"> Group UK Limited arguments to not make payment of damages because they felt that the adjudicator was in breach of the rules of natural justice</w:t>
      </w:r>
      <w:r w:rsidR="002456DA" w:rsidRPr="002E582A">
        <w:rPr>
          <w:rFonts w:ascii="Arial" w:hAnsi="Arial" w:cs="Arial"/>
        </w:rPr>
        <w:t xml:space="preserve"> </w:t>
      </w:r>
      <w:r w:rsidR="002456DA" w:rsidRPr="002E582A">
        <w:rPr>
          <w:rFonts w:ascii="Arial" w:hAnsi="Arial" w:cs="Arial"/>
          <w:color w:val="000000"/>
        </w:rPr>
        <w:t>(Morris, 2018)</w:t>
      </w:r>
      <w:r w:rsidR="00E37692" w:rsidRPr="002E582A">
        <w:rPr>
          <w:rFonts w:ascii="Arial" w:hAnsi="Arial" w:cs="Arial"/>
        </w:rPr>
        <w:t xml:space="preserve">. </w:t>
      </w:r>
    </w:p>
    <w:p w14:paraId="70CE7E76" w14:textId="27AB7EB7" w:rsidR="004A4F65" w:rsidRDefault="004A4F65" w:rsidP="00E37692">
      <w:pPr>
        <w:spacing w:before="100" w:beforeAutospacing="1" w:after="100" w:afterAutospacing="1"/>
        <w:rPr>
          <w:rFonts w:ascii="-webkit-standard" w:hAnsi="-webkit-standard"/>
          <w:color w:val="FF0000"/>
        </w:rPr>
      </w:pPr>
    </w:p>
    <w:p w14:paraId="7928EF05" w14:textId="77777777" w:rsidR="000A7C30" w:rsidRPr="004A4F65" w:rsidRDefault="000A7C30" w:rsidP="00E37692">
      <w:pPr>
        <w:spacing w:before="100" w:beforeAutospacing="1" w:after="100" w:afterAutospacing="1"/>
        <w:rPr>
          <w:rFonts w:ascii="-webkit-standard" w:hAnsi="-webkit-standard"/>
          <w:color w:val="FF0000"/>
        </w:rPr>
      </w:pPr>
    </w:p>
    <w:p w14:paraId="346F5EC2" w14:textId="77777777" w:rsidR="00C006BC" w:rsidRDefault="00C006BC" w:rsidP="00AC7DFE">
      <w:pPr>
        <w:spacing w:after="240" w:line="360" w:lineRule="auto"/>
        <w:rPr>
          <w:rFonts w:ascii="Arial" w:hAnsi="Arial" w:cs="Arial"/>
          <w:b/>
          <w:bCs/>
          <w:u w:val="single"/>
        </w:rPr>
      </w:pPr>
    </w:p>
    <w:p w14:paraId="366F3367" w14:textId="77777777" w:rsidR="00C006BC" w:rsidRDefault="00C006BC" w:rsidP="00AC7DFE">
      <w:pPr>
        <w:spacing w:after="240" w:line="360" w:lineRule="auto"/>
        <w:rPr>
          <w:rFonts w:ascii="Arial" w:hAnsi="Arial" w:cs="Arial"/>
          <w:b/>
          <w:bCs/>
          <w:u w:val="single"/>
        </w:rPr>
      </w:pPr>
    </w:p>
    <w:p w14:paraId="0951AF5A" w14:textId="77777777" w:rsidR="00C006BC" w:rsidRDefault="00C006BC" w:rsidP="00AC7DFE">
      <w:pPr>
        <w:spacing w:after="240" w:line="360" w:lineRule="auto"/>
        <w:rPr>
          <w:rFonts w:ascii="Arial" w:hAnsi="Arial" w:cs="Arial"/>
          <w:b/>
          <w:bCs/>
          <w:u w:val="single"/>
        </w:rPr>
      </w:pPr>
    </w:p>
    <w:p w14:paraId="6040D394" w14:textId="6313CAA3" w:rsidR="007B0F30" w:rsidRDefault="008B3E0B" w:rsidP="00AC7DFE">
      <w:pPr>
        <w:spacing w:after="240" w:line="360" w:lineRule="auto"/>
        <w:rPr>
          <w:rFonts w:ascii="Arial" w:hAnsi="Arial" w:cs="Arial"/>
          <w:b/>
          <w:bCs/>
          <w:u w:val="single"/>
        </w:rPr>
      </w:pPr>
      <w:r w:rsidRPr="00B279A0">
        <w:rPr>
          <w:rFonts w:ascii="Arial" w:hAnsi="Arial" w:cs="Arial"/>
          <w:b/>
          <w:bCs/>
          <w:u w:val="single"/>
        </w:rPr>
        <w:lastRenderedPageBreak/>
        <w:t xml:space="preserve">Conclusion </w:t>
      </w:r>
    </w:p>
    <w:p w14:paraId="48C8DD7D" w14:textId="6CA7D6D4" w:rsidR="00B279A0" w:rsidRDefault="00B279A0" w:rsidP="00AC7DFE">
      <w:pPr>
        <w:spacing w:after="240" w:line="360" w:lineRule="auto"/>
        <w:rPr>
          <w:rFonts w:ascii="Arial" w:hAnsi="Arial" w:cs="Arial"/>
        </w:rPr>
      </w:pPr>
      <w:r w:rsidRPr="00B279A0">
        <w:rPr>
          <w:rFonts w:ascii="Arial" w:hAnsi="Arial" w:cs="Arial"/>
        </w:rPr>
        <w:t>A recent report published in February 2021 by the CBI and</w:t>
      </w:r>
      <w:r>
        <w:rPr>
          <w:rFonts w:ascii="Arial" w:hAnsi="Arial" w:cs="Arial"/>
        </w:rPr>
        <w:t xml:space="preserve"> Oxford Economics stated that the United Kingdom construction industry spent £1.27 billion in the year 2020 on legal services which is 1.6% of all procurement spend and twice the level seen across the whole of the </w:t>
      </w:r>
      <w:r w:rsidR="00521C8F" w:rsidRPr="00521C8F">
        <w:rPr>
          <w:rFonts w:ascii="Arial" w:hAnsi="Arial" w:cs="Arial"/>
        </w:rPr>
        <w:t>economy (</w:t>
      </w:r>
      <w:r w:rsidR="00521C8F" w:rsidRPr="00521C8F">
        <w:rPr>
          <w:rFonts w:ascii="Arial" w:hAnsi="Arial" w:cs="Arial"/>
          <w:color w:val="000000"/>
        </w:rPr>
        <w:t>Miller, 2020)</w:t>
      </w:r>
      <w:r w:rsidR="00521C8F" w:rsidRPr="00521C8F">
        <w:rPr>
          <w:rFonts w:ascii="Arial" w:hAnsi="Arial" w:cs="Arial"/>
          <w:color w:val="000000"/>
        </w:rPr>
        <w:t>.</w:t>
      </w:r>
    </w:p>
    <w:p w14:paraId="4E5231A0" w14:textId="0879897C" w:rsidR="008E3CA1" w:rsidRPr="00B279A0" w:rsidRDefault="008E3CA1" w:rsidP="00AC7DFE">
      <w:pPr>
        <w:spacing w:after="240" w:line="360" w:lineRule="auto"/>
        <w:rPr>
          <w:rFonts w:ascii="Arial" w:hAnsi="Arial" w:cs="Arial"/>
        </w:rPr>
      </w:pPr>
      <w:r>
        <w:rPr>
          <w:rFonts w:ascii="Arial" w:hAnsi="Arial" w:cs="Arial"/>
        </w:rPr>
        <w:t>When risk become reality and projects are sadly impacted this will often lead to the companies involved becoming caught up in the blame game. Construction companies are often at the mercy of numerous financial, political, environmental, and legal developments. The implications are often severe and thus leading to construction having one of the highest insolvency ratios across the UK economy with 3000 businesses becoming insolvent in 2019</w:t>
      </w:r>
      <w:r w:rsidR="00710050">
        <w:rPr>
          <w:rFonts w:ascii="Arial" w:hAnsi="Arial" w:cs="Arial"/>
        </w:rPr>
        <w:t xml:space="preserve"> </w:t>
      </w:r>
      <w:r w:rsidR="00710050" w:rsidRPr="00521C8F">
        <w:rPr>
          <w:rFonts w:ascii="Arial" w:hAnsi="Arial" w:cs="Arial"/>
        </w:rPr>
        <w:t>(</w:t>
      </w:r>
      <w:r w:rsidR="00710050" w:rsidRPr="00521C8F">
        <w:rPr>
          <w:rFonts w:ascii="Arial" w:hAnsi="Arial" w:cs="Arial"/>
          <w:color w:val="000000"/>
        </w:rPr>
        <w:t>Miller, 2020)</w:t>
      </w:r>
      <w:r>
        <w:rPr>
          <w:rFonts w:ascii="Arial" w:hAnsi="Arial" w:cs="Arial"/>
        </w:rPr>
        <w:t>.</w:t>
      </w:r>
    </w:p>
    <w:p w14:paraId="0751CDF0" w14:textId="6758FADB" w:rsidR="007B0F30" w:rsidRDefault="003975A9" w:rsidP="00AC7DFE">
      <w:pPr>
        <w:spacing w:after="240" w:line="360" w:lineRule="auto"/>
        <w:rPr>
          <w:rFonts w:ascii="Arial" w:hAnsi="Arial" w:cs="Arial"/>
        </w:rPr>
      </w:pPr>
      <w:r>
        <w:rPr>
          <w:rFonts w:ascii="Arial" w:hAnsi="Arial" w:cs="Arial"/>
        </w:rPr>
        <w:t>In worst case scenarios, when things go wrong enough for a company to collapse, the client is ultimately left to foot the bill with limited options. Should a client remain in a position to financially continue with the project there will still be a significant financial loss to the client in addition to project delays, which will have additional financial losses which may never be recuperated.</w:t>
      </w:r>
    </w:p>
    <w:p w14:paraId="2E44E0B8" w14:textId="70FB1AF6" w:rsidR="00481BF9" w:rsidRPr="00615CA9" w:rsidRDefault="003975A9" w:rsidP="00AC7DFE">
      <w:pPr>
        <w:spacing w:after="240" w:line="360" w:lineRule="auto"/>
        <w:rPr>
          <w:rFonts w:ascii="Arial" w:hAnsi="Arial" w:cs="Arial"/>
        </w:rPr>
      </w:pPr>
      <w:r>
        <w:rPr>
          <w:rFonts w:ascii="Arial" w:hAnsi="Arial" w:cs="Arial"/>
        </w:rPr>
        <w:t xml:space="preserve">Regarding the two cases referred to in this document, it could be claimed that it was considered that there may have been identified issues in carrying out works requested and to schedule dates recorded. </w:t>
      </w:r>
      <w:r w:rsidR="00615CA9">
        <w:rPr>
          <w:rFonts w:ascii="Arial" w:hAnsi="Arial" w:cs="Arial"/>
        </w:rPr>
        <w:t xml:space="preserve">For resolution to such issues businesses may benefit </w:t>
      </w:r>
      <w:r w:rsidR="00615CA9" w:rsidRPr="00615CA9">
        <w:rPr>
          <w:rFonts w:ascii="Arial" w:hAnsi="Arial" w:cs="Arial"/>
        </w:rPr>
        <w:t>from being more transparent</w:t>
      </w:r>
      <w:r w:rsidR="00615CA9">
        <w:rPr>
          <w:rFonts w:ascii="Arial" w:hAnsi="Arial" w:cs="Arial"/>
          <w:b/>
          <w:bCs/>
          <w:u w:val="single"/>
        </w:rPr>
        <w:t xml:space="preserve"> </w:t>
      </w:r>
      <w:r w:rsidR="00615CA9">
        <w:rPr>
          <w:rFonts w:ascii="Arial" w:hAnsi="Arial" w:cs="Arial"/>
        </w:rPr>
        <w:t xml:space="preserve">and measured in their ability and expectations. This would require businesses to exercise caution when negotiating and </w:t>
      </w:r>
      <w:proofErr w:type="gramStart"/>
      <w:r w:rsidR="00615CA9">
        <w:rPr>
          <w:rFonts w:ascii="Arial" w:hAnsi="Arial" w:cs="Arial"/>
        </w:rPr>
        <w:t>entering into</w:t>
      </w:r>
      <w:proofErr w:type="gramEnd"/>
      <w:r w:rsidR="00615CA9">
        <w:rPr>
          <w:rFonts w:ascii="Arial" w:hAnsi="Arial" w:cs="Arial"/>
        </w:rPr>
        <w:t xml:space="preserve"> contracts that present unmanageable risk allocation and would minimise the need for adjudications to be requested and often followed by objection thus leading to further delays in projects. </w:t>
      </w:r>
    </w:p>
    <w:p w14:paraId="4324ABD8" w14:textId="77777777" w:rsidR="00481BF9" w:rsidRDefault="00481BF9" w:rsidP="00AC7DFE">
      <w:pPr>
        <w:spacing w:after="240" w:line="360" w:lineRule="auto"/>
        <w:rPr>
          <w:rFonts w:ascii="Arial" w:hAnsi="Arial" w:cs="Arial"/>
          <w:b/>
          <w:bCs/>
          <w:u w:val="single"/>
        </w:rPr>
      </w:pPr>
    </w:p>
    <w:p w14:paraId="121B49A3" w14:textId="77777777" w:rsidR="00481BF9" w:rsidRDefault="00481BF9" w:rsidP="00AC7DFE">
      <w:pPr>
        <w:spacing w:after="240" w:line="360" w:lineRule="auto"/>
        <w:rPr>
          <w:rFonts w:ascii="Arial" w:hAnsi="Arial" w:cs="Arial"/>
          <w:b/>
          <w:bCs/>
          <w:u w:val="single"/>
        </w:rPr>
      </w:pPr>
    </w:p>
    <w:p w14:paraId="513BE05D" w14:textId="77777777" w:rsidR="00481BF9" w:rsidRDefault="00481BF9" w:rsidP="00AC7DFE">
      <w:pPr>
        <w:spacing w:after="240" w:line="360" w:lineRule="auto"/>
        <w:rPr>
          <w:rFonts w:ascii="Arial" w:hAnsi="Arial" w:cs="Arial"/>
          <w:b/>
          <w:bCs/>
          <w:u w:val="single"/>
        </w:rPr>
      </w:pPr>
    </w:p>
    <w:p w14:paraId="2EE31C6C" w14:textId="77777777" w:rsidR="00481BF9" w:rsidRDefault="00481BF9" w:rsidP="00AC7DFE">
      <w:pPr>
        <w:spacing w:after="240" w:line="360" w:lineRule="auto"/>
        <w:rPr>
          <w:rFonts w:ascii="Arial" w:hAnsi="Arial" w:cs="Arial"/>
          <w:b/>
          <w:bCs/>
          <w:u w:val="single"/>
        </w:rPr>
      </w:pPr>
    </w:p>
    <w:p w14:paraId="70C27276" w14:textId="2139A817" w:rsidR="00615CA9" w:rsidRPr="00615CA9" w:rsidRDefault="00CB3BBC" w:rsidP="00AC7DFE">
      <w:pPr>
        <w:spacing w:after="240" w:line="360" w:lineRule="auto"/>
        <w:rPr>
          <w:rFonts w:ascii="Arial" w:hAnsi="Arial" w:cs="Arial"/>
          <w:b/>
          <w:bCs/>
          <w:u w:val="single"/>
        </w:rPr>
      </w:pPr>
      <w:r w:rsidRPr="00CB3BBC">
        <w:rPr>
          <w:rFonts w:ascii="Arial" w:hAnsi="Arial" w:cs="Arial"/>
          <w:b/>
          <w:bCs/>
          <w:u w:val="single"/>
        </w:rPr>
        <w:lastRenderedPageBreak/>
        <w:t>References</w:t>
      </w:r>
    </w:p>
    <w:p w14:paraId="6EAE176B" w14:textId="77777777" w:rsidR="00615CA9" w:rsidRPr="00615CA9" w:rsidRDefault="00615CA9" w:rsidP="00710050">
      <w:pPr>
        <w:pStyle w:val="NormalWeb"/>
        <w:spacing w:line="360" w:lineRule="auto"/>
        <w:rPr>
          <w:rFonts w:ascii="Arial" w:hAnsi="Arial" w:cs="Arial"/>
          <w:i/>
          <w:iCs/>
          <w:color w:val="000000"/>
        </w:rPr>
      </w:pPr>
      <w:r w:rsidRPr="00615CA9">
        <w:rPr>
          <w:rFonts w:ascii="Arial" w:hAnsi="Arial" w:cs="Arial"/>
          <w:i/>
          <w:iCs/>
          <w:color w:val="000000"/>
        </w:rPr>
        <w:t xml:space="preserve">Bailey, J., </w:t>
      </w:r>
      <w:proofErr w:type="spellStart"/>
      <w:r w:rsidRPr="00615CA9">
        <w:rPr>
          <w:rFonts w:ascii="Arial" w:hAnsi="Arial" w:cs="Arial"/>
          <w:i/>
          <w:iCs/>
          <w:color w:val="000000"/>
        </w:rPr>
        <w:t>Turrini</w:t>
      </w:r>
      <w:proofErr w:type="spellEnd"/>
      <w:r w:rsidRPr="00615CA9">
        <w:rPr>
          <w:rFonts w:ascii="Arial" w:hAnsi="Arial" w:cs="Arial"/>
          <w:i/>
          <w:iCs/>
          <w:color w:val="000000"/>
        </w:rPr>
        <w:t>, M. and Hudson, S. (2017)</w:t>
      </w:r>
      <w:r w:rsidRPr="00615CA9">
        <w:rPr>
          <w:rStyle w:val="apple-converted-space"/>
          <w:rFonts w:ascii="Arial" w:hAnsi="Arial" w:cs="Arial"/>
          <w:i/>
          <w:iCs/>
          <w:color w:val="000000"/>
        </w:rPr>
        <w:t> </w:t>
      </w:r>
      <w:r w:rsidRPr="00615CA9">
        <w:rPr>
          <w:rFonts w:ascii="Arial" w:hAnsi="Arial" w:cs="Arial"/>
          <w:i/>
          <w:iCs/>
          <w:color w:val="000000"/>
        </w:rPr>
        <w:t>Liquidated damages for sectional completion,</w:t>
      </w:r>
      <w:r w:rsidRPr="00615CA9">
        <w:rPr>
          <w:rStyle w:val="apple-converted-space"/>
          <w:rFonts w:ascii="Arial" w:hAnsi="Arial" w:cs="Arial"/>
          <w:i/>
          <w:iCs/>
          <w:color w:val="000000"/>
        </w:rPr>
        <w:t> </w:t>
      </w:r>
      <w:r w:rsidRPr="00615CA9">
        <w:rPr>
          <w:rFonts w:ascii="Arial" w:hAnsi="Arial" w:cs="Arial"/>
          <w:i/>
          <w:iCs/>
          <w:color w:val="000000"/>
        </w:rPr>
        <w:t>White &amp; Case LLP. Available at: https://www.whitecase.com/insight-alert/liquidated-damages-sectional-completion (Accessed: November 2</w:t>
      </w:r>
      <w:r w:rsidRPr="00615CA9">
        <w:rPr>
          <w:rFonts w:ascii="Arial" w:hAnsi="Arial" w:cs="Arial"/>
          <w:i/>
          <w:iCs/>
          <w:color w:val="000000"/>
        </w:rPr>
        <w:t>5</w:t>
      </w:r>
      <w:r w:rsidRPr="00615CA9">
        <w:rPr>
          <w:rFonts w:ascii="Arial" w:hAnsi="Arial" w:cs="Arial"/>
          <w:i/>
          <w:iCs/>
          <w:color w:val="000000"/>
        </w:rPr>
        <w:t>, 2022).</w:t>
      </w:r>
      <w:r w:rsidRPr="00615CA9">
        <w:rPr>
          <w:rStyle w:val="apple-converted-space"/>
          <w:rFonts w:ascii="Arial" w:hAnsi="Arial" w:cs="Arial"/>
          <w:i/>
          <w:iCs/>
          <w:color w:val="000000"/>
        </w:rPr>
        <w:t> </w:t>
      </w:r>
    </w:p>
    <w:p w14:paraId="27C55C22" w14:textId="77777777" w:rsidR="00615CA9" w:rsidRPr="00615CA9" w:rsidRDefault="00615CA9" w:rsidP="00AC7DFE">
      <w:pPr>
        <w:spacing w:after="240" w:line="360" w:lineRule="auto"/>
        <w:rPr>
          <w:rFonts w:ascii="Arial" w:hAnsi="Arial" w:cs="Arial"/>
          <w:i/>
          <w:iCs/>
        </w:rPr>
      </w:pPr>
      <w:proofErr w:type="gramStart"/>
      <w:r w:rsidRPr="00615CA9">
        <w:rPr>
          <w:rStyle w:val="styledprojecttitletext-zvspga-1"/>
          <w:rFonts w:ascii="Arial" w:hAnsi="Arial" w:cs="Arial"/>
          <w:i/>
          <w:iCs/>
          <w:color w:val="333333"/>
          <w:bdr w:val="none" w:sz="0" w:space="0" w:color="auto" w:frame="1"/>
        </w:rPr>
        <w:t>Baker(</w:t>
      </w:r>
      <w:proofErr w:type="gramEnd"/>
      <w:r w:rsidRPr="00615CA9">
        <w:rPr>
          <w:rStyle w:val="styledprojecttitletext-zvspga-1"/>
          <w:rFonts w:ascii="Arial" w:hAnsi="Arial" w:cs="Arial"/>
          <w:i/>
          <w:iCs/>
          <w:color w:val="333333"/>
          <w:bdr w:val="none" w:sz="0" w:space="0" w:color="auto" w:frame="1"/>
        </w:rPr>
        <w:t>2022)https://www.ons.gov.uk/businessindustryandtrade/constructionindustry/articles/constructionst tics/2020atis</w:t>
      </w:r>
    </w:p>
    <w:p w14:paraId="596C4C5B" w14:textId="77777777" w:rsidR="00615CA9" w:rsidRPr="00615CA9" w:rsidRDefault="00615CA9" w:rsidP="0013773A">
      <w:pPr>
        <w:pStyle w:val="NormalWeb"/>
        <w:spacing w:line="360" w:lineRule="auto"/>
        <w:rPr>
          <w:rFonts w:ascii="Arial" w:hAnsi="Arial" w:cs="Arial"/>
          <w:i/>
          <w:iCs/>
          <w:color w:val="000000"/>
        </w:rPr>
      </w:pPr>
      <w:r w:rsidRPr="00615CA9">
        <w:rPr>
          <w:rFonts w:ascii="Arial" w:hAnsi="Arial" w:cs="Arial"/>
          <w:i/>
          <w:iCs/>
          <w:color w:val="000000"/>
        </w:rPr>
        <w:t xml:space="preserve">Deacon, Johnston and </w:t>
      </w:r>
      <w:proofErr w:type="spellStart"/>
      <w:r w:rsidRPr="00615CA9">
        <w:rPr>
          <w:rFonts w:ascii="Arial" w:hAnsi="Arial" w:cs="Arial"/>
          <w:i/>
          <w:iCs/>
          <w:color w:val="000000"/>
        </w:rPr>
        <w:t>Markesinis</w:t>
      </w:r>
      <w:proofErr w:type="spellEnd"/>
      <w:r w:rsidRPr="00615CA9">
        <w:rPr>
          <w:rFonts w:ascii="Arial" w:hAnsi="Arial" w:cs="Arial"/>
          <w:i/>
          <w:iCs/>
          <w:color w:val="000000"/>
        </w:rPr>
        <w:t xml:space="preserve"> (2003)</w:t>
      </w:r>
      <w:r w:rsidRPr="00615CA9">
        <w:rPr>
          <w:rStyle w:val="apple-converted-space"/>
          <w:rFonts w:ascii="Arial" w:hAnsi="Arial" w:cs="Arial"/>
          <w:i/>
          <w:iCs/>
          <w:color w:val="000000"/>
        </w:rPr>
        <w:t> </w:t>
      </w:r>
      <w:r w:rsidRPr="00615CA9">
        <w:rPr>
          <w:rFonts w:ascii="Arial" w:hAnsi="Arial" w:cs="Arial"/>
          <w:i/>
          <w:iCs/>
          <w:color w:val="000000"/>
        </w:rPr>
        <w:t>Introduction to English tort law - international and comparative law ...,</w:t>
      </w:r>
      <w:r w:rsidRPr="00615CA9">
        <w:rPr>
          <w:rStyle w:val="apple-converted-space"/>
          <w:rFonts w:ascii="Arial" w:hAnsi="Arial" w:cs="Arial"/>
          <w:i/>
          <w:iCs/>
          <w:color w:val="000000"/>
        </w:rPr>
        <w:t> </w:t>
      </w:r>
      <w:r w:rsidRPr="00615CA9">
        <w:rPr>
          <w:rFonts w:ascii="Arial" w:hAnsi="Arial" w:cs="Arial"/>
          <w:i/>
          <w:iCs/>
          <w:color w:val="000000"/>
        </w:rPr>
        <w:t>Bill.org. Oxford University Press, 5th edition, 2003. Available at: https://www.biicl.org/files/763_introduction_to_english_tort_law.pdf (Accessed: November 25, 2022).</w:t>
      </w:r>
      <w:r w:rsidRPr="00615CA9">
        <w:rPr>
          <w:rStyle w:val="apple-converted-space"/>
          <w:rFonts w:ascii="Arial" w:hAnsi="Arial" w:cs="Arial"/>
          <w:i/>
          <w:iCs/>
          <w:color w:val="000000"/>
        </w:rPr>
        <w:t> </w:t>
      </w:r>
    </w:p>
    <w:p w14:paraId="2ABA2E41" w14:textId="77777777" w:rsidR="00615CA9" w:rsidRPr="00615CA9" w:rsidRDefault="00615CA9" w:rsidP="0013773A">
      <w:pPr>
        <w:pStyle w:val="NormalWeb"/>
        <w:spacing w:line="360" w:lineRule="auto"/>
        <w:rPr>
          <w:rStyle w:val="apple-converted-space"/>
          <w:rFonts w:ascii="Arial" w:hAnsi="Arial" w:cs="Arial"/>
          <w:i/>
          <w:iCs/>
          <w:color w:val="000000"/>
        </w:rPr>
      </w:pPr>
      <w:r w:rsidRPr="00615CA9">
        <w:rPr>
          <w:rFonts w:ascii="Arial" w:hAnsi="Arial" w:cs="Arial"/>
          <w:i/>
          <w:iCs/>
          <w:color w:val="000000"/>
        </w:rPr>
        <w:t>Designing buildings wiki launches</w:t>
      </w:r>
      <w:r w:rsidRPr="00615CA9">
        <w:rPr>
          <w:rStyle w:val="apple-converted-space"/>
          <w:rFonts w:ascii="Arial" w:hAnsi="Arial" w:cs="Arial"/>
          <w:i/>
          <w:iCs/>
          <w:color w:val="000000"/>
        </w:rPr>
        <w:t> </w:t>
      </w:r>
      <w:r w:rsidRPr="00615CA9">
        <w:rPr>
          <w:rFonts w:ascii="Arial" w:hAnsi="Arial" w:cs="Arial"/>
          <w:i/>
          <w:iCs/>
          <w:color w:val="000000"/>
        </w:rPr>
        <w:t>(no date)</w:t>
      </w:r>
      <w:r w:rsidRPr="00615CA9">
        <w:rPr>
          <w:rStyle w:val="apple-converted-space"/>
          <w:rFonts w:ascii="Arial" w:hAnsi="Arial" w:cs="Arial"/>
          <w:i/>
          <w:iCs/>
          <w:color w:val="000000"/>
        </w:rPr>
        <w:t> </w:t>
      </w:r>
      <w:r w:rsidRPr="00615CA9">
        <w:rPr>
          <w:rFonts w:ascii="Arial" w:hAnsi="Arial" w:cs="Arial"/>
          <w:i/>
          <w:iCs/>
          <w:color w:val="000000"/>
        </w:rPr>
        <w:t>Designing Buildings Wiki Launches - Designing Buildings. Available at: https://www.designingbuildings.co.uk/Designing_Buildings_Wiki_Launches (Accessed: November 25, 2022).</w:t>
      </w:r>
      <w:r w:rsidRPr="00615CA9">
        <w:rPr>
          <w:rStyle w:val="apple-converted-space"/>
          <w:rFonts w:ascii="Arial" w:hAnsi="Arial" w:cs="Arial"/>
          <w:i/>
          <w:iCs/>
          <w:color w:val="000000"/>
        </w:rPr>
        <w:t> </w:t>
      </w:r>
    </w:p>
    <w:p w14:paraId="438D3C5E" w14:textId="77777777" w:rsidR="00615CA9" w:rsidRPr="00615CA9" w:rsidRDefault="00615CA9" w:rsidP="0013773A">
      <w:pPr>
        <w:spacing w:after="240" w:line="360" w:lineRule="auto"/>
        <w:rPr>
          <w:rFonts w:ascii="Arial" w:hAnsi="Arial" w:cs="Arial"/>
          <w:i/>
          <w:iCs/>
        </w:rPr>
      </w:pPr>
      <w:r w:rsidRPr="00C9624F">
        <w:rPr>
          <w:rFonts w:ascii="Arial" w:hAnsi="Arial" w:cs="Arial"/>
          <w:i/>
          <w:iCs/>
        </w:rPr>
        <w:t xml:space="preserve">Disputes avoidance protocol (2021) Mercantile Barristers. Available at: </w:t>
      </w:r>
      <w:hyperlink r:id="rId7" w:history="1">
        <w:r w:rsidRPr="00C9624F">
          <w:rPr>
            <w:rStyle w:val="Hyperlink"/>
            <w:rFonts w:ascii="Arial" w:hAnsi="Arial" w:cs="Arial"/>
            <w:i/>
            <w:iCs/>
            <w:color w:val="000000" w:themeColor="text1"/>
          </w:rPr>
          <w:t>https://mercantilebarristers.com/disputes-avoidance-protocol/?infinity=ict2~net~gaw~cmp~8058087253~ag~108566918120~ar~454442692772~kw~construction+adjudication+process~mt~p~acr~7124637754&amp;utm_source=google</w:t>
        </w:r>
      </w:hyperlink>
      <w:r w:rsidRPr="00615CA9">
        <w:rPr>
          <w:rFonts w:ascii="Arial" w:hAnsi="Arial" w:cs="Arial"/>
          <w:i/>
          <w:iCs/>
          <w:color w:val="000000" w:themeColor="text1"/>
        </w:rPr>
        <w:t xml:space="preserve"> </w:t>
      </w:r>
      <w:r w:rsidRPr="00C9624F">
        <w:rPr>
          <w:rFonts w:ascii="Arial" w:hAnsi="Arial" w:cs="Arial"/>
          <w:i/>
          <w:iCs/>
        </w:rPr>
        <w:t>ads&amp;utm_medium=cpc&amp;utm_campaign=%7Bcampaignname%7D&amp;utm_content=108566918120&amp;utm_term=construction+adjudication+process&amp;gclid=EAIaIQobChMIu7Tx-_3J-wIVwu3tCh2ltgKxEAAYAyAAEgIoYfD_BwE (Accessed: November 26, 2022). </w:t>
      </w:r>
    </w:p>
    <w:p w14:paraId="1C51CA4D" w14:textId="77777777" w:rsidR="00615CA9" w:rsidRPr="00615CA9" w:rsidRDefault="00615CA9" w:rsidP="0013773A">
      <w:pPr>
        <w:pStyle w:val="Heading2"/>
        <w:spacing w:before="0" w:after="120" w:line="360" w:lineRule="auto"/>
        <w:rPr>
          <w:b w:val="0"/>
          <w:bCs w:val="0"/>
          <w:color w:val="000000" w:themeColor="text1"/>
          <w:sz w:val="24"/>
          <w:szCs w:val="24"/>
        </w:rPr>
      </w:pPr>
      <w:r w:rsidRPr="00615CA9">
        <w:rPr>
          <w:b w:val="0"/>
          <w:bCs w:val="0"/>
          <w:color w:val="000000" w:themeColor="text1"/>
          <w:sz w:val="24"/>
          <w:szCs w:val="24"/>
        </w:rPr>
        <w:t xml:space="preserve">Health &amp; Safety Executive2015: Construction (Design and Management) Regulations 2015 (CDM 2015), Available at: </w:t>
      </w:r>
      <w:hyperlink r:id="rId8" w:history="1">
        <w:r w:rsidRPr="00615CA9">
          <w:rPr>
            <w:rStyle w:val="Hyperlink"/>
            <w:b w:val="0"/>
            <w:bCs w:val="0"/>
            <w:color w:val="000000" w:themeColor="text1"/>
            <w:sz w:val="24"/>
            <w:szCs w:val="24"/>
          </w:rPr>
          <w:t>https://www.hse.gov.uk/construction/cdm/2015/designers.htm</w:t>
        </w:r>
      </w:hyperlink>
      <w:r w:rsidRPr="00615CA9">
        <w:rPr>
          <w:b w:val="0"/>
          <w:bCs w:val="0"/>
          <w:color w:val="000000" w:themeColor="text1"/>
          <w:sz w:val="24"/>
          <w:szCs w:val="24"/>
        </w:rPr>
        <w:t xml:space="preserve"> [Accessed October 20th, 2022] </w:t>
      </w:r>
    </w:p>
    <w:p w14:paraId="08CAB1E2" w14:textId="77777777" w:rsidR="00615CA9" w:rsidRPr="00615CA9" w:rsidRDefault="00615CA9" w:rsidP="00C9624F">
      <w:pPr>
        <w:spacing w:after="240" w:line="360" w:lineRule="auto"/>
        <w:rPr>
          <w:rFonts w:ascii="Arial" w:hAnsi="Arial" w:cs="Arial"/>
          <w:i/>
          <w:iCs/>
          <w:color w:val="000000" w:themeColor="text1"/>
          <w:u w:val="single"/>
        </w:rPr>
      </w:pPr>
      <w:proofErr w:type="spellStart"/>
      <w:r w:rsidRPr="00C9624F">
        <w:rPr>
          <w:rFonts w:ascii="Arial" w:hAnsi="Arial" w:cs="Arial"/>
          <w:i/>
          <w:iCs/>
          <w:color w:val="000000" w:themeColor="text1"/>
          <w:u w:val="single"/>
        </w:rPr>
        <w:t>Hopcraft</w:t>
      </w:r>
      <w:proofErr w:type="spellEnd"/>
      <w:r w:rsidRPr="00C9624F">
        <w:rPr>
          <w:rFonts w:ascii="Arial" w:hAnsi="Arial" w:cs="Arial"/>
          <w:i/>
          <w:iCs/>
          <w:color w:val="000000" w:themeColor="text1"/>
          <w:u w:val="single"/>
        </w:rPr>
        <w:t>, S. (2021) Wright Hassall. Available at: https://www.wrighthassall.co.uk/knowledge-base/what-is-the-definition-of-negligence (Accessed: November 24, 2022). </w:t>
      </w:r>
    </w:p>
    <w:p w14:paraId="6316F0A2" w14:textId="77777777" w:rsidR="00615CA9" w:rsidRPr="00615CA9" w:rsidRDefault="00615CA9" w:rsidP="0013773A">
      <w:pPr>
        <w:spacing w:line="360" w:lineRule="auto"/>
        <w:textAlignment w:val="baseline"/>
        <w:rPr>
          <w:rFonts w:ascii="Arial" w:hAnsi="Arial" w:cs="Arial"/>
          <w:i/>
          <w:iCs/>
          <w:color w:val="2A2A2A"/>
        </w:rPr>
      </w:pPr>
      <w:proofErr w:type="spellStart"/>
      <w:r w:rsidRPr="00615CA9">
        <w:rPr>
          <w:rFonts w:ascii="Arial" w:hAnsi="Arial" w:cs="Arial"/>
          <w:i/>
          <w:iCs/>
          <w:color w:val="2A2A2A"/>
        </w:rPr>
        <w:t>LawTeacher</w:t>
      </w:r>
      <w:proofErr w:type="spellEnd"/>
      <w:r w:rsidRPr="00615CA9">
        <w:rPr>
          <w:rFonts w:ascii="Arial" w:hAnsi="Arial" w:cs="Arial"/>
          <w:i/>
          <w:iCs/>
          <w:color w:val="2A2A2A"/>
        </w:rPr>
        <w:t>. November 2013. Elements of Tort of Negligence. [online]. Available from: https://www.lawteacher.net/free-law-essays/medical-law/elements-of-tort-of-negligence-medical-law-essay.php?vref=1 [Accessed 25 November 2022].</w:t>
      </w:r>
    </w:p>
    <w:p w14:paraId="021A6646" w14:textId="77777777" w:rsidR="00615CA9" w:rsidRPr="00615CA9" w:rsidRDefault="00615CA9" w:rsidP="0013773A">
      <w:pPr>
        <w:pStyle w:val="NormalWeb"/>
        <w:spacing w:line="360" w:lineRule="auto"/>
        <w:rPr>
          <w:rStyle w:val="apple-converted-space"/>
          <w:rFonts w:ascii="Arial" w:hAnsi="Arial" w:cs="Arial"/>
          <w:i/>
          <w:iCs/>
          <w:color w:val="000000"/>
        </w:rPr>
      </w:pPr>
      <w:r w:rsidRPr="00615CA9">
        <w:rPr>
          <w:rFonts w:ascii="Arial" w:hAnsi="Arial" w:cs="Arial"/>
          <w:i/>
          <w:iCs/>
          <w:color w:val="000000"/>
        </w:rPr>
        <w:t>McKenna, C. (no date)</w:t>
      </w:r>
      <w:r w:rsidRPr="00615CA9">
        <w:rPr>
          <w:rStyle w:val="apple-converted-space"/>
          <w:rFonts w:ascii="Arial" w:hAnsi="Arial" w:cs="Arial"/>
          <w:i/>
          <w:iCs/>
          <w:color w:val="000000"/>
        </w:rPr>
        <w:t> </w:t>
      </w:r>
      <w:proofErr w:type="spellStart"/>
      <w:r w:rsidRPr="00615CA9">
        <w:rPr>
          <w:rFonts w:ascii="Arial" w:hAnsi="Arial" w:cs="Arial"/>
          <w:i/>
          <w:iCs/>
          <w:color w:val="000000"/>
        </w:rPr>
        <w:t>Macob</w:t>
      </w:r>
      <w:proofErr w:type="spellEnd"/>
      <w:r w:rsidRPr="00615CA9">
        <w:rPr>
          <w:rFonts w:ascii="Arial" w:hAnsi="Arial" w:cs="Arial"/>
          <w:i/>
          <w:iCs/>
          <w:color w:val="000000"/>
        </w:rPr>
        <w:t xml:space="preserve"> Civil Eng. ltd v </w:t>
      </w:r>
      <w:proofErr w:type="spellStart"/>
      <w:r w:rsidRPr="00615CA9">
        <w:rPr>
          <w:rFonts w:ascii="Arial" w:hAnsi="Arial" w:cs="Arial"/>
          <w:i/>
          <w:iCs/>
          <w:color w:val="000000"/>
        </w:rPr>
        <w:t>morrison</w:t>
      </w:r>
      <w:proofErr w:type="spellEnd"/>
      <w:r w:rsidRPr="00615CA9">
        <w:rPr>
          <w:rFonts w:ascii="Arial" w:hAnsi="Arial" w:cs="Arial"/>
          <w:i/>
          <w:iCs/>
          <w:color w:val="000000"/>
        </w:rPr>
        <w:t xml:space="preserve"> construction ltd [1999] EWHC Technology 254,</w:t>
      </w:r>
      <w:r w:rsidRPr="00615CA9">
        <w:rPr>
          <w:rStyle w:val="apple-converted-space"/>
          <w:rFonts w:ascii="Arial" w:hAnsi="Arial" w:cs="Arial"/>
          <w:i/>
          <w:iCs/>
          <w:color w:val="000000"/>
        </w:rPr>
        <w:t> </w:t>
      </w:r>
      <w:r w:rsidRPr="00615CA9">
        <w:rPr>
          <w:rFonts w:ascii="Arial" w:hAnsi="Arial" w:cs="Arial"/>
          <w:i/>
          <w:iCs/>
          <w:color w:val="000000"/>
        </w:rPr>
        <w:t>Adjudication.co.uk - Adjudicator Nominating Body. Available at: http://www.adjudication.co.uk/archive/view/case/252/macob_civil_eng._ltd_v_morrison_construction_ltd_%5b1999%5d_ewhc_technology_254/ (Accessed: November 24, 2022).</w:t>
      </w:r>
      <w:r w:rsidRPr="00615CA9">
        <w:rPr>
          <w:rStyle w:val="apple-converted-space"/>
          <w:rFonts w:ascii="Arial" w:hAnsi="Arial" w:cs="Arial"/>
          <w:i/>
          <w:iCs/>
          <w:color w:val="000000"/>
        </w:rPr>
        <w:t> </w:t>
      </w:r>
    </w:p>
    <w:p w14:paraId="49D242BA" w14:textId="77777777" w:rsidR="00615CA9" w:rsidRPr="00615CA9" w:rsidRDefault="00615CA9" w:rsidP="00521C8F">
      <w:pPr>
        <w:pStyle w:val="NormalWeb"/>
        <w:spacing w:line="360" w:lineRule="auto"/>
        <w:rPr>
          <w:rStyle w:val="apple-converted-space"/>
          <w:rFonts w:ascii="Arial" w:hAnsi="Arial" w:cs="Arial"/>
          <w:i/>
          <w:iCs/>
          <w:color w:val="000000"/>
        </w:rPr>
      </w:pPr>
      <w:r w:rsidRPr="00615CA9">
        <w:rPr>
          <w:rFonts w:ascii="Arial" w:hAnsi="Arial" w:cs="Arial"/>
          <w:i/>
          <w:iCs/>
          <w:color w:val="000000"/>
        </w:rPr>
        <w:t>Miller, T. (2020)</w:t>
      </w:r>
      <w:r w:rsidRPr="00615CA9">
        <w:rPr>
          <w:rStyle w:val="apple-converted-space"/>
          <w:rFonts w:ascii="Arial" w:hAnsi="Arial" w:cs="Arial"/>
          <w:i/>
          <w:iCs/>
          <w:color w:val="000000"/>
        </w:rPr>
        <w:t> </w:t>
      </w:r>
      <w:r w:rsidRPr="00615CA9">
        <w:rPr>
          <w:rFonts w:ascii="Arial" w:hAnsi="Arial" w:cs="Arial"/>
          <w:i/>
          <w:iCs/>
          <w:color w:val="000000"/>
        </w:rPr>
        <w:t xml:space="preserve">Educating for the modern world - confederation of </w:t>
      </w:r>
      <w:proofErr w:type="spellStart"/>
      <w:r w:rsidRPr="00615CA9">
        <w:rPr>
          <w:rFonts w:ascii="Arial" w:hAnsi="Arial" w:cs="Arial"/>
          <w:i/>
          <w:iCs/>
          <w:color w:val="000000"/>
        </w:rPr>
        <w:t>british</w:t>
      </w:r>
      <w:proofErr w:type="spellEnd"/>
      <w:r w:rsidRPr="00615CA9">
        <w:rPr>
          <w:rFonts w:ascii="Arial" w:hAnsi="Arial" w:cs="Arial"/>
          <w:i/>
          <w:iCs/>
          <w:color w:val="000000"/>
        </w:rPr>
        <w:t xml:space="preserve"> industry,</w:t>
      </w:r>
      <w:r w:rsidRPr="00615CA9">
        <w:rPr>
          <w:rStyle w:val="apple-converted-space"/>
          <w:rFonts w:ascii="Arial" w:hAnsi="Arial" w:cs="Arial"/>
          <w:i/>
          <w:iCs/>
          <w:color w:val="000000"/>
        </w:rPr>
        <w:t> </w:t>
      </w:r>
      <w:r w:rsidRPr="00615CA9">
        <w:rPr>
          <w:rFonts w:ascii="Arial" w:hAnsi="Arial" w:cs="Arial"/>
          <w:i/>
          <w:iCs/>
          <w:color w:val="000000"/>
        </w:rPr>
        <w:t>Delivering financial sustainability in UK construction. Fine Margins. Available at: https://www.cbi.org.uk/media/4121/fine-margins-february-2020-cbi.pdf (Accessed: November 27, 2022).</w:t>
      </w:r>
      <w:r w:rsidRPr="00615CA9">
        <w:rPr>
          <w:rStyle w:val="apple-converted-space"/>
          <w:rFonts w:ascii="Arial" w:hAnsi="Arial" w:cs="Arial"/>
          <w:i/>
          <w:iCs/>
          <w:color w:val="000000"/>
        </w:rPr>
        <w:t> </w:t>
      </w:r>
    </w:p>
    <w:p w14:paraId="2256B55D" w14:textId="77777777" w:rsidR="00615CA9" w:rsidRPr="00615CA9" w:rsidRDefault="00615CA9" w:rsidP="0013773A">
      <w:pPr>
        <w:pStyle w:val="NormalWeb"/>
        <w:spacing w:line="360" w:lineRule="auto"/>
        <w:rPr>
          <w:rStyle w:val="apple-converted-space"/>
          <w:rFonts w:ascii="Arial" w:hAnsi="Arial" w:cs="Arial"/>
          <w:i/>
          <w:iCs/>
          <w:color w:val="000000"/>
        </w:rPr>
      </w:pPr>
      <w:r w:rsidRPr="00615CA9">
        <w:rPr>
          <w:rFonts w:ascii="Arial" w:hAnsi="Arial" w:cs="Arial"/>
          <w:i/>
          <w:iCs/>
          <w:color w:val="000000"/>
        </w:rPr>
        <w:t>Morris, E. (2018)</w:t>
      </w:r>
      <w:r w:rsidRPr="00615CA9">
        <w:rPr>
          <w:rStyle w:val="apple-converted-space"/>
          <w:rFonts w:ascii="Arial" w:hAnsi="Arial" w:cs="Arial"/>
          <w:i/>
          <w:iCs/>
          <w:color w:val="000000"/>
        </w:rPr>
        <w:t> </w:t>
      </w:r>
      <w:r w:rsidRPr="00615CA9">
        <w:rPr>
          <w:rFonts w:ascii="Arial" w:hAnsi="Arial" w:cs="Arial"/>
          <w:i/>
          <w:iCs/>
          <w:color w:val="000000"/>
        </w:rPr>
        <w:t xml:space="preserve">Vinci construction UK ltd v </w:t>
      </w:r>
      <w:proofErr w:type="spellStart"/>
      <w:r w:rsidRPr="00615CA9">
        <w:rPr>
          <w:rFonts w:ascii="Arial" w:hAnsi="Arial" w:cs="Arial"/>
          <w:i/>
          <w:iCs/>
          <w:color w:val="000000"/>
        </w:rPr>
        <w:t>beumer</w:t>
      </w:r>
      <w:proofErr w:type="spellEnd"/>
      <w:r w:rsidRPr="00615CA9">
        <w:rPr>
          <w:rFonts w:ascii="Arial" w:hAnsi="Arial" w:cs="Arial"/>
          <w:i/>
          <w:iCs/>
          <w:color w:val="000000"/>
        </w:rPr>
        <w:t xml:space="preserve"> group UK ltd [2018] EWHC 1874 (TCC) (24 July 2018),</w:t>
      </w:r>
      <w:r w:rsidRPr="00615CA9">
        <w:rPr>
          <w:rStyle w:val="apple-converted-space"/>
          <w:rFonts w:ascii="Arial" w:hAnsi="Arial" w:cs="Arial"/>
          <w:i/>
          <w:iCs/>
          <w:color w:val="000000"/>
        </w:rPr>
        <w:t> </w:t>
      </w:r>
      <w:r w:rsidRPr="00615CA9">
        <w:rPr>
          <w:rFonts w:ascii="Arial" w:hAnsi="Arial" w:cs="Arial"/>
          <w:i/>
          <w:iCs/>
          <w:color w:val="000000"/>
        </w:rPr>
        <w:t>Atkin Chambers. Available at: https://www.atkinchambers.com/vinci-construction-uk-ltd-v-beumer-group-uk-ltd-2018-ewhc-1874-tcc-24-july-2018/ (Accessed: November 25, 2022).</w:t>
      </w:r>
      <w:r w:rsidRPr="00615CA9">
        <w:rPr>
          <w:rStyle w:val="apple-converted-space"/>
          <w:rFonts w:ascii="Arial" w:hAnsi="Arial" w:cs="Arial"/>
          <w:i/>
          <w:iCs/>
          <w:color w:val="000000"/>
        </w:rPr>
        <w:t> </w:t>
      </w:r>
    </w:p>
    <w:p w14:paraId="73786874" w14:textId="77777777" w:rsidR="00615CA9" w:rsidRPr="00615CA9" w:rsidRDefault="00615CA9" w:rsidP="0013773A">
      <w:pPr>
        <w:pStyle w:val="NormalWeb"/>
        <w:spacing w:line="360" w:lineRule="auto"/>
        <w:rPr>
          <w:rStyle w:val="apple-converted-space"/>
          <w:rFonts w:ascii="Arial" w:hAnsi="Arial" w:cs="Arial"/>
          <w:i/>
          <w:iCs/>
          <w:color w:val="000000"/>
        </w:rPr>
      </w:pPr>
      <w:r w:rsidRPr="00615CA9">
        <w:rPr>
          <w:rFonts w:ascii="Arial" w:hAnsi="Arial" w:cs="Arial"/>
          <w:i/>
          <w:iCs/>
          <w:color w:val="000000"/>
        </w:rPr>
        <w:t>Negligence</w:t>
      </w:r>
      <w:r w:rsidRPr="00615CA9">
        <w:rPr>
          <w:rStyle w:val="apple-converted-space"/>
          <w:rFonts w:ascii="Arial" w:hAnsi="Arial" w:cs="Arial"/>
          <w:i/>
          <w:iCs/>
          <w:color w:val="000000"/>
        </w:rPr>
        <w:t> </w:t>
      </w:r>
      <w:r w:rsidRPr="00615CA9">
        <w:rPr>
          <w:rFonts w:ascii="Arial" w:hAnsi="Arial" w:cs="Arial"/>
          <w:i/>
          <w:iCs/>
          <w:color w:val="000000"/>
        </w:rPr>
        <w:t>(2020)</w:t>
      </w:r>
      <w:r w:rsidRPr="00615CA9">
        <w:rPr>
          <w:rStyle w:val="apple-converted-space"/>
          <w:rFonts w:ascii="Arial" w:hAnsi="Arial" w:cs="Arial"/>
          <w:i/>
          <w:iCs/>
          <w:color w:val="000000"/>
        </w:rPr>
        <w:t> </w:t>
      </w:r>
      <w:r w:rsidRPr="00615CA9">
        <w:rPr>
          <w:rFonts w:ascii="Arial" w:hAnsi="Arial" w:cs="Arial"/>
          <w:i/>
          <w:iCs/>
          <w:color w:val="000000"/>
        </w:rPr>
        <w:t>Construction Law Made Easy. Minter Ellison. Available at: https://constructionlawmadeeasy.com/construction-law/chapter-20/negligence/ (Accessed: November 23, 2022).</w:t>
      </w:r>
      <w:r w:rsidRPr="00615CA9">
        <w:rPr>
          <w:rStyle w:val="apple-converted-space"/>
          <w:rFonts w:ascii="Arial" w:hAnsi="Arial" w:cs="Arial"/>
          <w:i/>
          <w:iCs/>
          <w:color w:val="000000"/>
        </w:rPr>
        <w:t> </w:t>
      </w:r>
    </w:p>
    <w:p w14:paraId="6D4C28C4" w14:textId="77777777" w:rsidR="00615CA9" w:rsidRPr="00615CA9" w:rsidRDefault="00615CA9" w:rsidP="0013773A">
      <w:pPr>
        <w:spacing w:line="360" w:lineRule="auto"/>
        <w:rPr>
          <w:rFonts w:ascii="Arial" w:hAnsi="Arial" w:cs="Arial"/>
          <w:i/>
          <w:iCs/>
          <w:color w:val="000000" w:themeColor="text1"/>
          <w:shd w:val="clear" w:color="auto" w:fill="FFFFFF"/>
        </w:rPr>
      </w:pPr>
      <w:r w:rsidRPr="00615CA9">
        <w:rPr>
          <w:rFonts w:ascii="Arial" w:hAnsi="Arial" w:cs="Arial"/>
          <w:i/>
          <w:iCs/>
          <w:color w:val="000000" w:themeColor="text1"/>
          <w:shd w:val="clear" w:color="auto" w:fill="FFFFFF"/>
        </w:rPr>
        <w:t xml:space="preserve">Office for National Statistics, 2022, Employment and labour market, </w:t>
      </w:r>
      <w:r w:rsidRPr="00615CA9">
        <w:rPr>
          <w:rFonts w:ascii="Arial" w:eastAsia="Calibri" w:hAnsi="Arial" w:cs="Arial"/>
          <w:i/>
          <w:iCs/>
          <w:color w:val="000000" w:themeColor="text1"/>
          <w:lang w:val="en-US" w:eastAsia="en-US"/>
        </w:rPr>
        <w:t xml:space="preserve">Available at: </w:t>
      </w:r>
      <w:hyperlink r:id="rId9" w:history="1">
        <w:r w:rsidRPr="00615CA9">
          <w:rPr>
            <w:rStyle w:val="Hyperlink"/>
            <w:rFonts w:ascii="Arial" w:hAnsi="Arial" w:cs="Arial"/>
            <w:i/>
            <w:iCs/>
            <w:color w:val="000000" w:themeColor="text1"/>
            <w:shd w:val="clear" w:color="auto" w:fill="FFFFFF"/>
          </w:rPr>
          <w:t>https://www.ons.gov.uk/employmentandlabourmarket/peopleinwork/employmentandemployeetypes/bulletins/averageweeklyearningsingreatbritain/october2022</w:t>
        </w:r>
      </w:hyperlink>
      <w:r w:rsidRPr="00615CA9">
        <w:rPr>
          <w:rFonts w:ascii="Arial" w:hAnsi="Arial" w:cs="Arial"/>
          <w:i/>
          <w:iCs/>
          <w:color w:val="000000" w:themeColor="text1"/>
          <w:shd w:val="clear" w:color="auto" w:fill="FFFFFF"/>
        </w:rPr>
        <w:t xml:space="preserve"> [Accessed October 23, 2022]</w:t>
      </w:r>
    </w:p>
    <w:p w14:paraId="1DC4E682" w14:textId="77777777" w:rsidR="00615CA9" w:rsidRPr="00615CA9" w:rsidRDefault="00615CA9" w:rsidP="0013773A">
      <w:pPr>
        <w:pStyle w:val="NormalWeb"/>
        <w:spacing w:line="360" w:lineRule="auto"/>
        <w:rPr>
          <w:rFonts w:ascii="Arial" w:hAnsi="Arial" w:cs="Arial"/>
          <w:i/>
          <w:iCs/>
          <w:color w:val="000000"/>
        </w:rPr>
      </w:pPr>
      <w:r w:rsidRPr="00615CA9">
        <w:rPr>
          <w:rFonts w:ascii="Arial" w:hAnsi="Arial" w:cs="Arial"/>
          <w:i/>
          <w:iCs/>
          <w:color w:val="000000"/>
        </w:rPr>
        <w:lastRenderedPageBreak/>
        <w:t>Owen, D.G. (2007)</w:t>
      </w:r>
      <w:r w:rsidRPr="00615CA9">
        <w:rPr>
          <w:rStyle w:val="apple-converted-space"/>
          <w:rFonts w:ascii="Arial" w:hAnsi="Arial" w:cs="Arial"/>
          <w:i/>
          <w:iCs/>
          <w:color w:val="000000"/>
        </w:rPr>
        <w:t> </w:t>
      </w:r>
      <w:r w:rsidRPr="00615CA9">
        <w:rPr>
          <w:rFonts w:ascii="Arial" w:hAnsi="Arial" w:cs="Arial"/>
          <w:i/>
          <w:iCs/>
          <w:color w:val="000000"/>
        </w:rPr>
        <w:t xml:space="preserve">The five elements of negligence - </w:t>
      </w:r>
      <w:proofErr w:type="spellStart"/>
      <w:r w:rsidRPr="00615CA9">
        <w:rPr>
          <w:rFonts w:ascii="Arial" w:hAnsi="Arial" w:cs="Arial"/>
          <w:i/>
          <w:iCs/>
          <w:color w:val="000000"/>
        </w:rPr>
        <w:t>hofstra</w:t>
      </w:r>
      <w:proofErr w:type="spellEnd"/>
      <w:r w:rsidRPr="00615CA9">
        <w:rPr>
          <w:rFonts w:ascii="Arial" w:hAnsi="Arial" w:cs="Arial"/>
          <w:i/>
          <w:iCs/>
          <w:color w:val="000000"/>
        </w:rPr>
        <w:t xml:space="preserve"> university,</w:t>
      </w:r>
      <w:r w:rsidRPr="00615CA9">
        <w:rPr>
          <w:rStyle w:val="apple-converted-space"/>
          <w:rFonts w:ascii="Arial" w:hAnsi="Arial" w:cs="Arial"/>
          <w:i/>
          <w:iCs/>
          <w:color w:val="000000"/>
        </w:rPr>
        <w:t> </w:t>
      </w:r>
      <w:proofErr w:type="spellStart"/>
      <w:r w:rsidRPr="00615CA9">
        <w:rPr>
          <w:rFonts w:ascii="Arial" w:hAnsi="Arial" w:cs="Arial"/>
          <w:i/>
          <w:iCs/>
          <w:color w:val="000000"/>
        </w:rPr>
        <w:t>Hostra</w:t>
      </w:r>
      <w:proofErr w:type="spellEnd"/>
      <w:r w:rsidRPr="00615CA9">
        <w:rPr>
          <w:rFonts w:ascii="Arial" w:hAnsi="Arial" w:cs="Arial"/>
          <w:i/>
          <w:iCs/>
          <w:color w:val="000000"/>
        </w:rPr>
        <w:t xml:space="preserve"> Law Review. Available at: https://law.hofstra.edu/pdf/academics/journals/lawreview/lrv_issues_v35n04_i01.pdf (Accessed: November 28, 2022).</w:t>
      </w:r>
      <w:r w:rsidRPr="00615CA9">
        <w:rPr>
          <w:rStyle w:val="apple-converted-space"/>
          <w:rFonts w:ascii="Arial" w:hAnsi="Arial" w:cs="Arial"/>
          <w:i/>
          <w:iCs/>
          <w:color w:val="000000"/>
        </w:rPr>
        <w:t> </w:t>
      </w:r>
    </w:p>
    <w:p w14:paraId="25CBD415" w14:textId="77777777" w:rsidR="00615CA9" w:rsidRPr="00615CA9" w:rsidRDefault="00615CA9" w:rsidP="00D418DC">
      <w:pPr>
        <w:pStyle w:val="NormalWeb"/>
        <w:spacing w:line="360" w:lineRule="auto"/>
        <w:rPr>
          <w:rStyle w:val="apple-converted-space"/>
          <w:rFonts w:ascii="Arial" w:hAnsi="Arial" w:cs="Arial"/>
          <w:i/>
          <w:iCs/>
          <w:color w:val="000000"/>
        </w:rPr>
      </w:pPr>
      <w:r w:rsidRPr="00615CA9">
        <w:rPr>
          <w:rFonts w:ascii="Arial" w:hAnsi="Arial" w:cs="Arial"/>
          <w:i/>
          <w:iCs/>
          <w:color w:val="000000"/>
        </w:rPr>
        <w:t>Wazir, (D.K. (2018)</w:t>
      </w:r>
      <w:r w:rsidRPr="00615CA9">
        <w:rPr>
          <w:rStyle w:val="apple-converted-space"/>
          <w:rFonts w:ascii="Arial" w:hAnsi="Arial" w:cs="Arial"/>
          <w:i/>
          <w:iCs/>
          <w:color w:val="000000"/>
        </w:rPr>
        <w:t> </w:t>
      </w:r>
      <w:r w:rsidRPr="00615CA9">
        <w:rPr>
          <w:rFonts w:ascii="Arial" w:hAnsi="Arial" w:cs="Arial"/>
          <w:i/>
          <w:iCs/>
          <w:color w:val="000000"/>
        </w:rPr>
        <w:t>Essentials of tort law for construction students and professionals</w:t>
      </w:r>
      <w:r w:rsidRPr="00615CA9">
        <w:rPr>
          <w:rStyle w:val="apple-converted-space"/>
          <w:rFonts w:ascii="Arial" w:hAnsi="Arial" w:cs="Arial"/>
          <w:i/>
          <w:iCs/>
          <w:color w:val="000000"/>
        </w:rPr>
        <w:t>.</w:t>
      </w:r>
      <w:r w:rsidRPr="00615CA9">
        <w:rPr>
          <w:rFonts w:ascii="Arial" w:hAnsi="Arial" w:cs="Arial"/>
          <w:i/>
          <w:iCs/>
          <w:color w:val="000000"/>
        </w:rPr>
        <w:t xml:space="preserve"> 1st </w:t>
      </w:r>
      <w:proofErr w:type="spellStart"/>
      <w:r w:rsidRPr="00615CA9">
        <w:rPr>
          <w:rFonts w:ascii="Arial" w:hAnsi="Arial" w:cs="Arial"/>
          <w:i/>
          <w:iCs/>
          <w:color w:val="000000"/>
        </w:rPr>
        <w:t>edn</w:t>
      </w:r>
      <w:proofErr w:type="spellEnd"/>
      <w:r w:rsidRPr="00615CA9">
        <w:rPr>
          <w:rFonts w:ascii="Arial" w:hAnsi="Arial" w:cs="Arial"/>
          <w:i/>
          <w:iCs/>
          <w:color w:val="000000"/>
        </w:rPr>
        <w:t xml:space="preserve"> 2018</w:t>
      </w:r>
      <w:r w:rsidRPr="00615CA9">
        <w:rPr>
          <w:rFonts w:ascii="Arial" w:hAnsi="Arial" w:cs="Arial"/>
          <w:i/>
          <w:iCs/>
          <w:color w:val="000000"/>
        </w:rPr>
        <w:t xml:space="preserve">. England: </w:t>
      </w:r>
      <w:r w:rsidRPr="00615CA9">
        <w:rPr>
          <w:rFonts w:ascii="Arial" w:hAnsi="Arial" w:cs="Arial"/>
          <w:i/>
          <w:iCs/>
          <w:color w:val="000000"/>
        </w:rPr>
        <w:t>Independent</w:t>
      </w:r>
      <w:r w:rsidRPr="00615CA9">
        <w:rPr>
          <w:rFonts w:ascii="Arial" w:hAnsi="Arial" w:cs="Arial"/>
          <w:i/>
          <w:iCs/>
          <w:color w:val="000000"/>
        </w:rPr>
        <w:t xml:space="preserve"> (1).</w:t>
      </w:r>
      <w:r w:rsidRPr="00615CA9">
        <w:rPr>
          <w:rStyle w:val="apple-converted-space"/>
          <w:rFonts w:ascii="Arial" w:hAnsi="Arial" w:cs="Arial"/>
          <w:i/>
          <w:iCs/>
          <w:color w:val="000000"/>
        </w:rPr>
        <w:t> </w:t>
      </w:r>
    </w:p>
    <w:p w14:paraId="1793EEB7" w14:textId="591C44C7" w:rsidR="00615CA9" w:rsidRPr="00615CA9" w:rsidRDefault="00615CA9" w:rsidP="0013773A">
      <w:pPr>
        <w:spacing w:line="360" w:lineRule="auto"/>
        <w:textAlignment w:val="baseline"/>
        <w:rPr>
          <w:rFonts w:ascii="Arial" w:hAnsi="Arial" w:cs="Arial"/>
          <w:i/>
          <w:iCs/>
          <w:color w:val="2A2A2A"/>
        </w:rPr>
      </w:pPr>
      <w:r w:rsidRPr="00615CA9">
        <w:rPr>
          <w:rFonts w:ascii="Arial" w:hAnsi="Arial" w:cs="Arial"/>
          <w:i/>
          <w:iCs/>
          <w:color w:val="2A2A2A"/>
        </w:rPr>
        <w:t xml:space="preserve">Wilmot-Smith QC, Richard, 'Tort and Construction Law', in Richard Wilmot-Smith, QC, and Paul Darling (eds), Wilmot-Smith on Construction Contracts, 4th </w:t>
      </w:r>
      <w:proofErr w:type="spellStart"/>
      <w:r w:rsidRPr="00615CA9">
        <w:rPr>
          <w:rFonts w:ascii="Arial" w:hAnsi="Arial" w:cs="Arial"/>
          <w:i/>
          <w:iCs/>
          <w:color w:val="2A2A2A"/>
        </w:rPr>
        <w:t>edn</w:t>
      </w:r>
      <w:proofErr w:type="spellEnd"/>
      <w:r w:rsidRPr="00615CA9">
        <w:rPr>
          <w:rFonts w:ascii="Arial" w:hAnsi="Arial" w:cs="Arial"/>
          <w:i/>
          <w:iCs/>
          <w:color w:val="2A2A2A"/>
        </w:rPr>
        <w:t xml:space="preserve"> (Oxford, 2021; online </w:t>
      </w:r>
      <w:proofErr w:type="spellStart"/>
      <w:r w:rsidRPr="00615CA9">
        <w:rPr>
          <w:rFonts w:ascii="Arial" w:hAnsi="Arial" w:cs="Arial"/>
          <w:i/>
          <w:iCs/>
          <w:color w:val="2A2A2A"/>
        </w:rPr>
        <w:t>edn</w:t>
      </w:r>
      <w:proofErr w:type="spellEnd"/>
      <w:r w:rsidRPr="00615CA9">
        <w:rPr>
          <w:rFonts w:ascii="Arial" w:hAnsi="Arial" w:cs="Arial"/>
          <w:i/>
          <w:iCs/>
          <w:color w:val="2A2A2A"/>
        </w:rPr>
        <w:t>, Oxford Academic, 22 July 2021), https://doi.org/10.1093/oso/9780198832805.003.0006, accessed 2</w:t>
      </w:r>
      <w:r w:rsidRPr="00615CA9">
        <w:rPr>
          <w:rFonts w:ascii="Arial" w:hAnsi="Arial" w:cs="Arial"/>
          <w:i/>
          <w:iCs/>
          <w:color w:val="2A2A2A"/>
        </w:rPr>
        <w:t>5</w:t>
      </w:r>
      <w:r w:rsidRPr="00615CA9">
        <w:rPr>
          <w:rFonts w:ascii="Arial" w:hAnsi="Arial" w:cs="Arial"/>
          <w:i/>
          <w:iCs/>
          <w:color w:val="2A2A2A"/>
        </w:rPr>
        <w:t xml:space="preserve"> Nov. 2022.</w:t>
      </w:r>
    </w:p>
    <w:p w14:paraId="7BC60F2D" w14:textId="77777777" w:rsidR="00710050" w:rsidRPr="00521C8F" w:rsidRDefault="00710050" w:rsidP="00521C8F">
      <w:pPr>
        <w:pStyle w:val="NormalWeb"/>
        <w:spacing w:line="360" w:lineRule="auto"/>
        <w:rPr>
          <w:rFonts w:ascii="Arial" w:hAnsi="Arial" w:cs="Arial"/>
          <w:color w:val="000000"/>
        </w:rPr>
      </w:pPr>
    </w:p>
    <w:p w14:paraId="6BDF262D" w14:textId="6AC87F23" w:rsidR="00AC7DFE" w:rsidRDefault="00AC7DFE" w:rsidP="00AC7DFE">
      <w:pPr>
        <w:spacing w:after="240" w:line="360" w:lineRule="auto"/>
        <w:rPr>
          <w:rFonts w:ascii="Arial" w:hAnsi="Arial" w:cs="Arial"/>
        </w:rPr>
      </w:pPr>
    </w:p>
    <w:p w14:paraId="28C2460C" w14:textId="77777777" w:rsidR="00AC7DFE" w:rsidRPr="00FA05E0" w:rsidRDefault="00AC7DFE" w:rsidP="00AC7DFE">
      <w:pPr>
        <w:spacing w:after="240" w:line="360" w:lineRule="auto"/>
        <w:rPr>
          <w:rFonts w:ascii="Arial" w:hAnsi="Arial" w:cs="Arial"/>
        </w:rPr>
      </w:pPr>
    </w:p>
    <w:p w14:paraId="1EF67220" w14:textId="77777777" w:rsidR="00672B54" w:rsidRDefault="00672B54"/>
    <w:sectPr w:rsidR="00672B54">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DE984" w14:textId="77777777" w:rsidR="008E19DF" w:rsidRDefault="008E19DF" w:rsidP="002E582A">
      <w:r>
        <w:separator/>
      </w:r>
    </w:p>
  </w:endnote>
  <w:endnote w:type="continuationSeparator" w:id="0">
    <w:p w14:paraId="251C64F4" w14:textId="77777777" w:rsidR="008E19DF" w:rsidRDefault="008E19DF" w:rsidP="002E5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8394508"/>
      <w:docPartObj>
        <w:docPartGallery w:val="Page Numbers (Bottom of Page)"/>
        <w:docPartUnique/>
      </w:docPartObj>
    </w:sdtPr>
    <w:sdtContent>
      <w:p w14:paraId="5685CE0A" w14:textId="7E701B6E" w:rsidR="00656A93" w:rsidRDefault="00656A93" w:rsidP="00306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F8A95A" w14:textId="77777777" w:rsidR="00656A93" w:rsidRDefault="00656A93" w:rsidP="00656A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8020300"/>
      <w:docPartObj>
        <w:docPartGallery w:val="Page Numbers (Bottom of Page)"/>
        <w:docPartUnique/>
      </w:docPartObj>
    </w:sdtPr>
    <w:sdtContent>
      <w:p w14:paraId="5CB3FEDA" w14:textId="6E3916C7" w:rsidR="00656A93" w:rsidRDefault="00656A93" w:rsidP="00306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BA78AB" w14:textId="77777777" w:rsidR="00656A93" w:rsidRDefault="00656A93" w:rsidP="00656A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CC8C5" w14:textId="77777777" w:rsidR="008E19DF" w:rsidRDefault="008E19DF" w:rsidP="002E582A">
      <w:r>
        <w:separator/>
      </w:r>
    </w:p>
  </w:footnote>
  <w:footnote w:type="continuationSeparator" w:id="0">
    <w:p w14:paraId="13944133" w14:textId="77777777" w:rsidR="008E19DF" w:rsidRDefault="008E19DF" w:rsidP="002E5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BF31" w14:textId="185DF5DA" w:rsidR="002E582A" w:rsidRPr="002E582A" w:rsidRDefault="002E582A">
    <w:pPr>
      <w:pStyle w:val="Header"/>
      <w:rPr>
        <w:rFonts w:ascii="Arial" w:hAnsi="Arial" w:cs="Arial"/>
        <w:bCs/>
        <w:sz w:val="22"/>
        <w:szCs w:val="22"/>
      </w:rPr>
    </w:pPr>
    <w:r w:rsidRPr="002E582A">
      <w:rPr>
        <w:rFonts w:ascii="Arial" w:hAnsi="Arial" w:cs="Arial"/>
        <w:bCs/>
        <w:sz w:val="22"/>
        <w:szCs w:val="22"/>
      </w:rPr>
      <w:t>Legal and contract responsibilities in the Built Environment</w:t>
    </w:r>
    <w:r>
      <w:rPr>
        <w:rFonts w:ascii="Arial" w:hAnsi="Arial" w:cs="Arial"/>
        <w:bCs/>
        <w:sz w:val="22"/>
        <w:szCs w:val="22"/>
      </w:rPr>
      <w:t xml:space="preserve"> (</w:t>
    </w:r>
    <w:r w:rsidRPr="002E582A">
      <w:rPr>
        <w:rFonts w:ascii="Arial" w:hAnsi="Arial" w:cs="Arial"/>
        <w:bCs/>
        <w:sz w:val="22"/>
        <w:szCs w:val="22"/>
      </w:rPr>
      <w:t>ACBA4004</w:t>
    </w:r>
    <w:r w:rsidRPr="002E582A">
      <w:rPr>
        <w:rFonts w:ascii="Arial" w:hAnsi="Arial" w:cs="Arial"/>
        <w:bCs/>
        <w:sz w:val="22"/>
        <w:szCs w:val="22"/>
      </w:rPr>
      <w:t>)</w:t>
    </w:r>
    <w:r>
      <w:rPr>
        <w:rFonts w:ascii="Arial" w:hAnsi="Arial" w:cs="Arial"/>
        <w:bCs/>
        <w:sz w:val="22"/>
        <w:szCs w:val="22"/>
      </w:rPr>
      <w:t xml:space="preserve">    </w:t>
    </w:r>
    <w:proofErr w:type="spellStart"/>
    <w:proofErr w:type="gramStart"/>
    <w:r>
      <w:rPr>
        <w:rFonts w:ascii="Arial" w:hAnsi="Arial" w:cs="Arial"/>
        <w:bCs/>
        <w:sz w:val="22"/>
        <w:szCs w:val="22"/>
      </w:rPr>
      <w:t>D.Hole</w:t>
    </w:r>
    <w:proofErr w:type="spellEnd"/>
    <w:proofErr w:type="gramEnd"/>
    <w:r>
      <w:rPr>
        <w:rFonts w:ascii="Arial" w:hAnsi="Arial" w:cs="Arial"/>
        <w:bCs/>
        <w:sz w:val="22"/>
        <w:szCs w:val="22"/>
      </w:rPr>
      <w:t xml:space="preserve"> - 2212407</w:t>
    </w:r>
  </w:p>
  <w:p w14:paraId="20192F4D" w14:textId="4039C55B" w:rsidR="002E582A" w:rsidRDefault="002E582A">
    <w:pPr>
      <w:pStyle w:val="Header"/>
    </w:pPr>
  </w:p>
  <w:p w14:paraId="03550D3A" w14:textId="09941528" w:rsidR="002E582A" w:rsidRDefault="002E582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F2FF2"/>
    <w:multiLevelType w:val="hybridMultilevel"/>
    <w:tmpl w:val="0BC8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41B29"/>
    <w:multiLevelType w:val="multilevel"/>
    <w:tmpl w:val="6882D04A"/>
    <w:lvl w:ilvl="0">
      <w:start w:val="3"/>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0F5F713A"/>
    <w:multiLevelType w:val="hybridMultilevel"/>
    <w:tmpl w:val="0FC2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05837"/>
    <w:multiLevelType w:val="multilevel"/>
    <w:tmpl w:val="012A1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907CC8"/>
    <w:multiLevelType w:val="hybridMultilevel"/>
    <w:tmpl w:val="C1CE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307B1"/>
    <w:multiLevelType w:val="multilevel"/>
    <w:tmpl w:val="794C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2FCB3976"/>
    <w:multiLevelType w:val="hybridMultilevel"/>
    <w:tmpl w:val="4E0E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96AD4"/>
    <w:multiLevelType w:val="hybridMultilevel"/>
    <w:tmpl w:val="0A1C4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C3C7EEF"/>
    <w:multiLevelType w:val="hybridMultilevel"/>
    <w:tmpl w:val="C812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5466D8"/>
    <w:multiLevelType w:val="hybridMultilevel"/>
    <w:tmpl w:val="7F460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548DD"/>
    <w:multiLevelType w:val="hybridMultilevel"/>
    <w:tmpl w:val="3510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F0340"/>
    <w:multiLevelType w:val="hybridMultilevel"/>
    <w:tmpl w:val="AEFC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725A9E"/>
    <w:multiLevelType w:val="multilevel"/>
    <w:tmpl w:val="5802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E871CC"/>
    <w:multiLevelType w:val="hybridMultilevel"/>
    <w:tmpl w:val="EAD6C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F4405"/>
    <w:multiLevelType w:val="hybridMultilevel"/>
    <w:tmpl w:val="5C66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F7173D"/>
    <w:multiLevelType w:val="hybridMultilevel"/>
    <w:tmpl w:val="6BCA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ED7928"/>
    <w:multiLevelType w:val="hybridMultilevel"/>
    <w:tmpl w:val="9C248C74"/>
    <w:lvl w:ilvl="0" w:tplc="E3B2B636">
      <w:start w:val="1"/>
      <w:numFmt w:val="bullet"/>
      <w:lvlText w:val="u"/>
      <w:lvlJc w:val="left"/>
      <w:pPr>
        <w:tabs>
          <w:tab w:val="num" w:pos="720"/>
        </w:tabs>
        <w:ind w:left="720" w:hanging="360"/>
      </w:pPr>
      <w:rPr>
        <w:rFonts w:ascii="Wingdings 3" w:hAnsi="Wingdings 3" w:hint="default"/>
      </w:rPr>
    </w:lvl>
    <w:lvl w:ilvl="1" w:tplc="E7263D12">
      <w:numFmt w:val="bullet"/>
      <w:lvlText w:val="u"/>
      <w:lvlJc w:val="left"/>
      <w:pPr>
        <w:tabs>
          <w:tab w:val="num" w:pos="1440"/>
        </w:tabs>
        <w:ind w:left="1440" w:hanging="360"/>
      </w:pPr>
      <w:rPr>
        <w:rFonts w:ascii="Wingdings 3" w:hAnsi="Wingdings 3" w:hint="default"/>
      </w:rPr>
    </w:lvl>
    <w:lvl w:ilvl="2" w:tplc="5C6871D8" w:tentative="1">
      <w:start w:val="1"/>
      <w:numFmt w:val="bullet"/>
      <w:lvlText w:val="u"/>
      <w:lvlJc w:val="left"/>
      <w:pPr>
        <w:tabs>
          <w:tab w:val="num" w:pos="2160"/>
        </w:tabs>
        <w:ind w:left="2160" w:hanging="360"/>
      </w:pPr>
      <w:rPr>
        <w:rFonts w:ascii="Wingdings 3" w:hAnsi="Wingdings 3" w:hint="default"/>
      </w:rPr>
    </w:lvl>
    <w:lvl w:ilvl="3" w:tplc="F0DE346E" w:tentative="1">
      <w:start w:val="1"/>
      <w:numFmt w:val="bullet"/>
      <w:lvlText w:val="u"/>
      <w:lvlJc w:val="left"/>
      <w:pPr>
        <w:tabs>
          <w:tab w:val="num" w:pos="2880"/>
        </w:tabs>
        <w:ind w:left="2880" w:hanging="360"/>
      </w:pPr>
      <w:rPr>
        <w:rFonts w:ascii="Wingdings 3" w:hAnsi="Wingdings 3" w:hint="default"/>
      </w:rPr>
    </w:lvl>
    <w:lvl w:ilvl="4" w:tplc="DC1CD66C" w:tentative="1">
      <w:start w:val="1"/>
      <w:numFmt w:val="bullet"/>
      <w:lvlText w:val="u"/>
      <w:lvlJc w:val="left"/>
      <w:pPr>
        <w:tabs>
          <w:tab w:val="num" w:pos="3600"/>
        </w:tabs>
        <w:ind w:left="3600" w:hanging="360"/>
      </w:pPr>
      <w:rPr>
        <w:rFonts w:ascii="Wingdings 3" w:hAnsi="Wingdings 3" w:hint="default"/>
      </w:rPr>
    </w:lvl>
    <w:lvl w:ilvl="5" w:tplc="8F94C5E8" w:tentative="1">
      <w:start w:val="1"/>
      <w:numFmt w:val="bullet"/>
      <w:lvlText w:val="u"/>
      <w:lvlJc w:val="left"/>
      <w:pPr>
        <w:tabs>
          <w:tab w:val="num" w:pos="4320"/>
        </w:tabs>
        <w:ind w:left="4320" w:hanging="360"/>
      </w:pPr>
      <w:rPr>
        <w:rFonts w:ascii="Wingdings 3" w:hAnsi="Wingdings 3" w:hint="default"/>
      </w:rPr>
    </w:lvl>
    <w:lvl w:ilvl="6" w:tplc="D444D658" w:tentative="1">
      <w:start w:val="1"/>
      <w:numFmt w:val="bullet"/>
      <w:lvlText w:val="u"/>
      <w:lvlJc w:val="left"/>
      <w:pPr>
        <w:tabs>
          <w:tab w:val="num" w:pos="5040"/>
        </w:tabs>
        <w:ind w:left="5040" w:hanging="360"/>
      </w:pPr>
      <w:rPr>
        <w:rFonts w:ascii="Wingdings 3" w:hAnsi="Wingdings 3" w:hint="default"/>
      </w:rPr>
    </w:lvl>
    <w:lvl w:ilvl="7" w:tplc="716CD5D8" w:tentative="1">
      <w:start w:val="1"/>
      <w:numFmt w:val="bullet"/>
      <w:lvlText w:val="u"/>
      <w:lvlJc w:val="left"/>
      <w:pPr>
        <w:tabs>
          <w:tab w:val="num" w:pos="5760"/>
        </w:tabs>
        <w:ind w:left="5760" w:hanging="360"/>
      </w:pPr>
      <w:rPr>
        <w:rFonts w:ascii="Wingdings 3" w:hAnsi="Wingdings 3" w:hint="default"/>
      </w:rPr>
    </w:lvl>
    <w:lvl w:ilvl="8" w:tplc="75A8426C" w:tentative="1">
      <w:start w:val="1"/>
      <w:numFmt w:val="bullet"/>
      <w:lvlText w:val="u"/>
      <w:lvlJc w:val="left"/>
      <w:pPr>
        <w:tabs>
          <w:tab w:val="num" w:pos="6480"/>
        </w:tabs>
        <w:ind w:left="6480" w:hanging="360"/>
      </w:pPr>
      <w:rPr>
        <w:rFonts w:ascii="Wingdings 3" w:hAnsi="Wingdings 3" w:hint="default"/>
      </w:rPr>
    </w:lvl>
  </w:abstractNum>
  <w:abstractNum w:abstractNumId="19"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FC62682"/>
    <w:multiLevelType w:val="multilevel"/>
    <w:tmpl w:val="2284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2505040">
    <w:abstractNumId w:val="2"/>
  </w:num>
  <w:num w:numId="2" w16cid:durableId="1651715177">
    <w:abstractNumId w:val="7"/>
  </w:num>
  <w:num w:numId="3" w16cid:durableId="1121263850">
    <w:abstractNumId w:val="9"/>
  </w:num>
  <w:num w:numId="4" w16cid:durableId="841510202">
    <w:abstractNumId w:val="19"/>
  </w:num>
  <w:num w:numId="5" w16cid:durableId="157293014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6" w16cid:durableId="157293014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7" w16cid:durableId="157293014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8" w16cid:durableId="505290663">
    <w:abstractNumId w:val="14"/>
  </w:num>
  <w:num w:numId="9" w16cid:durableId="462621338">
    <w:abstractNumId w:val="1"/>
  </w:num>
  <w:num w:numId="10" w16cid:durableId="2083477714">
    <w:abstractNumId w:val="18"/>
  </w:num>
  <w:num w:numId="11" w16cid:durableId="1712800064">
    <w:abstractNumId w:val="4"/>
    <w:lvlOverride w:ilvl="0">
      <w:startOverride w:val="1"/>
    </w:lvlOverride>
  </w:num>
  <w:num w:numId="12" w16cid:durableId="24409446">
    <w:abstractNumId w:val="20"/>
    <w:lvlOverride w:ilvl="0">
      <w:startOverride w:val="4"/>
    </w:lvlOverride>
  </w:num>
  <w:num w:numId="13" w16cid:durableId="1394885189">
    <w:abstractNumId w:val="0"/>
  </w:num>
  <w:num w:numId="14" w16cid:durableId="161705091">
    <w:abstractNumId w:val="5"/>
  </w:num>
  <w:num w:numId="15" w16cid:durableId="1292521325">
    <w:abstractNumId w:val="12"/>
  </w:num>
  <w:num w:numId="16" w16cid:durableId="121465528">
    <w:abstractNumId w:val="16"/>
  </w:num>
  <w:num w:numId="17" w16cid:durableId="1014764780">
    <w:abstractNumId w:val="13"/>
  </w:num>
  <w:num w:numId="18" w16cid:durableId="909578575">
    <w:abstractNumId w:val="8"/>
  </w:num>
  <w:num w:numId="19" w16cid:durableId="1616138079">
    <w:abstractNumId w:val="10"/>
  </w:num>
  <w:num w:numId="20" w16cid:durableId="794374196">
    <w:abstractNumId w:val="17"/>
  </w:num>
  <w:num w:numId="21" w16cid:durableId="284779521">
    <w:abstractNumId w:val="11"/>
  </w:num>
  <w:num w:numId="22" w16cid:durableId="289242090">
    <w:abstractNumId w:val="3"/>
  </w:num>
  <w:num w:numId="23" w16cid:durableId="12666883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209"/>
    <w:rsid w:val="00005809"/>
    <w:rsid w:val="00011D37"/>
    <w:rsid w:val="00021227"/>
    <w:rsid w:val="0003062B"/>
    <w:rsid w:val="00063415"/>
    <w:rsid w:val="0007119C"/>
    <w:rsid w:val="00072FB2"/>
    <w:rsid w:val="000800C6"/>
    <w:rsid w:val="000860C6"/>
    <w:rsid w:val="000A7C30"/>
    <w:rsid w:val="000D3145"/>
    <w:rsid w:val="000F5DBF"/>
    <w:rsid w:val="0010223E"/>
    <w:rsid w:val="001213B2"/>
    <w:rsid w:val="00124271"/>
    <w:rsid w:val="0013773A"/>
    <w:rsid w:val="00140385"/>
    <w:rsid w:val="00144CFB"/>
    <w:rsid w:val="00161595"/>
    <w:rsid w:val="00161DD9"/>
    <w:rsid w:val="00185BE1"/>
    <w:rsid w:val="00193325"/>
    <w:rsid w:val="001D55FA"/>
    <w:rsid w:val="001E1DB3"/>
    <w:rsid w:val="001F282F"/>
    <w:rsid w:val="00214E24"/>
    <w:rsid w:val="002456DA"/>
    <w:rsid w:val="002765A8"/>
    <w:rsid w:val="002B081A"/>
    <w:rsid w:val="002C3B41"/>
    <w:rsid w:val="002C74D3"/>
    <w:rsid w:val="002D4EF7"/>
    <w:rsid w:val="002E582A"/>
    <w:rsid w:val="00320D05"/>
    <w:rsid w:val="00325E16"/>
    <w:rsid w:val="00337699"/>
    <w:rsid w:val="00366E8C"/>
    <w:rsid w:val="00390785"/>
    <w:rsid w:val="003975A9"/>
    <w:rsid w:val="003C77FF"/>
    <w:rsid w:val="00400A52"/>
    <w:rsid w:val="00413C1D"/>
    <w:rsid w:val="00414E54"/>
    <w:rsid w:val="00447598"/>
    <w:rsid w:val="00450C2F"/>
    <w:rsid w:val="00481BF9"/>
    <w:rsid w:val="004902A5"/>
    <w:rsid w:val="004A4F65"/>
    <w:rsid w:val="004D2802"/>
    <w:rsid w:val="004E6298"/>
    <w:rsid w:val="005153FC"/>
    <w:rsid w:val="00521C8F"/>
    <w:rsid w:val="00524BA8"/>
    <w:rsid w:val="005256C6"/>
    <w:rsid w:val="00536E77"/>
    <w:rsid w:val="00543829"/>
    <w:rsid w:val="00556CC0"/>
    <w:rsid w:val="00564956"/>
    <w:rsid w:val="00595581"/>
    <w:rsid w:val="00596644"/>
    <w:rsid w:val="005F149F"/>
    <w:rsid w:val="005F4356"/>
    <w:rsid w:val="0060686D"/>
    <w:rsid w:val="00611CC1"/>
    <w:rsid w:val="00615CA9"/>
    <w:rsid w:val="00656A93"/>
    <w:rsid w:val="00672B54"/>
    <w:rsid w:val="00680440"/>
    <w:rsid w:val="006A48CD"/>
    <w:rsid w:val="00710050"/>
    <w:rsid w:val="00713DD1"/>
    <w:rsid w:val="0072258F"/>
    <w:rsid w:val="0077401A"/>
    <w:rsid w:val="00785F6A"/>
    <w:rsid w:val="007A404C"/>
    <w:rsid w:val="007B09E3"/>
    <w:rsid w:val="007B0F30"/>
    <w:rsid w:val="007B2F4D"/>
    <w:rsid w:val="007C0093"/>
    <w:rsid w:val="007C0A4C"/>
    <w:rsid w:val="007E104E"/>
    <w:rsid w:val="007E2F2E"/>
    <w:rsid w:val="00811F34"/>
    <w:rsid w:val="00817A56"/>
    <w:rsid w:val="008222E2"/>
    <w:rsid w:val="00866219"/>
    <w:rsid w:val="00870FC4"/>
    <w:rsid w:val="008A3699"/>
    <w:rsid w:val="008B3E0B"/>
    <w:rsid w:val="008E19DF"/>
    <w:rsid w:val="008E3CA1"/>
    <w:rsid w:val="008F78E2"/>
    <w:rsid w:val="00904FF4"/>
    <w:rsid w:val="00905D57"/>
    <w:rsid w:val="00914711"/>
    <w:rsid w:val="009323C8"/>
    <w:rsid w:val="00941941"/>
    <w:rsid w:val="00966A4E"/>
    <w:rsid w:val="0097279E"/>
    <w:rsid w:val="00995505"/>
    <w:rsid w:val="009A21B7"/>
    <w:rsid w:val="009B2741"/>
    <w:rsid w:val="009D72E6"/>
    <w:rsid w:val="009E00EC"/>
    <w:rsid w:val="00A42318"/>
    <w:rsid w:val="00A61FA7"/>
    <w:rsid w:val="00A659A4"/>
    <w:rsid w:val="00A73297"/>
    <w:rsid w:val="00AC7DFE"/>
    <w:rsid w:val="00AE1F0A"/>
    <w:rsid w:val="00AF0862"/>
    <w:rsid w:val="00B15059"/>
    <w:rsid w:val="00B21545"/>
    <w:rsid w:val="00B279A0"/>
    <w:rsid w:val="00B32BCE"/>
    <w:rsid w:val="00B378AE"/>
    <w:rsid w:val="00B53A0D"/>
    <w:rsid w:val="00B61BF1"/>
    <w:rsid w:val="00B836B4"/>
    <w:rsid w:val="00BD0BB5"/>
    <w:rsid w:val="00BD7600"/>
    <w:rsid w:val="00BF5F3B"/>
    <w:rsid w:val="00BF7D63"/>
    <w:rsid w:val="00C006BC"/>
    <w:rsid w:val="00C24365"/>
    <w:rsid w:val="00C26940"/>
    <w:rsid w:val="00C320C3"/>
    <w:rsid w:val="00C42558"/>
    <w:rsid w:val="00C50733"/>
    <w:rsid w:val="00C75D96"/>
    <w:rsid w:val="00C76FCB"/>
    <w:rsid w:val="00C85C5A"/>
    <w:rsid w:val="00C95CF9"/>
    <w:rsid w:val="00C9624F"/>
    <w:rsid w:val="00CA34C2"/>
    <w:rsid w:val="00CB0A87"/>
    <w:rsid w:val="00CB2CB5"/>
    <w:rsid w:val="00CB3BBC"/>
    <w:rsid w:val="00CC756F"/>
    <w:rsid w:val="00CE38CF"/>
    <w:rsid w:val="00CF4EF7"/>
    <w:rsid w:val="00D13380"/>
    <w:rsid w:val="00D22801"/>
    <w:rsid w:val="00D418DC"/>
    <w:rsid w:val="00D57095"/>
    <w:rsid w:val="00D71819"/>
    <w:rsid w:val="00D77867"/>
    <w:rsid w:val="00D86119"/>
    <w:rsid w:val="00DA1982"/>
    <w:rsid w:val="00DB49E9"/>
    <w:rsid w:val="00DF075D"/>
    <w:rsid w:val="00DF07F5"/>
    <w:rsid w:val="00DF1812"/>
    <w:rsid w:val="00DF504F"/>
    <w:rsid w:val="00E1648A"/>
    <w:rsid w:val="00E37692"/>
    <w:rsid w:val="00E532B7"/>
    <w:rsid w:val="00E607DF"/>
    <w:rsid w:val="00EA48F5"/>
    <w:rsid w:val="00EA7CD7"/>
    <w:rsid w:val="00ED2BFC"/>
    <w:rsid w:val="00EE5241"/>
    <w:rsid w:val="00F143E6"/>
    <w:rsid w:val="00F15410"/>
    <w:rsid w:val="00F22DAD"/>
    <w:rsid w:val="00F358CD"/>
    <w:rsid w:val="00F42368"/>
    <w:rsid w:val="00F47EDF"/>
    <w:rsid w:val="00F525FB"/>
    <w:rsid w:val="00F60F49"/>
    <w:rsid w:val="00F62A71"/>
    <w:rsid w:val="00F63C8F"/>
    <w:rsid w:val="00F80E24"/>
    <w:rsid w:val="00F826F4"/>
    <w:rsid w:val="00FA0209"/>
    <w:rsid w:val="00FB4DEC"/>
    <w:rsid w:val="00FE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E1A5A0"/>
  <w15:chartTrackingRefBased/>
  <w15:docId w15:val="{A98236CE-E88C-6B42-9CD6-6CF5533C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F65"/>
    <w:rPr>
      <w:rFonts w:ascii="Times New Roman" w:eastAsia="Times New Roman" w:hAnsi="Times New Roman" w:cs="Times New Roman"/>
      <w:lang w:eastAsia="en-GB"/>
    </w:rPr>
  </w:style>
  <w:style w:type="paragraph" w:styleId="Heading1">
    <w:name w:val="heading 1"/>
    <w:basedOn w:val="Normal"/>
    <w:next w:val="Normal"/>
    <w:link w:val="Heading1Char"/>
    <w:qFormat/>
    <w:rsid w:val="00FA0209"/>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FA020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FA0209"/>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A0209"/>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FA0209"/>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FA0209"/>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FA0209"/>
    <w:pPr>
      <w:numPr>
        <w:ilvl w:val="6"/>
        <w:numId w:val="1"/>
      </w:numPr>
      <w:spacing w:before="240" w:after="60"/>
      <w:outlineLvl w:val="6"/>
    </w:pPr>
  </w:style>
  <w:style w:type="paragraph" w:styleId="Heading8">
    <w:name w:val="heading 8"/>
    <w:basedOn w:val="Normal"/>
    <w:next w:val="Normal"/>
    <w:link w:val="Heading8Char"/>
    <w:qFormat/>
    <w:rsid w:val="00FA0209"/>
    <w:pPr>
      <w:numPr>
        <w:ilvl w:val="7"/>
        <w:numId w:val="1"/>
      </w:numPr>
      <w:spacing w:before="240" w:after="60"/>
      <w:outlineLvl w:val="7"/>
    </w:pPr>
    <w:rPr>
      <w:i/>
      <w:iCs/>
    </w:rPr>
  </w:style>
  <w:style w:type="paragraph" w:styleId="Heading9">
    <w:name w:val="heading 9"/>
    <w:basedOn w:val="Normal"/>
    <w:next w:val="Normal"/>
    <w:link w:val="Heading9Char"/>
    <w:qFormat/>
    <w:rsid w:val="00FA0209"/>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209"/>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FA0209"/>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FA0209"/>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FA0209"/>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FA0209"/>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FA0209"/>
    <w:rPr>
      <w:rFonts w:ascii="Times New Roman" w:eastAsia="Times New Roman" w:hAnsi="Times New Roman" w:cs="Times New Roman"/>
      <w:b/>
      <w:bCs/>
      <w:sz w:val="22"/>
      <w:szCs w:val="22"/>
      <w:lang w:eastAsia="en-GB"/>
    </w:rPr>
  </w:style>
  <w:style w:type="character" w:customStyle="1" w:styleId="Heading7Char">
    <w:name w:val="Heading 7 Char"/>
    <w:basedOn w:val="DefaultParagraphFont"/>
    <w:link w:val="Heading7"/>
    <w:rsid w:val="00FA0209"/>
    <w:rPr>
      <w:rFonts w:ascii="Times New Roman" w:eastAsia="Times New Roman" w:hAnsi="Times New Roman" w:cs="Times New Roman"/>
      <w:lang w:eastAsia="en-GB"/>
    </w:rPr>
  </w:style>
  <w:style w:type="character" w:customStyle="1" w:styleId="Heading8Char">
    <w:name w:val="Heading 8 Char"/>
    <w:basedOn w:val="DefaultParagraphFont"/>
    <w:link w:val="Heading8"/>
    <w:rsid w:val="00FA0209"/>
    <w:rPr>
      <w:rFonts w:ascii="Times New Roman" w:eastAsia="Times New Roman" w:hAnsi="Times New Roman" w:cs="Times New Roman"/>
      <w:i/>
      <w:iCs/>
      <w:lang w:eastAsia="en-GB"/>
    </w:rPr>
  </w:style>
  <w:style w:type="character" w:customStyle="1" w:styleId="Heading9Char">
    <w:name w:val="Heading 9 Char"/>
    <w:basedOn w:val="DefaultParagraphFont"/>
    <w:link w:val="Heading9"/>
    <w:rsid w:val="00FA0209"/>
    <w:rPr>
      <w:rFonts w:ascii="Arial" w:eastAsia="Times New Roman" w:hAnsi="Arial" w:cs="Arial"/>
      <w:sz w:val="22"/>
      <w:szCs w:val="22"/>
      <w:lang w:eastAsia="en-GB"/>
    </w:rPr>
  </w:style>
  <w:style w:type="paragraph" w:styleId="NormalWeb">
    <w:name w:val="Normal (Web)"/>
    <w:basedOn w:val="Normal"/>
    <w:uiPriority w:val="99"/>
    <w:unhideWhenUsed/>
    <w:rsid w:val="00FA0209"/>
    <w:pPr>
      <w:spacing w:before="100" w:beforeAutospacing="1" w:after="100" w:afterAutospacing="1"/>
    </w:pPr>
  </w:style>
  <w:style w:type="paragraph" w:styleId="ListParagraph">
    <w:name w:val="List Paragraph"/>
    <w:basedOn w:val="Normal"/>
    <w:uiPriority w:val="34"/>
    <w:qFormat/>
    <w:rsid w:val="00672B54"/>
    <w:pPr>
      <w:ind w:left="720"/>
      <w:contextualSpacing/>
    </w:pPr>
    <w:rPr>
      <w:sz w:val="20"/>
      <w:szCs w:val="20"/>
    </w:rPr>
  </w:style>
  <w:style w:type="character" w:styleId="Strong">
    <w:name w:val="Strong"/>
    <w:basedOn w:val="DefaultParagraphFont"/>
    <w:uiPriority w:val="22"/>
    <w:qFormat/>
    <w:rsid w:val="00672B54"/>
    <w:rPr>
      <w:b/>
      <w:bCs/>
    </w:rPr>
  </w:style>
  <w:style w:type="character" w:customStyle="1" w:styleId="apple-converted-space">
    <w:name w:val="apple-converted-space"/>
    <w:basedOn w:val="DefaultParagraphFont"/>
    <w:rsid w:val="00005809"/>
  </w:style>
  <w:style w:type="character" w:styleId="Hyperlink">
    <w:name w:val="Hyperlink"/>
    <w:basedOn w:val="DefaultParagraphFont"/>
    <w:unhideWhenUsed/>
    <w:rsid w:val="00005809"/>
    <w:rPr>
      <w:color w:val="0000FF"/>
      <w:u w:val="single"/>
    </w:rPr>
  </w:style>
  <w:style w:type="character" w:styleId="FollowedHyperlink">
    <w:name w:val="FollowedHyperlink"/>
    <w:basedOn w:val="DefaultParagraphFont"/>
    <w:uiPriority w:val="99"/>
    <w:semiHidden/>
    <w:unhideWhenUsed/>
    <w:rsid w:val="00005809"/>
    <w:rPr>
      <w:color w:val="954F72" w:themeColor="followedHyperlink"/>
      <w:u w:val="single"/>
    </w:rPr>
  </w:style>
  <w:style w:type="character" w:styleId="UnresolvedMention">
    <w:name w:val="Unresolved Mention"/>
    <w:basedOn w:val="DefaultParagraphFont"/>
    <w:uiPriority w:val="99"/>
    <w:semiHidden/>
    <w:unhideWhenUsed/>
    <w:rsid w:val="00F525FB"/>
    <w:rPr>
      <w:color w:val="605E5C"/>
      <w:shd w:val="clear" w:color="auto" w:fill="E1DFDD"/>
    </w:rPr>
  </w:style>
  <w:style w:type="character" w:customStyle="1" w:styleId="a-size-extra-large">
    <w:name w:val="a-size-extra-large"/>
    <w:basedOn w:val="DefaultParagraphFont"/>
    <w:rsid w:val="00413C1D"/>
  </w:style>
  <w:style w:type="character" w:customStyle="1" w:styleId="a-size-large">
    <w:name w:val="a-size-large"/>
    <w:basedOn w:val="DefaultParagraphFont"/>
    <w:rsid w:val="00413C1D"/>
  </w:style>
  <w:style w:type="character" w:customStyle="1" w:styleId="chapter-label">
    <w:name w:val="chapter-label"/>
    <w:basedOn w:val="DefaultParagraphFont"/>
    <w:rsid w:val="009E00EC"/>
  </w:style>
  <w:style w:type="character" w:customStyle="1" w:styleId="chapter-title-without-label">
    <w:name w:val="chapter-title-without-label"/>
    <w:basedOn w:val="DefaultParagraphFont"/>
    <w:rsid w:val="009E00EC"/>
  </w:style>
  <w:style w:type="character" w:customStyle="1" w:styleId="get-access-text">
    <w:name w:val="get-access-text"/>
    <w:basedOn w:val="DefaultParagraphFont"/>
    <w:rsid w:val="009E00EC"/>
  </w:style>
  <w:style w:type="paragraph" w:customStyle="1" w:styleId="chapter-publication">
    <w:name w:val="chapter-publication"/>
    <w:basedOn w:val="Normal"/>
    <w:rsid w:val="009E00EC"/>
    <w:pPr>
      <w:spacing w:before="100" w:beforeAutospacing="1" w:after="100" w:afterAutospacing="1"/>
    </w:pPr>
  </w:style>
  <w:style w:type="character" w:customStyle="1" w:styleId="hgkelc">
    <w:name w:val="hgkelc"/>
    <w:basedOn w:val="DefaultParagraphFont"/>
    <w:rsid w:val="00F22DAD"/>
  </w:style>
  <w:style w:type="paragraph" w:customStyle="1" w:styleId="contributors">
    <w:name w:val="contributors"/>
    <w:basedOn w:val="Normal"/>
    <w:rsid w:val="00EA48F5"/>
    <w:pPr>
      <w:spacing w:before="100" w:beforeAutospacing="1" w:after="100" w:afterAutospacing="1"/>
    </w:pPr>
  </w:style>
  <w:style w:type="paragraph" w:customStyle="1" w:styleId="maintitle">
    <w:name w:val="maintitle"/>
    <w:basedOn w:val="Normal"/>
    <w:rsid w:val="00EA48F5"/>
    <w:pPr>
      <w:spacing w:before="100" w:beforeAutospacing="1" w:after="100" w:afterAutospacing="1"/>
    </w:pPr>
  </w:style>
  <w:style w:type="paragraph" w:customStyle="1" w:styleId="editors">
    <w:name w:val="editors"/>
    <w:basedOn w:val="Normal"/>
    <w:rsid w:val="00EA48F5"/>
    <w:pPr>
      <w:spacing w:before="100" w:beforeAutospacing="1" w:after="100" w:afterAutospacing="1"/>
    </w:pPr>
  </w:style>
  <w:style w:type="character" w:customStyle="1" w:styleId="inner">
    <w:name w:val="inner"/>
    <w:basedOn w:val="DefaultParagraphFont"/>
    <w:rsid w:val="00EA48F5"/>
  </w:style>
  <w:style w:type="paragraph" w:customStyle="1" w:styleId="edition">
    <w:name w:val="edition"/>
    <w:basedOn w:val="Normal"/>
    <w:rsid w:val="00EA48F5"/>
    <w:pPr>
      <w:spacing w:before="100" w:beforeAutospacing="1" w:after="100" w:afterAutospacing="1"/>
    </w:pPr>
  </w:style>
  <w:style w:type="paragraph" w:customStyle="1" w:styleId="publisher-location">
    <w:name w:val="publisher-location"/>
    <w:basedOn w:val="Normal"/>
    <w:rsid w:val="00EA48F5"/>
    <w:pPr>
      <w:spacing w:before="100" w:beforeAutospacing="1" w:after="100" w:afterAutospacing="1"/>
    </w:pPr>
  </w:style>
  <w:style w:type="paragraph" w:customStyle="1" w:styleId="print-publication-date">
    <w:name w:val="print-publication-date"/>
    <w:basedOn w:val="Normal"/>
    <w:rsid w:val="00EA48F5"/>
    <w:pPr>
      <w:spacing w:before="100" w:beforeAutospacing="1" w:after="100" w:afterAutospacing="1"/>
    </w:pPr>
  </w:style>
  <w:style w:type="paragraph" w:customStyle="1" w:styleId="online-edition">
    <w:name w:val="online-edition"/>
    <w:basedOn w:val="Normal"/>
    <w:rsid w:val="00EA48F5"/>
    <w:pPr>
      <w:spacing w:before="100" w:beforeAutospacing="1" w:after="100" w:afterAutospacing="1"/>
    </w:pPr>
  </w:style>
  <w:style w:type="paragraph" w:customStyle="1" w:styleId="containing-site">
    <w:name w:val="containing-site"/>
    <w:basedOn w:val="Normal"/>
    <w:rsid w:val="00EA48F5"/>
    <w:pPr>
      <w:spacing w:before="100" w:beforeAutospacing="1" w:after="100" w:afterAutospacing="1"/>
    </w:pPr>
  </w:style>
  <w:style w:type="paragraph" w:customStyle="1" w:styleId="online-publication-date">
    <w:name w:val="online-publication-date"/>
    <w:basedOn w:val="Normal"/>
    <w:rsid w:val="00EA48F5"/>
    <w:pPr>
      <w:spacing w:before="100" w:beforeAutospacing="1" w:after="100" w:afterAutospacing="1"/>
    </w:pPr>
  </w:style>
  <w:style w:type="paragraph" w:customStyle="1" w:styleId="accessed-date">
    <w:name w:val="accessed-date"/>
    <w:basedOn w:val="Normal"/>
    <w:rsid w:val="00EA48F5"/>
    <w:pPr>
      <w:spacing w:before="100" w:beforeAutospacing="1" w:after="100" w:afterAutospacing="1"/>
    </w:pPr>
  </w:style>
  <w:style w:type="character" w:customStyle="1" w:styleId="styledprojecttitletext-zvspga-1">
    <w:name w:val="styled__projecttitletext-zvspga-1"/>
    <w:basedOn w:val="DefaultParagraphFont"/>
    <w:rsid w:val="005F149F"/>
  </w:style>
  <w:style w:type="paragraph" w:styleId="Header">
    <w:name w:val="header"/>
    <w:basedOn w:val="Normal"/>
    <w:link w:val="HeaderChar"/>
    <w:uiPriority w:val="99"/>
    <w:unhideWhenUsed/>
    <w:rsid w:val="002E582A"/>
    <w:pPr>
      <w:tabs>
        <w:tab w:val="center" w:pos="4513"/>
        <w:tab w:val="right" w:pos="9026"/>
      </w:tabs>
    </w:pPr>
  </w:style>
  <w:style w:type="character" w:customStyle="1" w:styleId="HeaderChar">
    <w:name w:val="Header Char"/>
    <w:basedOn w:val="DefaultParagraphFont"/>
    <w:link w:val="Header"/>
    <w:uiPriority w:val="99"/>
    <w:rsid w:val="002E582A"/>
    <w:rPr>
      <w:rFonts w:ascii="Times New Roman" w:eastAsia="Times New Roman" w:hAnsi="Times New Roman" w:cs="Times New Roman"/>
      <w:lang w:eastAsia="en-GB"/>
    </w:rPr>
  </w:style>
  <w:style w:type="paragraph" w:styleId="Footer">
    <w:name w:val="footer"/>
    <w:basedOn w:val="Normal"/>
    <w:link w:val="FooterChar"/>
    <w:uiPriority w:val="99"/>
    <w:unhideWhenUsed/>
    <w:rsid w:val="002E582A"/>
    <w:pPr>
      <w:tabs>
        <w:tab w:val="center" w:pos="4513"/>
        <w:tab w:val="right" w:pos="9026"/>
      </w:tabs>
    </w:pPr>
  </w:style>
  <w:style w:type="character" w:customStyle="1" w:styleId="FooterChar">
    <w:name w:val="Footer Char"/>
    <w:basedOn w:val="DefaultParagraphFont"/>
    <w:link w:val="Footer"/>
    <w:uiPriority w:val="99"/>
    <w:rsid w:val="002E582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1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2236">
      <w:bodyDiv w:val="1"/>
      <w:marLeft w:val="0"/>
      <w:marRight w:val="0"/>
      <w:marTop w:val="0"/>
      <w:marBottom w:val="0"/>
      <w:divBdr>
        <w:top w:val="none" w:sz="0" w:space="0" w:color="auto"/>
        <w:left w:val="none" w:sz="0" w:space="0" w:color="auto"/>
        <w:bottom w:val="none" w:sz="0" w:space="0" w:color="auto"/>
        <w:right w:val="none" w:sz="0" w:space="0" w:color="auto"/>
      </w:divBdr>
    </w:div>
    <w:div w:id="66388450">
      <w:bodyDiv w:val="1"/>
      <w:marLeft w:val="0"/>
      <w:marRight w:val="0"/>
      <w:marTop w:val="0"/>
      <w:marBottom w:val="0"/>
      <w:divBdr>
        <w:top w:val="none" w:sz="0" w:space="0" w:color="auto"/>
        <w:left w:val="none" w:sz="0" w:space="0" w:color="auto"/>
        <w:bottom w:val="none" w:sz="0" w:space="0" w:color="auto"/>
        <w:right w:val="none" w:sz="0" w:space="0" w:color="auto"/>
      </w:divBdr>
    </w:div>
    <w:div w:id="69470744">
      <w:bodyDiv w:val="1"/>
      <w:marLeft w:val="0"/>
      <w:marRight w:val="0"/>
      <w:marTop w:val="0"/>
      <w:marBottom w:val="0"/>
      <w:divBdr>
        <w:top w:val="none" w:sz="0" w:space="0" w:color="auto"/>
        <w:left w:val="none" w:sz="0" w:space="0" w:color="auto"/>
        <w:bottom w:val="none" w:sz="0" w:space="0" w:color="auto"/>
        <w:right w:val="none" w:sz="0" w:space="0" w:color="auto"/>
      </w:divBdr>
    </w:div>
    <w:div w:id="95103314">
      <w:bodyDiv w:val="1"/>
      <w:marLeft w:val="0"/>
      <w:marRight w:val="0"/>
      <w:marTop w:val="0"/>
      <w:marBottom w:val="0"/>
      <w:divBdr>
        <w:top w:val="none" w:sz="0" w:space="0" w:color="auto"/>
        <w:left w:val="none" w:sz="0" w:space="0" w:color="auto"/>
        <w:bottom w:val="none" w:sz="0" w:space="0" w:color="auto"/>
        <w:right w:val="none" w:sz="0" w:space="0" w:color="auto"/>
      </w:divBdr>
      <w:divsChild>
        <w:div w:id="1107699239">
          <w:marLeft w:val="-225"/>
          <w:marRight w:val="-225"/>
          <w:marTop w:val="0"/>
          <w:marBottom w:val="0"/>
          <w:divBdr>
            <w:top w:val="none" w:sz="0" w:space="0" w:color="auto"/>
            <w:left w:val="none" w:sz="0" w:space="0" w:color="auto"/>
            <w:bottom w:val="none" w:sz="0" w:space="0" w:color="auto"/>
            <w:right w:val="none" w:sz="0" w:space="0" w:color="auto"/>
          </w:divBdr>
          <w:divsChild>
            <w:div w:id="1380937581">
              <w:marLeft w:val="1229"/>
              <w:marRight w:val="0"/>
              <w:marTop w:val="0"/>
              <w:marBottom w:val="0"/>
              <w:divBdr>
                <w:top w:val="none" w:sz="0" w:space="0" w:color="auto"/>
                <w:left w:val="none" w:sz="0" w:space="0" w:color="auto"/>
                <w:bottom w:val="none" w:sz="0" w:space="0" w:color="auto"/>
                <w:right w:val="none" w:sz="0" w:space="0" w:color="auto"/>
              </w:divBdr>
            </w:div>
          </w:divsChild>
        </w:div>
        <w:div w:id="1868719031">
          <w:marLeft w:val="-225"/>
          <w:marRight w:val="-225"/>
          <w:marTop w:val="0"/>
          <w:marBottom w:val="0"/>
          <w:divBdr>
            <w:top w:val="none" w:sz="0" w:space="0" w:color="auto"/>
            <w:left w:val="none" w:sz="0" w:space="0" w:color="auto"/>
            <w:bottom w:val="none" w:sz="0" w:space="0" w:color="auto"/>
            <w:right w:val="none" w:sz="0" w:space="0" w:color="auto"/>
          </w:divBdr>
          <w:divsChild>
            <w:div w:id="737747159">
              <w:marLeft w:val="0"/>
              <w:marRight w:val="0"/>
              <w:marTop w:val="0"/>
              <w:marBottom w:val="0"/>
              <w:divBdr>
                <w:top w:val="none" w:sz="0" w:space="0" w:color="auto"/>
                <w:left w:val="none" w:sz="0" w:space="0" w:color="auto"/>
                <w:bottom w:val="none" w:sz="0" w:space="0" w:color="auto"/>
                <w:right w:val="none" w:sz="0" w:space="0" w:color="auto"/>
              </w:divBdr>
            </w:div>
            <w:div w:id="2042364277">
              <w:marLeft w:val="1229"/>
              <w:marRight w:val="0"/>
              <w:marTop w:val="0"/>
              <w:marBottom w:val="0"/>
              <w:divBdr>
                <w:top w:val="none" w:sz="0" w:space="0" w:color="auto"/>
                <w:left w:val="none" w:sz="0" w:space="0" w:color="auto"/>
                <w:bottom w:val="none" w:sz="0" w:space="0" w:color="auto"/>
                <w:right w:val="none" w:sz="0" w:space="0" w:color="auto"/>
              </w:divBdr>
            </w:div>
          </w:divsChild>
        </w:div>
      </w:divsChild>
    </w:div>
    <w:div w:id="152988069">
      <w:bodyDiv w:val="1"/>
      <w:marLeft w:val="0"/>
      <w:marRight w:val="0"/>
      <w:marTop w:val="0"/>
      <w:marBottom w:val="0"/>
      <w:divBdr>
        <w:top w:val="none" w:sz="0" w:space="0" w:color="auto"/>
        <w:left w:val="none" w:sz="0" w:space="0" w:color="auto"/>
        <w:bottom w:val="none" w:sz="0" w:space="0" w:color="auto"/>
        <w:right w:val="none" w:sz="0" w:space="0" w:color="auto"/>
      </w:divBdr>
      <w:divsChild>
        <w:div w:id="984434833">
          <w:marLeft w:val="0"/>
          <w:marRight w:val="0"/>
          <w:marTop w:val="0"/>
          <w:marBottom w:val="0"/>
          <w:divBdr>
            <w:top w:val="none" w:sz="0" w:space="0" w:color="auto"/>
            <w:left w:val="none" w:sz="0" w:space="0" w:color="auto"/>
            <w:bottom w:val="none" w:sz="0" w:space="0" w:color="auto"/>
            <w:right w:val="none" w:sz="0" w:space="0" w:color="auto"/>
          </w:divBdr>
          <w:divsChild>
            <w:div w:id="160972639">
              <w:marLeft w:val="0"/>
              <w:marRight w:val="0"/>
              <w:marTop w:val="180"/>
              <w:marBottom w:val="180"/>
              <w:divBdr>
                <w:top w:val="none" w:sz="0" w:space="0" w:color="auto"/>
                <w:left w:val="none" w:sz="0" w:space="0" w:color="auto"/>
                <w:bottom w:val="none" w:sz="0" w:space="0" w:color="auto"/>
                <w:right w:val="none" w:sz="0" w:space="0" w:color="auto"/>
              </w:divBdr>
            </w:div>
          </w:divsChild>
        </w:div>
        <w:div w:id="2134981409">
          <w:marLeft w:val="0"/>
          <w:marRight w:val="0"/>
          <w:marTop w:val="0"/>
          <w:marBottom w:val="0"/>
          <w:divBdr>
            <w:top w:val="none" w:sz="0" w:space="0" w:color="auto"/>
            <w:left w:val="none" w:sz="0" w:space="0" w:color="auto"/>
            <w:bottom w:val="none" w:sz="0" w:space="0" w:color="auto"/>
            <w:right w:val="none" w:sz="0" w:space="0" w:color="auto"/>
          </w:divBdr>
          <w:divsChild>
            <w:div w:id="1626958308">
              <w:marLeft w:val="0"/>
              <w:marRight w:val="0"/>
              <w:marTop w:val="0"/>
              <w:marBottom w:val="0"/>
              <w:divBdr>
                <w:top w:val="none" w:sz="0" w:space="0" w:color="auto"/>
                <w:left w:val="none" w:sz="0" w:space="0" w:color="auto"/>
                <w:bottom w:val="none" w:sz="0" w:space="0" w:color="auto"/>
                <w:right w:val="none" w:sz="0" w:space="0" w:color="auto"/>
              </w:divBdr>
              <w:divsChild>
                <w:div w:id="810558539">
                  <w:marLeft w:val="0"/>
                  <w:marRight w:val="0"/>
                  <w:marTop w:val="0"/>
                  <w:marBottom w:val="0"/>
                  <w:divBdr>
                    <w:top w:val="none" w:sz="0" w:space="0" w:color="auto"/>
                    <w:left w:val="none" w:sz="0" w:space="0" w:color="auto"/>
                    <w:bottom w:val="none" w:sz="0" w:space="0" w:color="auto"/>
                    <w:right w:val="none" w:sz="0" w:space="0" w:color="auto"/>
                  </w:divBdr>
                  <w:divsChild>
                    <w:div w:id="1370912604">
                      <w:marLeft w:val="0"/>
                      <w:marRight w:val="0"/>
                      <w:marTop w:val="0"/>
                      <w:marBottom w:val="0"/>
                      <w:divBdr>
                        <w:top w:val="none" w:sz="0" w:space="0" w:color="auto"/>
                        <w:left w:val="none" w:sz="0" w:space="0" w:color="auto"/>
                        <w:bottom w:val="none" w:sz="0" w:space="0" w:color="auto"/>
                        <w:right w:val="none" w:sz="0" w:space="0" w:color="auto"/>
                      </w:divBdr>
                      <w:divsChild>
                        <w:div w:id="1335499329">
                          <w:marLeft w:val="0"/>
                          <w:marRight w:val="0"/>
                          <w:marTop w:val="0"/>
                          <w:marBottom w:val="0"/>
                          <w:divBdr>
                            <w:top w:val="none" w:sz="0" w:space="0" w:color="auto"/>
                            <w:left w:val="none" w:sz="0" w:space="0" w:color="auto"/>
                            <w:bottom w:val="none" w:sz="0" w:space="0" w:color="auto"/>
                            <w:right w:val="none" w:sz="0" w:space="0" w:color="auto"/>
                          </w:divBdr>
                          <w:divsChild>
                            <w:div w:id="1612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32006">
      <w:bodyDiv w:val="1"/>
      <w:marLeft w:val="0"/>
      <w:marRight w:val="0"/>
      <w:marTop w:val="0"/>
      <w:marBottom w:val="0"/>
      <w:divBdr>
        <w:top w:val="none" w:sz="0" w:space="0" w:color="auto"/>
        <w:left w:val="none" w:sz="0" w:space="0" w:color="auto"/>
        <w:bottom w:val="none" w:sz="0" w:space="0" w:color="auto"/>
        <w:right w:val="none" w:sz="0" w:space="0" w:color="auto"/>
      </w:divBdr>
      <w:divsChild>
        <w:div w:id="156119516">
          <w:marLeft w:val="-225"/>
          <w:marRight w:val="-225"/>
          <w:marTop w:val="0"/>
          <w:marBottom w:val="0"/>
          <w:divBdr>
            <w:top w:val="none" w:sz="0" w:space="0" w:color="auto"/>
            <w:left w:val="none" w:sz="0" w:space="0" w:color="auto"/>
            <w:bottom w:val="none" w:sz="0" w:space="0" w:color="auto"/>
            <w:right w:val="none" w:sz="0" w:space="0" w:color="auto"/>
          </w:divBdr>
          <w:divsChild>
            <w:div w:id="354233861">
              <w:marLeft w:val="1229"/>
              <w:marRight w:val="0"/>
              <w:marTop w:val="0"/>
              <w:marBottom w:val="0"/>
              <w:divBdr>
                <w:top w:val="none" w:sz="0" w:space="0" w:color="auto"/>
                <w:left w:val="none" w:sz="0" w:space="0" w:color="auto"/>
                <w:bottom w:val="none" w:sz="0" w:space="0" w:color="auto"/>
                <w:right w:val="none" w:sz="0" w:space="0" w:color="auto"/>
              </w:divBdr>
            </w:div>
          </w:divsChild>
        </w:div>
        <w:div w:id="1529563872">
          <w:marLeft w:val="-225"/>
          <w:marRight w:val="-225"/>
          <w:marTop w:val="0"/>
          <w:marBottom w:val="0"/>
          <w:divBdr>
            <w:top w:val="none" w:sz="0" w:space="0" w:color="auto"/>
            <w:left w:val="none" w:sz="0" w:space="0" w:color="auto"/>
            <w:bottom w:val="none" w:sz="0" w:space="0" w:color="auto"/>
            <w:right w:val="none" w:sz="0" w:space="0" w:color="auto"/>
          </w:divBdr>
          <w:divsChild>
            <w:div w:id="1374497651">
              <w:marLeft w:val="0"/>
              <w:marRight w:val="0"/>
              <w:marTop w:val="0"/>
              <w:marBottom w:val="0"/>
              <w:divBdr>
                <w:top w:val="none" w:sz="0" w:space="0" w:color="auto"/>
                <w:left w:val="none" w:sz="0" w:space="0" w:color="auto"/>
                <w:bottom w:val="none" w:sz="0" w:space="0" w:color="auto"/>
                <w:right w:val="none" w:sz="0" w:space="0" w:color="auto"/>
              </w:divBdr>
            </w:div>
            <w:div w:id="1741096736">
              <w:marLeft w:val="1229"/>
              <w:marRight w:val="0"/>
              <w:marTop w:val="0"/>
              <w:marBottom w:val="0"/>
              <w:divBdr>
                <w:top w:val="none" w:sz="0" w:space="0" w:color="auto"/>
                <w:left w:val="none" w:sz="0" w:space="0" w:color="auto"/>
                <w:bottom w:val="none" w:sz="0" w:space="0" w:color="auto"/>
                <w:right w:val="none" w:sz="0" w:space="0" w:color="auto"/>
              </w:divBdr>
            </w:div>
          </w:divsChild>
        </w:div>
      </w:divsChild>
    </w:div>
    <w:div w:id="241836448">
      <w:bodyDiv w:val="1"/>
      <w:marLeft w:val="0"/>
      <w:marRight w:val="0"/>
      <w:marTop w:val="0"/>
      <w:marBottom w:val="0"/>
      <w:divBdr>
        <w:top w:val="none" w:sz="0" w:space="0" w:color="auto"/>
        <w:left w:val="none" w:sz="0" w:space="0" w:color="auto"/>
        <w:bottom w:val="none" w:sz="0" w:space="0" w:color="auto"/>
        <w:right w:val="none" w:sz="0" w:space="0" w:color="auto"/>
      </w:divBdr>
    </w:div>
    <w:div w:id="348140728">
      <w:bodyDiv w:val="1"/>
      <w:marLeft w:val="0"/>
      <w:marRight w:val="0"/>
      <w:marTop w:val="0"/>
      <w:marBottom w:val="0"/>
      <w:divBdr>
        <w:top w:val="none" w:sz="0" w:space="0" w:color="auto"/>
        <w:left w:val="none" w:sz="0" w:space="0" w:color="auto"/>
        <w:bottom w:val="none" w:sz="0" w:space="0" w:color="auto"/>
        <w:right w:val="none" w:sz="0" w:space="0" w:color="auto"/>
      </w:divBdr>
      <w:divsChild>
        <w:div w:id="1403336364">
          <w:marLeft w:val="0"/>
          <w:marRight w:val="0"/>
          <w:marTop w:val="0"/>
          <w:marBottom w:val="0"/>
          <w:divBdr>
            <w:top w:val="none" w:sz="0" w:space="0" w:color="auto"/>
            <w:left w:val="none" w:sz="0" w:space="0" w:color="auto"/>
            <w:bottom w:val="none" w:sz="0" w:space="0" w:color="auto"/>
            <w:right w:val="none" w:sz="0" w:space="0" w:color="auto"/>
          </w:divBdr>
        </w:div>
        <w:div w:id="232544210">
          <w:marLeft w:val="0"/>
          <w:marRight w:val="0"/>
          <w:marTop w:val="0"/>
          <w:marBottom w:val="0"/>
          <w:divBdr>
            <w:top w:val="none" w:sz="0" w:space="0" w:color="auto"/>
            <w:left w:val="none" w:sz="0" w:space="0" w:color="auto"/>
            <w:bottom w:val="none" w:sz="0" w:space="0" w:color="auto"/>
            <w:right w:val="none" w:sz="0" w:space="0" w:color="auto"/>
          </w:divBdr>
          <w:divsChild>
            <w:div w:id="1155605193">
              <w:marLeft w:val="0"/>
              <w:marRight w:val="0"/>
              <w:marTop w:val="0"/>
              <w:marBottom w:val="0"/>
              <w:divBdr>
                <w:top w:val="none" w:sz="0" w:space="0" w:color="auto"/>
                <w:left w:val="none" w:sz="0" w:space="0" w:color="auto"/>
                <w:bottom w:val="none" w:sz="0" w:space="0" w:color="auto"/>
                <w:right w:val="none" w:sz="0" w:space="0" w:color="auto"/>
              </w:divBdr>
              <w:divsChild>
                <w:div w:id="191339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5174">
          <w:marLeft w:val="0"/>
          <w:marRight w:val="0"/>
          <w:marTop w:val="0"/>
          <w:marBottom w:val="0"/>
          <w:divBdr>
            <w:top w:val="none" w:sz="0" w:space="0" w:color="auto"/>
            <w:left w:val="none" w:sz="0" w:space="0" w:color="auto"/>
            <w:bottom w:val="none" w:sz="0" w:space="0" w:color="auto"/>
            <w:right w:val="none" w:sz="0" w:space="0" w:color="auto"/>
          </w:divBdr>
          <w:divsChild>
            <w:div w:id="881940231">
              <w:marLeft w:val="0"/>
              <w:marRight w:val="0"/>
              <w:marTop w:val="0"/>
              <w:marBottom w:val="0"/>
              <w:divBdr>
                <w:top w:val="none" w:sz="0" w:space="0" w:color="auto"/>
                <w:left w:val="none" w:sz="0" w:space="0" w:color="auto"/>
                <w:bottom w:val="none" w:sz="0" w:space="0" w:color="auto"/>
                <w:right w:val="none" w:sz="0" w:space="0" w:color="auto"/>
              </w:divBdr>
            </w:div>
          </w:divsChild>
        </w:div>
        <w:div w:id="1510368219">
          <w:marLeft w:val="0"/>
          <w:marRight w:val="0"/>
          <w:marTop w:val="0"/>
          <w:marBottom w:val="0"/>
          <w:divBdr>
            <w:top w:val="none" w:sz="0" w:space="0" w:color="auto"/>
            <w:left w:val="none" w:sz="0" w:space="0" w:color="auto"/>
            <w:bottom w:val="none" w:sz="0" w:space="0" w:color="auto"/>
            <w:right w:val="none" w:sz="0" w:space="0" w:color="auto"/>
          </w:divBdr>
          <w:divsChild>
            <w:div w:id="2050646952">
              <w:marLeft w:val="0"/>
              <w:marRight w:val="0"/>
              <w:marTop w:val="0"/>
              <w:marBottom w:val="0"/>
              <w:divBdr>
                <w:top w:val="none" w:sz="0" w:space="0" w:color="auto"/>
                <w:left w:val="none" w:sz="0" w:space="0" w:color="auto"/>
                <w:bottom w:val="none" w:sz="0" w:space="0" w:color="auto"/>
                <w:right w:val="none" w:sz="0" w:space="0" w:color="auto"/>
              </w:divBdr>
            </w:div>
            <w:div w:id="1449927908">
              <w:marLeft w:val="0"/>
              <w:marRight w:val="0"/>
              <w:marTop w:val="0"/>
              <w:marBottom w:val="0"/>
              <w:divBdr>
                <w:top w:val="none" w:sz="0" w:space="0" w:color="auto"/>
                <w:left w:val="none" w:sz="0" w:space="0" w:color="auto"/>
                <w:bottom w:val="none" w:sz="0" w:space="0" w:color="auto"/>
                <w:right w:val="none" w:sz="0" w:space="0" w:color="auto"/>
              </w:divBdr>
            </w:div>
          </w:divsChild>
        </w:div>
        <w:div w:id="245581300">
          <w:marLeft w:val="0"/>
          <w:marRight w:val="0"/>
          <w:marTop w:val="0"/>
          <w:marBottom w:val="0"/>
          <w:divBdr>
            <w:top w:val="none" w:sz="0" w:space="0" w:color="auto"/>
            <w:left w:val="none" w:sz="0" w:space="0" w:color="auto"/>
            <w:bottom w:val="none" w:sz="0" w:space="0" w:color="auto"/>
            <w:right w:val="none" w:sz="0" w:space="0" w:color="auto"/>
          </w:divBdr>
        </w:div>
        <w:div w:id="1104111917">
          <w:marLeft w:val="0"/>
          <w:marRight w:val="0"/>
          <w:marTop w:val="0"/>
          <w:marBottom w:val="0"/>
          <w:divBdr>
            <w:top w:val="none" w:sz="0" w:space="0" w:color="auto"/>
            <w:left w:val="none" w:sz="0" w:space="0" w:color="auto"/>
            <w:bottom w:val="none" w:sz="0" w:space="0" w:color="auto"/>
            <w:right w:val="none" w:sz="0" w:space="0" w:color="auto"/>
          </w:divBdr>
        </w:div>
      </w:divsChild>
    </w:div>
    <w:div w:id="408968918">
      <w:bodyDiv w:val="1"/>
      <w:marLeft w:val="0"/>
      <w:marRight w:val="0"/>
      <w:marTop w:val="0"/>
      <w:marBottom w:val="0"/>
      <w:divBdr>
        <w:top w:val="none" w:sz="0" w:space="0" w:color="auto"/>
        <w:left w:val="none" w:sz="0" w:space="0" w:color="auto"/>
        <w:bottom w:val="none" w:sz="0" w:space="0" w:color="auto"/>
        <w:right w:val="none" w:sz="0" w:space="0" w:color="auto"/>
      </w:divBdr>
    </w:div>
    <w:div w:id="516232619">
      <w:bodyDiv w:val="1"/>
      <w:marLeft w:val="0"/>
      <w:marRight w:val="0"/>
      <w:marTop w:val="0"/>
      <w:marBottom w:val="0"/>
      <w:divBdr>
        <w:top w:val="none" w:sz="0" w:space="0" w:color="auto"/>
        <w:left w:val="none" w:sz="0" w:space="0" w:color="auto"/>
        <w:bottom w:val="none" w:sz="0" w:space="0" w:color="auto"/>
        <w:right w:val="none" w:sz="0" w:space="0" w:color="auto"/>
      </w:divBdr>
    </w:div>
    <w:div w:id="714234686">
      <w:bodyDiv w:val="1"/>
      <w:marLeft w:val="0"/>
      <w:marRight w:val="0"/>
      <w:marTop w:val="0"/>
      <w:marBottom w:val="0"/>
      <w:divBdr>
        <w:top w:val="none" w:sz="0" w:space="0" w:color="auto"/>
        <w:left w:val="none" w:sz="0" w:space="0" w:color="auto"/>
        <w:bottom w:val="none" w:sz="0" w:space="0" w:color="auto"/>
        <w:right w:val="none" w:sz="0" w:space="0" w:color="auto"/>
      </w:divBdr>
    </w:div>
    <w:div w:id="770203901">
      <w:bodyDiv w:val="1"/>
      <w:marLeft w:val="0"/>
      <w:marRight w:val="0"/>
      <w:marTop w:val="0"/>
      <w:marBottom w:val="0"/>
      <w:divBdr>
        <w:top w:val="none" w:sz="0" w:space="0" w:color="auto"/>
        <w:left w:val="none" w:sz="0" w:space="0" w:color="auto"/>
        <w:bottom w:val="none" w:sz="0" w:space="0" w:color="auto"/>
        <w:right w:val="none" w:sz="0" w:space="0" w:color="auto"/>
      </w:divBdr>
    </w:div>
    <w:div w:id="778450367">
      <w:bodyDiv w:val="1"/>
      <w:marLeft w:val="0"/>
      <w:marRight w:val="0"/>
      <w:marTop w:val="0"/>
      <w:marBottom w:val="0"/>
      <w:divBdr>
        <w:top w:val="none" w:sz="0" w:space="0" w:color="auto"/>
        <w:left w:val="none" w:sz="0" w:space="0" w:color="auto"/>
        <w:bottom w:val="none" w:sz="0" w:space="0" w:color="auto"/>
        <w:right w:val="none" w:sz="0" w:space="0" w:color="auto"/>
      </w:divBdr>
    </w:div>
    <w:div w:id="787504333">
      <w:bodyDiv w:val="1"/>
      <w:marLeft w:val="0"/>
      <w:marRight w:val="0"/>
      <w:marTop w:val="0"/>
      <w:marBottom w:val="0"/>
      <w:divBdr>
        <w:top w:val="none" w:sz="0" w:space="0" w:color="auto"/>
        <w:left w:val="none" w:sz="0" w:space="0" w:color="auto"/>
        <w:bottom w:val="none" w:sz="0" w:space="0" w:color="auto"/>
        <w:right w:val="none" w:sz="0" w:space="0" w:color="auto"/>
      </w:divBdr>
      <w:divsChild>
        <w:div w:id="1838425758">
          <w:marLeft w:val="-225"/>
          <w:marRight w:val="-225"/>
          <w:marTop w:val="0"/>
          <w:marBottom w:val="0"/>
          <w:divBdr>
            <w:top w:val="none" w:sz="0" w:space="0" w:color="auto"/>
            <w:left w:val="none" w:sz="0" w:space="0" w:color="auto"/>
            <w:bottom w:val="none" w:sz="0" w:space="0" w:color="auto"/>
            <w:right w:val="none" w:sz="0" w:space="0" w:color="auto"/>
          </w:divBdr>
          <w:divsChild>
            <w:div w:id="127817527">
              <w:marLeft w:val="1229"/>
              <w:marRight w:val="0"/>
              <w:marTop w:val="0"/>
              <w:marBottom w:val="0"/>
              <w:divBdr>
                <w:top w:val="none" w:sz="0" w:space="0" w:color="auto"/>
                <w:left w:val="none" w:sz="0" w:space="0" w:color="auto"/>
                <w:bottom w:val="none" w:sz="0" w:space="0" w:color="auto"/>
                <w:right w:val="none" w:sz="0" w:space="0" w:color="auto"/>
              </w:divBdr>
            </w:div>
          </w:divsChild>
        </w:div>
        <w:div w:id="29764102">
          <w:marLeft w:val="-225"/>
          <w:marRight w:val="-225"/>
          <w:marTop w:val="0"/>
          <w:marBottom w:val="0"/>
          <w:divBdr>
            <w:top w:val="none" w:sz="0" w:space="0" w:color="auto"/>
            <w:left w:val="none" w:sz="0" w:space="0" w:color="auto"/>
            <w:bottom w:val="none" w:sz="0" w:space="0" w:color="auto"/>
            <w:right w:val="none" w:sz="0" w:space="0" w:color="auto"/>
          </w:divBdr>
          <w:divsChild>
            <w:div w:id="528954837">
              <w:marLeft w:val="0"/>
              <w:marRight w:val="0"/>
              <w:marTop w:val="0"/>
              <w:marBottom w:val="0"/>
              <w:divBdr>
                <w:top w:val="none" w:sz="0" w:space="0" w:color="auto"/>
                <w:left w:val="none" w:sz="0" w:space="0" w:color="auto"/>
                <w:bottom w:val="none" w:sz="0" w:space="0" w:color="auto"/>
                <w:right w:val="none" w:sz="0" w:space="0" w:color="auto"/>
              </w:divBdr>
            </w:div>
            <w:div w:id="1267077501">
              <w:marLeft w:val="1229"/>
              <w:marRight w:val="0"/>
              <w:marTop w:val="0"/>
              <w:marBottom w:val="0"/>
              <w:divBdr>
                <w:top w:val="none" w:sz="0" w:space="0" w:color="auto"/>
                <w:left w:val="none" w:sz="0" w:space="0" w:color="auto"/>
                <w:bottom w:val="none" w:sz="0" w:space="0" w:color="auto"/>
                <w:right w:val="none" w:sz="0" w:space="0" w:color="auto"/>
              </w:divBdr>
            </w:div>
          </w:divsChild>
        </w:div>
      </w:divsChild>
    </w:div>
    <w:div w:id="857037415">
      <w:bodyDiv w:val="1"/>
      <w:marLeft w:val="0"/>
      <w:marRight w:val="0"/>
      <w:marTop w:val="0"/>
      <w:marBottom w:val="0"/>
      <w:divBdr>
        <w:top w:val="none" w:sz="0" w:space="0" w:color="auto"/>
        <w:left w:val="none" w:sz="0" w:space="0" w:color="auto"/>
        <w:bottom w:val="none" w:sz="0" w:space="0" w:color="auto"/>
        <w:right w:val="none" w:sz="0" w:space="0" w:color="auto"/>
      </w:divBdr>
    </w:div>
    <w:div w:id="923412882">
      <w:bodyDiv w:val="1"/>
      <w:marLeft w:val="0"/>
      <w:marRight w:val="0"/>
      <w:marTop w:val="0"/>
      <w:marBottom w:val="0"/>
      <w:divBdr>
        <w:top w:val="none" w:sz="0" w:space="0" w:color="auto"/>
        <w:left w:val="none" w:sz="0" w:space="0" w:color="auto"/>
        <w:bottom w:val="none" w:sz="0" w:space="0" w:color="auto"/>
        <w:right w:val="none" w:sz="0" w:space="0" w:color="auto"/>
      </w:divBdr>
    </w:div>
    <w:div w:id="933168971">
      <w:bodyDiv w:val="1"/>
      <w:marLeft w:val="0"/>
      <w:marRight w:val="0"/>
      <w:marTop w:val="0"/>
      <w:marBottom w:val="0"/>
      <w:divBdr>
        <w:top w:val="none" w:sz="0" w:space="0" w:color="auto"/>
        <w:left w:val="none" w:sz="0" w:space="0" w:color="auto"/>
        <w:bottom w:val="none" w:sz="0" w:space="0" w:color="auto"/>
        <w:right w:val="none" w:sz="0" w:space="0" w:color="auto"/>
      </w:divBdr>
    </w:div>
    <w:div w:id="979070067">
      <w:bodyDiv w:val="1"/>
      <w:marLeft w:val="0"/>
      <w:marRight w:val="0"/>
      <w:marTop w:val="0"/>
      <w:marBottom w:val="0"/>
      <w:divBdr>
        <w:top w:val="none" w:sz="0" w:space="0" w:color="auto"/>
        <w:left w:val="none" w:sz="0" w:space="0" w:color="auto"/>
        <w:bottom w:val="none" w:sz="0" w:space="0" w:color="auto"/>
        <w:right w:val="none" w:sz="0" w:space="0" w:color="auto"/>
      </w:divBdr>
    </w:div>
    <w:div w:id="980691489">
      <w:bodyDiv w:val="1"/>
      <w:marLeft w:val="0"/>
      <w:marRight w:val="0"/>
      <w:marTop w:val="0"/>
      <w:marBottom w:val="0"/>
      <w:divBdr>
        <w:top w:val="none" w:sz="0" w:space="0" w:color="auto"/>
        <w:left w:val="none" w:sz="0" w:space="0" w:color="auto"/>
        <w:bottom w:val="none" w:sz="0" w:space="0" w:color="auto"/>
        <w:right w:val="none" w:sz="0" w:space="0" w:color="auto"/>
      </w:divBdr>
    </w:div>
    <w:div w:id="1017777243">
      <w:bodyDiv w:val="1"/>
      <w:marLeft w:val="0"/>
      <w:marRight w:val="0"/>
      <w:marTop w:val="0"/>
      <w:marBottom w:val="0"/>
      <w:divBdr>
        <w:top w:val="none" w:sz="0" w:space="0" w:color="auto"/>
        <w:left w:val="none" w:sz="0" w:space="0" w:color="auto"/>
        <w:bottom w:val="none" w:sz="0" w:space="0" w:color="auto"/>
        <w:right w:val="none" w:sz="0" w:space="0" w:color="auto"/>
      </w:divBdr>
    </w:div>
    <w:div w:id="1061320977">
      <w:bodyDiv w:val="1"/>
      <w:marLeft w:val="0"/>
      <w:marRight w:val="0"/>
      <w:marTop w:val="0"/>
      <w:marBottom w:val="0"/>
      <w:divBdr>
        <w:top w:val="none" w:sz="0" w:space="0" w:color="auto"/>
        <w:left w:val="none" w:sz="0" w:space="0" w:color="auto"/>
        <w:bottom w:val="none" w:sz="0" w:space="0" w:color="auto"/>
        <w:right w:val="none" w:sz="0" w:space="0" w:color="auto"/>
      </w:divBdr>
    </w:div>
    <w:div w:id="1195388514">
      <w:bodyDiv w:val="1"/>
      <w:marLeft w:val="0"/>
      <w:marRight w:val="0"/>
      <w:marTop w:val="0"/>
      <w:marBottom w:val="0"/>
      <w:divBdr>
        <w:top w:val="none" w:sz="0" w:space="0" w:color="auto"/>
        <w:left w:val="none" w:sz="0" w:space="0" w:color="auto"/>
        <w:bottom w:val="none" w:sz="0" w:space="0" w:color="auto"/>
        <w:right w:val="none" w:sz="0" w:space="0" w:color="auto"/>
      </w:divBdr>
    </w:div>
    <w:div w:id="1322539895">
      <w:bodyDiv w:val="1"/>
      <w:marLeft w:val="0"/>
      <w:marRight w:val="0"/>
      <w:marTop w:val="0"/>
      <w:marBottom w:val="0"/>
      <w:divBdr>
        <w:top w:val="none" w:sz="0" w:space="0" w:color="auto"/>
        <w:left w:val="none" w:sz="0" w:space="0" w:color="auto"/>
        <w:bottom w:val="none" w:sz="0" w:space="0" w:color="auto"/>
        <w:right w:val="none" w:sz="0" w:space="0" w:color="auto"/>
      </w:divBdr>
    </w:div>
    <w:div w:id="1413356965">
      <w:bodyDiv w:val="1"/>
      <w:marLeft w:val="0"/>
      <w:marRight w:val="0"/>
      <w:marTop w:val="0"/>
      <w:marBottom w:val="0"/>
      <w:divBdr>
        <w:top w:val="none" w:sz="0" w:space="0" w:color="auto"/>
        <w:left w:val="none" w:sz="0" w:space="0" w:color="auto"/>
        <w:bottom w:val="none" w:sz="0" w:space="0" w:color="auto"/>
        <w:right w:val="none" w:sz="0" w:space="0" w:color="auto"/>
      </w:divBdr>
    </w:div>
    <w:div w:id="1471630210">
      <w:bodyDiv w:val="1"/>
      <w:marLeft w:val="0"/>
      <w:marRight w:val="0"/>
      <w:marTop w:val="0"/>
      <w:marBottom w:val="0"/>
      <w:divBdr>
        <w:top w:val="none" w:sz="0" w:space="0" w:color="auto"/>
        <w:left w:val="none" w:sz="0" w:space="0" w:color="auto"/>
        <w:bottom w:val="none" w:sz="0" w:space="0" w:color="auto"/>
        <w:right w:val="none" w:sz="0" w:space="0" w:color="auto"/>
      </w:divBdr>
    </w:div>
    <w:div w:id="1474982233">
      <w:bodyDiv w:val="1"/>
      <w:marLeft w:val="0"/>
      <w:marRight w:val="0"/>
      <w:marTop w:val="0"/>
      <w:marBottom w:val="0"/>
      <w:divBdr>
        <w:top w:val="none" w:sz="0" w:space="0" w:color="auto"/>
        <w:left w:val="none" w:sz="0" w:space="0" w:color="auto"/>
        <w:bottom w:val="none" w:sz="0" w:space="0" w:color="auto"/>
        <w:right w:val="none" w:sz="0" w:space="0" w:color="auto"/>
      </w:divBdr>
    </w:div>
    <w:div w:id="1481850655">
      <w:bodyDiv w:val="1"/>
      <w:marLeft w:val="0"/>
      <w:marRight w:val="0"/>
      <w:marTop w:val="0"/>
      <w:marBottom w:val="0"/>
      <w:divBdr>
        <w:top w:val="none" w:sz="0" w:space="0" w:color="auto"/>
        <w:left w:val="none" w:sz="0" w:space="0" w:color="auto"/>
        <w:bottom w:val="none" w:sz="0" w:space="0" w:color="auto"/>
        <w:right w:val="none" w:sz="0" w:space="0" w:color="auto"/>
      </w:divBdr>
    </w:div>
    <w:div w:id="1502042624">
      <w:bodyDiv w:val="1"/>
      <w:marLeft w:val="0"/>
      <w:marRight w:val="0"/>
      <w:marTop w:val="0"/>
      <w:marBottom w:val="0"/>
      <w:divBdr>
        <w:top w:val="none" w:sz="0" w:space="0" w:color="auto"/>
        <w:left w:val="none" w:sz="0" w:space="0" w:color="auto"/>
        <w:bottom w:val="none" w:sz="0" w:space="0" w:color="auto"/>
        <w:right w:val="none" w:sz="0" w:space="0" w:color="auto"/>
      </w:divBdr>
    </w:div>
    <w:div w:id="1522235759">
      <w:bodyDiv w:val="1"/>
      <w:marLeft w:val="0"/>
      <w:marRight w:val="0"/>
      <w:marTop w:val="0"/>
      <w:marBottom w:val="0"/>
      <w:divBdr>
        <w:top w:val="none" w:sz="0" w:space="0" w:color="auto"/>
        <w:left w:val="none" w:sz="0" w:space="0" w:color="auto"/>
        <w:bottom w:val="none" w:sz="0" w:space="0" w:color="auto"/>
        <w:right w:val="none" w:sz="0" w:space="0" w:color="auto"/>
      </w:divBdr>
    </w:div>
    <w:div w:id="1721593657">
      <w:bodyDiv w:val="1"/>
      <w:marLeft w:val="0"/>
      <w:marRight w:val="0"/>
      <w:marTop w:val="0"/>
      <w:marBottom w:val="0"/>
      <w:divBdr>
        <w:top w:val="none" w:sz="0" w:space="0" w:color="auto"/>
        <w:left w:val="none" w:sz="0" w:space="0" w:color="auto"/>
        <w:bottom w:val="none" w:sz="0" w:space="0" w:color="auto"/>
        <w:right w:val="none" w:sz="0" w:space="0" w:color="auto"/>
      </w:divBdr>
    </w:div>
    <w:div w:id="1762488854">
      <w:bodyDiv w:val="1"/>
      <w:marLeft w:val="0"/>
      <w:marRight w:val="0"/>
      <w:marTop w:val="0"/>
      <w:marBottom w:val="0"/>
      <w:divBdr>
        <w:top w:val="none" w:sz="0" w:space="0" w:color="auto"/>
        <w:left w:val="none" w:sz="0" w:space="0" w:color="auto"/>
        <w:bottom w:val="none" w:sz="0" w:space="0" w:color="auto"/>
        <w:right w:val="none" w:sz="0" w:space="0" w:color="auto"/>
      </w:divBdr>
    </w:div>
    <w:div w:id="1769428535">
      <w:bodyDiv w:val="1"/>
      <w:marLeft w:val="0"/>
      <w:marRight w:val="0"/>
      <w:marTop w:val="0"/>
      <w:marBottom w:val="0"/>
      <w:divBdr>
        <w:top w:val="none" w:sz="0" w:space="0" w:color="auto"/>
        <w:left w:val="none" w:sz="0" w:space="0" w:color="auto"/>
        <w:bottom w:val="none" w:sz="0" w:space="0" w:color="auto"/>
        <w:right w:val="none" w:sz="0" w:space="0" w:color="auto"/>
      </w:divBdr>
      <w:divsChild>
        <w:div w:id="1548762101">
          <w:marLeft w:val="547"/>
          <w:marRight w:val="0"/>
          <w:marTop w:val="200"/>
          <w:marBottom w:val="0"/>
          <w:divBdr>
            <w:top w:val="none" w:sz="0" w:space="0" w:color="auto"/>
            <w:left w:val="none" w:sz="0" w:space="0" w:color="auto"/>
            <w:bottom w:val="none" w:sz="0" w:space="0" w:color="auto"/>
            <w:right w:val="none" w:sz="0" w:space="0" w:color="auto"/>
          </w:divBdr>
        </w:div>
        <w:div w:id="3560038">
          <w:marLeft w:val="547"/>
          <w:marRight w:val="0"/>
          <w:marTop w:val="200"/>
          <w:marBottom w:val="0"/>
          <w:divBdr>
            <w:top w:val="none" w:sz="0" w:space="0" w:color="auto"/>
            <w:left w:val="none" w:sz="0" w:space="0" w:color="auto"/>
            <w:bottom w:val="none" w:sz="0" w:space="0" w:color="auto"/>
            <w:right w:val="none" w:sz="0" w:space="0" w:color="auto"/>
          </w:divBdr>
        </w:div>
        <w:div w:id="1901865332">
          <w:marLeft w:val="547"/>
          <w:marRight w:val="0"/>
          <w:marTop w:val="200"/>
          <w:marBottom w:val="0"/>
          <w:divBdr>
            <w:top w:val="none" w:sz="0" w:space="0" w:color="auto"/>
            <w:left w:val="none" w:sz="0" w:space="0" w:color="auto"/>
            <w:bottom w:val="none" w:sz="0" w:space="0" w:color="auto"/>
            <w:right w:val="none" w:sz="0" w:space="0" w:color="auto"/>
          </w:divBdr>
        </w:div>
        <w:div w:id="251159600">
          <w:marLeft w:val="1166"/>
          <w:marRight w:val="0"/>
          <w:marTop w:val="200"/>
          <w:marBottom w:val="0"/>
          <w:divBdr>
            <w:top w:val="none" w:sz="0" w:space="0" w:color="auto"/>
            <w:left w:val="none" w:sz="0" w:space="0" w:color="auto"/>
            <w:bottom w:val="none" w:sz="0" w:space="0" w:color="auto"/>
            <w:right w:val="none" w:sz="0" w:space="0" w:color="auto"/>
          </w:divBdr>
        </w:div>
        <w:div w:id="1122383752">
          <w:marLeft w:val="1166"/>
          <w:marRight w:val="0"/>
          <w:marTop w:val="200"/>
          <w:marBottom w:val="0"/>
          <w:divBdr>
            <w:top w:val="none" w:sz="0" w:space="0" w:color="auto"/>
            <w:left w:val="none" w:sz="0" w:space="0" w:color="auto"/>
            <w:bottom w:val="none" w:sz="0" w:space="0" w:color="auto"/>
            <w:right w:val="none" w:sz="0" w:space="0" w:color="auto"/>
          </w:divBdr>
        </w:div>
        <w:div w:id="1930117731">
          <w:marLeft w:val="1166"/>
          <w:marRight w:val="0"/>
          <w:marTop w:val="200"/>
          <w:marBottom w:val="0"/>
          <w:divBdr>
            <w:top w:val="none" w:sz="0" w:space="0" w:color="auto"/>
            <w:left w:val="none" w:sz="0" w:space="0" w:color="auto"/>
            <w:bottom w:val="none" w:sz="0" w:space="0" w:color="auto"/>
            <w:right w:val="none" w:sz="0" w:space="0" w:color="auto"/>
          </w:divBdr>
        </w:div>
      </w:divsChild>
    </w:div>
    <w:div w:id="210036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nstruction/cdm/2015/designer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rcantilebarristers.com/disputes-avoidance-protocol/?infinity=ict2~net~gaw~cmp~8058087253~ag~108566918120~ar~454442692772~kw~construction+adjudication+process~mt~p~acr~7124637754&amp;utm_source=googl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bulletins/averageweeklyearningsingreatbritain/october20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11</Pages>
  <Words>2385</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Derwyn Hole (2212407)</dc:creator>
  <cp:keywords/>
  <dc:description/>
  <cp:lastModifiedBy>Theresa Cole</cp:lastModifiedBy>
  <cp:revision>98</cp:revision>
  <dcterms:created xsi:type="dcterms:W3CDTF">2022-11-23T19:59:00Z</dcterms:created>
  <dcterms:modified xsi:type="dcterms:W3CDTF">2022-11-28T20:07:00Z</dcterms:modified>
</cp:coreProperties>
</file>