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A4A33" w14:textId="5A591B4E" w:rsidR="00BD0D5B" w:rsidRDefault="00BD0D5B">
      <w:pPr>
        <w:spacing w:line="360" w:lineRule="auto"/>
        <w:jc w:val="center"/>
        <w:rPr>
          <w:rFonts w:ascii="Times New Roman" w:eastAsia="Times New Roman" w:hAnsi="Times New Roman" w:cs="Times New Roman"/>
          <w:b/>
          <w:sz w:val="36"/>
          <w:szCs w:val="36"/>
        </w:rPr>
      </w:pPr>
    </w:p>
    <w:p w14:paraId="10319234" w14:textId="15DB878B" w:rsidR="00B546B3" w:rsidRPr="00B546B3" w:rsidRDefault="00B546B3" w:rsidP="00B546B3">
      <w:pPr>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bCs/>
          <w:sz w:val="40"/>
          <w:szCs w:val="40"/>
          <w:lang w:val="en"/>
        </w:rPr>
        <w:t xml:space="preserve">               University of Wales Trinity Saint David</w:t>
      </w:r>
    </w:p>
    <w:p w14:paraId="58C291F5" w14:textId="669EFCD7" w:rsidR="00B546B3" w:rsidRDefault="00B546B3" w:rsidP="00B546B3">
      <w:pPr>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bCs/>
          <w:sz w:val="40"/>
          <w:szCs w:val="40"/>
          <w:lang w:val="en"/>
        </w:rPr>
        <w:t xml:space="preserve">      London Campus</w:t>
      </w:r>
    </w:p>
    <w:p w14:paraId="3B663F44" w14:textId="77777777" w:rsidR="00B546B3" w:rsidRDefault="00B546B3" w:rsidP="00B546B3">
      <w:pPr>
        <w:jc w:val="center"/>
        <w:rPr>
          <w:rFonts w:ascii="Times New Roman" w:eastAsia="Times New Roman" w:hAnsi="Times New Roman" w:cs="Times New Roman"/>
          <w:b/>
          <w:bCs/>
          <w:sz w:val="40"/>
          <w:szCs w:val="40"/>
          <w:lang w:val="en"/>
        </w:rPr>
      </w:pPr>
    </w:p>
    <w:p w14:paraId="5C95F6AF" w14:textId="49250D68" w:rsidR="00B546B3" w:rsidRDefault="00B546B3" w:rsidP="00B546B3">
      <w:pPr>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bCs/>
          <w:sz w:val="40"/>
          <w:szCs w:val="40"/>
          <w:lang w:val="en"/>
        </w:rPr>
        <w:t xml:space="preserve">           </w:t>
      </w:r>
      <w:r>
        <w:rPr>
          <w:rFonts w:ascii="Times New Roman" w:eastAsia="Times New Roman" w:hAnsi="Times New Roman" w:cs="Times New Roman"/>
          <w:b/>
          <w:noProof/>
          <w:sz w:val="36"/>
          <w:szCs w:val="36"/>
        </w:rPr>
        <w:drawing>
          <wp:inline distT="0" distB="0" distL="0" distR="0" wp14:anchorId="2D8038BB" wp14:editId="031F38C0">
            <wp:extent cx="3924300" cy="1577340"/>
            <wp:effectExtent l="0" t="0" r="0" b="3810"/>
            <wp:docPr id="17" name="image1.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1.png" descr="A logo with black text&#10;&#10;Description automatically generated"/>
                    <pic:cNvPicPr preferRelativeResize="0"/>
                  </pic:nvPicPr>
                  <pic:blipFill>
                    <a:blip r:embed="rId7"/>
                    <a:srcRect/>
                    <a:stretch>
                      <a:fillRect/>
                    </a:stretch>
                  </pic:blipFill>
                  <pic:spPr>
                    <a:xfrm>
                      <a:off x="0" y="0"/>
                      <a:ext cx="3924300" cy="1577340"/>
                    </a:xfrm>
                    <a:prstGeom prst="rect">
                      <a:avLst/>
                    </a:prstGeom>
                    <a:ln/>
                  </pic:spPr>
                </pic:pic>
              </a:graphicData>
            </a:graphic>
          </wp:inline>
        </w:drawing>
      </w:r>
      <w:r>
        <w:rPr>
          <w:rFonts w:ascii="Times New Roman" w:eastAsia="Times New Roman" w:hAnsi="Times New Roman" w:cs="Times New Roman"/>
          <w:b/>
          <w:bCs/>
          <w:sz w:val="40"/>
          <w:szCs w:val="40"/>
          <w:lang w:val="en"/>
        </w:rPr>
        <w:t xml:space="preserve"> </w:t>
      </w:r>
    </w:p>
    <w:p w14:paraId="00256F65" w14:textId="71EF02B3" w:rsidR="00B546B3" w:rsidRDefault="00B546B3" w:rsidP="00B546B3">
      <w:pPr>
        <w:jc w:val="center"/>
        <w:rPr>
          <w:rFonts w:ascii="Times New Roman" w:eastAsia="Times New Roman" w:hAnsi="Times New Roman" w:cs="Times New Roman"/>
          <w:b/>
          <w:bCs/>
          <w:sz w:val="40"/>
          <w:szCs w:val="40"/>
          <w:lang w:val="en"/>
        </w:rPr>
      </w:pPr>
    </w:p>
    <w:p w14:paraId="372F24AC" w14:textId="28031668" w:rsidR="00B546B3" w:rsidRDefault="00B546B3" w:rsidP="00B546B3">
      <w:pPr>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bCs/>
          <w:sz w:val="40"/>
          <w:szCs w:val="40"/>
          <w:lang w:val="en"/>
        </w:rPr>
        <w:t xml:space="preserve">Assignment </w:t>
      </w:r>
      <w:r>
        <w:rPr>
          <w:rFonts w:ascii="Times New Roman" w:eastAsia="Times New Roman" w:hAnsi="Times New Roman" w:cs="Times New Roman"/>
          <w:b/>
          <w:bCs/>
          <w:sz w:val="40"/>
          <w:szCs w:val="40"/>
          <w:lang w:val="en"/>
        </w:rPr>
        <w:t>1</w:t>
      </w:r>
    </w:p>
    <w:p w14:paraId="269EB00E" w14:textId="28068B4E" w:rsidR="00B546B3" w:rsidRDefault="00B546B3" w:rsidP="00B546B3">
      <w:pPr>
        <w:jc w:val="center"/>
        <w:rPr>
          <w:rFonts w:ascii="Times New Roman" w:eastAsia="Times New Roman" w:hAnsi="Times New Roman" w:cs="Times New Roman"/>
          <w:b/>
          <w:bCs/>
          <w:sz w:val="40"/>
          <w:szCs w:val="40"/>
          <w:lang w:val="en"/>
        </w:rPr>
      </w:pPr>
      <w:proofErr w:type="spellStart"/>
      <w:r>
        <w:rPr>
          <w:rFonts w:ascii="Times New Roman" w:eastAsia="Times New Roman" w:hAnsi="Times New Roman" w:cs="Times New Roman"/>
          <w:b/>
          <w:bCs/>
          <w:sz w:val="40"/>
          <w:szCs w:val="40"/>
          <w:lang w:val="en"/>
        </w:rPr>
        <w:t>Programme</w:t>
      </w:r>
      <w:proofErr w:type="spellEnd"/>
      <w:r>
        <w:rPr>
          <w:rFonts w:ascii="Times New Roman" w:eastAsia="Times New Roman" w:hAnsi="Times New Roman" w:cs="Times New Roman"/>
          <w:b/>
          <w:bCs/>
          <w:sz w:val="40"/>
          <w:szCs w:val="40"/>
          <w:lang w:val="en"/>
        </w:rPr>
        <w:t xml:space="preserve">: </w:t>
      </w:r>
      <w:r>
        <w:rPr>
          <w:rFonts w:ascii="Times New Roman" w:eastAsia="Times New Roman" w:hAnsi="Times New Roman" w:cs="Times New Roman"/>
          <w:sz w:val="40"/>
          <w:szCs w:val="40"/>
          <w:lang w:val="en"/>
        </w:rPr>
        <w:t>BA Business Management</w:t>
      </w:r>
      <w:r>
        <w:rPr>
          <w:rFonts w:ascii="Times New Roman" w:eastAsia="Times New Roman" w:hAnsi="Times New Roman" w:cs="Times New Roman"/>
          <w:b/>
          <w:bCs/>
          <w:sz w:val="40"/>
          <w:szCs w:val="40"/>
          <w:lang w:val="en"/>
        </w:rPr>
        <w:br/>
        <w:t xml:space="preserve">Module: </w:t>
      </w:r>
      <w:r>
        <w:rPr>
          <w:rFonts w:ascii="Times New Roman" w:eastAsia="Times New Roman" w:hAnsi="Times New Roman" w:cs="Times New Roman"/>
          <w:sz w:val="40"/>
          <w:szCs w:val="40"/>
          <w:lang w:val="en"/>
        </w:rPr>
        <w:t>Strategic Management and Sustainability</w:t>
      </w:r>
      <w:r>
        <w:rPr>
          <w:rFonts w:ascii="Times New Roman" w:eastAsia="Times New Roman" w:hAnsi="Times New Roman" w:cs="Times New Roman"/>
          <w:b/>
          <w:bCs/>
          <w:sz w:val="40"/>
          <w:szCs w:val="40"/>
          <w:lang w:val="en"/>
        </w:rPr>
        <w:br/>
        <w:t xml:space="preserve">Module Code: </w:t>
      </w:r>
      <w:r>
        <w:rPr>
          <w:rFonts w:ascii="Times New Roman" w:eastAsia="Times New Roman" w:hAnsi="Times New Roman" w:cs="Times New Roman"/>
          <w:sz w:val="40"/>
          <w:szCs w:val="40"/>
          <w:lang w:val="en"/>
        </w:rPr>
        <w:t>LCBB</w:t>
      </w:r>
      <w:r>
        <w:rPr>
          <w:rFonts w:ascii="Times New Roman" w:eastAsia="Times New Roman" w:hAnsi="Times New Roman" w:cs="Times New Roman"/>
          <w:sz w:val="40"/>
          <w:szCs w:val="40"/>
          <w:lang w:val="en"/>
        </w:rPr>
        <w:t>6004</w:t>
      </w:r>
      <w:r>
        <w:rPr>
          <w:rFonts w:ascii="Times New Roman" w:eastAsia="Times New Roman" w:hAnsi="Times New Roman" w:cs="Times New Roman"/>
          <w:b/>
          <w:bCs/>
          <w:sz w:val="40"/>
          <w:szCs w:val="40"/>
          <w:lang w:val="en"/>
        </w:rPr>
        <w:br/>
        <w:t xml:space="preserve">Lecture: </w:t>
      </w:r>
      <w:r>
        <w:rPr>
          <w:rFonts w:ascii="Times New Roman" w:eastAsia="Times New Roman" w:hAnsi="Times New Roman" w:cs="Times New Roman"/>
          <w:sz w:val="40"/>
          <w:szCs w:val="40"/>
          <w:lang w:val="en"/>
        </w:rPr>
        <w:t>Mr. Riaz Bhatti</w:t>
      </w:r>
      <w:r>
        <w:rPr>
          <w:rFonts w:ascii="Times New Roman" w:eastAsia="Times New Roman" w:hAnsi="Times New Roman" w:cs="Times New Roman"/>
          <w:b/>
          <w:bCs/>
          <w:sz w:val="40"/>
          <w:szCs w:val="40"/>
          <w:lang w:val="en"/>
        </w:rPr>
        <w:br/>
        <w:t>Student:</w:t>
      </w:r>
      <w:r>
        <w:rPr>
          <w:rFonts w:ascii="Times New Roman" w:eastAsia="Times New Roman" w:hAnsi="Times New Roman" w:cs="Times New Roman"/>
          <w:b/>
          <w:bCs/>
          <w:sz w:val="40"/>
          <w:szCs w:val="40"/>
          <w:lang w:val="en"/>
        </w:rPr>
        <w:t xml:space="preserve"> </w:t>
      </w:r>
      <w:proofErr w:type="spellStart"/>
      <w:r w:rsidRPr="00B546B3">
        <w:rPr>
          <w:rFonts w:ascii="Times New Roman" w:eastAsia="Times New Roman" w:hAnsi="Times New Roman" w:cs="Times New Roman"/>
          <w:sz w:val="40"/>
          <w:szCs w:val="40"/>
          <w:lang w:val="en"/>
        </w:rPr>
        <w:t>Zamsa</w:t>
      </w:r>
      <w:proofErr w:type="spellEnd"/>
      <w:r w:rsidRPr="00B546B3">
        <w:rPr>
          <w:rFonts w:ascii="Times New Roman" w:eastAsia="Times New Roman" w:hAnsi="Times New Roman" w:cs="Times New Roman"/>
          <w:sz w:val="40"/>
          <w:szCs w:val="40"/>
          <w:lang w:val="en"/>
        </w:rPr>
        <w:t xml:space="preserve"> Dan</w:t>
      </w:r>
      <w:r>
        <w:rPr>
          <w:rFonts w:ascii="Times New Roman" w:eastAsia="Times New Roman" w:hAnsi="Times New Roman" w:cs="Times New Roman"/>
          <w:b/>
          <w:bCs/>
          <w:sz w:val="40"/>
          <w:szCs w:val="40"/>
          <w:lang w:val="en"/>
        </w:rPr>
        <w:t xml:space="preserve"> </w:t>
      </w:r>
      <w:r>
        <w:rPr>
          <w:rFonts w:ascii="Times New Roman" w:eastAsia="Times New Roman" w:hAnsi="Times New Roman" w:cs="Times New Roman"/>
          <w:sz w:val="40"/>
          <w:szCs w:val="40"/>
          <w:lang w:val="en"/>
        </w:rPr>
        <w:t>( 20</w:t>
      </w:r>
      <w:r>
        <w:rPr>
          <w:rFonts w:ascii="Times New Roman" w:eastAsia="Times New Roman" w:hAnsi="Times New Roman" w:cs="Times New Roman"/>
          <w:sz w:val="40"/>
          <w:szCs w:val="40"/>
          <w:lang w:val="en"/>
        </w:rPr>
        <w:t>28094</w:t>
      </w:r>
      <w:r>
        <w:rPr>
          <w:rFonts w:ascii="Times New Roman" w:eastAsia="Times New Roman" w:hAnsi="Times New Roman" w:cs="Times New Roman"/>
          <w:sz w:val="40"/>
          <w:szCs w:val="40"/>
          <w:lang w:val="en"/>
        </w:rPr>
        <w:t xml:space="preserve"> )</w:t>
      </w:r>
    </w:p>
    <w:p w14:paraId="30D4DB95" w14:textId="77777777" w:rsidR="00B546B3" w:rsidRDefault="00B546B3" w:rsidP="00B546B3">
      <w:pPr>
        <w:jc w:val="center"/>
        <w:rPr>
          <w:rFonts w:ascii="Times New Roman" w:eastAsia="Times New Roman" w:hAnsi="Times New Roman" w:cs="Times New Roman"/>
          <w:b/>
          <w:bCs/>
          <w:sz w:val="40"/>
          <w:szCs w:val="40"/>
          <w:lang w:val=""/>
        </w:rPr>
      </w:pPr>
    </w:p>
    <w:p w14:paraId="70F8BC71" w14:textId="77777777" w:rsidR="00B546B3" w:rsidRDefault="00B546B3" w:rsidP="00B546B3">
      <w:pPr>
        <w:jc w:val="center"/>
        <w:rPr>
          <w:rFonts w:ascii="Times New Roman" w:eastAsia="Times New Roman" w:hAnsi="Times New Roman" w:cs="Times New Roman"/>
          <w:b/>
          <w:bCs/>
          <w:sz w:val="40"/>
          <w:szCs w:val="40"/>
          <w:lang w:val=""/>
        </w:rPr>
      </w:pPr>
    </w:p>
    <w:p w14:paraId="16BA4A34" w14:textId="77777777" w:rsidR="00BD0D5B" w:rsidRDefault="00BD0D5B">
      <w:pPr>
        <w:spacing w:line="360" w:lineRule="auto"/>
        <w:jc w:val="center"/>
        <w:rPr>
          <w:rFonts w:ascii="Times New Roman" w:eastAsia="Times New Roman" w:hAnsi="Times New Roman" w:cs="Times New Roman"/>
          <w:b/>
          <w:sz w:val="36"/>
          <w:szCs w:val="36"/>
        </w:rPr>
      </w:pPr>
    </w:p>
    <w:p w14:paraId="16BA4A35" w14:textId="77777777" w:rsidR="00BD0D5B" w:rsidRDefault="00BD0D5B">
      <w:pPr>
        <w:spacing w:line="360" w:lineRule="auto"/>
        <w:jc w:val="center"/>
        <w:rPr>
          <w:rFonts w:ascii="Times New Roman" w:eastAsia="Times New Roman" w:hAnsi="Times New Roman" w:cs="Times New Roman"/>
          <w:b/>
          <w:sz w:val="36"/>
          <w:szCs w:val="36"/>
        </w:rPr>
      </w:pPr>
    </w:p>
    <w:p w14:paraId="16BA4A36" w14:textId="77777777" w:rsidR="00BD0D5B" w:rsidRDefault="00BD0D5B">
      <w:pPr>
        <w:spacing w:line="360" w:lineRule="auto"/>
        <w:jc w:val="center"/>
        <w:rPr>
          <w:rFonts w:ascii="Times New Roman" w:eastAsia="Times New Roman" w:hAnsi="Times New Roman" w:cs="Times New Roman"/>
          <w:b/>
          <w:sz w:val="36"/>
          <w:szCs w:val="36"/>
        </w:rPr>
      </w:pPr>
    </w:p>
    <w:p w14:paraId="16BA4A42" w14:textId="77777777" w:rsidR="00BD0D5B" w:rsidRDefault="00BD0D5B">
      <w:pPr>
        <w:spacing w:line="360" w:lineRule="auto"/>
        <w:jc w:val="both"/>
        <w:rPr>
          <w:rFonts w:ascii="Times New Roman" w:eastAsia="Times New Roman" w:hAnsi="Times New Roman" w:cs="Times New Roman"/>
          <w:b/>
          <w:sz w:val="24"/>
          <w:szCs w:val="24"/>
        </w:rPr>
      </w:pPr>
    </w:p>
    <w:p w14:paraId="16BA4A45" w14:textId="77777777" w:rsidR="00BD0D5B" w:rsidRDefault="00BD0D5B">
      <w:pPr>
        <w:spacing w:line="360" w:lineRule="auto"/>
        <w:jc w:val="both"/>
        <w:rPr>
          <w:rFonts w:ascii="Times New Roman" w:eastAsia="Times New Roman" w:hAnsi="Times New Roman" w:cs="Times New Roman"/>
          <w:b/>
          <w:sz w:val="24"/>
          <w:szCs w:val="24"/>
        </w:rPr>
      </w:pPr>
    </w:p>
    <w:p w14:paraId="16BA4A46" w14:textId="77777777" w:rsidR="00BD0D5B" w:rsidRDefault="00B546B3">
      <w:pPr>
        <w:keepNext/>
        <w:keepLines/>
        <w:pBdr>
          <w:top w:val="nil"/>
          <w:left w:val="nil"/>
          <w:bottom w:val="nil"/>
          <w:right w:val="nil"/>
          <w:between w:val="nil"/>
        </w:pBdr>
        <w:tabs>
          <w:tab w:val="left" w:pos="2280"/>
        </w:tabs>
        <w:spacing w:before="480" w:after="0" w:line="360" w:lineRule="auto"/>
        <w:jc w:val="center"/>
        <w:rPr>
          <w:rFonts w:ascii="Times New Roman" w:eastAsia="Times New Roman" w:hAnsi="Times New Roman" w:cs="Times New Roman"/>
          <w:b/>
          <w:color w:val="2F5496"/>
          <w:sz w:val="24"/>
          <w:szCs w:val="24"/>
        </w:rPr>
      </w:pPr>
      <w:r>
        <w:rPr>
          <w:rFonts w:ascii="Times New Roman" w:eastAsia="Times New Roman" w:hAnsi="Times New Roman" w:cs="Times New Roman"/>
          <w:b/>
          <w:color w:val="000000"/>
          <w:sz w:val="24"/>
          <w:szCs w:val="24"/>
        </w:rPr>
        <w:lastRenderedPageBreak/>
        <w:t>Table of Contents</w:t>
      </w:r>
    </w:p>
    <w:sdt>
      <w:sdtPr>
        <w:id w:val="-1116518755"/>
        <w:docPartObj>
          <w:docPartGallery w:val="Table of Contents"/>
          <w:docPartUnique/>
        </w:docPartObj>
      </w:sdtPr>
      <w:sdtEndPr/>
      <w:sdtContent>
        <w:p w14:paraId="16BA4A47" w14:textId="77777777" w:rsidR="00BD0D5B" w:rsidRDefault="00B546B3">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16BA4A48"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Identify with evidence the key business and corporate strategies of the company</w:t>
            </w:r>
            <w:r>
              <w:rPr>
                <w:rFonts w:ascii="Times New Roman" w:eastAsia="Times New Roman" w:hAnsi="Times New Roman" w:cs="Times New Roman"/>
                <w:color w:val="000000"/>
                <w:sz w:val="24"/>
                <w:szCs w:val="24"/>
              </w:rPr>
              <w:tab/>
              <w:t>3</w:t>
            </w:r>
          </w:hyperlink>
        </w:p>
        <w:p w14:paraId="16BA4A49"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Identify with evidence the resources and capabilities of the HSBC</w:t>
            </w:r>
            <w:r>
              <w:rPr>
                <w:rFonts w:ascii="Times New Roman" w:eastAsia="Times New Roman" w:hAnsi="Times New Roman" w:cs="Times New Roman"/>
                <w:color w:val="000000"/>
                <w:sz w:val="24"/>
                <w:szCs w:val="24"/>
              </w:rPr>
              <w:tab/>
              <w:t>4</w:t>
            </w:r>
          </w:hyperlink>
        </w:p>
        <w:p w14:paraId="16BA4A4A"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Analysis the company implementation about selected business and corporate strategies</w:t>
            </w:r>
            <w:r>
              <w:rPr>
                <w:rFonts w:ascii="Times New Roman" w:eastAsia="Times New Roman" w:hAnsi="Times New Roman" w:cs="Times New Roman"/>
                <w:color w:val="000000"/>
                <w:sz w:val="24"/>
                <w:szCs w:val="24"/>
              </w:rPr>
              <w:tab/>
              <w:t>6</w:t>
            </w:r>
          </w:hyperlink>
        </w:p>
        <w:p w14:paraId="16BA4A4B"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Evaluate evidence how the selected company has tried to become more competitive in sustainability and the environment</w:t>
            </w:r>
            <w:r>
              <w:rPr>
                <w:rFonts w:ascii="Times New Roman" w:eastAsia="Times New Roman" w:hAnsi="Times New Roman" w:cs="Times New Roman"/>
                <w:color w:val="000000"/>
                <w:sz w:val="24"/>
                <w:szCs w:val="24"/>
              </w:rPr>
              <w:tab/>
              <w:t>7</w:t>
            </w:r>
          </w:hyperlink>
        </w:p>
        <w:p w14:paraId="16BA4A4C"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Evaluate the choices available for the HSBC Company’s strategic direction in the future</w:t>
            </w:r>
            <w:r>
              <w:rPr>
                <w:rFonts w:ascii="Times New Roman" w:eastAsia="Times New Roman" w:hAnsi="Times New Roman" w:cs="Times New Roman"/>
                <w:color w:val="000000"/>
                <w:sz w:val="24"/>
                <w:szCs w:val="24"/>
              </w:rPr>
              <w:tab/>
              <w:t>8</w:t>
            </w:r>
          </w:hyperlink>
        </w:p>
        <w:p w14:paraId="16BA4A4D" w14:textId="77777777" w:rsidR="00BD0D5B" w:rsidRDefault="00B546B3">
          <w:pPr>
            <w:pBdr>
              <w:top w:val="nil"/>
              <w:left w:val="nil"/>
              <w:bottom w:val="nil"/>
              <w:right w:val="nil"/>
              <w:between w:val="nil"/>
            </w:pBdr>
            <w:tabs>
              <w:tab w:val="right" w:leader="dot" w:pos="9016"/>
            </w:tabs>
            <w:spacing w:after="100" w:line="360" w:lineRule="auto"/>
            <w:ind w:left="220"/>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Suggestions for Using Sustainability Practices to Gain Competitive Advantages</w:t>
            </w:r>
            <w:r>
              <w:rPr>
                <w:rFonts w:ascii="Times New Roman" w:eastAsia="Times New Roman" w:hAnsi="Times New Roman" w:cs="Times New Roman"/>
                <w:color w:val="000000"/>
                <w:sz w:val="24"/>
                <w:szCs w:val="24"/>
              </w:rPr>
              <w:tab/>
              <w:t>9</w:t>
            </w:r>
          </w:hyperlink>
        </w:p>
        <w:p w14:paraId="16BA4A4E" w14:textId="77777777" w:rsidR="00BD0D5B" w:rsidRDefault="00B546B3">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14:paraId="16BA4A4F" w14:textId="77777777" w:rsidR="00BD0D5B" w:rsidRDefault="00B546B3">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12</w:t>
            </w:r>
          </w:hyperlink>
        </w:p>
        <w:p w14:paraId="16BA4A50" w14:textId="77777777" w:rsidR="00BD0D5B" w:rsidRDefault="00B546B3">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highlight w:val="white"/>
              </w:rPr>
              <w:t>Appendix</w:t>
            </w:r>
          </w:hyperlink>
          <w:hyperlink w:anchor="_heading=h.17dp8vu">
            <w:r>
              <w:rPr>
                <w:rFonts w:ascii="Times New Roman" w:eastAsia="Times New Roman" w:hAnsi="Times New Roman" w:cs="Times New Roman"/>
                <w:color w:val="000000"/>
                <w:sz w:val="24"/>
                <w:szCs w:val="24"/>
              </w:rPr>
              <w:tab/>
              <w:t>15</w:t>
            </w:r>
          </w:hyperlink>
        </w:p>
        <w:p w14:paraId="16BA4A51" w14:textId="77777777" w:rsidR="00BD0D5B" w:rsidRDefault="00B546B3">
          <w:pPr>
            <w:spacing w:line="360" w:lineRule="auto"/>
            <w:jc w:val="both"/>
          </w:pPr>
          <w:r>
            <w:fldChar w:fldCharType="end"/>
          </w:r>
        </w:p>
      </w:sdtContent>
    </w:sdt>
    <w:p w14:paraId="16BA4A52" w14:textId="77777777" w:rsidR="00BD0D5B" w:rsidRDefault="00B546B3">
      <w:pPr>
        <w:spacing w:after="0" w:line="240" w:lineRule="auto"/>
        <w:rPr>
          <w:rFonts w:ascii="Times New Roman" w:eastAsia="Times New Roman" w:hAnsi="Times New Roman" w:cs="Times New Roman"/>
          <w:b/>
          <w:color w:val="000000"/>
          <w:sz w:val="24"/>
          <w:szCs w:val="24"/>
        </w:rPr>
      </w:pPr>
      <w:r>
        <w:br w:type="page"/>
      </w:r>
    </w:p>
    <w:p w14:paraId="16BA4A53" w14:textId="77777777" w:rsidR="00BD0D5B" w:rsidRDefault="00B546B3">
      <w:pPr>
        <w:pStyle w:val="Heading1"/>
      </w:pPr>
      <w:bookmarkStart w:id="0" w:name="_heading=h.gjdgxs" w:colFirst="0" w:colLast="0"/>
      <w:bookmarkEnd w:id="0"/>
      <w:r>
        <w:lastRenderedPageBreak/>
        <w:t xml:space="preserve">Introduction </w:t>
      </w:r>
    </w:p>
    <w:p w14:paraId="16BA4A54" w14:textId="77777777" w:rsidR="00BD0D5B" w:rsidRDefault="00B546B3">
      <w:pPr>
        <w:spacing w:line="360" w:lineRule="auto"/>
        <w:jc w:val="both"/>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sz w:val="24"/>
          <w:szCs w:val="24"/>
        </w:rPr>
        <w:t>A significant global bank, HSBC, has matched its corporate and commercial strategy with the strategic alignment of its assets in order and capabilities. The bank's technological systems, wide product offering, talented personnel, global network, and competence in managing risks have all been crucial in its successful strategy implementation. HSBC's goal of global growth and outstanding client service in multiple countries is supported by its vast network of stores as well as ATMs, as well as its global pres</w:t>
      </w:r>
      <w:r>
        <w:rPr>
          <w:rFonts w:ascii="Times New Roman" w:eastAsia="Times New Roman" w:hAnsi="Times New Roman" w:cs="Times New Roman"/>
          <w:sz w:val="24"/>
          <w:szCs w:val="24"/>
        </w:rPr>
        <w:t>ence (HSBC, 2022). HSBC have wide range of products, the bank can meet a wide range of customer requirements, which strengthens its client-centric strategy and encourages loyalty among its clients. In the end least, HSBC's capacity to draw in, nurture, and keep talent puts the company in an opinion to reinvent and adjust with shifts in the market, which helps it carry out its plans successfully.</w:t>
      </w:r>
    </w:p>
    <w:p w14:paraId="16BA4A55" w14:textId="77777777" w:rsidR="00BD0D5B" w:rsidRDefault="00B546B3">
      <w:pPr>
        <w:pStyle w:val="Heading2"/>
        <w:rPr>
          <w:color w:val="0E101A"/>
        </w:rPr>
      </w:pPr>
      <w:bookmarkStart w:id="2" w:name="_heading=h.1fob9te" w:colFirst="0" w:colLast="0"/>
      <w:bookmarkEnd w:id="2"/>
      <w:r>
        <w:t>Identify with evidence the key business and corporate strategies of the company</w:t>
      </w:r>
    </w:p>
    <w:p w14:paraId="16BA4A56"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color w:val="0E101A"/>
          <w:sz w:val="24"/>
          <w:szCs w:val="24"/>
        </w:rPr>
        <w:t>As a major international bank, HSBC has implemented important business and corporate approaches to manage its rivals and take into account the forces by using Porter’s</w:t>
      </w:r>
      <w:r>
        <w:rPr>
          <w:rFonts w:ascii="Times New Roman" w:eastAsia="Times New Roman" w:hAnsi="Times New Roman" w:cs="Times New Roman"/>
          <w:b/>
          <w:i/>
          <w:color w:val="0E101A"/>
          <w:sz w:val="24"/>
          <w:szCs w:val="24"/>
        </w:rPr>
        <w:t xml:space="preserve"> Five Forces framework. </w:t>
      </w:r>
    </w:p>
    <w:p w14:paraId="16BA4A57"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0" distB="0" distL="0" distR="0" wp14:anchorId="16BA4AC9" wp14:editId="16BA4ACA">
            <wp:extent cx="4335780" cy="336042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335780" cy="3360420"/>
                    </a:xfrm>
                    <a:prstGeom prst="rect">
                      <a:avLst/>
                    </a:prstGeom>
                    <a:ln/>
                  </pic:spPr>
                </pic:pic>
              </a:graphicData>
            </a:graphic>
          </wp:inline>
        </w:drawing>
      </w:r>
    </w:p>
    <w:p w14:paraId="16BA4A58"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1: Porters five forces</w:t>
      </w:r>
    </w:p>
    <w:p w14:paraId="16BA4A59"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(Sources: </w:t>
      </w:r>
      <w:r>
        <w:rPr>
          <w:rFonts w:ascii="Times New Roman" w:eastAsia="Times New Roman" w:hAnsi="Times New Roman" w:cs="Times New Roman"/>
          <w:color w:val="222222"/>
          <w:sz w:val="24"/>
          <w:szCs w:val="24"/>
          <w:highlight w:val="white"/>
        </w:rPr>
        <w:t xml:space="preserve">Martinez-Contreras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p>
    <w:p w14:paraId="16BA4A5A"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Rivalry between Current Competitors:</w:t>
      </w:r>
      <w:r>
        <w:rPr>
          <w:rFonts w:ascii="Times New Roman" w:eastAsia="Times New Roman" w:hAnsi="Times New Roman" w:cs="Times New Roman"/>
          <w:color w:val="0E101A"/>
          <w:sz w:val="24"/>
          <w:szCs w:val="24"/>
        </w:rPr>
        <w:t xml:space="preserve"> HSBC competes in a highly volatile banking market with several well-established firms. HSBC has concentrated on cost-effectiveness and service differentiation in order to remain successful. In order to boost the client experience, cut </w:t>
      </w:r>
      <w:r>
        <w:rPr>
          <w:rFonts w:ascii="Times New Roman" w:eastAsia="Times New Roman" w:hAnsi="Times New Roman" w:cs="Times New Roman"/>
          <w:color w:val="0E101A"/>
          <w:sz w:val="24"/>
          <w:szCs w:val="24"/>
        </w:rPr>
        <w:lastRenderedPageBreak/>
        <w:t xml:space="preserve">expenses, and simplify processes, the bank, for instance, invested in technological innovations (Oi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w:t>
      </w:r>
    </w:p>
    <w:p w14:paraId="16BA4A5B"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Danger of New Competitors:</w:t>
      </w:r>
      <w:r>
        <w:rPr>
          <w:rFonts w:ascii="Times New Roman" w:eastAsia="Times New Roman" w:hAnsi="Times New Roman" w:cs="Times New Roman"/>
          <w:color w:val="0E101A"/>
          <w:sz w:val="24"/>
          <w:szCs w:val="24"/>
        </w:rPr>
        <w:t> Regulations, economies of magnitude, and high capital needs all work against new players entering the financial services sector. Due to HSBC's wide branch as well as ATM network as well as global reach, it is difficult for startups to get traction. </w:t>
      </w:r>
    </w:p>
    <w:p w14:paraId="16BA4A5C"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Purchasing Influence of Suppliers:</w:t>
      </w:r>
      <w:r>
        <w:rPr>
          <w:rFonts w:ascii="Times New Roman" w:eastAsia="Times New Roman" w:hAnsi="Times New Roman" w:cs="Times New Roman"/>
          <w:color w:val="0E101A"/>
          <w:sz w:val="24"/>
          <w:szCs w:val="24"/>
        </w:rPr>
        <w:t> Within the finance sector, vendors may include software vendors, authorities, and even highly qualified individuals. Building solid connections with partners is a key component of HSBC's plans, especially when it comes to technologies and regulation (</w:t>
      </w:r>
      <w:r>
        <w:rPr>
          <w:rFonts w:ascii="Times New Roman" w:eastAsia="Times New Roman" w:hAnsi="Times New Roman" w:cs="Times New Roman"/>
          <w:color w:val="222222"/>
          <w:sz w:val="24"/>
          <w:szCs w:val="24"/>
          <w:highlight w:val="white"/>
        </w:rPr>
        <w:t xml:space="preserve">Vial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color w:val="0E101A"/>
          <w:sz w:val="24"/>
          <w:szCs w:val="24"/>
        </w:rPr>
        <w:t>. By accomplishing this, the lending institution can guarantee compliance with laws and regulations, acquire utilization of modern technology, and weaken the negotiating position of its suppliers.</w:t>
      </w:r>
    </w:p>
    <w:p w14:paraId="16BA4A5D"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Customer Bargaining Power:</w:t>
      </w:r>
      <w:r>
        <w:rPr>
          <w:rFonts w:ascii="Times New Roman" w:eastAsia="Times New Roman" w:hAnsi="Times New Roman" w:cs="Times New Roman"/>
          <w:color w:val="0E101A"/>
          <w:sz w:val="24"/>
          <w:szCs w:val="24"/>
        </w:rPr>
        <w:t> The banking sector has developed, placing an increasing focus on the needs of its customers. HSBC's approach entails making investments in customer service, providing personalized banking events, and customizing its offerings to match the demands of its clients. HSBC cultivates relationship loyalty and lessens customer negotiating power by offering exceptional service and alternatives.</w:t>
      </w:r>
    </w:p>
    <w:p w14:paraId="16BA4A5E"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Threat of Substitutes: </w:t>
      </w:r>
      <w:r>
        <w:rPr>
          <w:rFonts w:ascii="Times New Roman" w:eastAsia="Times New Roman" w:hAnsi="Times New Roman" w:cs="Times New Roman"/>
          <w:color w:val="0E101A"/>
          <w:sz w:val="24"/>
          <w:szCs w:val="24"/>
        </w:rPr>
        <w:t>Even</w:t>
      </w:r>
      <w:r>
        <w:rPr>
          <w:rFonts w:ascii="Times New Roman" w:eastAsia="Times New Roman" w:hAnsi="Times New Roman" w:cs="Times New Roman"/>
          <w:color w:val="0E101A"/>
          <w:sz w:val="24"/>
          <w:szCs w:val="24"/>
        </w:rPr>
        <w:t> if peer-to-peer lending networks and financial technology companies might provide alternatives to conventional banking offerings, HSBC has countered this danger with its digital shift. The bank has successfully competed with these alternatives by creating websites, banking mobile apps, and additional digital solutions (</w:t>
      </w:r>
      <w:r>
        <w:rPr>
          <w:rFonts w:ascii="Times New Roman" w:eastAsia="Times New Roman" w:hAnsi="Times New Roman" w:cs="Times New Roman"/>
          <w:color w:val="222222"/>
          <w:sz w:val="24"/>
          <w:szCs w:val="24"/>
          <w:highlight w:val="white"/>
        </w:rPr>
        <w:t xml:space="preserve">Qadeer </w:t>
      </w:r>
      <w:r>
        <w:rPr>
          <w:rFonts w:ascii="Times New Roman" w:eastAsia="Times New Roman" w:hAnsi="Times New Roman" w:cs="Times New Roman"/>
          <w:i/>
          <w:color w:val="222222"/>
          <w:sz w:val="24"/>
          <w:szCs w:val="24"/>
          <w:highlight w:val="white"/>
        </w:rPr>
        <w:t>e</w:t>
      </w:r>
      <w:r>
        <w:rPr>
          <w:rFonts w:ascii="Times New Roman" w:eastAsia="Times New Roman" w:hAnsi="Times New Roman" w:cs="Times New Roman"/>
          <w:i/>
          <w:color w:val="0E101A"/>
          <w:sz w:val="24"/>
          <w:szCs w:val="24"/>
        </w:rPr>
        <w:t>t al.,</w:t>
      </w:r>
      <w:r>
        <w:rPr>
          <w:rFonts w:ascii="Times New Roman" w:eastAsia="Times New Roman" w:hAnsi="Times New Roman" w:cs="Times New Roman"/>
          <w:color w:val="0E101A"/>
          <w:sz w:val="24"/>
          <w:szCs w:val="24"/>
        </w:rPr>
        <w:t xml:space="preserve"> 2022).</w:t>
      </w:r>
    </w:p>
    <w:p w14:paraId="16BA4A5F"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addition, to reduce the different regulatory as well as reputational risks connected to the sector, HSBC has implemented an overall approach </w:t>
      </w:r>
      <w:proofErr w:type="spellStart"/>
      <w:r>
        <w:rPr>
          <w:rFonts w:ascii="Times New Roman" w:eastAsia="Times New Roman" w:hAnsi="Times New Roman" w:cs="Times New Roman"/>
          <w:color w:val="0E101A"/>
          <w:sz w:val="24"/>
          <w:szCs w:val="24"/>
        </w:rPr>
        <w:t>centered</w:t>
      </w:r>
      <w:proofErr w:type="spellEnd"/>
      <w:r>
        <w:rPr>
          <w:rFonts w:ascii="Times New Roman" w:eastAsia="Times New Roman" w:hAnsi="Times New Roman" w:cs="Times New Roman"/>
          <w:color w:val="0E101A"/>
          <w:sz w:val="24"/>
          <w:szCs w:val="24"/>
        </w:rPr>
        <w:t xml:space="preserve"> on risk administration and regulation. This strategy is in line with the competitive conditions of the banking sector, which include the need to handle legal challenges, legal risks, and the possibility of damage to the bank's name. In addition, HSBC has integrated environmental and ESG concepts into its overall business plan to tackle economic and socioeconomic issues. This strategy not only puts the institution in a place to handle brand and legal hazards related to sustainable ethical banking pr</w:t>
      </w:r>
      <w:r>
        <w:rPr>
          <w:rFonts w:ascii="Times New Roman" w:eastAsia="Times New Roman" w:hAnsi="Times New Roman" w:cs="Times New Roman"/>
          <w:color w:val="0E101A"/>
          <w:sz w:val="24"/>
          <w:szCs w:val="24"/>
        </w:rPr>
        <w:t>actices, but it also fits with evolving client expectations.</w:t>
      </w:r>
    </w:p>
    <w:p w14:paraId="16BA4A60" w14:textId="77777777" w:rsidR="00BD0D5B" w:rsidRDefault="00B546B3">
      <w:pPr>
        <w:pStyle w:val="Heading2"/>
      </w:pPr>
      <w:bookmarkStart w:id="3" w:name="_heading=h.3znysh7" w:colFirst="0" w:colLast="0"/>
      <w:bookmarkEnd w:id="3"/>
      <w:r>
        <w:t>Identify with evidence the resources and capabilities of the HSBC</w:t>
      </w:r>
    </w:p>
    <w:p w14:paraId="16BA4A61"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One of the biggest and most internationally varied banks in the world, HSBC has a plethora of assets and skills that have bolstered its standing in the field of finance. </w:t>
      </w:r>
    </w:p>
    <w:p w14:paraId="16BA4A62"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w:drawing>
          <wp:inline distT="0" distB="0" distL="0" distR="0" wp14:anchorId="16BA4ACB" wp14:editId="16BA4ACC">
            <wp:extent cx="4234493" cy="2731438"/>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34493" cy="2731438"/>
                    </a:xfrm>
                    <a:prstGeom prst="rect">
                      <a:avLst/>
                    </a:prstGeom>
                    <a:ln/>
                  </pic:spPr>
                </pic:pic>
              </a:graphicData>
            </a:graphic>
          </wp:inline>
        </w:drawing>
      </w:r>
    </w:p>
    <w:p w14:paraId="16BA4A63"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Figure 2: Profit on HSBC </w:t>
      </w:r>
    </w:p>
    <w:p w14:paraId="16BA4A64"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(Source: </w:t>
      </w:r>
      <w:proofErr w:type="spellStart"/>
      <w:r>
        <w:rPr>
          <w:rFonts w:ascii="Times New Roman" w:eastAsia="Times New Roman" w:hAnsi="Times New Roman" w:cs="Times New Roman"/>
          <w:color w:val="222222"/>
          <w:sz w:val="24"/>
          <w:szCs w:val="24"/>
          <w:highlight w:val="white"/>
        </w:rPr>
        <w:t>statista</w:t>
      </w:r>
      <w:proofErr w:type="spellEnd"/>
      <w:r>
        <w:rPr>
          <w:rFonts w:ascii="Times New Roman" w:eastAsia="Times New Roman" w:hAnsi="Times New Roman" w:cs="Times New Roman"/>
          <w:color w:val="222222"/>
          <w:sz w:val="24"/>
          <w:szCs w:val="24"/>
          <w:highlight w:val="white"/>
        </w:rPr>
        <w:t>, 2022)</w:t>
      </w:r>
    </w:p>
    <w:p w14:paraId="16BA4A65"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Worldwide Network and Existence:</w:t>
      </w:r>
      <w:r>
        <w:rPr>
          <w:rFonts w:ascii="Times New Roman" w:eastAsia="Times New Roman" w:hAnsi="Times New Roman" w:cs="Times New Roman"/>
          <w:color w:val="0E101A"/>
          <w:sz w:val="24"/>
          <w:szCs w:val="24"/>
        </w:rPr>
        <w:t> One of HSBC's most notable advantages is its vast international reach. The bank is ideally situated to service business and retail clients globally, with activities across over 60 nations and territories (</w:t>
      </w:r>
      <w:r>
        <w:rPr>
          <w:rFonts w:ascii="Times New Roman" w:eastAsia="Times New Roman" w:hAnsi="Times New Roman" w:cs="Times New Roman"/>
          <w:color w:val="222222"/>
          <w:sz w:val="24"/>
          <w:szCs w:val="24"/>
          <w:highlight w:val="white"/>
        </w:rPr>
        <w:t>Balian, 2022)</w:t>
      </w:r>
      <w:r>
        <w:rPr>
          <w:rFonts w:ascii="Times New Roman" w:eastAsia="Times New Roman" w:hAnsi="Times New Roman" w:cs="Times New Roman"/>
          <w:color w:val="0E101A"/>
          <w:sz w:val="24"/>
          <w:szCs w:val="24"/>
        </w:rPr>
        <w:t>. </w:t>
      </w:r>
    </w:p>
    <w:p w14:paraId="16BA4A66"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Reputation and Brand Equity:</w:t>
      </w:r>
      <w:r>
        <w:rPr>
          <w:rFonts w:ascii="Times New Roman" w:eastAsia="Times New Roman" w:hAnsi="Times New Roman" w:cs="Times New Roman"/>
          <w:color w:val="0E101A"/>
          <w:sz w:val="24"/>
          <w:szCs w:val="24"/>
        </w:rPr>
        <w:t> HSBC is known for its reliability and equilibrium, and it has a powerful brand. The bank's continuing strong brand is demonstrated by its long history, which dates from 1865, and its steady ranking as the biggest banking institution in the world. This reputation draws clients and investors, making it an invaluable intellectual asset.</w:t>
      </w:r>
    </w:p>
    <w:p w14:paraId="16BA4A67"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Infrastructure Technological:</w:t>
      </w:r>
      <w:r>
        <w:rPr>
          <w:rFonts w:ascii="Times New Roman" w:eastAsia="Times New Roman" w:hAnsi="Times New Roman" w:cs="Times New Roman"/>
          <w:color w:val="0E101A"/>
          <w:sz w:val="24"/>
          <w:szCs w:val="24"/>
        </w:rPr>
        <w:t> Because of significant investments made in its technology facilities, HSBC can provide a variety of electronic banking services.  The bank has worked to improve both its mobile and desktop banking services, giving users quick and easy methods to handle their money.</w:t>
      </w:r>
    </w:p>
    <w:p w14:paraId="16BA4A68"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Skill in Risk Management:</w:t>
      </w:r>
      <w:r>
        <w:rPr>
          <w:rFonts w:ascii="Times New Roman" w:eastAsia="Times New Roman" w:hAnsi="Times New Roman" w:cs="Times New Roman"/>
          <w:color w:val="0E101A"/>
          <w:sz w:val="24"/>
          <w:szCs w:val="24"/>
        </w:rPr>
        <w:t> With all the legal and economic dangers that come with being in the banking business, the bank's strong risk control capacities are essential (</w:t>
      </w:r>
      <w:r>
        <w:rPr>
          <w:rFonts w:ascii="Times New Roman" w:eastAsia="Times New Roman" w:hAnsi="Times New Roman" w:cs="Times New Roman"/>
          <w:color w:val="222222"/>
          <w:sz w:val="24"/>
          <w:szCs w:val="24"/>
          <w:highlight w:val="white"/>
        </w:rPr>
        <w:t>Tang, 2023)</w:t>
      </w:r>
      <w:r>
        <w:rPr>
          <w:rFonts w:ascii="Times New Roman" w:eastAsia="Times New Roman" w:hAnsi="Times New Roman" w:cs="Times New Roman"/>
          <w:color w:val="0E101A"/>
          <w:sz w:val="24"/>
          <w:szCs w:val="24"/>
        </w:rPr>
        <w:t>. Compared to some of its competitors, HSBC has a history of navigating through the worldwide financial crisis mostly unscathed, demonstrating its capacity to effectively mitigate risk.</w:t>
      </w:r>
    </w:p>
    <w:p w14:paraId="16BA4A69"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Wide Range of Products:</w:t>
      </w:r>
      <w:r>
        <w:rPr>
          <w:rFonts w:ascii="Times New Roman" w:eastAsia="Times New Roman" w:hAnsi="Times New Roman" w:cs="Times New Roman"/>
          <w:color w:val="0E101A"/>
          <w:sz w:val="24"/>
          <w:szCs w:val="24"/>
        </w:rPr>
        <w:t> Retail and business finance, wealth administration, management of assets, and reinsurance solutions are all part of HSBC's product offering. Because of its varied portfolio, the bank can serve financial services.</w:t>
      </w:r>
    </w:p>
    <w:p w14:paraId="16BA4A6A"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Ability and Proficiency:</w:t>
      </w:r>
      <w:r>
        <w:rPr>
          <w:rFonts w:ascii="Times New Roman" w:eastAsia="Times New Roman" w:hAnsi="Times New Roman" w:cs="Times New Roman"/>
          <w:color w:val="0E101A"/>
          <w:sz w:val="24"/>
          <w:szCs w:val="24"/>
        </w:rPr>
        <w:t> The personnel at HSBC is an invaluable asset, consisting of proficient experts across multiple fields. The bank serves as one of the largest firms in the financial services industry globally, demonstrating its capacity to draw and hold talent.</w:t>
      </w:r>
    </w:p>
    <w:p w14:paraId="16BA4A6B"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Capital Financial:</w:t>
      </w:r>
      <w:r>
        <w:rPr>
          <w:rFonts w:ascii="Times New Roman" w:eastAsia="Times New Roman" w:hAnsi="Times New Roman" w:cs="Times New Roman"/>
          <w:color w:val="0E101A"/>
          <w:sz w:val="24"/>
          <w:szCs w:val="24"/>
        </w:rPr>
        <w:t> HSBC's annual sales were in the tens of billions of dollars, illustrating the bank's enormous financial strength. With this sum of money, the bank has the stability it needs to invest in expansion prospects and survive economic downturns and booms (</w:t>
      </w:r>
      <w:r>
        <w:rPr>
          <w:rFonts w:ascii="Times New Roman" w:eastAsia="Times New Roman" w:hAnsi="Times New Roman" w:cs="Times New Roman"/>
          <w:color w:val="222222"/>
          <w:sz w:val="24"/>
          <w:szCs w:val="24"/>
          <w:highlight w:val="white"/>
        </w:rPr>
        <w:t>Odom and Hyams-</w:t>
      </w:r>
      <w:proofErr w:type="spellStart"/>
      <w:r>
        <w:rPr>
          <w:rFonts w:ascii="Times New Roman" w:eastAsia="Times New Roman" w:hAnsi="Times New Roman" w:cs="Times New Roman"/>
          <w:color w:val="222222"/>
          <w:sz w:val="24"/>
          <w:szCs w:val="24"/>
          <w:highlight w:val="white"/>
        </w:rPr>
        <w:t>Ssekasi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w:t>
      </w:r>
    </w:p>
    <w:p w14:paraId="16BA4A6C"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Governance and Compliance with Regulations:</w:t>
      </w:r>
      <w:r>
        <w:rPr>
          <w:rFonts w:ascii="Times New Roman" w:eastAsia="Times New Roman" w:hAnsi="Times New Roman" w:cs="Times New Roman"/>
          <w:color w:val="0E101A"/>
          <w:sz w:val="24"/>
          <w:szCs w:val="24"/>
        </w:rPr>
        <w:t> HSBC has put in place strong compliance and management systems. This is demonstrated by the numerous regulatory licenses and permits it possesses from various countries, which demonstrate its dedication to upholding regulatory standards.</w:t>
      </w:r>
    </w:p>
    <w:p w14:paraId="16BA4A6D" w14:textId="77777777" w:rsidR="00BD0D5B" w:rsidRDefault="00B546B3">
      <w:pPr>
        <w:pStyle w:val="Heading2"/>
      </w:pPr>
      <w:bookmarkStart w:id="4" w:name="_heading=h.2et92p0" w:colFirst="0" w:colLast="0"/>
      <w:bookmarkEnd w:id="4"/>
      <w:r>
        <w:t>Analysis the company implementation about selected business and corporate strategies</w:t>
      </w:r>
    </w:p>
    <w:p w14:paraId="16BA4A6E"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order to meet strategic goals and stay viable in the international banking sector, HSBC has shown that its assets and expertise are significantly aligned with its present operation and corporate initiatives.</w:t>
      </w:r>
    </w:p>
    <w:p w14:paraId="16BA4A6F"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Worldwide Development and Network Usage:</w:t>
      </w:r>
    </w:p>
    <w:p w14:paraId="16BA4A70"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HSBC's worldwide growth is one of its main business strategies. The bank's global reach and wide-ranging network complement this approach flawlessly. It can efficiently service clients in a wide range of geographic areas thanks to its extensive network of subdivisions, ATMs, and online channels. HSBC offers both retail and business financial products and services, leveraging its worldwide reach to tap into numerous markets (</w:t>
      </w:r>
      <w:r>
        <w:rPr>
          <w:rFonts w:ascii="Times New Roman" w:eastAsia="Times New Roman" w:hAnsi="Times New Roman" w:cs="Times New Roman"/>
          <w:color w:val="222222"/>
          <w:sz w:val="24"/>
          <w:szCs w:val="24"/>
          <w:highlight w:val="white"/>
        </w:rPr>
        <w:t xml:space="preserve">Arlett </w:t>
      </w:r>
      <w:r>
        <w:rPr>
          <w:rFonts w:ascii="Times New Roman" w:eastAsia="Times New Roman" w:hAnsi="Times New Roman" w:cs="Times New Roman"/>
          <w:i/>
          <w:color w:val="222222"/>
          <w:sz w:val="24"/>
          <w:szCs w:val="24"/>
          <w:highlight w:val="white"/>
        </w:rPr>
        <w:t>e</w:t>
      </w:r>
      <w:r>
        <w:rPr>
          <w:rFonts w:ascii="Times New Roman" w:eastAsia="Times New Roman" w:hAnsi="Times New Roman" w:cs="Times New Roman"/>
          <w:i/>
          <w:color w:val="0E101A"/>
          <w:sz w:val="24"/>
          <w:szCs w:val="24"/>
        </w:rPr>
        <w:t>t al.,</w:t>
      </w:r>
      <w:r>
        <w:rPr>
          <w:rFonts w:ascii="Times New Roman" w:eastAsia="Times New Roman" w:hAnsi="Times New Roman" w:cs="Times New Roman"/>
          <w:color w:val="0E101A"/>
          <w:sz w:val="24"/>
          <w:szCs w:val="24"/>
        </w:rPr>
        <w:t xml:space="preserve"> 2022). The bank's capacity to adjust to and satisfy the particular needs of clients in various locations is indicative of this congruence.</w:t>
      </w:r>
    </w:p>
    <w:p w14:paraId="16BA4A71"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Technological Structure and Digital Transformation:</w:t>
      </w:r>
    </w:p>
    <w:p w14:paraId="16BA4A72"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HSBC's technological structure provides strong support for the bank's dedication to its digital evolution. The bank has made significant investments in digital infrastructure, which enable it to offer a wide range of financial services. In order to meet the evolving needs of consumers who are calling for more digital options, this synergy is essential. Additionally, it boosts the efficiency of operations and keeps HSBC viable in the rapidly changing digital banking market.</w:t>
      </w:r>
    </w:p>
    <w:p w14:paraId="16BA4A73"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Risk Control and Adherence to Regulations:</w:t>
      </w:r>
    </w:p>
    <w:p w14:paraId="16BA4A74"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E101A"/>
          <w:sz w:val="24"/>
          <w:szCs w:val="24"/>
        </w:rPr>
        <w:t>HSBC's approach to mitigating legal, monetary, and public image hazards is precisely aligned with its compliance with laws and regulations and risk-handling capabilities. The bank's history of successfully handling challenging regulatory contexts demonstrates this synergy (</w:t>
      </w:r>
      <w:r>
        <w:rPr>
          <w:rFonts w:ascii="Times New Roman" w:eastAsia="Times New Roman" w:hAnsi="Times New Roman" w:cs="Times New Roman"/>
          <w:color w:val="222222"/>
          <w:sz w:val="24"/>
          <w:szCs w:val="24"/>
          <w:highlight w:val="white"/>
        </w:rPr>
        <w:t xml:space="preserve">Moreno </w:t>
      </w:r>
      <w:r>
        <w:rPr>
          <w:rFonts w:ascii="Times New Roman" w:eastAsia="Times New Roman" w:hAnsi="Times New Roman" w:cs="Times New Roman"/>
          <w:i/>
          <w:color w:val="222222"/>
          <w:sz w:val="24"/>
          <w:szCs w:val="24"/>
          <w:highlight w:val="white"/>
        </w:rPr>
        <w:t xml:space="preserve">et </w:t>
      </w:r>
      <w:r>
        <w:rPr>
          <w:rFonts w:ascii="Times New Roman" w:eastAsia="Times New Roman" w:hAnsi="Times New Roman" w:cs="Times New Roman"/>
          <w:i/>
          <w:color w:val="222222"/>
          <w:sz w:val="24"/>
          <w:szCs w:val="24"/>
          <w:highlight w:val="white"/>
        </w:rPr>
        <w:lastRenderedPageBreak/>
        <w:t>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color w:val="0E101A"/>
          <w:sz w:val="24"/>
          <w:szCs w:val="24"/>
        </w:rPr>
        <w:t>. The capacity of HSBC to recognize, evaluate, and control risks is essential to its long-term viability.</w:t>
      </w:r>
    </w:p>
    <w:p w14:paraId="16BA4A75"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A Broad Range of Products and a Customer-First Focus:</w:t>
      </w:r>
    </w:p>
    <w:p w14:paraId="16BA4A76"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HSBC's broad range of skills enables it to implement an approach that emphasizes customers and offers a comprehensive product line. The bank can provide a range of financial goods and services to meet the needs of diverse customer categories, including individuals and worldwide enterprises. This match is a reflection of HSBC's dedication to meeting the wide range of desires of its clients, which in turn promotes client loyalty.</w:t>
      </w:r>
    </w:p>
    <w:p w14:paraId="16BA4A77" w14:textId="77777777" w:rsidR="00BD0D5B" w:rsidRDefault="00B546B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Talent and Expertise:</w:t>
      </w:r>
      <w:r>
        <w:rPr>
          <w:rFonts w:ascii="Times New Roman" w:eastAsia="Times New Roman" w:hAnsi="Times New Roman" w:cs="Times New Roman"/>
          <w:color w:val="0E101A"/>
          <w:sz w:val="24"/>
          <w:szCs w:val="24"/>
        </w:rPr>
        <w:t> HSBC's approach to retaining talented and varied staff is in line with its capacity to draw in, develop, and hold on to top talent. The bank can more effectively utilize the understanding and experience of its staff thanks to this synergy, which aids in the formulation and execution of its plans (</w:t>
      </w:r>
      <w:r>
        <w:rPr>
          <w:rFonts w:ascii="Times New Roman" w:eastAsia="Times New Roman" w:hAnsi="Times New Roman" w:cs="Times New Roman"/>
          <w:color w:val="222222"/>
          <w:sz w:val="24"/>
          <w:szCs w:val="24"/>
          <w:highlight w:val="white"/>
        </w:rPr>
        <w:t>Odom and Hyams-</w:t>
      </w:r>
      <w:proofErr w:type="spellStart"/>
      <w:r>
        <w:rPr>
          <w:rFonts w:ascii="Times New Roman" w:eastAsia="Times New Roman" w:hAnsi="Times New Roman" w:cs="Times New Roman"/>
          <w:color w:val="222222"/>
          <w:sz w:val="24"/>
          <w:szCs w:val="24"/>
          <w:highlight w:val="white"/>
        </w:rPr>
        <w:t>Ssekasi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w:t>
      </w:r>
    </w:p>
    <w:p w14:paraId="16BA4A78" w14:textId="77777777" w:rsidR="00BD0D5B" w:rsidRDefault="00B546B3">
      <w:pPr>
        <w:pStyle w:val="Heading2"/>
      </w:pPr>
      <w:bookmarkStart w:id="5" w:name="_heading=h.tyjcwt" w:colFirst="0" w:colLast="0"/>
      <w:bookmarkEnd w:id="5"/>
      <w:r>
        <w:t>Evaluate evidence how the selected company has tried to become more competitive in sustainability and the environment</w:t>
      </w:r>
    </w:p>
    <w:p w14:paraId="16BA4A79"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Notable efforts have been made by HSBC to improve its competitive position while taking sustainable and the natural world into account. </w:t>
      </w:r>
    </w:p>
    <w:p w14:paraId="16BA4A7A"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0" distB="0" distL="0" distR="0" wp14:anchorId="16BA4ACD" wp14:editId="16BA4ACE">
            <wp:extent cx="4743450" cy="2841909"/>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743450" cy="2841909"/>
                    </a:xfrm>
                    <a:prstGeom prst="rect">
                      <a:avLst/>
                    </a:prstGeom>
                    <a:ln/>
                  </pic:spPr>
                </pic:pic>
              </a:graphicData>
            </a:graphic>
          </wp:inline>
        </w:drawing>
      </w:r>
    </w:p>
    <w:p w14:paraId="16BA4A7B"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Figure 3: Sustainable finance investment </w:t>
      </w:r>
    </w:p>
    <w:p w14:paraId="16BA4A7C" w14:textId="77777777" w:rsidR="00BD0D5B" w:rsidRDefault="00B546B3">
      <w:pPr>
        <w:pBdr>
          <w:top w:val="nil"/>
          <w:left w:val="nil"/>
          <w:bottom w:val="nil"/>
          <w:right w:val="nil"/>
          <w:between w:val="nil"/>
        </w:pBdr>
        <w:spacing w:after="0"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(Source: </w:t>
      </w:r>
      <w:proofErr w:type="spellStart"/>
      <w:r>
        <w:rPr>
          <w:rFonts w:ascii="Times New Roman" w:eastAsia="Times New Roman" w:hAnsi="Times New Roman" w:cs="Times New Roman"/>
          <w:color w:val="222222"/>
          <w:sz w:val="24"/>
          <w:szCs w:val="24"/>
          <w:highlight w:val="white"/>
        </w:rPr>
        <w:t>statista</w:t>
      </w:r>
      <w:proofErr w:type="spellEnd"/>
      <w:r>
        <w:rPr>
          <w:rFonts w:ascii="Times New Roman" w:eastAsia="Times New Roman" w:hAnsi="Times New Roman" w:cs="Times New Roman"/>
          <w:color w:val="222222"/>
          <w:sz w:val="24"/>
          <w:szCs w:val="24"/>
          <w:highlight w:val="white"/>
        </w:rPr>
        <w:t>, 2022)</w:t>
      </w:r>
    </w:p>
    <w:p w14:paraId="16BA4A7D"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Initiatives for Sustainability: </w:t>
      </w:r>
      <w:r>
        <w:rPr>
          <w:rFonts w:ascii="Times New Roman" w:eastAsia="Times New Roman" w:hAnsi="Times New Roman" w:cs="Times New Roman"/>
          <w:color w:val="0E101A"/>
          <w:sz w:val="24"/>
          <w:szCs w:val="24"/>
        </w:rPr>
        <w:t>In order to integrate sustainably into its company's operations, HSBC has made considerable progress. The bank has promised to offer $100 billion in sustainable investment and lending by 2025 and is dedicated to making its activities carbon-</w:t>
      </w:r>
      <w:r>
        <w:rPr>
          <w:rFonts w:ascii="Times New Roman" w:eastAsia="Times New Roman" w:hAnsi="Times New Roman" w:cs="Times New Roman"/>
          <w:color w:val="0E101A"/>
          <w:sz w:val="24"/>
          <w:szCs w:val="24"/>
        </w:rPr>
        <w:lastRenderedPageBreak/>
        <w:t>neutral by 2030. These programs demonstrate HSBC's proactive stance in resolving environmental problems.</w:t>
      </w:r>
    </w:p>
    <w:p w14:paraId="16BA4A7E"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Ecological Funding: </w:t>
      </w:r>
      <w:r>
        <w:rPr>
          <w:rFonts w:ascii="Times New Roman" w:eastAsia="Times New Roman" w:hAnsi="Times New Roman" w:cs="Times New Roman"/>
          <w:color w:val="0E101A"/>
          <w:sz w:val="24"/>
          <w:szCs w:val="24"/>
        </w:rPr>
        <w:t>HSBC has demonstrated a proactive approach to green finance by endorsing initiatives that yield positive environmental outcomes. The bank's Green Finance division assists customers in obtaining funding for environment action-related initiatives (</w:t>
      </w:r>
      <w:proofErr w:type="spellStart"/>
      <w:r>
        <w:rPr>
          <w:rFonts w:ascii="Times New Roman" w:eastAsia="Times New Roman" w:hAnsi="Times New Roman" w:cs="Times New Roman"/>
          <w:color w:val="222222"/>
          <w:sz w:val="24"/>
          <w:szCs w:val="24"/>
          <w:highlight w:val="white"/>
        </w:rPr>
        <w:t>Karjaya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w:t>
      </w:r>
      <w:r>
        <w:rPr>
          <w:rFonts w:ascii="Times New Roman" w:eastAsia="Times New Roman" w:hAnsi="Times New Roman" w:cs="Times New Roman"/>
          <w:i/>
          <w:color w:val="0E101A"/>
          <w:sz w:val="24"/>
          <w:szCs w:val="24"/>
        </w:rPr>
        <w:t>t al.,</w:t>
      </w:r>
      <w:r>
        <w:rPr>
          <w:rFonts w:ascii="Times New Roman" w:eastAsia="Times New Roman" w:hAnsi="Times New Roman" w:cs="Times New Roman"/>
          <w:color w:val="0E101A"/>
          <w:sz w:val="24"/>
          <w:szCs w:val="24"/>
        </w:rPr>
        <w:t xml:space="preserve"> 2019). It has aided in the development of projects utilizing renewable energy, for instance, making the future more environmentally friendly and sustainable.</w:t>
      </w:r>
    </w:p>
    <w:p w14:paraId="16BA4A7F"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Integration of Governance, Social Responsibility, and the Environment (ESG)</w:t>
      </w:r>
      <w:r>
        <w:rPr>
          <w:rFonts w:ascii="Times New Roman" w:eastAsia="Times New Roman" w:hAnsi="Times New Roman" w:cs="Times New Roman"/>
          <w:color w:val="0E101A"/>
          <w:sz w:val="24"/>
          <w:szCs w:val="24"/>
        </w:rPr>
        <w:t>: ESG considerations have been incorporated by HSBC into its lending, investing, and risk management procedures. Both hazards as well as possibilities can be identified with the aid of the lender's ESG Risk Dashboards, which offer information on the environmental, social, and governance (ESG) achievements of its clients. This integration is proof of HSBC's dedication to operating with ethical and environmentally conscious business practices in mind.</w:t>
      </w:r>
    </w:p>
    <w:p w14:paraId="16BA4A80"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Lowering the Emission of Carbon:</w:t>
      </w:r>
      <w:r>
        <w:rPr>
          <w:rFonts w:ascii="Times New Roman" w:eastAsia="Times New Roman" w:hAnsi="Times New Roman" w:cs="Times New Roman"/>
          <w:color w:val="0E101A"/>
          <w:sz w:val="24"/>
          <w:szCs w:val="24"/>
        </w:rPr>
        <w:t> HSBC has established goals to lower its carbon footprint, one of which is to run all of its international operations entirely on green energy. In multiple regions, the bank was currently achieving this goal as of the year 2022. Cutting greenhouse gases can improve the competitiveness of an organization by lowering costs and supporting sustainability goals (</w:t>
      </w:r>
      <w:proofErr w:type="spellStart"/>
      <w:r>
        <w:rPr>
          <w:rFonts w:ascii="Times New Roman" w:eastAsia="Times New Roman" w:hAnsi="Times New Roman" w:cs="Times New Roman"/>
          <w:color w:val="222222"/>
          <w:sz w:val="24"/>
          <w:szCs w:val="24"/>
          <w:highlight w:val="white"/>
        </w:rPr>
        <w:t>Kapmeier</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2021).</w:t>
      </w:r>
    </w:p>
    <w:p w14:paraId="16BA4A81"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Eco-Friendly Banking and Investing Solutions:</w:t>
      </w:r>
      <w:r>
        <w:rPr>
          <w:rFonts w:ascii="Times New Roman" w:eastAsia="Times New Roman" w:hAnsi="Times New Roman" w:cs="Times New Roman"/>
          <w:color w:val="0E101A"/>
          <w:sz w:val="24"/>
          <w:szCs w:val="24"/>
        </w:rPr>
        <w:t> HSBC provides its customers with a selection of financial instruments and financial products. These consist of ESG investments, green bonds, and financing for sustainable commerce and supply chains. By offering such items, HSBC takes a piece of the expanding green banking industry while assisting its clients in matching their financial resources or activities with their environmental goals.</w:t>
      </w:r>
    </w:p>
    <w:p w14:paraId="16BA4A82"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Loyal Involvement:</w:t>
      </w:r>
      <w:r>
        <w:rPr>
          <w:rFonts w:ascii="Times New Roman" w:eastAsia="Times New Roman" w:hAnsi="Times New Roman" w:cs="Times New Roman"/>
          <w:color w:val="0E101A"/>
          <w:sz w:val="24"/>
          <w:szCs w:val="24"/>
        </w:rPr>
        <w:t> HSBC actively discusses sustainability-related concerns with a variety of customers, such as shareholders, consumers, and government departments. Responsibility and openness are demonstrated by the bank's yearly environmental report and publication of ESG-related indicators (</w:t>
      </w:r>
      <w:r>
        <w:rPr>
          <w:rFonts w:ascii="Times New Roman" w:eastAsia="Times New Roman" w:hAnsi="Times New Roman" w:cs="Times New Roman"/>
          <w:color w:val="222222"/>
          <w:sz w:val="24"/>
          <w:szCs w:val="24"/>
          <w:highlight w:val="white"/>
        </w:rPr>
        <w:t xml:space="preserve">Leclercq-Machado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w:t>
      </w:r>
    </w:p>
    <w:p w14:paraId="16BA4A83" w14:textId="77777777" w:rsidR="00BD0D5B" w:rsidRDefault="00B546B3">
      <w:pPr>
        <w:pStyle w:val="Heading2"/>
      </w:pPr>
      <w:bookmarkStart w:id="6" w:name="_heading=h.3dy6vkm" w:colFirst="0" w:colLast="0"/>
      <w:bookmarkEnd w:id="6"/>
      <w:r>
        <w:t>Evaluate the choices available for the HSBC Company’s strategic direction in the future</w:t>
      </w:r>
    </w:p>
    <w:p w14:paraId="16BA4A84" w14:textId="77777777" w:rsidR="00BD0D5B" w:rsidRDefault="00B546B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E101A"/>
          <w:sz w:val="24"/>
          <w:szCs w:val="24"/>
        </w:rPr>
        <w:t>As a major international bank, HSBC will need to make several strategic decisions in the future, particularly about the environment. </w:t>
      </w:r>
    </w:p>
    <w:p w14:paraId="16BA4A85"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HSBC's strategic decisions:</w:t>
      </w:r>
    </w:p>
    <w:p w14:paraId="16BA4A86"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lastRenderedPageBreak/>
        <w:t>Expanding Sustainable Finance:</w:t>
      </w:r>
      <w:r>
        <w:rPr>
          <w:rFonts w:ascii="Times New Roman" w:eastAsia="Times New Roman" w:hAnsi="Times New Roman" w:cs="Times New Roman"/>
          <w:color w:val="0E101A"/>
          <w:sz w:val="24"/>
          <w:szCs w:val="24"/>
        </w:rPr>
        <w:t> HSBC has the option of strengthening its dedication to sustainable financing. This entails increasing its financing and dedication to green initiatives like sustainable agriculture, environmentally friendly buildings, and energy produced from renewable sources (</w:t>
      </w:r>
      <w:proofErr w:type="spellStart"/>
      <w:r>
        <w:rPr>
          <w:rFonts w:ascii="Times New Roman" w:eastAsia="Times New Roman" w:hAnsi="Times New Roman" w:cs="Times New Roman"/>
          <w:color w:val="222222"/>
          <w:sz w:val="24"/>
          <w:szCs w:val="24"/>
          <w:highlight w:val="white"/>
        </w:rPr>
        <w:t>Kapmeier</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HSBC can obtain an edge over its competitors by focusing on underrepresented areas and industries with significant ecological potential to set itself apart.</w:t>
      </w:r>
    </w:p>
    <w:p w14:paraId="16BA4A87"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Sustainability-Related Items:</w:t>
      </w:r>
      <w:r>
        <w:rPr>
          <w:rFonts w:ascii="Times New Roman" w:eastAsia="Times New Roman" w:hAnsi="Times New Roman" w:cs="Times New Roman"/>
          <w:color w:val="0E101A"/>
          <w:sz w:val="24"/>
          <w:szCs w:val="24"/>
        </w:rPr>
        <w:t> The bank can launch cutting-edge finance services and solutions that are connected to environmental outcomes. One way to do this would be to provide loans that lowered interest rates contingent upon the clients meeting sustainability goals. In this way, HSBC may encourage customers to embrace sustainable practices and establish a distinctive selling proposition in the financial industry.</w:t>
      </w:r>
    </w:p>
    <w:p w14:paraId="16BA4A88"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Involvement and Reporting of Stakeholders: </w:t>
      </w:r>
      <w:r>
        <w:rPr>
          <w:rFonts w:ascii="Times New Roman" w:eastAsia="Times New Roman" w:hAnsi="Times New Roman" w:cs="Times New Roman"/>
          <w:color w:val="0E101A"/>
          <w:sz w:val="24"/>
          <w:szCs w:val="24"/>
        </w:rPr>
        <w:t>HSBC has the potential to improve its documentation on environmental and stakeholder involvement. HSBC can get important insights and foster confidence by actively incorporating participants in the financial institution's ecological activities, such as shareholders, clients, and non-governmental organizations (</w:t>
      </w:r>
      <w:r>
        <w:rPr>
          <w:rFonts w:ascii="Times New Roman" w:eastAsia="Times New Roman" w:hAnsi="Times New Roman" w:cs="Times New Roman"/>
          <w:color w:val="222222"/>
          <w:sz w:val="24"/>
          <w:szCs w:val="24"/>
          <w:highlight w:val="white"/>
        </w:rPr>
        <w:t>Chen and Lai, 2019)</w:t>
      </w:r>
      <w:r>
        <w:rPr>
          <w:rFonts w:ascii="Times New Roman" w:eastAsia="Times New Roman" w:hAnsi="Times New Roman" w:cs="Times New Roman"/>
          <w:color w:val="0E101A"/>
          <w:sz w:val="24"/>
          <w:szCs w:val="24"/>
        </w:rPr>
        <w:t>. The bank can differentiate itself from rivals by showcasing its dedication to responsible banking and fiscal responsibility through more openness in reporting on sustainability in</w:t>
      </w:r>
      <w:r>
        <w:rPr>
          <w:rFonts w:ascii="Times New Roman" w:eastAsia="Times New Roman" w:hAnsi="Times New Roman" w:cs="Times New Roman"/>
          <w:color w:val="0E101A"/>
          <w:sz w:val="24"/>
          <w:szCs w:val="24"/>
        </w:rPr>
        <w:t>itiatives.</w:t>
      </w:r>
    </w:p>
    <w:p w14:paraId="16BA4A89"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Climate Risk Evaluation: </w:t>
      </w:r>
      <w:r>
        <w:rPr>
          <w:rFonts w:ascii="Times New Roman" w:eastAsia="Times New Roman" w:hAnsi="Times New Roman" w:cs="Times New Roman"/>
          <w:color w:val="0E101A"/>
          <w:sz w:val="24"/>
          <w:szCs w:val="24"/>
        </w:rPr>
        <w:t>It may be wise for them to strategically consider climatic risk assessments when making financing and investment choices. HSBC can lessen its exposure to possible losses due to the effects of climate change by assessing environmental hazards connected to different initiatives and businesses. By taking a proactive stance, the bank may improve its standing for ethical lending as well as risk management (</w:t>
      </w: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xml:space="preserve"> and Mathew,  2021)</w:t>
      </w:r>
      <w:r>
        <w:rPr>
          <w:rFonts w:ascii="Times New Roman" w:eastAsia="Times New Roman" w:hAnsi="Times New Roman" w:cs="Times New Roman"/>
          <w:color w:val="0E101A"/>
          <w:sz w:val="24"/>
          <w:szCs w:val="24"/>
        </w:rPr>
        <w:t>.</w:t>
      </w:r>
    </w:p>
    <w:p w14:paraId="16BA4A8A" w14:textId="77777777" w:rsidR="00BD0D5B" w:rsidRDefault="00B546B3">
      <w:pPr>
        <w:pStyle w:val="Heading2"/>
        <w:rPr>
          <w:color w:val="0E101A"/>
        </w:rPr>
      </w:pPr>
      <w:bookmarkStart w:id="7" w:name="_heading=h.1t3h5sf" w:colFirst="0" w:colLast="0"/>
      <w:bookmarkEnd w:id="7"/>
      <w:r>
        <w:t>Suggestions</w:t>
      </w:r>
      <w:r>
        <w:rPr>
          <w:color w:val="0E101A"/>
        </w:rPr>
        <w:t xml:space="preserve"> for Using Sustainability </w:t>
      </w:r>
      <w:r>
        <w:t>Practices</w:t>
      </w:r>
      <w:r>
        <w:rPr>
          <w:color w:val="0E101A"/>
        </w:rPr>
        <w:t xml:space="preserve"> to Gain Competitive Advantages</w:t>
      </w:r>
    </w:p>
    <w:p w14:paraId="16BA4A8B" w14:textId="77777777" w:rsidR="00BD0D5B" w:rsidRDefault="00BD0D5B"/>
    <w:p w14:paraId="16BA4A8C"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Digital transformation and innovation: </w:t>
      </w:r>
      <w:r>
        <w:rPr>
          <w:rFonts w:ascii="Times New Roman" w:eastAsia="Times New Roman" w:hAnsi="Times New Roman" w:cs="Times New Roman"/>
          <w:color w:val="0E101A"/>
          <w:sz w:val="24"/>
          <w:szCs w:val="24"/>
        </w:rPr>
        <w:t>HSBC should keep funding technological innovation, particularly in fields like data analytics, block chain technology, and fintech. Employing technologies can lower operating costs, improve customer satisfaction, and assist efforts toward environmentally friendly financing (</w:t>
      </w:r>
      <w:r>
        <w:rPr>
          <w:rFonts w:ascii="Times New Roman" w:eastAsia="Times New Roman" w:hAnsi="Times New Roman" w:cs="Times New Roman"/>
          <w:color w:val="222222"/>
          <w:sz w:val="24"/>
          <w:szCs w:val="24"/>
          <w:highlight w:val="white"/>
        </w:rPr>
        <w:t>Katerina, 2020)</w:t>
      </w:r>
      <w:r>
        <w:rPr>
          <w:rFonts w:ascii="Times New Roman" w:eastAsia="Times New Roman" w:hAnsi="Times New Roman" w:cs="Times New Roman"/>
          <w:color w:val="0E101A"/>
          <w:sz w:val="24"/>
          <w:szCs w:val="24"/>
        </w:rPr>
        <w:t>. The creation of intuitive smartphone applications to monitor sustainability metrics and influence investments has the potential to draw in a fresh cohort of environmentally and socially conscious consumers.</w:t>
      </w:r>
    </w:p>
    <w:p w14:paraId="16BA4A8D"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Initiatives in Education:</w:t>
      </w:r>
      <w:r>
        <w:rPr>
          <w:rFonts w:ascii="Times New Roman" w:eastAsia="Times New Roman" w:hAnsi="Times New Roman" w:cs="Times New Roman"/>
          <w:color w:val="0E101A"/>
          <w:sz w:val="24"/>
          <w:szCs w:val="24"/>
        </w:rPr>
        <w:t>  HSBC can lead the way. In addition to assisting customers in making educated decisions, the bank can establish itself as a sustainability innovator by offering materials, live webinars, as well as conferences on the advantages and prospects of environmentally friendly banking.</w:t>
      </w:r>
    </w:p>
    <w:p w14:paraId="16BA4A8E"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Sustainable investing Funds and Green Bonds: </w:t>
      </w:r>
      <w:r>
        <w:rPr>
          <w:rFonts w:ascii="Times New Roman" w:eastAsia="Times New Roman" w:hAnsi="Times New Roman" w:cs="Times New Roman"/>
          <w:color w:val="0E101A"/>
          <w:sz w:val="24"/>
          <w:szCs w:val="24"/>
        </w:rPr>
        <w:t xml:space="preserve">HSBC can draw in customers and investors who care about the surroundings by growing its selection of ecological bonds and environmentally friendly financial vehicles. Clients who value sustainability will be drawn to these investment options because they may generate profits and give them entry to environmentally </w:t>
      </w:r>
      <w:proofErr w:type="spellStart"/>
      <w:r>
        <w:rPr>
          <w:rFonts w:ascii="Times New Roman" w:eastAsia="Times New Roman" w:hAnsi="Times New Roman" w:cs="Times New Roman"/>
          <w:color w:val="0E101A"/>
          <w:sz w:val="24"/>
          <w:szCs w:val="24"/>
        </w:rPr>
        <w:t>favorable</w:t>
      </w:r>
      <w:proofErr w:type="spellEnd"/>
      <w:r>
        <w:rPr>
          <w:rFonts w:ascii="Times New Roman" w:eastAsia="Times New Roman" w:hAnsi="Times New Roman" w:cs="Times New Roman"/>
          <w:color w:val="0E101A"/>
          <w:sz w:val="24"/>
          <w:szCs w:val="24"/>
        </w:rPr>
        <w:t xml:space="preserve"> projects and assets (</w:t>
      </w:r>
      <w:r>
        <w:rPr>
          <w:rFonts w:ascii="Times New Roman" w:eastAsia="Times New Roman" w:hAnsi="Times New Roman" w:cs="Times New Roman"/>
          <w:color w:val="222222"/>
          <w:sz w:val="24"/>
          <w:szCs w:val="24"/>
          <w:highlight w:val="white"/>
        </w:rPr>
        <w:t>Maltais and Nykvist,  2020)</w:t>
      </w:r>
      <w:r>
        <w:rPr>
          <w:rFonts w:ascii="Times New Roman" w:eastAsia="Times New Roman" w:hAnsi="Times New Roman" w:cs="Times New Roman"/>
          <w:color w:val="0E101A"/>
          <w:sz w:val="24"/>
          <w:szCs w:val="24"/>
        </w:rPr>
        <w:t>.</w:t>
      </w:r>
    </w:p>
    <w:p w14:paraId="16BA4A8F"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Alliances &amp; relationships: </w:t>
      </w:r>
      <w:r>
        <w:rPr>
          <w:rFonts w:ascii="Times New Roman" w:eastAsia="Times New Roman" w:hAnsi="Times New Roman" w:cs="Times New Roman"/>
          <w:color w:val="0E101A"/>
          <w:sz w:val="24"/>
          <w:szCs w:val="24"/>
        </w:rPr>
        <w:t>HSBC can gain important insights and relationships by working with educational institutions, NGOs, and charitable organizations. These kinds of partnerships may offer creative projects and expertise exchanges that strengthen the bank's efforts to be sustainable and provide it with a competitive advantage.</w:t>
      </w:r>
    </w:p>
    <w:p w14:paraId="16BA4A90"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Worldwide Headship: </w:t>
      </w:r>
      <w:r>
        <w:rPr>
          <w:rFonts w:ascii="Times New Roman" w:eastAsia="Times New Roman" w:hAnsi="Times New Roman" w:cs="Times New Roman"/>
          <w:color w:val="0E101A"/>
          <w:sz w:val="24"/>
          <w:szCs w:val="24"/>
        </w:rPr>
        <w:t>By actively taking part in international conferences, initiatives, and forums on sustainability, HSBC can establish itself as a pioneer in the field of sustainable finance (</w:t>
      </w:r>
      <w:r>
        <w:rPr>
          <w:rFonts w:ascii="Times New Roman" w:eastAsia="Times New Roman" w:hAnsi="Times New Roman" w:cs="Times New Roman"/>
          <w:color w:val="222222"/>
          <w:sz w:val="24"/>
          <w:szCs w:val="24"/>
          <w:highlight w:val="white"/>
        </w:rPr>
        <w:t xml:space="preserve">Chang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E101A"/>
          <w:sz w:val="24"/>
          <w:szCs w:val="24"/>
        </w:rPr>
        <w:t xml:space="preserve"> This not only demonstrates the bank's dedication that also strengthens ties with important parties, such as governments, and regulators.</w:t>
      </w:r>
    </w:p>
    <w:p w14:paraId="16BA4A91" w14:textId="77777777" w:rsidR="00BD0D5B" w:rsidRDefault="00B546B3">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Goals for conservation and the climate: </w:t>
      </w:r>
      <w:r>
        <w:rPr>
          <w:rFonts w:ascii="Times New Roman" w:eastAsia="Times New Roman" w:hAnsi="Times New Roman" w:cs="Times New Roman"/>
          <w:color w:val="0E101A"/>
          <w:sz w:val="24"/>
          <w:szCs w:val="24"/>
        </w:rPr>
        <w:t>HSBC bank needs to report on its success regularly and set high goals for sustainability. These goals may include cutting emissions of carbon dioxide, raising the amount of money committed to environmentally friendly funding, and developing government and social projects. HSBC's commercial standing and reputation can be improved by meeting and surpassing these goals.</w:t>
      </w:r>
    </w:p>
    <w:p w14:paraId="16BA4A92"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Employee Motivation and Rewards: </w:t>
      </w:r>
      <w:r>
        <w:rPr>
          <w:rFonts w:ascii="Times New Roman" w:eastAsia="Times New Roman" w:hAnsi="Times New Roman" w:cs="Times New Roman"/>
          <w:color w:val="0E101A"/>
          <w:sz w:val="24"/>
          <w:szCs w:val="24"/>
        </w:rPr>
        <w:t xml:space="preserve">An employee body that is in line with the </w:t>
      </w:r>
      <w:proofErr w:type="spellStart"/>
      <w:r>
        <w:rPr>
          <w:rFonts w:ascii="Times New Roman" w:eastAsia="Times New Roman" w:hAnsi="Times New Roman" w:cs="Times New Roman"/>
          <w:color w:val="0E101A"/>
          <w:sz w:val="24"/>
          <w:szCs w:val="24"/>
        </w:rPr>
        <w:t>the</w:t>
      </w:r>
      <w:proofErr w:type="spellEnd"/>
      <w:r>
        <w:rPr>
          <w:rFonts w:ascii="Times New Roman" w:eastAsia="Times New Roman" w:hAnsi="Times New Roman" w:cs="Times New Roman"/>
          <w:color w:val="0E101A"/>
          <w:sz w:val="24"/>
          <w:szCs w:val="24"/>
        </w:rPr>
        <w:t xml:space="preserve"> financial institution's sustainability objectives can be developed by promoting environmental ideals among staff members and incorporating them into incentive payments for performance (</w:t>
      </w:r>
      <w:r>
        <w:rPr>
          <w:rFonts w:ascii="Times New Roman" w:eastAsia="Times New Roman" w:hAnsi="Times New Roman" w:cs="Times New Roman"/>
          <w:color w:val="222222"/>
          <w:sz w:val="24"/>
          <w:szCs w:val="24"/>
          <w:highlight w:val="white"/>
        </w:rPr>
        <w:t xml:space="preserve">Kumari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rPr>
        <w:t>. Committed and active staff members are more inclined to promote and lead initiatives that promote sustainability, which can result in improved service to clients and creative problem-solving.</w:t>
      </w:r>
    </w:p>
    <w:p w14:paraId="16BA4A93" w14:textId="77777777" w:rsidR="00BD0D5B" w:rsidRDefault="00B546B3">
      <w:pPr>
        <w:pStyle w:val="Heading1"/>
      </w:pPr>
      <w:bookmarkStart w:id="8" w:name="_heading=h.4d34og8" w:colFirst="0" w:colLast="0"/>
      <w:bookmarkEnd w:id="8"/>
      <w:r>
        <w:t xml:space="preserve">Conclusion </w:t>
      </w:r>
    </w:p>
    <w:p w14:paraId="16BA4A94"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has demonstrated strategic adeptness by aligning its extensive capabilities and resources with its corporate vision. This alignment has been pivotal in successfully implementing its strategies, with a strong emphasis on technological innovation, risk management, and </w:t>
      </w:r>
      <w:r>
        <w:rPr>
          <w:rFonts w:ascii="Times New Roman" w:eastAsia="Times New Roman" w:hAnsi="Times New Roman" w:cs="Times New Roman"/>
          <w:sz w:val="24"/>
          <w:szCs w:val="24"/>
        </w:rPr>
        <w:lastRenderedPageBreak/>
        <w:t>customer-centricity. HSBC's global network has played a vital role in its expansion, allowing it to offer diverse products and maintain a robust brand reputation. Moving forward, the bank's focus on sustainability and environmental initiatives, coupled with strategic stakeholder engagement and digital transformation, will be critical in enhancing its competitiveness. HSBC's commitment to sustainability is not just an ethical choice but a strategic one, positioning it to meet future challenges and customer e</w:t>
      </w:r>
      <w:r>
        <w:rPr>
          <w:rFonts w:ascii="Times New Roman" w:eastAsia="Times New Roman" w:hAnsi="Times New Roman" w:cs="Times New Roman"/>
          <w:sz w:val="24"/>
          <w:szCs w:val="24"/>
        </w:rPr>
        <w:t>xpectations in a rapidly evolving global financial landscape.</w:t>
      </w:r>
    </w:p>
    <w:p w14:paraId="16BA4A95" w14:textId="77777777" w:rsidR="00BD0D5B" w:rsidRDefault="00BD0D5B">
      <w:pPr>
        <w:spacing w:line="360" w:lineRule="auto"/>
        <w:jc w:val="both"/>
        <w:rPr>
          <w:rFonts w:ascii="Times New Roman" w:eastAsia="Times New Roman" w:hAnsi="Times New Roman" w:cs="Times New Roman"/>
          <w:sz w:val="24"/>
          <w:szCs w:val="24"/>
        </w:rPr>
      </w:pPr>
    </w:p>
    <w:p w14:paraId="16BA4A96" w14:textId="77777777" w:rsidR="00BD0D5B" w:rsidRDefault="00BD0D5B">
      <w:pPr>
        <w:spacing w:line="360" w:lineRule="auto"/>
        <w:jc w:val="both"/>
        <w:rPr>
          <w:rFonts w:ascii="Times New Roman" w:eastAsia="Times New Roman" w:hAnsi="Times New Roman" w:cs="Times New Roman"/>
          <w:sz w:val="24"/>
          <w:szCs w:val="24"/>
        </w:rPr>
      </w:pPr>
    </w:p>
    <w:p w14:paraId="16BA4A97" w14:textId="77777777" w:rsidR="00BD0D5B" w:rsidRDefault="00B546B3">
      <w:pPr>
        <w:spacing w:after="0" w:line="240" w:lineRule="auto"/>
        <w:rPr>
          <w:rFonts w:ascii="Times New Roman" w:eastAsia="Times New Roman" w:hAnsi="Times New Roman" w:cs="Times New Roman"/>
          <w:sz w:val="24"/>
          <w:szCs w:val="24"/>
        </w:rPr>
      </w:pPr>
      <w:r>
        <w:br w:type="page"/>
      </w:r>
    </w:p>
    <w:p w14:paraId="16BA4A98" w14:textId="77777777" w:rsidR="00BD0D5B" w:rsidRDefault="00B546B3">
      <w:pPr>
        <w:pStyle w:val="Heading1"/>
      </w:pPr>
      <w:bookmarkStart w:id="9" w:name="_heading=h.2s8eyo1" w:colFirst="0" w:colLast="0"/>
      <w:bookmarkEnd w:id="9"/>
      <w:r>
        <w:lastRenderedPageBreak/>
        <w:t xml:space="preserve">References </w:t>
      </w:r>
    </w:p>
    <w:p w14:paraId="16BA4A99"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Arlett, P., Kjær, J., Broich, K. and Cooke, E., 2022. Real‐world evidence in EU medicines regulation: enabling use and establishing value. </w:t>
      </w:r>
      <w:r>
        <w:rPr>
          <w:rFonts w:ascii="Times New Roman" w:eastAsia="Times New Roman" w:hAnsi="Times New Roman" w:cs="Times New Roman"/>
          <w:i/>
          <w:color w:val="222222"/>
          <w:sz w:val="24"/>
          <w:szCs w:val="24"/>
          <w:highlight w:val="white"/>
        </w:rPr>
        <w:t>Clinical Pharmacology and Therapeutics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111</w:t>
      </w:r>
      <w:r>
        <w:rPr>
          <w:rFonts w:ascii="Times New Roman" w:eastAsia="Times New Roman" w:hAnsi="Times New Roman" w:cs="Times New Roman"/>
          <w:color w:val="222222"/>
          <w:sz w:val="24"/>
          <w:szCs w:val="24"/>
          <w:highlight w:val="white"/>
        </w:rPr>
        <w:t>(1), p.21.</w:t>
      </w:r>
    </w:p>
    <w:p w14:paraId="16BA4A9A"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Balian, M.I., 2022. </w:t>
      </w:r>
      <w:r>
        <w:rPr>
          <w:rFonts w:ascii="Times New Roman" w:eastAsia="Times New Roman" w:hAnsi="Times New Roman" w:cs="Times New Roman"/>
          <w:i/>
          <w:color w:val="222222"/>
          <w:sz w:val="24"/>
          <w:szCs w:val="24"/>
          <w:highlight w:val="white"/>
        </w:rPr>
        <w:t>Reputation Risk and Reputation Risk Management: Case Study Applied on Facebook and HSBC</w:t>
      </w:r>
      <w:r>
        <w:rPr>
          <w:rFonts w:ascii="Times New Roman" w:eastAsia="Times New Roman" w:hAnsi="Times New Roman" w:cs="Times New Roman"/>
          <w:color w:val="222222"/>
          <w:sz w:val="24"/>
          <w:szCs w:val="24"/>
          <w:highlight w:val="white"/>
        </w:rPr>
        <w:t xml:space="preserve"> (Doctoral dissertation, Pharos University in Alexandria).</w:t>
      </w:r>
    </w:p>
    <w:p w14:paraId="16BA4A9B"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Chang, Q., Conwell, Y., Wu, D., Guo, Y. and Yip, P.S., 2019. A study on household headship, living arrangement, and recipient of pension among the older adults in association with suicidal risks. </w:t>
      </w:r>
      <w:r>
        <w:rPr>
          <w:rFonts w:ascii="Times New Roman" w:eastAsia="Times New Roman" w:hAnsi="Times New Roman" w:cs="Times New Roman"/>
          <w:i/>
          <w:color w:val="222222"/>
          <w:sz w:val="24"/>
          <w:szCs w:val="24"/>
          <w:highlight w:val="white"/>
        </w:rPr>
        <w:t>Journal of affective disorders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256</w:t>
      </w:r>
      <w:r>
        <w:rPr>
          <w:rFonts w:ascii="Times New Roman" w:eastAsia="Times New Roman" w:hAnsi="Times New Roman" w:cs="Times New Roman"/>
          <w:color w:val="222222"/>
          <w:sz w:val="24"/>
          <w:szCs w:val="24"/>
          <w:highlight w:val="white"/>
        </w:rPr>
        <w:t>, pp.618-626.</w:t>
      </w:r>
    </w:p>
    <w:p w14:paraId="16BA4A9C"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Y. and Lai, J., 2019, May. Information and Personal Networking in Decision-making Process: the Case of HSBC. In </w:t>
      </w:r>
      <w:r>
        <w:rPr>
          <w:rFonts w:ascii="Times New Roman" w:eastAsia="Times New Roman" w:hAnsi="Times New Roman" w:cs="Times New Roman"/>
          <w:i/>
          <w:color w:val="222222"/>
          <w:sz w:val="24"/>
          <w:szCs w:val="24"/>
          <w:highlight w:val="white"/>
        </w:rPr>
        <w:t>2019 International Conference on Management, Education Technology and Economics (ICMETE 2019)</w:t>
      </w:r>
      <w:r>
        <w:rPr>
          <w:rFonts w:ascii="Times New Roman" w:eastAsia="Times New Roman" w:hAnsi="Times New Roman" w:cs="Times New Roman"/>
          <w:color w:val="222222"/>
          <w:sz w:val="24"/>
          <w:szCs w:val="24"/>
          <w:highlight w:val="white"/>
        </w:rPr>
        <w:t xml:space="preserve"> (pp. 523-526). Atlantis Press.</w:t>
      </w:r>
    </w:p>
    <w:p w14:paraId="16BA4A9D"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HSBC, 2022, company </w:t>
      </w:r>
      <w:proofErr w:type="spellStart"/>
      <w:r>
        <w:rPr>
          <w:rFonts w:ascii="Times New Roman" w:eastAsia="Times New Roman" w:hAnsi="Times New Roman" w:cs="Times New Roman"/>
          <w:sz w:val="24"/>
          <w:szCs w:val="24"/>
        </w:rPr>
        <w:t>Avaiable</w:t>
      </w:r>
      <w:proofErr w:type="spellEnd"/>
      <w:r>
        <w:rPr>
          <w:rFonts w:ascii="Times New Roman" w:eastAsia="Times New Roman" w:hAnsi="Times New Roman" w:cs="Times New Roman"/>
          <w:sz w:val="24"/>
          <w:szCs w:val="24"/>
        </w:rPr>
        <w:t xml:space="preserve"> at: </w:t>
      </w:r>
      <w:hyperlink r:id="rId11">
        <w:r>
          <w:rPr>
            <w:rFonts w:ascii="Times New Roman" w:eastAsia="Times New Roman" w:hAnsi="Times New Roman" w:cs="Times New Roman"/>
            <w:color w:val="0000FF"/>
            <w:sz w:val="24"/>
            <w:szCs w:val="24"/>
            <w:u w:val="single"/>
          </w:rPr>
          <w:t>https://find-and-update.company information.service.gov.uk/company/00617987</w:t>
        </w:r>
      </w:hyperlink>
      <w:r>
        <w:rPr>
          <w:rFonts w:ascii="Times New Roman" w:eastAsia="Times New Roman" w:hAnsi="Times New Roman" w:cs="Times New Roman"/>
          <w:sz w:val="24"/>
          <w:szCs w:val="24"/>
        </w:rPr>
        <w:t xml:space="preserve"> [Accessed on 04.11.2023]</w:t>
      </w:r>
    </w:p>
    <w:p w14:paraId="16BA4A9E"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Kapmeier</w:t>
      </w:r>
      <w:proofErr w:type="spellEnd"/>
      <w:r>
        <w:rPr>
          <w:rFonts w:ascii="Times New Roman" w:eastAsia="Times New Roman" w:hAnsi="Times New Roman" w:cs="Times New Roman"/>
          <w:color w:val="222222"/>
          <w:sz w:val="24"/>
          <w:szCs w:val="24"/>
          <w:highlight w:val="white"/>
        </w:rPr>
        <w:t xml:space="preserve">, F., Greenspan, A., Jones, A. and Sterman, J., 2021. Science-based analysis for climate action: how HSBC Bank uses the En-ROADS climate policy simulation. </w:t>
      </w:r>
      <w:r>
        <w:rPr>
          <w:rFonts w:ascii="Times New Roman" w:eastAsia="Times New Roman" w:hAnsi="Times New Roman" w:cs="Times New Roman"/>
          <w:i/>
          <w:color w:val="222222"/>
          <w:sz w:val="24"/>
          <w:szCs w:val="24"/>
          <w:highlight w:val="white"/>
        </w:rPr>
        <w:t>System dynamics review: the journal of the System Dynamics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(4), pp.333-352.</w:t>
      </w:r>
    </w:p>
    <w:p w14:paraId="16BA4A9F"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Kapmeier</w:t>
      </w:r>
      <w:proofErr w:type="spellEnd"/>
      <w:r>
        <w:rPr>
          <w:rFonts w:ascii="Times New Roman" w:eastAsia="Times New Roman" w:hAnsi="Times New Roman" w:cs="Times New Roman"/>
          <w:color w:val="222222"/>
          <w:sz w:val="24"/>
          <w:szCs w:val="24"/>
          <w:highlight w:val="white"/>
        </w:rPr>
        <w:t xml:space="preserve">, F., Greenspan, A., Jones, A. and Sterman, J., 2021. Science-based analysis for climate action: how HSBC Bank uses the En-ROADS climate policy simulation. </w:t>
      </w:r>
      <w:r>
        <w:rPr>
          <w:rFonts w:ascii="Times New Roman" w:eastAsia="Times New Roman" w:hAnsi="Times New Roman" w:cs="Times New Roman"/>
          <w:i/>
          <w:color w:val="222222"/>
          <w:sz w:val="24"/>
          <w:szCs w:val="24"/>
          <w:highlight w:val="white"/>
        </w:rPr>
        <w:t>System dynamics review: the journal of the System Dynamics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(4), pp.333-352.</w:t>
      </w:r>
    </w:p>
    <w:p w14:paraId="16BA4AA0"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Karjaya</w:t>
      </w:r>
      <w:proofErr w:type="spellEnd"/>
      <w:r>
        <w:rPr>
          <w:rFonts w:ascii="Times New Roman" w:eastAsia="Times New Roman" w:hAnsi="Times New Roman" w:cs="Times New Roman"/>
          <w:color w:val="222222"/>
          <w:sz w:val="24"/>
          <w:szCs w:val="24"/>
          <w:highlight w:val="white"/>
        </w:rPr>
        <w:t xml:space="preserve">, L.P., </w:t>
      </w:r>
      <w:proofErr w:type="spellStart"/>
      <w:r>
        <w:rPr>
          <w:rFonts w:ascii="Times New Roman" w:eastAsia="Times New Roman" w:hAnsi="Times New Roman" w:cs="Times New Roman"/>
          <w:color w:val="222222"/>
          <w:sz w:val="24"/>
          <w:szCs w:val="24"/>
          <w:highlight w:val="white"/>
        </w:rPr>
        <w:t>Satris</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Suspiati</w:t>
      </w:r>
      <w:proofErr w:type="spellEnd"/>
      <w:r>
        <w:rPr>
          <w:rFonts w:ascii="Times New Roman" w:eastAsia="Times New Roman" w:hAnsi="Times New Roman" w:cs="Times New Roman"/>
          <w:color w:val="222222"/>
          <w:sz w:val="24"/>
          <w:szCs w:val="24"/>
          <w:highlight w:val="white"/>
        </w:rPr>
        <w:t xml:space="preserve">, S., 2019. Greenpeace, Corporations and Deforestation Crimes: A Case study of Hongkong Shanghai Bank Corporation (HSBC) in Indonesia. </w:t>
      </w:r>
      <w:proofErr w:type="spellStart"/>
      <w:r>
        <w:rPr>
          <w:rFonts w:ascii="Times New Roman" w:eastAsia="Times New Roman" w:hAnsi="Times New Roman" w:cs="Times New Roman"/>
          <w:i/>
          <w:color w:val="222222"/>
          <w:sz w:val="24"/>
          <w:szCs w:val="24"/>
          <w:highlight w:val="white"/>
        </w:rPr>
        <w:t>Jurnal</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Hubungan</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Internasional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 pp.203-214.</w:t>
      </w:r>
    </w:p>
    <w:p w14:paraId="16BA4AA1"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Katerina, T., 2020. The challenges of digital transformation in banking industry.</w:t>
      </w:r>
    </w:p>
    <w:p w14:paraId="16BA4AA2"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Kumari, K., Barkat Ali, S., Un Nisa Khan, N. and Abbas, J., 2021. Examining the role of motivation and reward in employees’ job performance through mediating effect of job satisfaction: An empirical evidence. </w:t>
      </w:r>
      <w:r>
        <w:rPr>
          <w:rFonts w:ascii="Times New Roman" w:eastAsia="Times New Roman" w:hAnsi="Times New Roman" w:cs="Times New Roman"/>
          <w:i/>
          <w:color w:val="222222"/>
          <w:sz w:val="24"/>
          <w:szCs w:val="24"/>
          <w:highlight w:val="white"/>
        </w:rPr>
        <w:t>International Journal of Organizational Leadership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pp.401-420.</w:t>
      </w:r>
    </w:p>
    <w:p w14:paraId="16BA4AA3"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Leclercq-Machado, L., Alvarez-Risco, A., Esquerre-Botton, S., Almanza-Cruz, C., de las Mercedes Anderson-Seminario, M., Del-Aguila-Arcentales, S. and Yáñez, J.A., 2022. Effect </w:t>
      </w:r>
      <w:r>
        <w:rPr>
          <w:rFonts w:ascii="Times New Roman" w:eastAsia="Times New Roman" w:hAnsi="Times New Roman" w:cs="Times New Roman"/>
          <w:color w:val="222222"/>
          <w:sz w:val="24"/>
          <w:szCs w:val="24"/>
          <w:highlight w:val="white"/>
        </w:rPr>
        <w:lastRenderedPageBreak/>
        <w:t xml:space="preserve">of Corporate social responsibility on consumer satisfaction and consumer loyalty of private banking companies in Peru.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(15), p.9078.</w:t>
      </w:r>
    </w:p>
    <w:p w14:paraId="16BA4AA4"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Martinez-Contreras, R.M., Hernandez-Mora, N.C., Vargas-Leguizamon, Y.R. and Borja-Barrera, S.M., 2022. Pestel Analysis and the Porter's Five Forces: An Integrated Model of Strategic Sectors. In </w:t>
      </w:r>
      <w:r>
        <w:rPr>
          <w:rFonts w:ascii="Times New Roman" w:eastAsia="Times New Roman" w:hAnsi="Times New Roman" w:cs="Times New Roman"/>
          <w:i/>
          <w:color w:val="222222"/>
          <w:sz w:val="24"/>
          <w:szCs w:val="24"/>
          <w:highlight w:val="white"/>
        </w:rPr>
        <w:t>Handbook of Research on Organizational Sustainability in Turbulent Economies</w:t>
      </w:r>
      <w:r>
        <w:rPr>
          <w:rFonts w:ascii="Times New Roman" w:eastAsia="Times New Roman" w:hAnsi="Times New Roman" w:cs="Times New Roman"/>
          <w:color w:val="222222"/>
          <w:sz w:val="24"/>
          <w:szCs w:val="24"/>
          <w:highlight w:val="white"/>
        </w:rPr>
        <w:t> (pp. 292-314). IGI Global.</w:t>
      </w:r>
    </w:p>
    <w:p w14:paraId="16BA4AA5"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Maltais, A. and Nykvist, B., 2020. Understanding the role of green bonds in advancing sustainability. </w:t>
      </w:r>
      <w:r>
        <w:rPr>
          <w:rFonts w:ascii="Times New Roman" w:eastAsia="Times New Roman" w:hAnsi="Times New Roman" w:cs="Times New Roman"/>
          <w:i/>
          <w:color w:val="222222"/>
          <w:sz w:val="24"/>
          <w:szCs w:val="24"/>
          <w:highlight w:val="white"/>
        </w:rPr>
        <w:t>Journal of Sustainable Finance &amp; Investment</w:t>
      </w:r>
      <w:r>
        <w:rPr>
          <w:rFonts w:ascii="Times New Roman" w:eastAsia="Times New Roman" w:hAnsi="Times New Roman" w:cs="Times New Roman"/>
          <w:color w:val="222222"/>
          <w:sz w:val="24"/>
          <w:szCs w:val="24"/>
          <w:highlight w:val="white"/>
        </w:rPr>
        <w:t>, pp.1-20.</w:t>
      </w:r>
    </w:p>
    <w:p w14:paraId="16BA4AA6"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Moreno, M.A., Jenkins, M., Binger, K., Kelly, L., </w:t>
      </w:r>
      <w:proofErr w:type="spellStart"/>
      <w:r>
        <w:rPr>
          <w:rFonts w:ascii="Times New Roman" w:eastAsia="Times New Roman" w:hAnsi="Times New Roman" w:cs="Times New Roman"/>
          <w:color w:val="222222"/>
          <w:sz w:val="24"/>
          <w:szCs w:val="24"/>
          <w:highlight w:val="white"/>
        </w:rPr>
        <w:t>Trangenstein</w:t>
      </w:r>
      <w:proofErr w:type="spellEnd"/>
      <w:r>
        <w:rPr>
          <w:rFonts w:ascii="Times New Roman" w:eastAsia="Times New Roman" w:hAnsi="Times New Roman" w:cs="Times New Roman"/>
          <w:color w:val="222222"/>
          <w:sz w:val="24"/>
          <w:szCs w:val="24"/>
          <w:highlight w:val="white"/>
        </w:rPr>
        <w:t xml:space="preserve">, P.J., Whitehill, J.M. and Jernigan, D.H., 2022. A content analysis of cannabis company adherence to marketing requirements in four states. </w:t>
      </w:r>
      <w:r>
        <w:rPr>
          <w:rFonts w:ascii="Times New Roman" w:eastAsia="Times New Roman" w:hAnsi="Times New Roman" w:cs="Times New Roman"/>
          <w:i/>
          <w:color w:val="222222"/>
          <w:sz w:val="24"/>
          <w:szCs w:val="24"/>
          <w:highlight w:val="white"/>
        </w:rPr>
        <w:t>Journal of studies on alcohol and drugs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83</w:t>
      </w:r>
      <w:r>
        <w:rPr>
          <w:rFonts w:ascii="Times New Roman" w:eastAsia="Times New Roman" w:hAnsi="Times New Roman" w:cs="Times New Roman"/>
          <w:color w:val="222222"/>
          <w:sz w:val="24"/>
          <w:szCs w:val="24"/>
          <w:highlight w:val="white"/>
        </w:rPr>
        <w:t>(1), pp.27-36.</w:t>
      </w:r>
    </w:p>
    <w:p w14:paraId="16BA4AA7"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Odom, G. and Hyams-</w:t>
      </w:r>
      <w:proofErr w:type="spellStart"/>
      <w:r>
        <w:rPr>
          <w:rFonts w:ascii="Times New Roman" w:eastAsia="Times New Roman" w:hAnsi="Times New Roman" w:cs="Times New Roman"/>
          <w:color w:val="222222"/>
          <w:sz w:val="24"/>
          <w:szCs w:val="24"/>
          <w:highlight w:val="white"/>
        </w:rPr>
        <w:t>Ssekasi</w:t>
      </w:r>
      <w:proofErr w:type="spellEnd"/>
      <w:r>
        <w:rPr>
          <w:rFonts w:ascii="Times New Roman" w:eastAsia="Times New Roman" w:hAnsi="Times New Roman" w:cs="Times New Roman"/>
          <w:color w:val="222222"/>
          <w:sz w:val="24"/>
          <w:szCs w:val="24"/>
          <w:highlight w:val="white"/>
        </w:rPr>
        <w:t xml:space="preserve">, D., 2022. An Exploration of the Implications of Human Resources Analytics for Workforce Planning. </w:t>
      </w:r>
      <w:r>
        <w:rPr>
          <w:rFonts w:ascii="Times New Roman" w:eastAsia="Times New Roman" w:hAnsi="Times New Roman" w:cs="Times New Roman"/>
          <w:i/>
          <w:color w:val="222222"/>
          <w:sz w:val="24"/>
          <w:szCs w:val="24"/>
          <w:highlight w:val="white"/>
        </w:rPr>
        <w:t>Future of Business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pp.30-42.</w:t>
      </w:r>
    </w:p>
    <w:p w14:paraId="16BA4AA8"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Qadeer, A., Kirsten, K.L., Ajmal, Z., Jiang, X. and Zhao, X., 2022. Alternative plasticizers as emerging global environmental and health threat: another regrettable substitution?. </w:t>
      </w:r>
      <w:r>
        <w:rPr>
          <w:rFonts w:ascii="Times New Roman" w:eastAsia="Times New Roman" w:hAnsi="Times New Roman" w:cs="Times New Roman"/>
          <w:i/>
          <w:color w:val="222222"/>
          <w:sz w:val="24"/>
          <w:szCs w:val="24"/>
          <w:highlight w:val="white"/>
        </w:rPr>
        <w:t>Environmental science &amp;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56</w:t>
      </w:r>
      <w:r>
        <w:rPr>
          <w:rFonts w:ascii="Times New Roman" w:eastAsia="Times New Roman" w:hAnsi="Times New Roman" w:cs="Times New Roman"/>
          <w:color w:val="222222"/>
          <w:sz w:val="24"/>
          <w:szCs w:val="24"/>
          <w:highlight w:val="white"/>
        </w:rPr>
        <w:t>(3), pp.1482-1488.</w:t>
      </w:r>
    </w:p>
    <w:p w14:paraId="16BA4AA9"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Qi, H., Yao, X. and Fan, W., 2023. Competitive rivalry in the digital market: an action-configuration perspective. </w:t>
      </w:r>
      <w:r>
        <w:rPr>
          <w:rFonts w:ascii="Times New Roman" w:eastAsia="Times New Roman" w:hAnsi="Times New Roman" w:cs="Times New Roman"/>
          <w:i/>
          <w:color w:val="222222"/>
          <w:sz w:val="24"/>
          <w:szCs w:val="24"/>
          <w:highlight w:val="white"/>
        </w:rPr>
        <w:t>Management decision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61</w:t>
      </w:r>
      <w:r>
        <w:rPr>
          <w:rFonts w:ascii="Times New Roman" w:eastAsia="Times New Roman" w:hAnsi="Times New Roman" w:cs="Times New Roman"/>
          <w:color w:val="222222"/>
          <w:sz w:val="24"/>
          <w:szCs w:val="24"/>
          <w:highlight w:val="white"/>
        </w:rPr>
        <w:t>(1), pp.144-175.</w:t>
      </w:r>
    </w:p>
    <w:p w14:paraId="16BA4AAA"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xml:space="preserve">, S. and Mathew, S., 2021. Corporate governance practices and the pandemic crisis: UK evidence. </w:t>
      </w:r>
      <w:r>
        <w:rPr>
          <w:rFonts w:ascii="Times New Roman" w:eastAsia="Times New Roman" w:hAnsi="Times New Roman" w:cs="Times New Roman"/>
          <w:i/>
          <w:color w:val="222222"/>
          <w:sz w:val="24"/>
          <w:szCs w:val="24"/>
          <w:highlight w:val="white"/>
        </w:rPr>
        <w:t>Corporate Governance: The international journal of business in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(6), pp.983-995.</w:t>
      </w:r>
    </w:p>
    <w:p w14:paraId="16BA4AAB" w14:textId="77777777" w:rsidR="00BD0D5B" w:rsidRDefault="00B546B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statista</w:t>
      </w:r>
      <w:proofErr w:type="spellEnd"/>
      <w:r>
        <w:rPr>
          <w:rFonts w:ascii="Times New Roman" w:eastAsia="Times New Roman" w:hAnsi="Times New Roman" w:cs="Times New Roman"/>
          <w:color w:val="222222"/>
          <w:sz w:val="24"/>
          <w:szCs w:val="24"/>
          <w:highlight w:val="white"/>
        </w:rPr>
        <w:t xml:space="preserve">, 2022, </w:t>
      </w:r>
      <w:proofErr w:type="spellStart"/>
      <w:r>
        <w:rPr>
          <w:rFonts w:ascii="Times New Roman" w:eastAsia="Times New Roman" w:hAnsi="Times New Roman" w:cs="Times New Roman"/>
          <w:i/>
          <w:color w:val="222222"/>
          <w:sz w:val="24"/>
          <w:szCs w:val="24"/>
          <w:highlight w:val="white"/>
        </w:rPr>
        <w:t>hsbcs</w:t>
      </w:r>
      <w:proofErr w:type="spellEnd"/>
      <w:r>
        <w:rPr>
          <w:rFonts w:ascii="Times New Roman" w:eastAsia="Times New Roman" w:hAnsi="Times New Roman" w:cs="Times New Roman"/>
          <w:i/>
          <w:color w:val="222222"/>
          <w:sz w:val="24"/>
          <w:szCs w:val="24"/>
          <w:highlight w:val="white"/>
        </w:rPr>
        <w:t>-profit</w:t>
      </w:r>
      <w:r>
        <w:rPr>
          <w:rFonts w:ascii="Times New Roman" w:eastAsia="Times New Roman" w:hAnsi="Times New Roman" w:cs="Times New Roman"/>
          <w:color w:val="222222"/>
          <w:sz w:val="24"/>
          <w:szCs w:val="24"/>
          <w:highlight w:val="white"/>
        </w:rPr>
        <w:t xml:space="preserve">  Available at: </w:t>
      </w:r>
      <w:hyperlink r:id="rId12">
        <w:r>
          <w:rPr>
            <w:rFonts w:ascii="Times New Roman" w:eastAsia="Times New Roman" w:hAnsi="Times New Roman" w:cs="Times New Roman"/>
            <w:color w:val="0563C1"/>
            <w:sz w:val="24"/>
            <w:szCs w:val="24"/>
            <w:highlight w:val="white"/>
            <w:u w:val="single"/>
          </w:rPr>
          <w:t>https://www.statista.com/statistics/224577/hsbcs-profit/</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04.11.2023]</w:t>
      </w:r>
    </w:p>
    <w:p w14:paraId="16BA4AAC" w14:textId="77777777" w:rsidR="00BD0D5B" w:rsidRDefault="00B546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statista,2022 </w:t>
      </w:r>
      <w:r>
        <w:rPr>
          <w:rFonts w:ascii="Times New Roman" w:eastAsia="Times New Roman" w:hAnsi="Times New Roman" w:cs="Times New Roman"/>
          <w:i/>
          <w:color w:val="222222"/>
          <w:sz w:val="24"/>
          <w:szCs w:val="24"/>
          <w:highlight w:val="white"/>
        </w:rPr>
        <w:t>Sustainable finance commitment</w:t>
      </w:r>
      <w:r>
        <w:rPr>
          <w:rFonts w:ascii="Times New Roman" w:eastAsia="Times New Roman" w:hAnsi="Times New Roman" w:cs="Times New Roman"/>
          <w:color w:val="222222"/>
          <w:sz w:val="24"/>
          <w:szCs w:val="24"/>
          <w:highlight w:val="white"/>
        </w:rPr>
        <w:t xml:space="preserve">, Available at: </w:t>
      </w:r>
      <w:hyperlink r:id="rId13">
        <w:r>
          <w:rPr>
            <w:rFonts w:ascii="Times New Roman" w:eastAsia="Times New Roman" w:hAnsi="Times New Roman" w:cs="Times New Roman"/>
            <w:color w:val="0563C1"/>
            <w:sz w:val="24"/>
            <w:szCs w:val="24"/>
            <w:highlight w:val="white"/>
            <w:u w:val="single"/>
          </w:rPr>
          <w:t>https://www.statista.com/statistics/1088625/cumulative-sustainable-finance-commitment-of-hsbc-bank-globally/</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04.11.2023]</w:t>
      </w:r>
    </w:p>
    <w:p w14:paraId="16BA4AAD" w14:textId="77777777" w:rsidR="00BD0D5B" w:rsidRDefault="00BD0D5B">
      <w:pPr>
        <w:spacing w:line="360" w:lineRule="auto"/>
        <w:jc w:val="both"/>
        <w:rPr>
          <w:rFonts w:ascii="Times New Roman" w:eastAsia="Times New Roman" w:hAnsi="Times New Roman" w:cs="Times New Roman"/>
          <w:color w:val="222222"/>
          <w:sz w:val="24"/>
          <w:szCs w:val="24"/>
          <w:highlight w:val="white"/>
        </w:rPr>
      </w:pPr>
    </w:p>
    <w:p w14:paraId="16BA4AAE"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Tang, Z., 2023, October. Research on Digital Technology Empowering Green Finance: Evidence from Financial Enterprises. In </w:t>
      </w:r>
      <w:r>
        <w:rPr>
          <w:rFonts w:ascii="Times New Roman" w:eastAsia="Times New Roman" w:hAnsi="Times New Roman" w:cs="Times New Roman"/>
          <w:i/>
          <w:color w:val="222222"/>
          <w:sz w:val="24"/>
          <w:szCs w:val="24"/>
          <w:highlight w:val="white"/>
        </w:rPr>
        <w:t>3rd International Conference on Internet Finance and Digital Economy (ICIFDE 2023)</w:t>
      </w:r>
      <w:r>
        <w:rPr>
          <w:rFonts w:ascii="Times New Roman" w:eastAsia="Times New Roman" w:hAnsi="Times New Roman" w:cs="Times New Roman"/>
          <w:color w:val="222222"/>
          <w:sz w:val="24"/>
          <w:szCs w:val="24"/>
          <w:highlight w:val="white"/>
        </w:rPr>
        <w:t xml:space="preserve"> (pp. 168-175). Atlantis Press.</w:t>
      </w:r>
    </w:p>
    <w:p w14:paraId="16BA4AAF" w14:textId="77777777" w:rsidR="00BD0D5B" w:rsidRDefault="00B546B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Viale, L., Vacher, S. and </w:t>
      </w:r>
      <w:proofErr w:type="spellStart"/>
      <w:r>
        <w:rPr>
          <w:rFonts w:ascii="Times New Roman" w:eastAsia="Times New Roman" w:hAnsi="Times New Roman" w:cs="Times New Roman"/>
          <w:color w:val="222222"/>
          <w:sz w:val="24"/>
          <w:szCs w:val="24"/>
          <w:highlight w:val="white"/>
        </w:rPr>
        <w:t>Bessouat</w:t>
      </w:r>
      <w:proofErr w:type="spellEnd"/>
      <w:r>
        <w:rPr>
          <w:rFonts w:ascii="Times New Roman" w:eastAsia="Times New Roman" w:hAnsi="Times New Roman" w:cs="Times New Roman"/>
          <w:color w:val="222222"/>
          <w:sz w:val="24"/>
          <w:szCs w:val="24"/>
          <w:highlight w:val="white"/>
        </w:rPr>
        <w:t xml:space="preserve">, J., 2022. Eco-innovation in the upstream supply chain: re-thinking the involvement of purchasing managers. </w:t>
      </w:r>
      <w:r>
        <w:rPr>
          <w:rFonts w:ascii="Times New Roman" w:eastAsia="Times New Roman" w:hAnsi="Times New Roman" w:cs="Times New Roman"/>
          <w:i/>
          <w:color w:val="222222"/>
          <w:sz w:val="24"/>
          <w:szCs w:val="24"/>
          <w:highlight w:val="white"/>
        </w:rPr>
        <w:t>Supply Chain Management: An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(2), pp.250-264.</w:t>
      </w:r>
      <w:r>
        <w:rPr>
          <w:rFonts w:ascii="Times New Roman" w:eastAsia="Times New Roman" w:hAnsi="Times New Roman" w:cs="Times New Roman"/>
          <w:color w:val="222222"/>
          <w:sz w:val="24"/>
          <w:szCs w:val="24"/>
          <w:highlight w:val="white"/>
        </w:rPr>
        <w:br/>
      </w:r>
    </w:p>
    <w:p w14:paraId="16BA4AB0" w14:textId="77777777" w:rsidR="00BD0D5B" w:rsidRDefault="00BD0D5B">
      <w:pPr>
        <w:spacing w:line="360" w:lineRule="auto"/>
        <w:jc w:val="both"/>
        <w:rPr>
          <w:rFonts w:ascii="Times New Roman" w:eastAsia="Times New Roman" w:hAnsi="Times New Roman" w:cs="Times New Roman"/>
          <w:color w:val="222222"/>
          <w:sz w:val="24"/>
          <w:szCs w:val="24"/>
          <w:highlight w:val="white"/>
        </w:rPr>
      </w:pPr>
    </w:p>
    <w:p w14:paraId="16BA4AB1" w14:textId="77777777" w:rsidR="00BD0D5B" w:rsidRDefault="00B546B3">
      <w:pPr>
        <w:spacing w:after="0" w:line="240" w:lineRule="auto"/>
        <w:rPr>
          <w:rFonts w:ascii="Times New Roman" w:eastAsia="Times New Roman" w:hAnsi="Times New Roman" w:cs="Times New Roman"/>
          <w:b/>
          <w:color w:val="000000"/>
          <w:sz w:val="24"/>
          <w:szCs w:val="24"/>
          <w:highlight w:val="white"/>
        </w:rPr>
      </w:pPr>
      <w:r>
        <w:br w:type="page"/>
      </w:r>
    </w:p>
    <w:p w14:paraId="16BA4AB2" w14:textId="77777777" w:rsidR="00BD0D5B" w:rsidRDefault="00B546B3">
      <w:pPr>
        <w:pStyle w:val="Heading1"/>
        <w:rPr>
          <w:highlight w:val="white"/>
        </w:rPr>
      </w:pPr>
      <w:bookmarkStart w:id="10" w:name="_heading=h.17dp8vu" w:colFirst="0" w:colLast="0"/>
      <w:bookmarkEnd w:id="10"/>
      <w:r>
        <w:rPr>
          <w:highlight w:val="white"/>
        </w:rPr>
        <w:lastRenderedPageBreak/>
        <w:t xml:space="preserve">Appendix </w:t>
      </w:r>
    </w:p>
    <w:p w14:paraId="16BA4AB3" w14:textId="77777777" w:rsidR="00BD0D5B" w:rsidRDefault="00B546B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Five Forces Analysis for HSBC:</w:t>
      </w: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BD0D5B" w14:paraId="16BA4AB6" w14:textId="77777777">
        <w:tc>
          <w:tcPr>
            <w:tcW w:w="4621" w:type="dxa"/>
            <w:vAlign w:val="bottom"/>
          </w:tcPr>
          <w:p w14:paraId="16BA4AB4" w14:textId="77777777" w:rsidR="00BD0D5B" w:rsidRDefault="00B546B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Force</w:t>
            </w:r>
          </w:p>
        </w:tc>
        <w:tc>
          <w:tcPr>
            <w:tcW w:w="4621" w:type="dxa"/>
            <w:vAlign w:val="bottom"/>
          </w:tcPr>
          <w:p w14:paraId="16BA4AB5" w14:textId="77777777" w:rsidR="00BD0D5B" w:rsidRDefault="00B546B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HSBC</w:t>
            </w:r>
          </w:p>
        </w:tc>
      </w:tr>
      <w:tr w:rsidR="00BD0D5B" w14:paraId="16BA4AB9" w14:textId="77777777">
        <w:tc>
          <w:tcPr>
            <w:tcW w:w="4621" w:type="dxa"/>
            <w:vAlign w:val="bottom"/>
          </w:tcPr>
          <w:p w14:paraId="16BA4AB7"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Rivalry among Competitors</w:t>
            </w:r>
          </w:p>
        </w:tc>
        <w:tc>
          <w:tcPr>
            <w:tcW w:w="4621" w:type="dxa"/>
            <w:vAlign w:val="bottom"/>
          </w:tcPr>
          <w:p w14:paraId="16BA4AB8"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competition; HSBC focuses on cost-effectiveness and service differentiation through technology investments.</w:t>
            </w:r>
          </w:p>
        </w:tc>
      </w:tr>
      <w:tr w:rsidR="00BD0D5B" w14:paraId="16BA4ABC" w14:textId="77777777">
        <w:tc>
          <w:tcPr>
            <w:tcW w:w="4621" w:type="dxa"/>
            <w:vAlign w:val="bottom"/>
          </w:tcPr>
          <w:p w14:paraId="16BA4ABA"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 of New Competitors</w:t>
            </w:r>
          </w:p>
        </w:tc>
        <w:tc>
          <w:tcPr>
            <w:tcW w:w="4621" w:type="dxa"/>
            <w:vAlign w:val="bottom"/>
          </w:tcPr>
          <w:p w14:paraId="16BA4ABB"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barriers to entry due to regulations, capital requirements, and HSBC's global reach.</w:t>
            </w:r>
          </w:p>
        </w:tc>
      </w:tr>
      <w:tr w:rsidR="00BD0D5B" w14:paraId="16BA4ABF" w14:textId="77777777">
        <w:tc>
          <w:tcPr>
            <w:tcW w:w="4621" w:type="dxa"/>
            <w:vAlign w:val="bottom"/>
          </w:tcPr>
          <w:p w14:paraId="16BA4ABD"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 Power of Suppliers</w:t>
            </w:r>
          </w:p>
        </w:tc>
        <w:tc>
          <w:tcPr>
            <w:tcW w:w="4621" w:type="dxa"/>
            <w:vAlign w:val="bottom"/>
          </w:tcPr>
          <w:p w14:paraId="16BA4ABE"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HSBC builds strong relationships with suppliers, particularly in technology and regulation, to ensure compliance and access to technology.</w:t>
            </w:r>
          </w:p>
        </w:tc>
      </w:tr>
      <w:tr w:rsidR="00BD0D5B" w14:paraId="16BA4AC2" w14:textId="77777777">
        <w:tc>
          <w:tcPr>
            <w:tcW w:w="4621" w:type="dxa"/>
            <w:vAlign w:val="bottom"/>
          </w:tcPr>
          <w:p w14:paraId="16BA4AC0"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 Power of Customers</w:t>
            </w:r>
          </w:p>
        </w:tc>
        <w:tc>
          <w:tcPr>
            <w:tcW w:w="4621" w:type="dxa"/>
            <w:vAlign w:val="bottom"/>
          </w:tcPr>
          <w:p w14:paraId="16BA4AC1"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HSBC invests in customer service and personalization to reduce customer bargaining power.</w:t>
            </w:r>
          </w:p>
        </w:tc>
      </w:tr>
      <w:tr w:rsidR="00BD0D5B" w14:paraId="16BA4AC5" w14:textId="77777777">
        <w:tc>
          <w:tcPr>
            <w:tcW w:w="4621" w:type="dxa"/>
            <w:vAlign w:val="bottom"/>
          </w:tcPr>
          <w:p w14:paraId="16BA4AC3"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 of Substitutes</w:t>
            </w:r>
          </w:p>
        </w:tc>
        <w:tc>
          <w:tcPr>
            <w:tcW w:w="4621" w:type="dxa"/>
            <w:vAlign w:val="bottom"/>
          </w:tcPr>
          <w:p w14:paraId="16BA4AC4" w14:textId="77777777" w:rsidR="00BD0D5B" w:rsidRDefault="00B546B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HSBC counters substitutes with a digital shift, including websites, mobile apps, and digital solutions.</w:t>
            </w:r>
          </w:p>
        </w:tc>
      </w:tr>
    </w:tbl>
    <w:p w14:paraId="16BA4AC6" w14:textId="77777777" w:rsidR="00BD0D5B" w:rsidRDefault="00BD0D5B"/>
    <w:sectPr w:rsidR="00BD0D5B">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A4AD5" w14:textId="77777777" w:rsidR="00B546B3" w:rsidRDefault="00B546B3">
      <w:pPr>
        <w:spacing w:after="0" w:line="240" w:lineRule="auto"/>
      </w:pPr>
      <w:r>
        <w:separator/>
      </w:r>
    </w:p>
  </w:endnote>
  <w:endnote w:type="continuationSeparator" w:id="0">
    <w:p w14:paraId="16BA4AD7" w14:textId="77777777" w:rsidR="00B546B3" w:rsidRDefault="00B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4ACF" w14:textId="39DBC765" w:rsidR="00BD0D5B" w:rsidRDefault="00B546B3">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p w14:paraId="16BA4AD0" w14:textId="77777777" w:rsidR="00BD0D5B" w:rsidRDefault="00BD0D5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A4AD1" w14:textId="77777777" w:rsidR="00B546B3" w:rsidRDefault="00B546B3">
      <w:pPr>
        <w:spacing w:after="0" w:line="240" w:lineRule="auto"/>
      </w:pPr>
      <w:r>
        <w:separator/>
      </w:r>
    </w:p>
  </w:footnote>
  <w:footnote w:type="continuationSeparator" w:id="0">
    <w:p w14:paraId="16BA4AD3" w14:textId="77777777" w:rsidR="00B546B3" w:rsidRDefault="00B546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D5B"/>
    <w:rsid w:val="00B546B3"/>
    <w:rsid w:val="00BD0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4A33"/>
  <w15:docId w15:val="{984437B0-B940-467A-AB09-745471950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294"/>
    <w:rPr>
      <w:kern w:val="2"/>
    </w:rPr>
  </w:style>
  <w:style w:type="paragraph" w:styleId="Heading1">
    <w:name w:val="heading 1"/>
    <w:basedOn w:val="Normal"/>
    <w:next w:val="Normal"/>
    <w:link w:val="Heading1Char"/>
    <w:uiPriority w:val="9"/>
    <w:qFormat/>
    <w:rsid w:val="00AE643D"/>
    <w:pPr>
      <w:keepNext/>
      <w:keepLines/>
      <w:spacing w:before="480" w:after="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6F0294"/>
    <w:pPr>
      <w:keepNext/>
      <w:keepLines/>
      <w:spacing w:before="200" w:after="0" w:line="276" w:lineRule="auto"/>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6F0294"/>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6F0294"/>
    <w:rPr>
      <w:b/>
      <w:bCs/>
    </w:rPr>
  </w:style>
  <w:style w:type="character" w:customStyle="1" w:styleId="Heading2Char">
    <w:name w:val="Heading 2 Char"/>
    <w:basedOn w:val="DefaultParagraphFont"/>
    <w:link w:val="Heading2"/>
    <w:uiPriority w:val="9"/>
    <w:rsid w:val="006F0294"/>
    <w:rPr>
      <w:rFonts w:ascii="Times New Roman" w:eastAsiaTheme="majorEastAsia" w:hAnsi="Times New Roman" w:cstheme="majorBidi"/>
      <w:b/>
      <w:bCs/>
      <w:color w:val="000000" w:themeColor="text1"/>
      <w:sz w:val="24"/>
      <w:szCs w:val="26"/>
    </w:rPr>
  </w:style>
  <w:style w:type="character" w:customStyle="1" w:styleId="15">
    <w:name w:val="15"/>
    <w:basedOn w:val="DefaultParagraphFont"/>
    <w:rsid w:val="008B3C53"/>
    <w:rPr>
      <w:rFonts w:ascii="SimSun" w:eastAsia="SimSun" w:hAnsi="SimSun" w:hint="eastAsia"/>
      <w:color w:val="0000FF"/>
      <w:u w:val="single"/>
    </w:rPr>
  </w:style>
  <w:style w:type="paragraph" w:styleId="Header">
    <w:name w:val="header"/>
    <w:basedOn w:val="Normal"/>
    <w:link w:val="HeaderChar"/>
    <w:uiPriority w:val="99"/>
    <w:semiHidden/>
    <w:unhideWhenUsed/>
    <w:rsid w:val="000701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012B"/>
    <w:rPr>
      <w:kern w:val="2"/>
      <w:sz w:val="22"/>
      <w:szCs w:val="22"/>
      <w:lang w:val="en-IN"/>
    </w:rPr>
  </w:style>
  <w:style w:type="paragraph" w:styleId="Footer">
    <w:name w:val="footer"/>
    <w:basedOn w:val="Normal"/>
    <w:link w:val="FooterChar"/>
    <w:uiPriority w:val="99"/>
    <w:unhideWhenUsed/>
    <w:rsid w:val="00070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12B"/>
    <w:rPr>
      <w:kern w:val="2"/>
      <w:sz w:val="22"/>
      <w:szCs w:val="22"/>
      <w:lang w:val="en-IN"/>
    </w:rPr>
  </w:style>
  <w:style w:type="paragraph" w:styleId="BalloonText">
    <w:name w:val="Balloon Text"/>
    <w:basedOn w:val="Normal"/>
    <w:link w:val="BalloonTextChar"/>
    <w:uiPriority w:val="99"/>
    <w:semiHidden/>
    <w:unhideWhenUsed/>
    <w:rsid w:val="00070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12B"/>
    <w:rPr>
      <w:rFonts w:ascii="Tahoma" w:hAnsi="Tahoma" w:cs="Tahoma"/>
      <w:kern w:val="2"/>
      <w:sz w:val="16"/>
      <w:szCs w:val="16"/>
      <w:lang w:val="en-IN"/>
    </w:rPr>
  </w:style>
  <w:style w:type="character" w:styleId="Hyperlink">
    <w:name w:val="Hyperlink"/>
    <w:basedOn w:val="DefaultParagraphFont"/>
    <w:uiPriority w:val="99"/>
    <w:unhideWhenUsed/>
    <w:rsid w:val="0007012B"/>
    <w:rPr>
      <w:color w:val="0563C1" w:themeColor="hyperlink"/>
      <w:u w:val="single"/>
    </w:rPr>
  </w:style>
  <w:style w:type="character" w:customStyle="1" w:styleId="Heading1Char">
    <w:name w:val="Heading 1 Char"/>
    <w:basedOn w:val="DefaultParagraphFont"/>
    <w:link w:val="Heading1"/>
    <w:uiPriority w:val="9"/>
    <w:rsid w:val="00AE643D"/>
    <w:rPr>
      <w:rFonts w:ascii="Times New Roman" w:eastAsiaTheme="majorEastAsia" w:hAnsi="Times New Roman" w:cstheme="majorBidi"/>
      <w:b/>
      <w:bCs/>
      <w:color w:val="000000" w:themeColor="text1"/>
      <w:kern w:val="2"/>
      <w:sz w:val="24"/>
      <w:szCs w:val="28"/>
      <w:lang w:val="en-IN"/>
    </w:rPr>
  </w:style>
  <w:style w:type="table" w:styleId="TableGrid">
    <w:name w:val="Table Grid"/>
    <w:basedOn w:val="TableNormal"/>
    <w:uiPriority w:val="39"/>
    <w:rsid w:val="00AE643D"/>
    <w:rPr>
      <w:kern w:val="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5C58C4"/>
    <w:pPr>
      <w:spacing w:line="276" w:lineRule="auto"/>
      <w:outlineLvl w:val="9"/>
    </w:pPr>
    <w:rPr>
      <w:rFonts w:asciiTheme="majorHAnsi" w:hAnsiTheme="majorHAnsi"/>
      <w:color w:val="2F5496" w:themeColor="accent1" w:themeShade="BF"/>
      <w:kern w:val="0"/>
      <w:sz w:val="28"/>
      <w:lang w:val="en-US"/>
    </w:rPr>
  </w:style>
  <w:style w:type="paragraph" w:styleId="TOC1">
    <w:name w:val="toc 1"/>
    <w:basedOn w:val="Normal"/>
    <w:next w:val="Normal"/>
    <w:autoRedefine/>
    <w:uiPriority w:val="39"/>
    <w:unhideWhenUsed/>
    <w:rsid w:val="005C58C4"/>
    <w:pPr>
      <w:spacing w:after="100"/>
    </w:pPr>
  </w:style>
  <w:style w:type="paragraph" w:styleId="TOC2">
    <w:name w:val="toc 2"/>
    <w:basedOn w:val="Normal"/>
    <w:next w:val="Normal"/>
    <w:autoRedefine/>
    <w:uiPriority w:val="39"/>
    <w:unhideWhenUsed/>
    <w:rsid w:val="005C58C4"/>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06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1088625/cumulative-sustainable-finance-commitment-of-hsbc-bank-globall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224577/hsbcs-prof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nd-and-update.company-information.service.gov.uk/company/0061798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JNrGABpCROWPH+VbpWuzDeQQQ==">CgMxLjAyCGguZ2pkZ3hzMgloLjMwajB6bGwyCWguMWZvYjl0ZTIJaC4zem55c2g3MgloLjJldDkycDAyCGgudHlqY3d0MgloLjNkeTZ2a20yCWguMXQzaDVzZjIJaC40ZDM0b2c4MgloLjJzOGV5bzEyCWguMTdkcDh2dTgAciExS04yWTZjYVNON3pYdWx0VHpzWUNOOFdZYmJlanMzU0Q=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3762</Words>
  <Characters>21449</Characters>
  <Application>Microsoft Office Word</Application>
  <DocSecurity>0</DocSecurity>
  <Lines>178</Lines>
  <Paragraphs>50</Paragraphs>
  <ScaleCrop>false</ScaleCrop>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basiulvlada@gmail.com</cp:lastModifiedBy>
  <cp:revision>2</cp:revision>
  <dcterms:created xsi:type="dcterms:W3CDTF">2023-11-04T05:34:00Z</dcterms:created>
  <dcterms:modified xsi:type="dcterms:W3CDTF">2023-12-19T18:16:00Z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62A5F6DA10AE417BA76173ADC984D8D7_12</vt:lpwstr>
  </property>
</Properties>
</file>