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960" w:firstLineChars="400"/>
        <w:rPr>
          <w:rFonts w:hint="default" w:ascii="Times New Roman" w:hAnsi="Times New Roman" w:cs="Times New Roman"/>
          <w:sz w:val="24"/>
          <w:szCs w:val="24"/>
          <w:lang w:val="en-US" w:eastAsia="zh-CN"/>
        </w:rPr>
      </w:pPr>
      <w:bookmarkStart w:id="20" w:name="_GoBack"/>
      <w:bookmarkEnd w:id="20"/>
    </w:p>
    <w:p>
      <w:pPr>
        <w:pStyle w:val="2"/>
        <w:jc w:val="center"/>
        <w:rPr>
          <w:rFonts w:hint="default" w:ascii="Times New Roman" w:hAnsi="Times New Roman" w:cs="Times New Roman"/>
          <w:sz w:val="28"/>
          <w:szCs w:val="28"/>
          <w:lang w:val="en-US" w:eastAsia="zh-CN"/>
        </w:rPr>
      </w:pPr>
      <w:bookmarkStart w:id="0" w:name="_Toc32044"/>
      <w:r>
        <w:rPr>
          <w:rFonts w:hint="default" w:ascii="Times New Roman" w:hAnsi="Times New Roman" w:cs="Times New Roman"/>
          <w:sz w:val="28"/>
          <w:szCs w:val="28"/>
          <w:lang w:val="en-US" w:eastAsia="zh-CN"/>
        </w:rPr>
        <w:t>Business Culture Distinctions Between Britain and Kazakhstan</w:t>
      </w:r>
      <w:bookmarkEnd w:id="0"/>
    </w:p>
    <w:p>
      <w:pPr>
        <w:ind w:firstLine="960" w:firstLineChars="400"/>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Student Name:</w:t>
      </w:r>
      <w:r>
        <w:rPr>
          <w:rFonts w:hint="eastAsia" w:ascii="Times New Roman" w:hAnsi="Times New Roman" w:cs="Times New Roman"/>
          <w:sz w:val="24"/>
          <w:szCs w:val="24"/>
          <w:lang w:val="en-US" w:eastAsia="zh-CN"/>
        </w:rPr>
        <w:t xml:space="preserve"> JIN Kaixuan</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sectPr>
          <w:footerReference r:id="rId3" w:type="default"/>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lang w:val="en-US" w:eastAsia="zh-CN"/>
        </w:rPr>
        <w:t>Student ID:</w:t>
      </w:r>
      <w:r>
        <w:rPr>
          <w:rFonts w:hint="eastAsia" w:ascii="Times New Roman" w:hAnsi="Times New Roman" w:cs="Times New Roman"/>
          <w:sz w:val="24"/>
          <w:szCs w:val="24"/>
          <w:lang w:val="en-US" w:eastAsia="zh-CN"/>
        </w:rPr>
        <w:t xml:space="preserve"> 1704114</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of Contents</w:t>
      </w:r>
    </w:p>
    <w:p>
      <w:pPr>
        <w:pStyle w:val="8"/>
        <w:tabs>
          <w:tab w:val="right" w:leader="dot" w:pos="8306"/>
        </w:tabs>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"1-3"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_Toc32044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Business Culture Distinctions Between Britain and Kazakhstan</w:t>
      </w:r>
      <w:r>
        <w:tab/>
      </w:r>
      <w:r>
        <w:fldChar w:fldCharType="begin"/>
      </w:r>
      <w:r>
        <w:instrText xml:space="preserve"> PAGEREF _Toc32044 </w:instrText>
      </w:r>
      <w:r>
        <w:fldChar w:fldCharType="separate"/>
      </w:r>
      <w:r>
        <w:t>1</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_Toc20638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eastAsiaTheme="minorEastAsia"/>
          <w:szCs w:val="28"/>
          <w:lang w:val="en-US" w:eastAsia="zh-CN"/>
        </w:rPr>
        <w:t>Executive Summary</w:t>
      </w:r>
      <w:r>
        <w:tab/>
      </w:r>
      <w:r>
        <w:fldChar w:fldCharType="begin"/>
      </w:r>
      <w:r>
        <w:instrText xml:space="preserve"> PAGEREF _Toc20638 </w:instrText>
      </w:r>
      <w:r>
        <w:fldChar w:fldCharType="separate"/>
      </w:r>
      <w:r>
        <w:t>3</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_Toc20996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1.0 Background</w:t>
      </w:r>
      <w:r>
        <w:tab/>
      </w:r>
      <w:r>
        <w:fldChar w:fldCharType="begin"/>
      </w:r>
      <w:r>
        <w:instrText xml:space="preserve"> PAGEREF _Toc20996 </w:instrText>
      </w:r>
      <w:r>
        <w:fldChar w:fldCharType="separate"/>
      </w:r>
      <w:r>
        <w:t>3</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_Toc20431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1.1 The Definition of Hofstede Model</w:t>
      </w:r>
      <w:r>
        <w:tab/>
      </w:r>
      <w:r>
        <w:fldChar w:fldCharType="begin"/>
      </w:r>
      <w:r>
        <w:instrText xml:space="preserve"> PAGEREF _Toc20431 </w:instrText>
      </w:r>
      <w:r>
        <w:fldChar w:fldCharType="separate"/>
      </w:r>
      <w:r>
        <w:t>3</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_Toc12519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1.2 Interpretations of Six Dimensions in Hofstede Model</w:t>
      </w:r>
      <w:r>
        <w:tab/>
      </w:r>
      <w:r>
        <w:fldChar w:fldCharType="begin"/>
      </w:r>
      <w:r>
        <w:instrText xml:space="preserve"> PAGEREF _Toc12519 </w:instrText>
      </w:r>
      <w:r>
        <w:fldChar w:fldCharType="separate"/>
      </w:r>
      <w:r>
        <w:t>3</w:t>
      </w:r>
      <w:r>
        <w:fldChar w:fldCharType="end"/>
      </w:r>
      <w:r>
        <w:rPr>
          <w:rFonts w:hint="default" w:ascii="Times New Roman" w:hAnsi="Times New Roman" w:cs="Times New Roman"/>
          <w:szCs w:val="24"/>
          <w:lang w:val="en-US" w:eastAsia="zh-CN"/>
        </w:rPr>
        <w:fldChar w:fldCharType="end"/>
      </w:r>
    </w:p>
    <w:p>
      <w:pPr>
        <w:pStyle w:val="5"/>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_Toc7398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1"/>
          <w:lang w:val="en-US" w:eastAsia="zh-CN"/>
        </w:rPr>
        <w:t>1.2.1 Power Distance Index(PDI)</w:t>
      </w:r>
      <w:r>
        <w:tab/>
      </w:r>
      <w:r>
        <w:fldChar w:fldCharType="begin"/>
      </w:r>
      <w:r>
        <w:instrText xml:space="preserve"> PAGEREF _Toc7398 </w:instrText>
      </w:r>
      <w:r>
        <w:fldChar w:fldCharType="separate"/>
      </w:r>
      <w:r>
        <w:t>4</w:t>
      </w:r>
      <w:r>
        <w:fldChar w:fldCharType="end"/>
      </w:r>
      <w:r>
        <w:rPr>
          <w:rFonts w:hint="default" w:ascii="Times New Roman" w:hAnsi="Times New Roman" w:cs="Times New Roman"/>
          <w:szCs w:val="24"/>
          <w:lang w:val="en-US" w:eastAsia="zh-CN"/>
        </w:rPr>
        <w:fldChar w:fldCharType="end"/>
      </w:r>
    </w:p>
    <w:p>
      <w:pPr>
        <w:pStyle w:val="5"/>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_Toc3840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1"/>
          <w:lang w:val="en-US" w:eastAsia="zh-CN"/>
        </w:rPr>
        <w:t>1.2.2 Individualism vs. Collectivism(IDV)</w:t>
      </w:r>
      <w:r>
        <w:tab/>
      </w:r>
      <w:r>
        <w:fldChar w:fldCharType="begin"/>
      </w:r>
      <w:r>
        <w:instrText xml:space="preserve"> PAGEREF _Toc3840 </w:instrText>
      </w:r>
      <w:r>
        <w:fldChar w:fldCharType="separate"/>
      </w:r>
      <w:r>
        <w:t>4</w:t>
      </w:r>
      <w:r>
        <w:fldChar w:fldCharType="end"/>
      </w:r>
      <w:r>
        <w:rPr>
          <w:rFonts w:hint="default" w:ascii="Times New Roman" w:hAnsi="Times New Roman" w:cs="Times New Roman"/>
          <w:szCs w:val="24"/>
          <w:lang w:val="en-US" w:eastAsia="zh-CN"/>
        </w:rPr>
        <w:fldChar w:fldCharType="end"/>
      </w:r>
    </w:p>
    <w:p>
      <w:pPr>
        <w:pStyle w:val="5"/>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_Toc10909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1"/>
          <w:lang w:val="en-US" w:eastAsia="zh-CN"/>
        </w:rPr>
        <w:t>1.2.3 Uncertainty Avoidance Index(UAI)</w:t>
      </w:r>
      <w:r>
        <w:tab/>
      </w:r>
      <w:r>
        <w:fldChar w:fldCharType="begin"/>
      </w:r>
      <w:r>
        <w:instrText xml:space="preserve"> PAGEREF _Toc10909 </w:instrText>
      </w:r>
      <w:r>
        <w:fldChar w:fldCharType="separate"/>
      </w:r>
      <w:r>
        <w:t>4</w:t>
      </w:r>
      <w:r>
        <w:fldChar w:fldCharType="end"/>
      </w:r>
      <w:r>
        <w:rPr>
          <w:rFonts w:hint="default" w:ascii="Times New Roman" w:hAnsi="Times New Roman" w:cs="Times New Roman"/>
          <w:szCs w:val="24"/>
          <w:lang w:val="en-US" w:eastAsia="zh-CN"/>
        </w:rPr>
        <w:fldChar w:fldCharType="end"/>
      </w:r>
    </w:p>
    <w:p>
      <w:pPr>
        <w:pStyle w:val="5"/>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_Toc1401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1"/>
          <w:lang w:val="en-US" w:eastAsia="zh-CN"/>
        </w:rPr>
        <w:t>1.2.4 Masculinity vs. Femininity (MAS)</w:t>
      </w:r>
      <w:r>
        <w:tab/>
      </w:r>
      <w:r>
        <w:fldChar w:fldCharType="begin"/>
      </w:r>
      <w:r>
        <w:instrText xml:space="preserve"> PAGEREF _Toc1401 </w:instrText>
      </w:r>
      <w:r>
        <w:fldChar w:fldCharType="separate"/>
      </w:r>
      <w:r>
        <w:t>5</w:t>
      </w:r>
      <w:r>
        <w:fldChar w:fldCharType="end"/>
      </w:r>
      <w:r>
        <w:rPr>
          <w:rFonts w:hint="default" w:ascii="Times New Roman" w:hAnsi="Times New Roman" w:cs="Times New Roman"/>
          <w:szCs w:val="24"/>
          <w:lang w:val="en-US" w:eastAsia="zh-CN"/>
        </w:rPr>
        <w:fldChar w:fldCharType="end"/>
      </w:r>
    </w:p>
    <w:p>
      <w:pPr>
        <w:pStyle w:val="5"/>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_Toc8576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1"/>
          <w:lang w:val="en-US" w:eastAsia="zh-CN"/>
        </w:rPr>
        <w:t>1.2.5 Long-Term Orientation vs. Short-Term Orientation(LTO)</w:t>
      </w:r>
      <w:r>
        <w:tab/>
      </w:r>
      <w:r>
        <w:fldChar w:fldCharType="begin"/>
      </w:r>
      <w:r>
        <w:instrText xml:space="preserve"> PAGEREF _Toc8576 </w:instrText>
      </w:r>
      <w:r>
        <w:fldChar w:fldCharType="separate"/>
      </w:r>
      <w:r>
        <w:t>5</w:t>
      </w:r>
      <w:r>
        <w:fldChar w:fldCharType="end"/>
      </w:r>
      <w:r>
        <w:rPr>
          <w:rFonts w:hint="default" w:ascii="Times New Roman" w:hAnsi="Times New Roman" w:cs="Times New Roman"/>
          <w:szCs w:val="24"/>
          <w:lang w:val="en-US" w:eastAsia="zh-CN"/>
        </w:rPr>
        <w:fldChar w:fldCharType="end"/>
      </w:r>
    </w:p>
    <w:p>
      <w:pPr>
        <w:pStyle w:val="5"/>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_Toc26250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1"/>
          <w:lang w:val="en-US" w:eastAsia="zh-CN"/>
        </w:rPr>
        <w:t>1.2.6 Indulgence vs. Restraint(IND)</w:t>
      </w:r>
      <w:r>
        <w:tab/>
      </w:r>
      <w:r>
        <w:fldChar w:fldCharType="begin"/>
      </w:r>
      <w:r>
        <w:instrText xml:space="preserve"> PAGEREF _Toc26250 </w:instrText>
      </w:r>
      <w:r>
        <w:fldChar w:fldCharType="separate"/>
      </w:r>
      <w:r>
        <w:t>5</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_Toc12093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2.0 The Business Conventions of Kazakhstan</w:t>
      </w:r>
      <w:r>
        <w:tab/>
      </w:r>
      <w:r>
        <w:fldChar w:fldCharType="begin"/>
      </w:r>
      <w:r>
        <w:instrText xml:space="preserve"> PAGEREF _Toc12093 </w:instrText>
      </w:r>
      <w:r>
        <w:fldChar w:fldCharType="separate"/>
      </w:r>
      <w:r>
        <w:t>5</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_Toc9245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2.1 A Hierarchical and Patriarchal Society</w:t>
      </w:r>
      <w:r>
        <w:tab/>
      </w:r>
      <w:r>
        <w:fldChar w:fldCharType="begin"/>
      </w:r>
      <w:r>
        <w:instrText xml:space="preserve"> PAGEREF _Toc9245 </w:instrText>
      </w:r>
      <w:r>
        <w:fldChar w:fldCharType="separate"/>
      </w:r>
      <w:r>
        <w:t>5</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_Toc21832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2.2 The Business Etiquette of Kazakhstan</w:t>
      </w:r>
      <w:r>
        <w:tab/>
      </w:r>
      <w:r>
        <w:fldChar w:fldCharType="begin"/>
      </w:r>
      <w:r>
        <w:instrText xml:space="preserve"> PAGEREF _Toc21832 </w:instrText>
      </w:r>
      <w:r>
        <w:fldChar w:fldCharType="separate"/>
      </w:r>
      <w:r>
        <w:t>6</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_Toc23641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3.0 The Business Mode and Environment of Britain</w:t>
      </w:r>
      <w:r>
        <w:tab/>
      </w:r>
      <w:r>
        <w:fldChar w:fldCharType="begin"/>
      </w:r>
      <w:r>
        <w:instrText xml:space="preserve"> PAGEREF _Toc23641 </w:instrText>
      </w:r>
      <w:r>
        <w:fldChar w:fldCharType="separate"/>
      </w:r>
      <w:r>
        <w:t>7</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_Toc22940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3.1 Scores for Britain aimed at Six Dimensions of Hofstede Model</w:t>
      </w:r>
      <w:r>
        <w:tab/>
      </w:r>
      <w:r>
        <w:fldChar w:fldCharType="begin"/>
      </w:r>
      <w:r>
        <w:instrText xml:space="preserve"> PAGEREF _Toc22940 </w:instrText>
      </w:r>
      <w:r>
        <w:fldChar w:fldCharType="separate"/>
      </w:r>
      <w:r>
        <w:t>7</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_Toc17373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4.0 Comparisons between Kazakhstan and Britain</w:t>
      </w:r>
      <w:r>
        <w:tab/>
      </w:r>
      <w:r>
        <w:fldChar w:fldCharType="begin"/>
      </w:r>
      <w:r>
        <w:instrText xml:space="preserve"> PAGEREF _Toc17373 </w:instrText>
      </w:r>
      <w:r>
        <w:fldChar w:fldCharType="separate"/>
      </w:r>
      <w:r>
        <w:t>8</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_Toc21166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4.1 Business Gift Giving</w:t>
      </w:r>
      <w:r>
        <w:tab/>
      </w:r>
      <w:r>
        <w:fldChar w:fldCharType="begin"/>
      </w:r>
      <w:r>
        <w:instrText xml:space="preserve"> PAGEREF _Toc21166 </w:instrText>
      </w:r>
      <w:r>
        <w:fldChar w:fldCharType="separate"/>
      </w:r>
      <w:r>
        <w:t>8</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_Toc8813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5.0 Conclusion</w:t>
      </w:r>
      <w:r>
        <w:tab/>
      </w:r>
      <w:r>
        <w:fldChar w:fldCharType="begin"/>
      </w:r>
      <w:r>
        <w:instrText xml:space="preserve"> PAGEREF _Toc8813 </w:instrText>
      </w:r>
      <w:r>
        <w:fldChar w:fldCharType="separate"/>
      </w:r>
      <w:r>
        <w:t>9</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_Toc20426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References</w:t>
      </w:r>
      <w:r>
        <w:tab/>
      </w:r>
      <w:r>
        <w:fldChar w:fldCharType="begin"/>
      </w:r>
      <w:r>
        <w:instrText xml:space="preserve"> PAGEREF _Toc20426 </w:instrText>
      </w:r>
      <w:r>
        <w:fldChar w:fldCharType="separate"/>
      </w:r>
      <w:r>
        <w:t>9</w:t>
      </w:r>
      <w:r>
        <w:fldChar w:fldCharType="end"/>
      </w:r>
      <w:r>
        <w:rPr>
          <w:rFonts w:hint="default" w:ascii="Times New Roman" w:hAnsi="Times New Roman" w:cs="Times New Roman"/>
          <w:szCs w:val="24"/>
          <w:lang w:val="en-US" w:eastAsia="zh-CN"/>
        </w:rPr>
        <w:fldChar w:fldCharType="end"/>
      </w:r>
    </w:p>
    <w:p>
      <w:pPr>
        <w:rPr>
          <w:rFonts w:hint="default" w:ascii="Times New Roman" w:hAnsi="Times New Roman" w:cs="Times New Roman"/>
          <w:sz w:val="24"/>
          <w:szCs w:val="24"/>
          <w:lang w:val="en-US" w:eastAsia="zh-CN"/>
        </w:rPr>
      </w:pPr>
      <w:r>
        <w:rPr>
          <w:rFonts w:hint="default" w:ascii="Times New Roman" w:hAnsi="Times New Roman" w:cs="Times New Roman"/>
          <w:szCs w:val="24"/>
          <w:lang w:val="en-US" w:eastAsia="zh-CN"/>
        </w:rPr>
        <w:fldChar w:fldCharType="end"/>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p>
    <w:p>
      <w:pPr>
        <w:pStyle w:val="2"/>
        <w:rPr>
          <w:rFonts w:hint="default" w:ascii="Times New Roman" w:hAnsi="Times New Roman" w:cs="Times New Roman" w:eastAsiaTheme="minorEastAsia"/>
          <w:sz w:val="28"/>
          <w:szCs w:val="28"/>
          <w:lang w:val="en-US" w:eastAsia="zh-CN"/>
        </w:rPr>
      </w:pPr>
      <w:bookmarkStart w:id="1" w:name="_Toc20638"/>
      <w:r>
        <w:rPr>
          <w:rFonts w:hint="default" w:ascii="Times New Roman" w:hAnsi="Times New Roman" w:cs="Times New Roman" w:eastAsiaTheme="minorEastAsia"/>
          <w:sz w:val="28"/>
          <w:szCs w:val="28"/>
          <w:lang w:val="en-US" w:eastAsia="zh-CN"/>
        </w:rPr>
        <w:t>Executive Summary</w:t>
      </w:r>
      <w:bookmarkEnd w:id="1"/>
    </w:p>
    <w:p>
      <w:pPr>
        <w:rPr>
          <w:rFonts w:hint="default"/>
          <w:sz w:val="24"/>
          <w:szCs w:val="24"/>
          <w:lang w:val="en-US" w:eastAsia="zh-CN"/>
        </w:rPr>
      </w:pPr>
      <w:r>
        <w:rPr>
          <w:rFonts w:hint="eastAsia" w:ascii="Times New Roman" w:hAnsi="Times New Roman" w:cs="Times New Roman"/>
          <w:sz w:val="24"/>
          <w:szCs w:val="24"/>
          <w:lang w:val="en-US" w:eastAsia="zh-CN"/>
        </w:rPr>
        <w:t xml:space="preserve">This report is aimed at exploring the distinctions about business cultures and modes between Britain and Kazakhstan, which might create likely opportunities and frictions during the business communications within these two regions. The business culture distinctions between these two regions are mainly expressed via six dimensions of Hofstede Model. To start with, this report offers background information about the definition and six dimensions of Hofstede Model, so as to lay out theoretical foundation of this report. Secondly, this report interprets and analyzes the business environment of Kazakhstan through Hofstede Six Dimensions, on the basis of statistics adopted through Commisceo Global Website. Thirdly, this report analyzes the business environment and mode of Britain, and tries to offer comparisons and similarities between these two countries, in terms of business gift giving as well as other dimensions. At the end, this report drives conclusions based on the whole analysis. </w:t>
      </w:r>
    </w:p>
    <w:p>
      <w:pPr>
        <w:pStyle w:val="2"/>
        <w:rPr>
          <w:rFonts w:hint="default" w:ascii="Times New Roman" w:hAnsi="Times New Roman" w:cs="Times New Roman"/>
          <w:sz w:val="28"/>
          <w:szCs w:val="28"/>
          <w:lang w:val="en-US" w:eastAsia="zh-CN"/>
        </w:rPr>
      </w:pPr>
      <w:bookmarkStart w:id="2" w:name="_Toc20996"/>
      <w:r>
        <w:rPr>
          <w:rFonts w:hint="default" w:ascii="Times New Roman" w:hAnsi="Times New Roman" w:cs="Times New Roman"/>
          <w:sz w:val="28"/>
          <w:szCs w:val="28"/>
          <w:lang w:val="en-US" w:eastAsia="zh-CN"/>
        </w:rPr>
        <w:t>1.0 Background</w:t>
      </w:r>
      <w:bookmarkEnd w:id="2"/>
    </w:p>
    <w:p>
      <w:pPr>
        <w:pStyle w:val="3"/>
        <w:rPr>
          <w:rFonts w:hint="default" w:ascii="Times New Roman" w:hAnsi="Times New Roman" w:cs="Times New Roman"/>
          <w:sz w:val="24"/>
          <w:szCs w:val="24"/>
          <w:lang w:val="en-US" w:eastAsia="zh-CN"/>
        </w:rPr>
      </w:pPr>
      <w:bookmarkStart w:id="3" w:name="_Toc20431"/>
      <w:r>
        <w:rPr>
          <w:rFonts w:hint="default" w:ascii="Times New Roman" w:hAnsi="Times New Roman" w:cs="Times New Roman"/>
          <w:sz w:val="24"/>
          <w:szCs w:val="24"/>
          <w:lang w:val="en-US" w:eastAsia="zh-CN"/>
        </w:rPr>
        <w:t>1.1 The Definition of Hofstede Model</w:t>
      </w:r>
      <w:bookmarkEnd w:id="3"/>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Hofstede Model is aimed at evaluating the cultural differences which might influence the behavior and values of local citizens. Hofstede Model was firstly introduced by Geert Hofstede, a Dutch social psychologist and organizational anthropologist. Hofstede Model contrasts the effects of social cultures on the values of its numbers, and how these values might correspond to specific decisions and behaviors (Adeoye,2014). Hofstede Cultural Dimensional theory consequently serves as important tools to explain for the observed differences in various communications, including economy, politics, military and so on(Michael,2007). With the increasingly rapid and wide international business communications, Hofstede dimensional theory plays a role in preparing and continuing the commercial cooperation with another region, since culture differences are pivotal when it comes to choosing business partners. As cited by Geert Hofstede(2011) himself, </w:t>
      </w:r>
      <w:r>
        <w:rPr>
          <w:rFonts w:hint="default" w:ascii="Times New Roman" w:hAnsi="Times New Roman" w:cs="Times New Roman"/>
          <w:b w:val="0"/>
          <w:bCs w:val="0"/>
          <w:color w:val="auto"/>
          <w:sz w:val="24"/>
          <w:szCs w:val="24"/>
          <w:lang w:val="en-US" w:eastAsia="zh-CN"/>
        </w:rPr>
        <w:t>“Culture is more often a source of conflict than of synergy. Cultural differences are a nuisance at best and often a disaster.”</w:t>
      </w:r>
    </w:p>
    <w:p>
      <w:pPr>
        <w:pStyle w:val="3"/>
        <w:rPr>
          <w:rFonts w:hint="default" w:ascii="Times New Roman" w:hAnsi="Times New Roman" w:cs="Times New Roman"/>
          <w:sz w:val="24"/>
          <w:szCs w:val="24"/>
          <w:lang w:val="en-US" w:eastAsia="zh-CN"/>
        </w:rPr>
      </w:pPr>
      <w:bookmarkStart w:id="4" w:name="_Toc12519"/>
      <w:r>
        <w:rPr>
          <w:rFonts w:hint="default" w:ascii="Times New Roman" w:hAnsi="Times New Roman" w:cs="Times New Roman"/>
          <w:sz w:val="24"/>
          <w:szCs w:val="24"/>
          <w:lang w:val="en-US" w:eastAsia="zh-CN"/>
        </w:rPr>
        <w:t>1.2 Interpretations of Six Dimensions in Hofstede Model</w:t>
      </w:r>
      <w:bookmarkEnd w:id="4"/>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There are six dimensions as indicators to define and evaluate culture differences, which comprise the main body of Hofstede Cultural Dimensional Theory, including Power Distance Index(PDI), Individualism vs. Collectivism(IDV), Uncertainty Avoidance Index(UAI), Masculinity vs. Femininity (MAS), Long-Term Orientation vs. Short-Term Orientation(LTO), Indulgence vs. Restraint(IND).</w:t>
      </w:r>
    </w:p>
    <w:p>
      <w:pPr>
        <w:pStyle w:val="4"/>
        <w:rPr>
          <w:rFonts w:hint="default" w:ascii="Times New Roman" w:hAnsi="Times New Roman" w:cs="Times New Roman"/>
          <w:sz w:val="21"/>
          <w:szCs w:val="21"/>
          <w:lang w:val="en-US" w:eastAsia="zh-CN"/>
        </w:rPr>
      </w:pPr>
      <w:bookmarkStart w:id="5" w:name="_Toc7398"/>
      <w:r>
        <w:rPr>
          <w:rFonts w:hint="default" w:ascii="Times New Roman" w:hAnsi="Times New Roman" w:cs="Times New Roman"/>
          <w:sz w:val="21"/>
          <w:szCs w:val="21"/>
          <w:lang w:val="en-US" w:eastAsia="zh-CN"/>
        </w:rPr>
        <w:t>1.2.1 Power Distance Index(PDI)</w:t>
      </w:r>
      <w:bookmarkEnd w:id="5"/>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Power Distance Index refers to the extent to which the less powerful or privileged members of certain entities in a society accept or agree with the fact that the current power is distributed fairly. This index evaluates the equality situation in a certain society(Hofstede,2015). A high degree indicates that this society has established sound hierarchy systems where most members are satisfied with reality, while a low score for this index indicates that there exist severe issues in this society concerning the attitudes towards power distribution. When it relates to international business communications, a peaceful society where there are fewer negative social campaigns, is more welcome as a new market. </w:t>
      </w:r>
    </w:p>
    <w:p>
      <w:pPr>
        <w:rPr>
          <w:rFonts w:hint="default"/>
          <w:sz w:val="24"/>
          <w:szCs w:val="24"/>
          <w:lang w:val="en-US" w:eastAsia="zh-CN"/>
        </w:rPr>
      </w:pPr>
    </w:p>
    <w:p>
      <w:pPr>
        <w:pStyle w:val="4"/>
        <w:rPr>
          <w:rFonts w:hint="default" w:ascii="Times New Roman" w:hAnsi="Times New Roman" w:cs="Times New Roman"/>
          <w:sz w:val="21"/>
          <w:szCs w:val="21"/>
          <w:lang w:val="en-US" w:eastAsia="zh-CN"/>
        </w:rPr>
      </w:pPr>
      <w:bookmarkStart w:id="6" w:name="_Toc3840"/>
      <w:r>
        <w:rPr>
          <w:rFonts w:hint="default" w:ascii="Times New Roman" w:hAnsi="Times New Roman" w:cs="Times New Roman"/>
          <w:sz w:val="21"/>
          <w:szCs w:val="21"/>
          <w:lang w:val="en-US" w:eastAsia="zh-CN"/>
        </w:rPr>
        <w:t>1.2.2 Individualism vs. Collectivism(IDV)</w:t>
      </w:r>
      <w:bookmarkEnd w:id="6"/>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This figure describes the extent to which members are integrated in to the group belonging to. Individualism indicates the loose bond among different members in the group, where individuals tend to make decisions for the sake of their own benefits. Collectivism indicates that different members are tightly connected to the groups, who value the team spirits above the individual concerns. If a certain society scores high in this index, it means that individualism is more popular here, while if this society scores low in this index, collectivism is more welcome. When it relates to international business communications, individualism is helpful to incubate independent and creative decisions, while collectivism is effective when productivity is highlighted, since team spirit is most valued in collectivism. </w:t>
      </w:r>
    </w:p>
    <w:p>
      <w:pPr>
        <w:pStyle w:val="4"/>
        <w:rPr>
          <w:rFonts w:hint="default" w:ascii="Times New Roman" w:hAnsi="Times New Roman" w:cs="Times New Roman"/>
          <w:sz w:val="21"/>
          <w:szCs w:val="21"/>
          <w:lang w:val="en-US" w:eastAsia="zh-CN"/>
        </w:rPr>
      </w:pPr>
      <w:bookmarkStart w:id="7" w:name="_Toc10909"/>
      <w:r>
        <w:rPr>
          <w:rFonts w:hint="default" w:ascii="Times New Roman" w:hAnsi="Times New Roman" w:cs="Times New Roman"/>
          <w:sz w:val="21"/>
          <w:szCs w:val="21"/>
          <w:lang w:val="en-US" w:eastAsia="zh-CN"/>
        </w:rPr>
        <w:t>1.2.3 Uncertainty Avoidance Index(UAI)</w:t>
      </w:r>
      <w:bookmarkEnd w:id="7"/>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Uncertainty Avoidance Index refers to the extent to which humans can tolerate the existence of ambiguity in a certain society. And this ambiguity can be interpreted as news things, such as a fresh product, a newly raised value or some other things which are not expected. If a society scores high in this index, it indicates that absolute truth is relied here, and there are more laws, regulations or ethical standards to promote it. If a society scores low in this index, it indicates that there is more acceptance towards new ideas and thoughts here, and there are fewer regulations restricting the birth of fresh thoughts or products. </w:t>
      </w:r>
    </w:p>
    <w:p>
      <w:pPr>
        <w:pStyle w:val="4"/>
        <w:rPr>
          <w:rFonts w:hint="default" w:ascii="Times New Roman" w:hAnsi="Times New Roman" w:cs="Times New Roman"/>
          <w:sz w:val="21"/>
          <w:szCs w:val="21"/>
          <w:lang w:val="en-US" w:eastAsia="zh-CN"/>
        </w:rPr>
      </w:pPr>
      <w:bookmarkStart w:id="8" w:name="_Toc1401"/>
      <w:r>
        <w:rPr>
          <w:rFonts w:hint="default" w:ascii="Times New Roman" w:hAnsi="Times New Roman" w:cs="Times New Roman"/>
          <w:sz w:val="21"/>
          <w:szCs w:val="21"/>
          <w:lang w:val="en-US" w:eastAsia="zh-CN"/>
        </w:rPr>
        <w:t>1.2.4 Masculinity vs. Femininity (MAS)</w:t>
      </w:r>
      <w:bookmarkEnd w:id="8"/>
    </w:p>
    <w:p>
      <w:pPr>
        <w:rPr>
          <w:rFonts w:hint="eastAsia" w:ascii="Times New Roman" w:hAnsi="Times New Roman" w:eastAsia="宋体" w:cs="Times New Roman"/>
          <w:sz w:val="24"/>
          <w:szCs w:val="24"/>
          <w:lang w:val="en-US" w:eastAsia="zh-CN"/>
        </w:rPr>
      </w:pPr>
      <w:r>
        <w:rPr>
          <w:rFonts w:hint="default" w:ascii="Times New Roman" w:hAnsi="Times New Roman" w:eastAsia="sans-serif" w:cs="Times New Roman"/>
          <w:i w:val="0"/>
          <w:caps w:val="0"/>
          <w:color w:val="222222"/>
          <w:spacing w:val="0"/>
          <w:sz w:val="24"/>
          <w:szCs w:val="24"/>
          <w:shd w:val="clear" w:fill="FFFFFF"/>
        </w:rPr>
        <w:t xml:space="preserve">In this dimension, masculinity is </w:t>
      </w:r>
      <w:r>
        <w:rPr>
          <w:rFonts w:hint="eastAsia" w:ascii="Times New Roman" w:hAnsi="Times New Roman" w:eastAsia="宋体" w:cs="Times New Roman"/>
          <w:i w:val="0"/>
          <w:caps w:val="0"/>
          <w:color w:val="222222"/>
          <w:spacing w:val="0"/>
          <w:sz w:val="24"/>
          <w:szCs w:val="24"/>
          <w:shd w:val="clear" w:fill="FFFFFF"/>
          <w:lang w:val="en-US" w:eastAsia="zh-CN"/>
        </w:rPr>
        <w:t>interpreted</w:t>
      </w:r>
      <w:r>
        <w:rPr>
          <w:rFonts w:hint="default" w:ascii="Times New Roman" w:hAnsi="Times New Roman" w:eastAsia="sans-serif" w:cs="Times New Roman"/>
          <w:i w:val="0"/>
          <w:caps w:val="0"/>
          <w:color w:val="222222"/>
          <w:spacing w:val="0"/>
          <w:sz w:val="24"/>
          <w:szCs w:val="24"/>
          <w:shd w:val="clear" w:fill="FFFFFF"/>
        </w:rPr>
        <w:t xml:space="preserve"> as “a preference in society for achievement, heroism, assertiveness and material rewards for success.” </w:t>
      </w:r>
      <w:r>
        <w:rPr>
          <w:rFonts w:hint="eastAsia" w:ascii="Times New Roman" w:hAnsi="Times New Roman" w:eastAsia="宋体" w:cs="Times New Roman"/>
          <w:i w:val="0"/>
          <w:caps w:val="0"/>
          <w:color w:val="222222"/>
          <w:spacing w:val="0"/>
          <w:sz w:val="24"/>
          <w:szCs w:val="24"/>
          <w:shd w:val="clear" w:fill="FFFFFF"/>
          <w:lang w:val="en-US" w:eastAsia="zh-CN"/>
        </w:rPr>
        <w:t xml:space="preserve">Femininity </w:t>
      </w:r>
      <w:r>
        <w:rPr>
          <w:rFonts w:hint="default" w:ascii="Times New Roman" w:hAnsi="Times New Roman" w:eastAsia="sans-serif" w:cs="Times New Roman"/>
          <w:i w:val="0"/>
          <w:caps w:val="0"/>
          <w:color w:val="222222"/>
          <w:spacing w:val="0"/>
          <w:sz w:val="24"/>
          <w:szCs w:val="24"/>
          <w:shd w:val="clear" w:fill="FFFFFF"/>
        </w:rPr>
        <w:t>represents “a preference for cooperation, modesty, caring for the weak and quality of life.” Women in the respective societies tend to display d</w:t>
      </w:r>
      <w:r>
        <w:rPr>
          <w:rFonts w:hint="eastAsia" w:ascii="Times New Roman" w:hAnsi="Times New Roman" w:eastAsia="宋体" w:cs="Times New Roman"/>
          <w:i w:val="0"/>
          <w:caps w:val="0"/>
          <w:color w:val="222222"/>
          <w:spacing w:val="0"/>
          <w:sz w:val="24"/>
          <w:szCs w:val="24"/>
          <w:shd w:val="clear" w:fill="FFFFFF"/>
          <w:lang w:val="en-US" w:eastAsia="zh-CN"/>
        </w:rPr>
        <w:t xml:space="preserve">istinct attitudes. In femininity societies, women express modest and caring views which are equal with those of males(Hofstede, 1991). If a certain society scores high in this dimension, it indicates that this masculinity more dominates here, and if it scores low, females and males tend to share equal voice in this region. </w:t>
      </w:r>
    </w:p>
    <w:p>
      <w:pPr>
        <w:pStyle w:val="4"/>
        <w:rPr>
          <w:rFonts w:hint="default" w:ascii="Times New Roman" w:hAnsi="Times New Roman" w:cs="Times New Roman"/>
          <w:sz w:val="21"/>
          <w:szCs w:val="21"/>
          <w:lang w:val="en-US" w:eastAsia="zh-CN"/>
        </w:rPr>
      </w:pPr>
      <w:bookmarkStart w:id="9" w:name="_Toc8576"/>
      <w:r>
        <w:rPr>
          <w:rFonts w:hint="default" w:ascii="Times New Roman" w:hAnsi="Times New Roman" w:cs="Times New Roman"/>
          <w:sz w:val="21"/>
          <w:szCs w:val="21"/>
          <w:lang w:val="en-US" w:eastAsia="zh-CN"/>
        </w:rPr>
        <w:t>1.2.5 Long-Term Orientation vs. Short-Term Orientation(LTO)</w:t>
      </w:r>
      <w:bookmarkEnd w:id="9"/>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Long-term orientation index describes the connection of the past with the current and the future. This contrasts the different attitudes aimed at traditions. If a region scores high in this dimension, it is less devoted to traditional thoughts and good at adapting plans so as to pragmatically solve problems. If a region scores low in this dimension, it focus more on protecting the conventional modes and habits, which is not beneficial to introduce beneficent thoughts and products. </w:t>
      </w:r>
    </w:p>
    <w:p>
      <w:pPr>
        <w:pStyle w:val="4"/>
        <w:rPr>
          <w:rFonts w:hint="default" w:ascii="Times New Roman" w:hAnsi="Times New Roman" w:cs="Times New Roman"/>
          <w:sz w:val="21"/>
          <w:szCs w:val="21"/>
          <w:lang w:val="en-US" w:eastAsia="zh-CN"/>
        </w:rPr>
      </w:pPr>
      <w:bookmarkStart w:id="10" w:name="_Toc26250"/>
      <w:r>
        <w:rPr>
          <w:rFonts w:hint="default" w:ascii="Times New Roman" w:hAnsi="Times New Roman" w:cs="Times New Roman"/>
          <w:sz w:val="21"/>
          <w:szCs w:val="21"/>
          <w:lang w:val="en-US" w:eastAsia="zh-CN"/>
        </w:rPr>
        <w:t>1.2.6 Indulgence vs. Restraint(IND)</w:t>
      </w:r>
      <w:bookmarkEnd w:id="10"/>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This index of indulgence describes the different perception toward personal happiness. Indulgence refers to the values that social members believe that they have every right to enjoy free gratification, and it is a must thing to control their behavior and emotions based on their own wishes. While restraint refers to the values that there should be regulations controlling personal gratifications, and the happiness of individuals are supposed to be dictated. If a certain society scores high in this dimension,indulgence is more predominant; if it scores low in this dimension, restraint is more popular. </w:t>
      </w:r>
    </w:p>
    <w:p>
      <w:pPr>
        <w:pStyle w:val="2"/>
        <w:rPr>
          <w:rFonts w:hint="default" w:ascii="Times New Roman" w:hAnsi="Times New Roman" w:cs="Times New Roman"/>
          <w:sz w:val="28"/>
          <w:szCs w:val="28"/>
          <w:lang w:val="en-US" w:eastAsia="zh-CN"/>
        </w:rPr>
      </w:pPr>
      <w:bookmarkStart w:id="11" w:name="_Toc12093"/>
      <w:r>
        <w:rPr>
          <w:rFonts w:hint="default" w:ascii="Times New Roman" w:hAnsi="Times New Roman" w:cs="Times New Roman"/>
          <w:sz w:val="28"/>
          <w:szCs w:val="28"/>
          <w:lang w:val="en-US" w:eastAsia="zh-CN"/>
        </w:rPr>
        <w:t>2.0 The Business Conventions of Kazakhstan</w:t>
      </w:r>
      <w:bookmarkEnd w:id="11"/>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Kazakhstan is a country located in central Asia, along with the silk road once connecting China and Europe two thousand years ago. As a big ethical mix group, there are near 50% citizens in Kazakhstan who believe in Muslim, and the ruling style of Kazakhstan country is authoritarian presidential(information source: Commisceo Global Website,2018).</w:t>
      </w:r>
    </w:p>
    <w:p>
      <w:pPr>
        <w:pStyle w:val="3"/>
        <w:rPr>
          <w:rFonts w:hint="default" w:ascii="Times New Roman" w:hAnsi="Times New Roman" w:cs="Times New Roman"/>
          <w:sz w:val="24"/>
          <w:szCs w:val="24"/>
          <w:lang w:val="en-US" w:eastAsia="zh-CN"/>
        </w:rPr>
      </w:pPr>
      <w:bookmarkStart w:id="12" w:name="_Toc9245"/>
      <w:r>
        <w:rPr>
          <w:rFonts w:hint="default" w:ascii="Times New Roman" w:hAnsi="Times New Roman" w:cs="Times New Roman"/>
          <w:sz w:val="24"/>
          <w:szCs w:val="24"/>
          <w:lang w:val="en-US" w:eastAsia="zh-CN"/>
        </w:rPr>
        <w:t>2.1 A Hierarchical and Patriarchal Society</w:t>
      </w:r>
      <w:bookmarkEnd w:id="12"/>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Kazakhstan citizens has developed and believed in the governing of groups, who hold a patriarchal view towards the world. Kazakhstan family members are closely bonded under their strong belief in the absolute advantages of team spirit, which could assist them to better resist against the hardships appearing in the environment outside. In terms of the individualism indicator in six dimensions of Hofstede Model, Kazakhstan would consequently score low in this aspect, because it puts more emphasis on the benefits of the overall group above those of individual persons. </w:t>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Aside from a highlight on team spirit, Kazakhstan citizens each belong to a strict hierarchical position in social systems, and this position is determined on the basis of family relationships. And it is also worth noting that the elders are more respected in Kazakhstan society, since they are believed to have more wisdom and generous enough to value more about the group benefits. And there is a popular saying in Kazakhstan society-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the ways of the elders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which highlights the high respect given to the elders. Based on this emphasis towards hierarchical governing and social classes, it can be concluded that Kazakhstan society would score high in terms of power distance index-the first dimension mentioned above in Hofstede Model. Moreover, under the strict hierarchical system of Kazakhstan, things are done in prescribed ways, and it is not easy for citizens to be infused with new thoughts which are against their original values. In this respect, it would be more appropriate to categorize Kazakhstan into a society which is short-term oriented and persisted in its old habits. (Information Source: Commisceo Global Website, 2018)</w:t>
      </w:r>
    </w:p>
    <w:p>
      <w:pPr>
        <w:rPr>
          <w:rFonts w:hint="default"/>
          <w:lang w:val="en-US" w:eastAsia="zh-CN"/>
        </w:rPr>
      </w:pPr>
    </w:p>
    <w:p>
      <w:pPr>
        <w:pStyle w:val="3"/>
        <w:rPr>
          <w:rFonts w:hint="default" w:ascii="Times New Roman" w:hAnsi="Times New Roman" w:cs="Times New Roman"/>
          <w:sz w:val="24"/>
          <w:szCs w:val="24"/>
          <w:lang w:val="en-US" w:eastAsia="zh-CN"/>
        </w:rPr>
      </w:pPr>
      <w:bookmarkStart w:id="13" w:name="_Toc21832"/>
      <w:r>
        <w:rPr>
          <w:rFonts w:hint="default" w:ascii="Times New Roman" w:hAnsi="Times New Roman" w:cs="Times New Roman"/>
          <w:sz w:val="24"/>
          <w:szCs w:val="24"/>
          <w:lang w:val="en-US" w:eastAsia="zh-CN"/>
        </w:rPr>
        <w:t>2.2 The Business Etiquette of Kazakhstan</w:t>
      </w:r>
      <w:bookmarkEnd w:id="13"/>
      <w:r>
        <w:rPr>
          <w:rFonts w:hint="default" w:ascii="Times New Roman" w:hAnsi="Times New Roman" w:cs="Times New Roman"/>
          <w:sz w:val="24"/>
          <w:szCs w:val="24"/>
          <w:lang w:val="en-US" w:eastAsia="zh-CN"/>
        </w:rPr>
        <w:t xml:space="preserve">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To start with, greetings in Kazakhstan are more formal than many other places, due to the hierarchical nature of this society. And eye contact is valued during business greetings. Greetings are usually done with handshake, and due to the common belief of Muslim, it might be sensitive for males to shake hands with females.But this formal greeting system can be relieved after a close relationship is developed, such as business partners and daily friends, on which occasions hugs are appropriate. And it would be polite if the first name is cautiously used before asking. In business meetings, Kazakhstan citizens tend to wait to be introduced according to the order of importance. And it is advisable to print your business cards with Russian on one side and English on the other side, so as to clarify their identification. Business cards with the specific titles are often exchanged at the start or end of the meeting without a great deal of ritual. </w:t>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Apart from that, Kazakhstan businessmen attach great emphasis to their belief towards the characters and trustworthiness of potential business partners, which makes it more than important for a sound business relationship building before engaging in a business cooperation. Due to the high hierarchical social system of Kazakhstan community, Kazakhstan tend to have business meetings with potential partners in the same rank, and it would be appropriate to get know your desired business partners before start an official business meeting. </w:t>
      </w:r>
    </w:p>
    <w:p>
      <w:pPr>
        <w:pStyle w:val="2"/>
        <w:rPr>
          <w:rFonts w:hint="default" w:ascii="Times New Roman" w:hAnsi="Times New Roman" w:cs="Times New Roman"/>
          <w:sz w:val="28"/>
          <w:szCs w:val="28"/>
          <w:lang w:val="en-US" w:eastAsia="zh-CN"/>
        </w:rPr>
      </w:pPr>
      <w:bookmarkStart w:id="14" w:name="_Toc23641"/>
      <w:r>
        <w:rPr>
          <w:rFonts w:hint="default" w:ascii="Times New Roman" w:hAnsi="Times New Roman" w:cs="Times New Roman"/>
          <w:sz w:val="28"/>
          <w:szCs w:val="28"/>
          <w:lang w:val="en-US" w:eastAsia="zh-CN"/>
        </w:rPr>
        <w:t>3.0 The Business Mode and Environment of Britain</w:t>
      </w:r>
      <w:bookmarkEnd w:id="14"/>
      <w:r>
        <w:rPr>
          <w:rFonts w:hint="default" w:ascii="Times New Roman" w:hAnsi="Times New Roman" w:cs="Times New Roman"/>
          <w:sz w:val="28"/>
          <w:szCs w:val="28"/>
          <w:lang w:val="en-US" w:eastAsia="zh-CN"/>
        </w:rPr>
        <w:t xml:space="preserve"> </w:t>
      </w:r>
    </w:p>
    <w:p>
      <w:pPr>
        <w:rPr>
          <w:rFonts w:hint="default"/>
          <w:sz w:val="24"/>
          <w:szCs w:val="24"/>
          <w:lang w:val="en-US" w:eastAsia="zh-CN"/>
        </w:rPr>
      </w:pPr>
      <w:r>
        <w:rPr>
          <w:rFonts w:hint="eastAsia" w:ascii="Times New Roman" w:hAnsi="Times New Roman" w:cs="Times New Roman"/>
          <w:sz w:val="24"/>
          <w:szCs w:val="24"/>
          <w:lang w:val="en-US" w:eastAsia="zh-CN"/>
        </w:rPr>
        <w:t xml:space="preserve">Britain as one of the most developed countries in the world, has attracted increasing international business partners from all over the world coming here seeking for business communications. And the capital London as a famous financial centers also paves the way for the commercial opportunities. When doing business in Britain, punctuality is greatly valued and it would be appropriate if each business meeting is attended on time. In most business meetings, business cards are suggested to be exchanged at the start of end of the meetings, so as to politely clarify the identifications. In order to more accurately reflect the business etiquette of the United Kingdom, a chart below is adopted from Hofstede Insight Website, which is capable to comprehensively evaluate the six indexes of Britain concerning Hofstede Model. </w:t>
      </w:r>
    </w:p>
    <w:p>
      <w:pPr>
        <w:pStyle w:val="3"/>
        <w:rPr>
          <w:rFonts w:hint="default" w:ascii="Times New Roman" w:hAnsi="Times New Roman" w:cs="Times New Roman"/>
          <w:sz w:val="24"/>
          <w:szCs w:val="24"/>
          <w:lang w:val="en-US" w:eastAsia="zh-CN"/>
        </w:rPr>
      </w:pPr>
      <w:bookmarkStart w:id="15" w:name="_Toc22940"/>
      <w:r>
        <w:rPr>
          <w:rFonts w:hint="default" w:ascii="Times New Roman" w:hAnsi="Times New Roman" w:cs="Times New Roman"/>
          <w:sz w:val="24"/>
          <w:szCs w:val="24"/>
          <w:lang w:val="en-US" w:eastAsia="zh-CN"/>
        </w:rPr>
        <w:t>3.1 Scores for Britain aimed at Six Dimensions of Hofstede Model</w:t>
      </w:r>
      <w:bookmarkEnd w:id="15"/>
      <w:r>
        <w:rPr>
          <w:rFonts w:hint="default" w:ascii="Times New Roman" w:hAnsi="Times New Roman" w:cs="Times New Roman"/>
          <w:sz w:val="24"/>
          <w:szCs w:val="24"/>
          <w:lang w:val="en-US" w:eastAsia="zh-CN"/>
        </w:rPr>
        <w:t xml:space="preserve">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According to the statistics and expert scoring adopted from Hofstede Insight website, which has been a renowned website offering accurate and objective facts aimed at different cultures of different societies. Below is the figure which clearly shows the six scores. </w:t>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Figure 1 Six Scores for Britain Concerning Hofstede Dimensional Model</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5269865" cy="2058035"/>
            <wp:effectExtent l="0" t="0" r="635" b="12065"/>
            <wp:docPr id="1" name="图片 1" descr="15309638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530963885(1)"/>
                    <pic:cNvPicPr>
                      <a:picLocks noChangeAspect="1"/>
                    </pic:cNvPicPr>
                  </pic:nvPicPr>
                  <pic:blipFill>
                    <a:blip r:embed="rId5"/>
                    <a:stretch>
                      <a:fillRect/>
                    </a:stretch>
                  </pic:blipFill>
                  <pic:spPr>
                    <a:xfrm>
                      <a:off x="0" y="0"/>
                      <a:ext cx="5269865" cy="2058035"/>
                    </a:xfrm>
                    <a:prstGeom prst="rect">
                      <a:avLst/>
                    </a:prstGeom>
                  </pic:spPr>
                </pic:pic>
              </a:graphicData>
            </a:graphic>
          </wp:inline>
        </w:drawing>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Source: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"https://www.hofstede-insights.com/product/compare-countries/" </w:instrText>
      </w:r>
      <w:r>
        <w:rPr>
          <w:rFonts w:hint="eastAsia" w:ascii="Times New Roman" w:hAnsi="Times New Roman" w:cs="Times New Roman"/>
          <w:sz w:val="24"/>
          <w:szCs w:val="24"/>
          <w:lang w:val="en-US" w:eastAsia="zh-CN"/>
        </w:rPr>
        <w:fldChar w:fldCharType="separate"/>
      </w:r>
      <w:r>
        <w:rPr>
          <w:rStyle w:val="11"/>
          <w:rFonts w:hint="eastAsia" w:ascii="Times New Roman" w:hAnsi="Times New Roman" w:cs="Times New Roman"/>
          <w:sz w:val="24"/>
          <w:szCs w:val="24"/>
          <w:lang w:val="en-US" w:eastAsia="zh-CN"/>
        </w:rPr>
        <w:t>https://www.hofstede-insights.com/product/compare-countries/</w:t>
      </w:r>
      <w:r>
        <w:rPr>
          <w:rFonts w:hint="eastAsia" w:ascii="Times New Roman" w:hAnsi="Times New Roman" w:cs="Times New Roman"/>
          <w:sz w:val="24"/>
          <w:szCs w:val="24"/>
          <w:lang w:val="en-US" w:eastAsia="zh-CN"/>
        </w:rPr>
        <w:fldChar w:fldCharType="end"/>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Based on figure 1, it can be seen that Britain only scores 35 for power distance index, which means less powerful British citizens are not quite satisfied with the power distribution results in this country. And it also indicates that Britain is a society which is not strictly hierarchical and disagreements are welcome here. For business activities, this situation can incubate precious innovative opportunities, but at the same time more efforts might be needed to relieve the potential disputes. In terms of the index of individualism which evaluates the importance of team spirit, it is not hard to find out that Britain scores high (89). This indicates that citizens in the United Kingdom put more emphasis on their personal pursuits and happiness,compared to their concerns towards group interests. In terms of the Femininity and Masculinity index, Britain scores 66, which indicates that there are not severe sexual inequality issues in Britain society,but the voice of males might slightly surpass those of females. In terms of the uncertainty avoidance index, the United Kingdom only scores 35 for this dimension, and this indicates that British society are not very insecure about ambiguity. And this phenomenon is beneficial for the international business communications, which are often full of uncertainty and opportunities at the same time. In terms of the long-term orientation index, it is reflected that Britain scores 51 in this dimension, and this is a middle score. It indicates that British citizens can persist in some of the conventional values and at the same time adapt their thoughts so as to get used to new things. In terms of the last index indulgence, Britain scores high with 69 in this dimension. This high score indicates that British citizens believe that they are supposed to pursue their happiness, and nobody can dictate their rights to be happy. </w:t>
      </w:r>
    </w:p>
    <w:p>
      <w:pPr>
        <w:rPr>
          <w:rFonts w:hint="default" w:ascii="Times New Roman" w:hAnsi="Times New Roman" w:cs="Times New Roman"/>
          <w:sz w:val="24"/>
          <w:szCs w:val="24"/>
          <w:lang w:val="en-US" w:eastAsia="zh-CN"/>
        </w:rPr>
      </w:pPr>
    </w:p>
    <w:p>
      <w:pPr>
        <w:pStyle w:val="2"/>
        <w:rPr>
          <w:rFonts w:hint="default" w:ascii="Times New Roman" w:hAnsi="Times New Roman" w:cs="Times New Roman"/>
          <w:sz w:val="28"/>
          <w:szCs w:val="28"/>
          <w:lang w:val="en-US" w:eastAsia="zh-CN"/>
        </w:rPr>
      </w:pPr>
      <w:bookmarkStart w:id="16" w:name="_Toc17373"/>
      <w:r>
        <w:rPr>
          <w:rFonts w:hint="default" w:ascii="Times New Roman" w:hAnsi="Times New Roman" w:cs="Times New Roman"/>
          <w:sz w:val="28"/>
          <w:szCs w:val="28"/>
          <w:lang w:val="en-US" w:eastAsia="zh-CN"/>
        </w:rPr>
        <w:t>4.0 Comparisons between Kazakhstan and Britain</w:t>
      </w:r>
      <w:bookmarkEnd w:id="16"/>
      <w:r>
        <w:rPr>
          <w:rFonts w:hint="default" w:ascii="Times New Roman" w:hAnsi="Times New Roman" w:cs="Times New Roman"/>
          <w:sz w:val="28"/>
          <w:szCs w:val="28"/>
          <w:lang w:val="en-US" w:eastAsia="zh-CN"/>
        </w:rPr>
        <w:t xml:space="preserve"> </w:t>
      </w:r>
    </w:p>
    <w:p>
      <w:pPr>
        <w:pStyle w:val="3"/>
        <w:rPr>
          <w:rFonts w:hint="default" w:ascii="Times New Roman" w:hAnsi="Times New Roman" w:cs="Times New Roman"/>
          <w:sz w:val="24"/>
          <w:szCs w:val="24"/>
          <w:lang w:val="en-US" w:eastAsia="zh-CN"/>
        </w:rPr>
      </w:pPr>
      <w:bookmarkStart w:id="17" w:name="_Toc21166"/>
      <w:r>
        <w:rPr>
          <w:rFonts w:hint="default" w:ascii="Times New Roman" w:hAnsi="Times New Roman" w:cs="Times New Roman"/>
          <w:sz w:val="24"/>
          <w:szCs w:val="24"/>
          <w:lang w:val="en-US" w:eastAsia="zh-CN"/>
        </w:rPr>
        <w:t>4.1 Business Gift Giving</w:t>
      </w:r>
      <w:bookmarkEnd w:id="17"/>
      <w:r>
        <w:rPr>
          <w:rFonts w:hint="default" w:ascii="Times New Roman" w:hAnsi="Times New Roman" w:cs="Times New Roman"/>
          <w:sz w:val="24"/>
          <w:szCs w:val="24"/>
          <w:lang w:val="en-US" w:eastAsia="zh-CN"/>
        </w:rPr>
        <w:t xml:space="preserve">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Kazakhstan society, when it comes to business gift giving and you are invited to the home of potential business partners, it is a good idea to bring flowers, qualified alcohol, delicious candies and so on, as your gift choices. And as reward, it is very likely that your Kazakhstan friends would offer to make you bring something nice home as well( Guide Culture Website, 2018). And it is always important to be careful with business gift giving by means of avoiding too extravagant presents, since it is believed very severe if bribery is involved during commercial cooperation. There are laws in Kazakhstan which settles severe regulations and punishments aimed at business bribe behaviors(Every Culture Website,2018).</w:t>
      </w: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According to the information adopted from Giftpedia website, Business gift giving in the United Kingdom society is not quite a part of the business culture. And it is very likely that your potential business partners might feel embarrassed about receiving a gift. As a result, it would be much better to offer a gift to your business partners once a business deal has been successful. And if you really want to offer your business friends a gift, make sure that you pick a small and delighting one, such as house decorations, a fun book which includes rich cultures. Even a nice lunch can be considered as a good business gift in Britain society. And it is always a good idea to buy your business partners a round of nice drinks after a tiring meeting or working day. (Information Source: Giftpedia Website-England Business Gift Giving, 2018)</w:t>
      </w:r>
    </w:p>
    <w:p>
      <w:pPr>
        <w:pStyle w:val="2"/>
        <w:rPr>
          <w:rFonts w:hint="default" w:ascii="Times New Roman" w:hAnsi="Times New Roman" w:cs="Times New Roman"/>
          <w:sz w:val="28"/>
          <w:szCs w:val="28"/>
          <w:lang w:val="en-US" w:eastAsia="zh-CN"/>
        </w:rPr>
      </w:pPr>
      <w:bookmarkStart w:id="18" w:name="_Toc8813"/>
      <w:r>
        <w:rPr>
          <w:rFonts w:hint="default" w:ascii="Times New Roman" w:hAnsi="Times New Roman" w:cs="Times New Roman"/>
          <w:sz w:val="28"/>
          <w:szCs w:val="28"/>
          <w:lang w:val="en-US" w:eastAsia="zh-CN"/>
        </w:rPr>
        <w:t>5.0 Conclusion</w:t>
      </w:r>
      <w:bookmarkEnd w:id="18"/>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a conclusion, this report introduces and compares the business etiquette of Kazakhstan and Britain, in a view of Hofstede Culture Dimensional Theory. To start with, this report briefly introduces the definition and function of Hofstede Model, which plays an important role in evaluating the different business cultures among different regions. There are six dimensions in Hofstede Model, including power distance index, long-term orientation index, indulgence index, masculinity index, individualism index and uncertainty avoidance index. And through the scoring of these six different indicators, a comprehensive understanding aimed at the business etiquette of a region would be gained. Secondly, this report respectively introduces the business conventions and environment in Kazakhstan and Britain. Kazakhstan society is established under relatively strong hierarchical systems, which makes it more committed to team spirit and hierarchical powers. Moreover, Kazakhstan society is more committed to their old conventions, which would make it harder to accept new things and thoughts. Compared to Kazakhstan society, Britain is a society where individualism predominates,and British citizens value their personal pursuits more than the group interests. And aimed at this comparison, there would be more innovative business opportunities in Britain compared to Kazakhstan, since British citizens are less restricted by social conventions. Later this report compares the business gift giving traditions in these two regions. Both regions consider commercial bribery behaviors very vicious, and there have settled strict regulations which are used to punish these things.And it is worth noting that these two countries treat business gift giving differently. In Kazakhstan business etiquette, it is appropriate to bring gifts to your business partners, such as candies, books and drinks, but in Britain society, business gift giving is not quite involved in business culture, and it would make your potential business partners feel embarrassed once a nice present is offered. As a result, it is a good idea to offer your business partner presents indirectly, such as a nice business lunch or a round of drinks after work. </w:t>
      </w:r>
    </w:p>
    <w:p>
      <w:pPr>
        <w:pStyle w:val="2"/>
        <w:rPr>
          <w:rFonts w:hint="default" w:ascii="Times New Roman" w:hAnsi="Times New Roman" w:cs="Times New Roman"/>
          <w:sz w:val="28"/>
          <w:szCs w:val="28"/>
          <w:lang w:val="en-US" w:eastAsia="zh-CN"/>
        </w:rPr>
      </w:pPr>
      <w:bookmarkStart w:id="19" w:name="_Toc20426"/>
      <w:r>
        <w:rPr>
          <w:rFonts w:hint="default" w:ascii="Times New Roman" w:hAnsi="Times New Roman" w:cs="Times New Roman"/>
          <w:sz w:val="28"/>
          <w:szCs w:val="28"/>
          <w:lang w:val="en-US" w:eastAsia="zh-CN"/>
        </w:rPr>
        <w:t>References</w:t>
      </w:r>
      <w:bookmarkEnd w:id="19"/>
    </w:p>
    <w:p>
      <w:pPr>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Adeoye,M.(2014). Effects of Hofstede Model on Evaluating Differences. </w:t>
      </w:r>
      <w:r>
        <w:rPr>
          <w:rFonts w:hint="default" w:ascii="Times New Roman" w:hAnsi="Times New Roman" w:cs="Times New Roman"/>
          <w:i/>
          <w:iCs/>
          <w:sz w:val="24"/>
          <w:szCs w:val="24"/>
          <w:lang w:val="en-US" w:eastAsia="zh-CN"/>
        </w:rPr>
        <w:t>Journal of Information Science.</w:t>
      </w:r>
    </w:p>
    <w:p>
      <w:pPr>
        <w:rPr>
          <w:rFonts w:hint="default" w:ascii="Times New Roman" w:hAnsi="Times New Roman" w:cs="Times New Roman"/>
          <w:i/>
          <w:iCs/>
          <w:sz w:val="24"/>
          <w:szCs w:val="24"/>
          <w:lang w:val="en-US" w:eastAsia="zh-CN"/>
        </w:rPr>
      </w:pPr>
    </w:p>
    <w:p>
      <w:pPr>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Commisceo Global Website,(2018). A look at Kazakhstan Culture, Customs,Langue and Etiquette. Accessed on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"https://www.commisceo-global.com/resources/country-guides/kazakhstan-guide" </w:instrText>
      </w:r>
      <w:r>
        <w:rPr>
          <w:rFonts w:hint="default" w:ascii="Times New Roman" w:hAnsi="Times New Roman" w:cs="Times New Roman"/>
          <w:i w:val="0"/>
          <w:iCs w:val="0"/>
          <w:sz w:val="24"/>
          <w:szCs w:val="24"/>
          <w:lang w:val="en-US" w:eastAsia="zh-CN"/>
        </w:rPr>
        <w:fldChar w:fldCharType="separate"/>
      </w:r>
      <w:r>
        <w:rPr>
          <w:rStyle w:val="11"/>
          <w:rFonts w:hint="default" w:ascii="Times New Roman" w:hAnsi="Times New Roman" w:cs="Times New Roman"/>
          <w:i w:val="0"/>
          <w:iCs w:val="0"/>
          <w:sz w:val="24"/>
          <w:szCs w:val="24"/>
          <w:lang w:val="en-US" w:eastAsia="zh-CN"/>
        </w:rPr>
        <w:t>https://www.commisceo-global.com/resources/country-guides/kazakhstan-guide</w:t>
      </w:r>
      <w:r>
        <w:rPr>
          <w:rFonts w:hint="default" w:ascii="Times New Roman" w:hAnsi="Times New Roman" w:cs="Times New Roman"/>
          <w:i w:val="0"/>
          <w:iCs w:val="0"/>
          <w:sz w:val="24"/>
          <w:szCs w:val="24"/>
          <w:lang w:val="en-US" w:eastAsia="zh-CN"/>
        </w:rPr>
        <w:fldChar w:fldCharType="end"/>
      </w: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Commisceo Global Website,(2018). A Hierarchical Society. Accessed on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"https://www.commisceo-global.com/resources/country-guides/kazakhstan-guide" </w:instrText>
      </w:r>
      <w:r>
        <w:rPr>
          <w:rFonts w:hint="default" w:ascii="Times New Roman" w:hAnsi="Times New Roman" w:cs="Times New Roman"/>
          <w:i w:val="0"/>
          <w:iCs w:val="0"/>
          <w:sz w:val="24"/>
          <w:szCs w:val="24"/>
          <w:lang w:val="en-US" w:eastAsia="zh-CN"/>
        </w:rPr>
        <w:fldChar w:fldCharType="separate"/>
      </w:r>
      <w:r>
        <w:rPr>
          <w:rStyle w:val="11"/>
          <w:rFonts w:hint="default" w:ascii="Times New Roman" w:hAnsi="Times New Roman" w:cs="Times New Roman"/>
          <w:i w:val="0"/>
          <w:iCs w:val="0"/>
          <w:sz w:val="24"/>
          <w:szCs w:val="24"/>
          <w:lang w:val="en-US" w:eastAsia="zh-CN"/>
        </w:rPr>
        <w:t>https://www.commisceo-global.com/resources/country-guides/kazakhstan-guide</w:t>
      </w:r>
      <w:r>
        <w:rPr>
          <w:rFonts w:hint="default" w:ascii="Times New Roman" w:hAnsi="Times New Roman" w:cs="Times New Roman"/>
          <w:i w:val="0"/>
          <w:iCs w:val="0"/>
          <w:sz w:val="24"/>
          <w:szCs w:val="24"/>
          <w:lang w:val="en-US" w:eastAsia="zh-CN"/>
        </w:rPr>
        <w:fldChar w:fldCharType="end"/>
      </w:r>
    </w:p>
    <w:p>
      <w:pPr>
        <w:rPr>
          <w:rFonts w:hint="default" w:ascii="Times New Roman" w:hAnsi="Times New Roman" w:cs="Times New Roman"/>
          <w:i w:val="0"/>
          <w:iCs w:val="0"/>
          <w:sz w:val="24"/>
          <w:szCs w:val="24"/>
          <w:lang w:val="en-US" w:eastAsia="zh-CN"/>
        </w:rPr>
      </w:pPr>
    </w:p>
    <w:p>
      <w:pPr>
        <w:numPr>
          <w:ilvl w:val="0"/>
          <w:numId w:val="0"/>
        </w:numPr>
        <w:jc w:val="left"/>
        <w:rPr>
          <w:rFonts w:hint="default" w:ascii="Times New Roman" w:hAnsi="Times New Roman" w:eastAsia="din-2014" w:cs="Times New Roman"/>
          <w:i w:val="0"/>
          <w:caps w:val="0"/>
          <w:color w:val="auto"/>
          <w:spacing w:val="0"/>
          <w:sz w:val="24"/>
          <w:szCs w:val="24"/>
          <w:shd w:val="clear" w:color="auto" w:fill="FFFFFF"/>
          <w:lang w:val="en-US" w:eastAsia="zh-CN"/>
        </w:rPr>
      </w:pPr>
      <w:r>
        <w:rPr>
          <w:rFonts w:hint="default" w:ascii="Times New Roman" w:hAnsi="Times New Roman" w:eastAsia="din-2014" w:cs="Times New Roman"/>
          <w:i w:val="0"/>
          <w:caps w:val="0"/>
          <w:color w:val="auto"/>
          <w:spacing w:val="0"/>
          <w:sz w:val="24"/>
          <w:szCs w:val="24"/>
          <w:shd w:val="clear" w:color="auto" w:fill="FFFFFF"/>
          <w:lang w:val="en-US" w:eastAsia="zh-CN"/>
        </w:rPr>
        <w:t xml:space="preserve">Eva Niesten.(2017).Alliance governance choices: Disentangling the effects uncertainties and alliance experiecne. Long Range Planning. </w:t>
      </w: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Every Culture Website, (2018).Business Etiquette of Kazakhstan. Accessed on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"http://www.everyculture.com/Ja-Ma/Kazakhstan.html" </w:instrText>
      </w:r>
      <w:r>
        <w:rPr>
          <w:rFonts w:hint="default" w:ascii="Times New Roman" w:hAnsi="Times New Roman" w:cs="Times New Roman"/>
          <w:i w:val="0"/>
          <w:iCs w:val="0"/>
          <w:sz w:val="24"/>
          <w:szCs w:val="24"/>
          <w:lang w:val="en-US" w:eastAsia="zh-CN"/>
        </w:rPr>
        <w:fldChar w:fldCharType="separate"/>
      </w:r>
      <w:r>
        <w:rPr>
          <w:rStyle w:val="11"/>
          <w:rFonts w:hint="default" w:ascii="Times New Roman" w:hAnsi="Times New Roman" w:cs="Times New Roman"/>
          <w:i w:val="0"/>
          <w:iCs w:val="0"/>
          <w:sz w:val="24"/>
          <w:szCs w:val="24"/>
          <w:lang w:val="en-US" w:eastAsia="zh-CN"/>
        </w:rPr>
        <w:t>http://www.everyculture.com/Ja-Ma/Kazakhstan.html</w:t>
      </w:r>
      <w:r>
        <w:rPr>
          <w:rFonts w:hint="default" w:ascii="Times New Roman" w:hAnsi="Times New Roman" w:cs="Times New Roman"/>
          <w:i w:val="0"/>
          <w:iCs w:val="0"/>
          <w:sz w:val="24"/>
          <w:szCs w:val="24"/>
          <w:lang w:val="en-US" w:eastAsia="zh-CN"/>
        </w:rPr>
        <w:fldChar w:fldCharType="end"/>
      </w: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Guide Culture Website,(2018). Business Gift Giving of Kazakhstan. Accessed on </w:t>
      </w:r>
    </w:p>
    <w:p>
      <w:pPr>
        <w:rPr>
          <w:rStyle w:val="11"/>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"http://guide.culturecrossing.net/basics_business_student_details.php?Id=23&amp;CID=106" </w:instrText>
      </w:r>
      <w:r>
        <w:rPr>
          <w:rFonts w:hint="default" w:ascii="Times New Roman" w:hAnsi="Times New Roman" w:cs="Times New Roman"/>
          <w:i w:val="0"/>
          <w:iCs w:val="0"/>
          <w:sz w:val="24"/>
          <w:szCs w:val="24"/>
          <w:lang w:val="en-US" w:eastAsia="zh-CN"/>
        </w:rPr>
        <w:fldChar w:fldCharType="separate"/>
      </w:r>
      <w:r>
        <w:rPr>
          <w:rStyle w:val="11"/>
          <w:rFonts w:hint="default" w:ascii="Times New Roman" w:hAnsi="Times New Roman" w:cs="Times New Roman"/>
          <w:i w:val="0"/>
          <w:iCs w:val="0"/>
          <w:sz w:val="24"/>
          <w:szCs w:val="24"/>
          <w:lang w:val="en-US" w:eastAsia="zh-CN"/>
        </w:rPr>
        <w:t>http://guide.culturecrossing.net/basics_business_student_details.php?Id=2</w:t>
      </w:r>
    </w:p>
    <w:p>
      <w:pPr>
        <w:rPr>
          <w:rFonts w:hint="default" w:ascii="Times New Roman" w:hAnsi="Times New Roman" w:cs="Times New Roman"/>
          <w:i w:val="0"/>
          <w:iCs w:val="0"/>
          <w:sz w:val="24"/>
          <w:szCs w:val="24"/>
          <w:lang w:val="en-US" w:eastAsia="zh-CN"/>
        </w:rPr>
      </w:pPr>
      <w:r>
        <w:rPr>
          <w:rStyle w:val="11"/>
          <w:rFonts w:hint="default" w:ascii="Times New Roman" w:hAnsi="Times New Roman" w:cs="Times New Roman"/>
          <w:i w:val="0"/>
          <w:iCs w:val="0"/>
          <w:sz w:val="24"/>
          <w:szCs w:val="24"/>
          <w:lang w:val="en-US" w:eastAsia="zh-CN"/>
        </w:rPr>
        <w:t>3&amp;CID=106</w:t>
      </w:r>
      <w:r>
        <w:rPr>
          <w:rFonts w:hint="default" w:ascii="Times New Roman" w:hAnsi="Times New Roman" w:cs="Times New Roman"/>
          <w:i w:val="0"/>
          <w:iCs w:val="0"/>
          <w:sz w:val="24"/>
          <w:szCs w:val="24"/>
          <w:lang w:val="en-US" w:eastAsia="zh-CN"/>
        </w:rPr>
        <w:fldChar w:fldCharType="end"/>
      </w: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Giftypedia Website, (2018). Business Gift Giving in England. Accessed on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"http://www.giftypedia.com/England_Gift_Giving_Customs#cite_note-3" </w:instrText>
      </w:r>
      <w:r>
        <w:rPr>
          <w:rFonts w:hint="default" w:ascii="Times New Roman" w:hAnsi="Times New Roman" w:cs="Times New Roman"/>
          <w:i w:val="0"/>
          <w:iCs w:val="0"/>
          <w:sz w:val="24"/>
          <w:szCs w:val="24"/>
          <w:lang w:val="en-US" w:eastAsia="zh-CN"/>
        </w:rPr>
        <w:fldChar w:fldCharType="separate"/>
      </w:r>
      <w:r>
        <w:rPr>
          <w:rStyle w:val="11"/>
          <w:rFonts w:hint="default" w:ascii="Times New Roman" w:hAnsi="Times New Roman" w:cs="Times New Roman"/>
          <w:i w:val="0"/>
          <w:iCs w:val="0"/>
          <w:sz w:val="24"/>
          <w:szCs w:val="24"/>
          <w:lang w:val="en-US" w:eastAsia="zh-CN"/>
        </w:rPr>
        <w:t>http://www.giftypedia.com/England_Gift_Giving_Customs#cite_note-3</w:t>
      </w:r>
      <w:r>
        <w:rPr>
          <w:rFonts w:hint="default" w:ascii="Times New Roman" w:hAnsi="Times New Roman" w:cs="Times New Roman"/>
          <w:i w:val="0"/>
          <w:iCs w:val="0"/>
          <w:sz w:val="24"/>
          <w:szCs w:val="24"/>
          <w:lang w:val="en-US" w:eastAsia="zh-CN"/>
        </w:rPr>
        <w:fldChar w:fldCharType="end"/>
      </w:r>
    </w:p>
    <w:p>
      <w:pPr>
        <w:rPr>
          <w:rFonts w:hint="default" w:ascii="Times New Roman" w:hAnsi="Times New Roman" w:cs="Times New Roman"/>
          <w:i w:val="0"/>
          <w:iCs w:val="0"/>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i w:val="0"/>
          <w:iCs w:val="0"/>
          <w:sz w:val="24"/>
          <w:szCs w:val="24"/>
          <w:lang w:val="en-US" w:eastAsia="zh-CN"/>
        </w:rPr>
        <w:t>Hofstede Insight,(2018). Compare Countries:</w:t>
      </w:r>
      <w:r>
        <w:rPr>
          <w:rFonts w:hint="default" w:ascii="Times New Roman" w:hAnsi="Times New Roman" w:cs="Times New Roman"/>
          <w:sz w:val="24"/>
          <w:szCs w:val="24"/>
          <w:lang w:val="en-US" w:eastAsia="zh-CN"/>
        </w:rPr>
        <w:t xml:space="preserve">Six Scores for Britain Concerning Hofstede Dimensional Model.   Accessed on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"https://www.hofstede-insights.com/product/compare-countries/" </w:instrText>
      </w:r>
      <w:r>
        <w:rPr>
          <w:rFonts w:hint="default" w:ascii="Times New Roman" w:hAnsi="Times New Roman" w:cs="Times New Roman"/>
          <w:sz w:val="24"/>
          <w:szCs w:val="24"/>
          <w:lang w:val="en-US" w:eastAsia="zh-CN"/>
        </w:rPr>
        <w:fldChar w:fldCharType="separate"/>
      </w:r>
      <w:r>
        <w:rPr>
          <w:rStyle w:val="11"/>
          <w:rFonts w:hint="default" w:ascii="Times New Roman" w:hAnsi="Times New Roman" w:cs="Times New Roman"/>
          <w:sz w:val="24"/>
          <w:szCs w:val="24"/>
          <w:lang w:val="en-US" w:eastAsia="zh-CN"/>
        </w:rPr>
        <w:t>https://www.hofstede-insights.com/product/compare-countries/</w:t>
      </w:r>
      <w:r>
        <w:rPr>
          <w:rFonts w:hint="default" w:ascii="Times New Roman" w:hAnsi="Times New Roman" w:cs="Times New Roman"/>
          <w:sz w:val="24"/>
          <w:szCs w:val="24"/>
          <w:lang w:val="en-US" w:eastAsia="zh-CN"/>
        </w:rPr>
        <w:fldChar w:fldCharType="end"/>
      </w:r>
    </w:p>
    <w:p>
      <w:pPr>
        <w:rPr>
          <w:rFonts w:hint="default" w:ascii="Times New Roman" w:hAnsi="Times New Roman" w:cs="Times New Roman"/>
          <w:sz w:val="24"/>
          <w:szCs w:val="24"/>
          <w:lang w:val="en-US" w:eastAsia="zh-CN"/>
        </w:rPr>
      </w:pPr>
    </w:p>
    <w:p>
      <w:pPr>
        <w:numPr>
          <w:ilvl w:val="0"/>
          <w:numId w:val="0"/>
        </w:numPr>
        <w:jc w:val="left"/>
        <w:rPr>
          <w:rFonts w:hint="default" w:ascii="Times New Roman" w:hAnsi="Times New Roman" w:eastAsia="din-2014" w:cs="Times New Roman"/>
          <w:i w:val="0"/>
          <w:caps w:val="0"/>
          <w:color w:val="auto"/>
          <w:spacing w:val="0"/>
          <w:sz w:val="24"/>
          <w:szCs w:val="24"/>
          <w:shd w:val="clear" w:color="auto" w:fill="FFFFFF"/>
          <w:lang w:val="en-US" w:eastAsia="zh-CN"/>
        </w:rPr>
      </w:pPr>
      <w:r>
        <w:rPr>
          <w:rFonts w:hint="default" w:ascii="Times New Roman" w:hAnsi="Times New Roman" w:eastAsia="din-2014" w:cs="Times New Roman"/>
          <w:i w:val="0"/>
          <w:caps w:val="0"/>
          <w:color w:val="auto"/>
          <w:spacing w:val="0"/>
          <w:sz w:val="24"/>
          <w:szCs w:val="24"/>
          <w:shd w:val="clear" w:color="auto" w:fill="FFFFFF"/>
          <w:lang w:val="en-US" w:eastAsia="zh-CN"/>
        </w:rPr>
        <w:t>Hofstede, G. (2011) “The Evolution of Hofstede’s Doctrine”,Cross Cultural Management: An International Journal, Vol. 18Iuuse.</w:t>
      </w:r>
    </w:p>
    <w:p>
      <w:pPr>
        <w:numPr>
          <w:ilvl w:val="0"/>
          <w:numId w:val="0"/>
        </w:numPr>
        <w:jc w:val="left"/>
        <w:rPr>
          <w:rFonts w:hint="default" w:ascii="Times New Roman" w:hAnsi="Times New Roman" w:eastAsia="din-2014" w:cs="Times New Roman"/>
          <w:i w:val="0"/>
          <w:caps w:val="0"/>
          <w:color w:val="auto"/>
          <w:spacing w:val="0"/>
          <w:sz w:val="24"/>
          <w:szCs w:val="24"/>
          <w:shd w:val="clear" w:color="auto" w:fill="FFFFFF"/>
          <w:lang w:val="en-US" w:eastAsia="zh-CN"/>
        </w:rPr>
      </w:pPr>
    </w:p>
    <w:p>
      <w:pPr>
        <w:numPr>
          <w:ilvl w:val="0"/>
          <w:numId w:val="0"/>
        </w:numPr>
        <w:jc w:val="left"/>
        <w:rPr>
          <w:rFonts w:hint="default" w:ascii="Times New Roman" w:hAnsi="Times New Roman" w:eastAsia="din-2014" w:cs="Times New Roman"/>
          <w:i w:val="0"/>
          <w:caps w:val="0"/>
          <w:color w:val="auto"/>
          <w:spacing w:val="0"/>
          <w:sz w:val="24"/>
          <w:szCs w:val="24"/>
          <w:shd w:val="clear" w:color="auto" w:fill="FFFFFF"/>
          <w:lang w:val="en-US" w:eastAsia="zh-CN"/>
        </w:rPr>
      </w:pPr>
      <w:r>
        <w:rPr>
          <w:rFonts w:hint="default" w:ascii="Times New Roman" w:hAnsi="Times New Roman" w:eastAsia="din-2014" w:cs="Times New Roman"/>
          <w:i w:val="0"/>
          <w:caps w:val="0"/>
          <w:color w:val="auto"/>
          <w:spacing w:val="0"/>
          <w:sz w:val="24"/>
          <w:szCs w:val="24"/>
          <w:shd w:val="clear" w:color="auto" w:fill="FFFFFF"/>
          <w:lang w:val="en-US" w:eastAsia="zh-CN"/>
        </w:rPr>
        <w:t xml:space="preserve">Hofstede,G.(2015). Dimensionalizing Cultures: The Hofstede Model in Context. ScholarWorks@GVSU. Online Readings in Psychology and Culture. Retrieved 6 September, 2016. </w:t>
      </w:r>
    </w:p>
    <w:p>
      <w:pPr>
        <w:numPr>
          <w:ilvl w:val="0"/>
          <w:numId w:val="0"/>
        </w:numPr>
        <w:jc w:val="left"/>
        <w:rPr>
          <w:rFonts w:hint="default" w:ascii="Times New Roman" w:hAnsi="Times New Roman" w:eastAsia="din-2014" w:cs="Times New Roman"/>
          <w:i w:val="0"/>
          <w:caps w:val="0"/>
          <w:color w:val="auto"/>
          <w:spacing w:val="0"/>
          <w:sz w:val="24"/>
          <w:szCs w:val="24"/>
          <w:shd w:val="clear" w:color="auto" w:fill="FFFFFF"/>
          <w:lang w:val="en-US" w:eastAsia="zh-CN"/>
        </w:rPr>
      </w:pPr>
    </w:p>
    <w:p>
      <w:pPr>
        <w:numPr>
          <w:ilvl w:val="0"/>
          <w:numId w:val="0"/>
        </w:numPr>
        <w:jc w:val="left"/>
        <w:rPr>
          <w:rFonts w:hint="default" w:ascii="Times New Roman" w:hAnsi="Times New Roman" w:eastAsia="din-2014" w:cs="Times New Roman"/>
          <w:i w:val="0"/>
          <w:caps w:val="0"/>
          <w:color w:val="auto"/>
          <w:spacing w:val="0"/>
          <w:sz w:val="24"/>
          <w:szCs w:val="24"/>
          <w:shd w:val="clear" w:color="auto" w:fill="FFFFFF"/>
          <w:lang w:val="en-US" w:eastAsia="zh-CN"/>
        </w:rPr>
      </w:pPr>
      <w:r>
        <w:rPr>
          <w:rFonts w:hint="default" w:ascii="Times New Roman" w:hAnsi="Times New Roman" w:eastAsia="din-2014" w:cs="Times New Roman"/>
          <w:i w:val="0"/>
          <w:caps w:val="0"/>
          <w:color w:val="auto"/>
          <w:spacing w:val="0"/>
          <w:sz w:val="24"/>
          <w:szCs w:val="24"/>
          <w:shd w:val="clear" w:color="auto" w:fill="FFFFFF"/>
          <w:lang w:val="en-US" w:eastAsia="zh-CN"/>
        </w:rPr>
        <w:t xml:space="preserve">Hofstede, G.(1991).Cultures and Organizations: software of the mind.London:McGraw-Hill. </w:t>
      </w:r>
    </w:p>
    <w:p>
      <w:pPr>
        <w:numPr>
          <w:ilvl w:val="0"/>
          <w:numId w:val="0"/>
        </w:numPr>
        <w:jc w:val="left"/>
        <w:rPr>
          <w:rFonts w:hint="default" w:ascii="Times New Roman" w:hAnsi="Times New Roman" w:eastAsia="din-2014" w:cs="Times New Roman"/>
          <w:i w:val="0"/>
          <w:caps w:val="0"/>
          <w:color w:val="auto"/>
          <w:spacing w:val="0"/>
          <w:sz w:val="24"/>
          <w:szCs w:val="24"/>
          <w:shd w:val="clear" w:color="auto" w:fill="FFFFFF"/>
          <w:lang w:val="en-US" w:eastAsia="zh-CN"/>
        </w:rPr>
      </w:pPr>
    </w:p>
    <w:p>
      <w:pPr>
        <w:numPr>
          <w:ilvl w:val="0"/>
          <w:numId w:val="0"/>
        </w:numPr>
        <w:jc w:val="left"/>
        <w:rPr>
          <w:rFonts w:hint="default" w:ascii="Times New Roman" w:hAnsi="Times New Roman" w:eastAsia="din-2014" w:cs="Times New Roman"/>
          <w:i w:val="0"/>
          <w:caps w:val="0"/>
          <w:color w:val="auto"/>
          <w:spacing w:val="0"/>
          <w:sz w:val="24"/>
          <w:szCs w:val="24"/>
          <w:shd w:val="clear" w:color="auto" w:fill="FFFFFF"/>
          <w:lang w:val="en-US" w:eastAsia="zh-CN"/>
        </w:rPr>
      </w:pPr>
      <w:r>
        <w:rPr>
          <w:rFonts w:hint="default" w:ascii="Times New Roman" w:hAnsi="Times New Roman" w:eastAsia="din-2014" w:cs="Times New Roman"/>
          <w:i w:val="0"/>
          <w:caps w:val="0"/>
          <w:color w:val="auto"/>
          <w:spacing w:val="0"/>
          <w:sz w:val="24"/>
          <w:szCs w:val="24"/>
          <w:shd w:val="clear" w:color="auto" w:fill="FFFFFF"/>
          <w:lang w:val="en-US" w:eastAsia="zh-CN"/>
        </w:rPr>
        <w:t>Joseph,J. (2015). The Relationship among cultural differences. International Journal of Educational Development 42.</w:t>
      </w:r>
    </w:p>
    <w:p>
      <w:pPr>
        <w:numPr>
          <w:ilvl w:val="0"/>
          <w:numId w:val="0"/>
        </w:numPr>
        <w:jc w:val="left"/>
        <w:rPr>
          <w:rFonts w:hint="default" w:ascii="Times New Roman" w:hAnsi="Times New Roman" w:eastAsia="din-2014" w:cs="Times New Roman"/>
          <w:i w:val="0"/>
          <w:caps w:val="0"/>
          <w:color w:val="auto"/>
          <w:spacing w:val="0"/>
          <w:sz w:val="24"/>
          <w:szCs w:val="24"/>
          <w:shd w:val="clear" w:color="auto" w:fill="FFFFFF"/>
          <w:lang w:val="en-US" w:eastAsia="zh-CN"/>
        </w:rPr>
      </w:pPr>
    </w:p>
    <w:p>
      <w:pPr>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 xml:space="preserve">Michael,C.(2007). What Makes us Similar and Different. </w:t>
      </w:r>
      <w:r>
        <w:rPr>
          <w:rFonts w:hint="default" w:ascii="Times New Roman" w:hAnsi="Times New Roman" w:cs="Times New Roman"/>
          <w:i/>
          <w:iCs/>
          <w:sz w:val="24"/>
          <w:szCs w:val="24"/>
          <w:lang w:val="en-US" w:eastAsia="zh-CN"/>
        </w:rPr>
        <w:t xml:space="preserve">Journal of Klasika Publishing House. </w:t>
      </w:r>
    </w:p>
    <w:p>
      <w:pPr>
        <w:numPr>
          <w:ilvl w:val="0"/>
          <w:numId w:val="0"/>
        </w:numPr>
        <w:jc w:val="left"/>
        <w:rPr>
          <w:rFonts w:hint="eastAsia" w:ascii="din-2014" w:hAnsi="din-2014" w:eastAsia="din-2014" w:cs="din-2014"/>
          <w:i w:val="0"/>
          <w:color w:val="auto"/>
          <w:spacing w:val="0"/>
          <w:sz w:val="17"/>
          <w:szCs w:val="17"/>
          <w:shd w:val="clear" w:color="auto" w:fill="FFFFFF"/>
          <w:lang w:val="en-US" w:eastAsia="zh-CN"/>
        </w:rPr>
      </w:pPr>
    </w:p>
    <w:p>
      <w:pPr>
        <w:numPr>
          <w:ilvl w:val="0"/>
          <w:numId w:val="0"/>
        </w:numPr>
        <w:jc w:val="left"/>
        <w:rPr>
          <w:rFonts w:hint="default" w:ascii="Times New Roman" w:hAnsi="Times New Roman" w:eastAsia="din-2014" w:cs="Times New Roman"/>
          <w:i w:val="0"/>
          <w:caps w:val="0"/>
          <w:color w:val="auto"/>
          <w:spacing w:val="0"/>
          <w:sz w:val="24"/>
          <w:szCs w:val="24"/>
          <w:shd w:val="clear" w:color="auto" w:fill="FFFFFF"/>
          <w:lang w:val="en-US" w:eastAsia="zh-CN"/>
        </w:rPr>
      </w:pPr>
      <w:r>
        <w:rPr>
          <w:rFonts w:hint="default" w:ascii="Times New Roman" w:hAnsi="Times New Roman" w:eastAsia="din-2014" w:cs="Times New Roman"/>
          <w:i w:val="0"/>
          <w:color w:val="auto"/>
          <w:spacing w:val="0"/>
          <w:sz w:val="24"/>
          <w:szCs w:val="24"/>
          <w:shd w:val="clear" w:color="auto" w:fill="FFFFFF"/>
          <w:lang w:val="en-US" w:eastAsia="zh-CN"/>
        </w:rPr>
        <w:t>T</w:t>
      </w:r>
      <w:r>
        <w:rPr>
          <w:rFonts w:hint="default" w:ascii="Times New Roman" w:hAnsi="Times New Roman" w:eastAsia="din-2014" w:cs="Times New Roman"/>
          <w:i w:val="0"/>
          <w:caps w:val="0"/>
          <w:color w:val="auto"/>
          <w:spacing w:val="0"/>
          <w:sz w:val="24"/>
          <w:szCs w:val="24"/>
          <w:shd w:val="clear" w:color="auto" w:fill="FFFFFF"/>
          <w:lang w:val="en-US" w:eastAsia="zh-CN"/>
        </w:rPr>
        <w:t>iit</w:t>
      </w:r>
      <w:r>
        <w:rPr>
          <w:rFonts w:hint="eastAsia" w:ascii="Times New Roman" w:hAnsi="Times New Roman" w:eastAsia="din-2014" w:cs="Times New Roman"/>
          <w:i w:val="0"/>
          <w:caps w:val="0"/>
          <w:color w:val="auto"/>
          <w:spacing w:val="0"/>
          <w:sz w:val="24"/>
          <w:szCs w:val="24"/>
          <w:shd w:val="clear" w:color="auto" w:fill="FFFFFF"/>
          <w:lang w:val="en-US" w:eastAsia="zh-CN"/>
        </w:rPr>
        <w:t>,</w:t>
      </w:r>
      <w:r>
        <w:rPr>
          <w:rFonts w:hint="default" w:ascii="Times New Roman" w:hAnsi="Times New Roman" w:eastAsia="din-2014" w:cs="Times New Roman"/>
          <w:i w:val="0"/>
          <w:caps w:val="0"/>
          <w:color w:val="auto"/>
          <w:spacing w:val="0"/>
          <w:sz w:val="24"/>
          <w:szCs w:val="24"/>
          <w:shd w:val="clear" w:color="auto" w:fill="FFFFFF"/>
          <w:lang w:val="en-US" w:eastAsia="zh-CN"/>
        </w:rPr>
        <w:t>R.(2013). The Business Environment in Kazakhstan. International Journal 163.</w:t>
      </w:r>
    </w:p>
    <w:p>
      <w:pPr>
        <w:rPr>
          <w:rFonts w:hint="default" w:ascii="Times New Roman" w:hAnsi="Times New Roman" w:cs="Times New Roman"/>
          <w:i/>
          <w:iCs/>
          <w:sz w:val="24"/>
          <w:szCs w:val="24"/>
          <w:lang w:val="en-US" w:eastAsia="zh-CN"/>
        </w:rPr>
      </w:pPr>
    </w:p>
    <w:p>
      <w:pPr>
        <w:numPr>
          <w:ilvl w:val="0"/>
          <w:numId w:val="0"/>
        </w:numPr>
        <w:jc w:val="left"/>
        <w:rPr>
          <w:rFonts w:hint="default" w:ascii="Times New Roman" w:hAnsi="Times New Roman" w:eastAsia="din-2014" w:cs="Times New Roman"/>
          <w:i w:val="0"/>
          <w:caps w:val="0"/>
          <w:color w:val="auto"/>
          <w:spacing w:val="0"/>
          <w:sz w:val="24"/>
          <w:szCs w:val="24"/>
          <w:shd w:val="clear" w:color="auto" w:fill="FFFFFF"/>
          <w:lang w:val="en-US" w:eastAsia="zh-CN"/>
        </w:rPr>
      </w:pPr>
      <w:r>
        <w:rPr>
          <w:rFonts w:hint="default" w:ascii="Times New Roman" w:hAnsi="Times New Roman" w:eastAsia="din-2014" w:cs="Times New Roman"/>
          <w:i w:val="0"/>
          <w:caps w:val="0"/>
          <w:color w:val="auto"/>
          <w:spacing w:val="0"/>
          <w:sz w:val="24"/>
          <w:szCs w:val="24"/>
          <w:shd w:val="clear" w:color="auto" w:fill="FFFFFF"/>
          <w:lang w:val="en-US" w:eastAsia="zh-CN"/>
        </w:rPr>
        <w:t>Udewu.(2014). National Culture and perceptions of Success. Journal of Management. 11:3.</w:t>
      </w:r>
    </w:p>
    <w:p>
      <w:pPr>
        <w:rPr>
          <w:rFonts w:hint="default" w:ascii="Times New Roman" w:hAnsi="Times New Roman" w:cs="Times New Roman"/>
          <w:i/>
          <w:iCs/>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din-2014">
    <w:altName w:val="Segoe Print"/>
    <w:panose1 w:val="00000000000000000000"/>
    <w:charset w:val="00"/>
    <w:family w:val="auto"/>
    <w:pitch w:val="default"/>
    <w:sig w:usb0="00000000" w:usb1="00000000" w:usb2="00000000" w:usb3="00000000" w:csb0="00040001"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attachedTemplate r:id="rId1"/>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3F31E42"/>
    <w:rsid w:val="29F8345E"/>
    <w:rsid w:val="356E223D"/>
    <w:rsid w:val="39D46268"/>
    <w:rsid w:val="423F6B7F"/>
    <w:rsid w:val="4A72234F"/>
    <w:rsid w:val="553715A3"/>
    <w:rsid w:val="57537900"/>
    <w:rsid w:val="62DB3B2A"/>
    <w:rsid w:val="63F31E42"/>
    <w:rsid w:val="66174A34"/>
    <w:rsid w:val="67D11907"/>
    <w:rsid w:val="67D93390"/>
    <w:rsid w:val="6B893D92"/>
    <w:rsid w:val="6D535020"/>
    <w:rsid w:val="771D02DC"/>
    <w:rsid w:val="77D201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0">
    <w:name w:val="Default Paragraph Font"/>
    <w:semiHidden/>
    <w:qFormat/>
    <w:uiPriority w:val="0"/>
  </w:style>
  <w:style w:type="table" w:default="1" w:styleId="12">
    <w:name w:val="Normal Table"/>
    <w:semiHidden/>
    <w:qFormat/>
    <w:uiPriority w:val="0"/>
    <w:tblPr>
      <w:tblLayout w:type="fixed"/>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character" w:styleId="11">
    <w:name w:val="Hyperlink"/>
    <w:basedOn w:val="10"/>
    <w:qFormat/>
    <w:uiPriority w:val="0"/>
    <w:rPr>
      <w:color w:val="0000FF"/>
      <w:u w:val="single"/>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9579;&#24515;\AppData\Roaming\Kingsoft\wps\addons\pool\win-i386\knewfileruby_1.0.0.10\template\wps\0.doc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0.docx</Template>
  <Pages>1</Pages>
  <Words>0</Words>
  <Characters>0</Characters>
  <Lines>0</Lines>
  <Paragraphs>0</Paragraphs>
  <TotalTime>0</TotalTime>
  <ScaleCrop>false</ScaleCrop>
  <LinksUpToDate>false</LinksUpToDate>
  <CharactersWithSpaces>0</CharactersWithSpaces>
  <Application>WPS Office_10.1.0.7400_F1E327BC-269C-435d-A152-05C5408002CA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2018-07-06T05:15:00Z</dcterms:created>
  <dc:creator></dc:creator>
  <cp:lastModifiedBy></cp:lastModifiedBy>
  <dcterms:modified xsi:type="dcterms:W3CDTF">2018-07-16T09:49:11Z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2052-10.1.0.7400</vt:lpwstr>
  </property>
</Properties>
</file>