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EB3E83" w14:textId="77777777" w:rsidR="00C11373" w:rsidRPr="00C11373" w:rsidRDefault="00C11373" w:rsidP="0028520E">
      <w:pPr>
        <w:spacing w:line="360" w:lineRule="auto"/>
        <w:rPr>
          <w:rFonts w:ascii="Times New Roman" w:hAnsi="Times New Roman" w:cs="Times New Roman"/>
          <w:color w:val="000000" w:themeColor="text1"/>
          <w:lang w:val="en-GB"/>
        </w:rPr>
      </w:pPr>
      <w:r w:rsidRPr="00C11373">
        <w:rPr>
          <w:rFonts w:ascii="Times New Roman" w:hAnsi="Times New Roman" w:cs="Times New Roman"/>
          <w:color w:val="000000" w:themeColor="text1"/>
          <w:lang w:val="en-GB"/>
        </w:rPr>
        <w:t>“it may surprise some to learn that the cyber attackers are also targeting the healthcare technology companies, the ‘supporting actors’ in the healthcare industry ecosystem”</w:t>
      </w:r>
    </w:p>
    <w:sdt>
      <w:sdtPr>
        <w:rPr>
          <w:rFonts w:ascii="Times New Roman" w:hAnsi="Times New Roman" w:cs="Times New Roman"/>
          <w:color w:val="000000" w:themeColor="text1"/>
        </w:rPr>
        <w:id w:val="-911542587"/>
        <w:docPartObj>
          <w:docPartGallery w:val="Cover Pages"/>
          <w:docPartUnique/>
        </w:docPartObj>
      </w:sdtPr>
      <w:sdtContent>
        <w:p w14:paraId="682A3D15" w14:textId="0DE01DFD"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3B42E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1BA32D53"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B3EF7" w:rsidRPr="004B3EF7">
                                      <w:rPr>
                                        <w:caps/>
                                        <w:color w:val="156082" w:themeColor="accent1"/>
                                        <w:sz w:val="64"/>
                                        <w:szCs w:val="64"/>
                                        <w:lang w:val="en-GB"/>
                                      </w:rPr>
                                      <w:t>Network and Cybersecurity Essentials</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119C087" w14:textId="1BA32D53"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B3EF7" w:rsidRPr="004B3EF7">
                                <w:rPr>
                                  <w:caps/>
                                  <w:color w:val="156082" w:themeColor="accent1"/>
                                  <w:sz w:val="64"/>
                                  <w:szCs w:val="64"/>
                                  <w:lang w:val="en-GB"/>
                                </w:rPr>
                                <w:t>Network and Cybersecurity Essentials</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6DDFDADC" w14:textId="3557E6D4" w:rsidR="00EA3F67" w:rsidRPr="00F3304A" w:rsidRDefault="007E0468"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6FD00E6D" w:rsidR="000552AB" w:rsidRPr="004B3EF7" w:rsidRDefault="003A6317" w:rsidP="004B3EF7">
                                <w:pPr>
                                  <w:pStyle w:val="NoSpacing"/>
                                  <w:ind w:left="2694"/>
                                  <w:rPr>
                                    <w:rFonts w:eastAsiaTheme="minorHAnsi"/>
                                    <w:b/>
                                    <w:bCs/>
                                    <w:sz w:val="24"/>
                                    <w:szCs w:val="24"/>
                                    <w:lang w:val="en-GB"/>
                                  </w:rPr>
                                </w:pPr>
                                <w:r w:rsidRPr="00554D44">
                                  <w:rPr>
                                    <w:rFonts w:eastAsiaTheme="minorHAnsi"/>
                                    <w:sz w:val="24"/>
                                    <w:szCs w:val="24"/>
                                    <w:lang w:val="en-GB"/>
                                  </w:rPr>
                                  <w:t xml:space="preserve">Module Name: </w:t>
                                </w:r>
                                <w:r w:rsidR="004B3EF7" w:rsidRPr="004B3EF7">
                                  <w:rPr>
                                    <w:rFonts w:eastAsiaTheme="minorHAnsi"/>
                                    <w:sz w:val="24"/>
                                    <w:szCs w:val="24"/>
                                    <w:lang w:val="en-GB"/>
                                  </w:rPr>
                                  <w:t>Network and Cybersecurity Essentials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 xml:space="preserve">de: </w:t>
                                </w:r>
                                <w:r w:rsidR="004B3EF7" w:rsidRPr="004B3EF7">
                                  <w:rPr>
                                    <w:rFonts w:eastAsiaTheme="minorHAnsi"/>
                                    <w:sz w:val="24"/>
                                    <w:szCs w:val="24"/>
                                    <w:lang w:val="en-GB"/>
                                  </w:rPr>
                                  <w:t>ACCA4024</w:t>
                                </w:r>
                                <w:r w:rsidRPr="00554D44">
                                  <w:rPr>
                                    <w:rFonts w:eastAsiaTheme="minorHAnsi"/>
                                    <w:sz w:val="24"/>
                                    <w:szCs w:val="24"/>
                                    <w:lang w:val="en-GB"/>
                                  </w:rPr>
                                  <w:br/>
                                  <w:t xml:space="preserve">Student Name: </w:t>
                                </w:r>
                                <w:r w:rsidR="00377E85">
                                  <w:rPr>
                                    <w:rFonts w:eastAsiaTheme="minorHAnsi"/>
                                    <w:sz w:val="24"/>
                                    <w:szCs w:val="24"/>
                                    <w:lang w:val="en-GB"/>
                                  </w:rPr>
                                  <w:t>Maksym Krainii</w:t>
                                </w:r>
                                <w:r w:rsidRPr="00554D44">
                                  <w:rPr>
                                    <w:rFonts w:eastAsiaTheme="minorHAnsi"/>
                                    <w:sz w:val="24"/>
                                    <w:szCs w:val="24"/>
                                    <w:lang w:val="en-GB"/>
                                  </w:rPr>
                                  <w:br/>
                                  <w:t xml:space="preserve">Student ID: </w:t>
                                </w:r>
                                <w:r w:rsidR="00377E85">
                                  <w:rPr>
                                    <w:rFonts w:eastAsiaTheme="minorHAnsi"/>
                                    <w:sz w:val="24"/>
                                    <w:szCs w:val="24"/>
                                    <w:lang w:val="en-GB"/>
                                  </w:rPr>
                                  <w:t>2441872</w:t>
                                </w:r>
                                <w:r w:rsidRPr="00554D44">
                                  <w:rPr>
                                    <w:rFonts w:eastAsiaTheme="minorHAnsi"/>
                                    <w:sz w:val="24"/>
                                    <w:szCs w:val="24"/>
                                    <w:lang w:val="en-GB"/>
                                  </w:rPr>
                                  <w:br/>
                                  <w:t>Group:</w:t>
                                </w:r>
                                <w:r w:rsidR="00377E85">
                                  <w:rPr>
                                    <w:rFonts w:eastAsiaTheme="minorHAnsi"/>
                                    <w:sz w:val="24"/>
                                    <w:szCs w:val="24"/>
                                    <w:lang w:val="en-GB"/>
                                  </w:rPr>
                                  <w:t xml:space="preserve"> </w:t>
                                </w:r>
                                <w:r w:rsidRPr="00554D44">
                                  <w:rPr>
                                    <w:rFonts w:eastAsiaTheme="minorHAnsi"/>
                                    <w:sz w:val="24"/>
                                    <w:szCs w:val="24"/>
                                    <w:lang w:val="en-GB"/>
                                  </w:rPr>
                                  <w:t>2</w:t>
                                </w:r>
                              </w:p>
                              <w:p w14:paraId="1B8EBC0C" w14:textId="52923805" w:rsidR="00EA3F67" w:rsidRDefault="00B67A66" w:rsidP="004B3EF7">
                                <w:pPr>
                                  <w:pStyle w:val="NoSpacing"/>
                                  <w:ind w:left="1986" w:firstLine="708"/>
                                  <w:rPr>
                                    <w:color w:val="595959" w:themeColor="text1" w:themeTint="A6"/>
                                    <w:sz w:val="20"/>
                                    <w:szCs w:val="20"/>
                                  </w:rPr>
                                </w:pPr>
                                <w:r>
                                  <w:rPr>
                                    <w:rFonts w:eastAsiaTheme="minorHAnsi"/>
                                    <w:sz w:val="24"/>
                                    <w:szCs w:val="24"/>
                                    <w:lang w:val="en-GB"/>
                                  </w:rPr>
                                  <w:t>Lecturer’s Name:</w:t>
                                </w:r>
                                <w:r w:rsidR="00FF3862">
                                  <w:rPr>
                                    <w:rFonts w:eastAsiaTheme="minorHAnsi"/>
                                    <w:sz w:val="24"/>
                                    <w:szCs w:val="24"/>
                                    <w:lang w:val="en-GB"/>
                                  </w:rPr>
                                  <w:t xml:space="preserve"> </w:t>
                                </w:r>
                                <w:r w:rsidR="004B3EF7" w:rsidRPr="004B3EF7">
                                  <w:rPr>
                                    <w:rFonts w:eastAsiaTheme="minorHAnsi"/>
                                    <w:sz w:val="24"/>
                                    <w:szCs w:val="24"/>
                                    <w:lang w:val="ru-RU"/>
                                  </w:rPr>
                                  <w:t>Amit Naik</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" filled="f" stroked="f" strokeweight=".5pt">
                    <v:textbox inset="126pt,0,54pt,0">
                      <w:txbxContent>
                        <w:p w14:paraId="6CAE5F42" w14:textId="6FD00E6D" w:rsidR="000552AB" w:rsidRPr="004B3EF7" w:rsidRDefault="003A6317" w:rsidP="004B3EF7">
                          <w:pPr>
                            <w:pStyle w:val="NoSpacing"/>
                            <w:ind w:left="2694"/>
                            <w:rPr>
                              <w:rFonts w:eastAsiaTheme="minorHAnsi"/>
                              <w:b/>
                              <w:bCs/>
                              <w:sz w:val="24"/>
                              <w:szCs w:val="24"/>
                              <w:lang w:val="en-GB"/>
                            </w:rPr>
                          </w:pPr>
                          <w:r w:rsidRPr="00554D44">
                            <w:rPr>
                              <w:rFonts w:eastAsiaTheme="minorHAnsi"/>
                              <w:sz w:val="24"/>
                              <w:szCs w:val="24"/>
                              <w:lang w:val="en-GB"/>
                            </w:rPr>
                            <w:t xml:space="preserve">Module Name: </w:t>
                          </w:r>
                          <w:r w:rsidR="004B3EF7" w:rsidRPr="004B3EF7">
                            <w:rPr>
                              <w:rFonts w:eastAsiaTheme="minorHAnsi"/>
                              <w:sz w:val="24"/>
                              <w:szCs w:val="24"/>
                              <w:lang w:val="en-GB"/>
                            </w:rPr>
                            <w:t>Network and Cybersecurity Essentials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 xml:space="preserve">de: </w:t>
                          </w:r>
                          <w:r w:rsidR="004B3EF7" w:rsidRPr="004B3EF7">
                            <w:rPr>
                              <w:rFonts w:eastAsiaTheme="minorHAnsi"/>
                              <w:sz w:val="24"/>
                              <w:szCs w:val="24"/>
                              <w:lang w:val="en-GB"/>
                            </w:rPr>
                            <w:t>ACCA4024</w:t>
                          </w:r>
                          <w:r w:rsidRPr="00554D44">
                            <w:rPr>
                              <w:rFonts w:eastAsiaTheme="minorHAnsi"/>
                              <w:sz w:val="24"/>
                              <w:szCs w:val="24"/>
                              <w:lang w:val="en-GB"/>
                            </w:rPr>
                            <w:br/>
                            <w:t xml:space="preserve">Student Name: </w:t>
                          </w:r>
                          <w:r w:rsidR="00377E85">
                            <w:rPr>
                              <w:rFonts w:eastAsiaTheme="minorHAnsi"/>
                              <w:sz w:val="24"/>
                              <w:szCs w:val="24"/>
                              <w:lang w:val="en-GB"/>
                            </w:rPr>
                            <w:t>Maksym Krainii</w:t>
                          </w:r>
                          <w:r w:rsidRPr="00554D44">
                            <w:rPr>
                              <w:rFonts w:eastAsiaTheme="minorHAnsi"/>
                              <w:sz w:val="24"/>
                              <w:szCs w:val="24"/>
                              <w:lang w:val="en-GB"/>
                            </w:rPr>
                            <w:br/>
                            <w:t xml:space="preserve">Student ID: </w:t>
                          </w:r>
                          <w:r w:rsidR="00377E85">
                            <w:rPr>
                              <w:rFonts w:eastAsiaTheme="minorHAnsi"/>
                              <w:sz w:val="24"/>
                              <w:szCs w:val="24"/>
                              <w:lang w:val="en-GB"/>
                            </w:rPr>
                            <w:t>2441872</w:t>
                          </w:r>
                          <w:r w:rsidRPr="00554D44">
                            <w:rPr>
                              <w:rFonts w:eastAsiaTheme="minorHAnsi"/>
                              <w:sz w:val="24"/>
                              <w:szCs w:val="24"/>
                              <w:lang w:val="en-GB"/>
                            </w:rPr>
                            <w:br/>
                            <w:t>Group:</w:t>
                          </w:r>
                          <w:r w:rsidR="00377E85">
                            <w:rPr>
                              <w:rFonts w:eastAsiaTheme="minorHAnsi"/>
                              <w:sz w:val="24"/>
                              <w:szCs w:val="24"/>
                              <w:lang w:val="en-GB"/>
                            </w:rPr>
                            <w:t xml:space="preserve"> </w:t>
                          </w:r>
                          <w:r w:rsidRPr="00554D44">
                            <w:rPr>
                              <w:rFonts w:eastAsiaTheme="minorHAnsi"/>
                              <w:sz w:val="24"/>
                              <w:szCs w:val="24"/>
                              <w:lang w:val="en-GB"/>
                            </w:rPr>
                            <w:t>2</w:t>
                          </w:r>
                        </w:p>
                        <w:p w14:paraId="1B8EBC0C" w14:textId="52923805" w:rsidR="00EA3F67" w:rsidRDefault="00B67A66" w:rsidP="004B3EF7">
                          <w:pPr>
                            <w:pStyle w:val="NoSpacing"/>
                            <w:ind w:left="1986" w:firstLine="708"/>
                            <w:rPr>
                              <w:color w:val="595959" w:themeColor="text1" w:themeTint="A6"/>
                              <w:sz w:val="20"/>
                              <w:szCs w:val="20"/>
                            </w:rPr>
                          </w:pPr>
                          <w:r>
                            <w:rPr>
                              <w:rFonts w:eastAsiaTheme="minorHAnsi"/>
                              <w:sz w:val="24"/>
                              <w:szCs w:val="24"/>
                              <w:lang w:val="en-GB"/>
                            </w:rPr>
                            <w:t>Lecturer’s Name:</w:t>
                          </w:r>
                          <w:r w:rsidR="00FF3862">
                            <w:rPr>
                              <w:rFonts w:eastAsiaTheme="minorHAnsi"/>
                              <w:sz w:val="24"/>
                              <w:szCs w:val="24"/>
                              <w:lang w:val="en-GB"/>
                            </w:rPr>
                            <w:t xml:space="preserve"> </w:t>
                          </w:r>
                          <w:r w:rsidR="004B3EF7" w:rsidRPr="004B3EF7">
                            <w:rPr>
                              <w:rFonts w:eastAsiaTheme="minorHAnsi"/>
                              <w:sz w:val="24"/>
                              <w:szCs w:val="24"/>
                              <w:lang w:val="ru-RU"/>
                            </w:rPr>
                            <w:t>Amit Naik</w:t>
                          </w: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28443703"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5E1D9E0E" w14:textId="20CF2D11" w:rsidR="00756BAA" w:rsidRDefault="00ED5E81">
          <w:pPr>
            <w:pStyle w:val="TOC1"/>
            <w:tabs>
              <w:tab w:val="right" w:leader="dot" w:pos="9016"/>
            </w:tabs>
            <w:rPr>
              <w:rFonts w:eastAsiaTheme="minorEastAsia"/>
              <w:noProof/>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28443703" w:history="1">
            <w:r w:rsidR="00756BAA" w:rsidRPr="00A7310C">
              <w:rPr>
                <w:rStyle w:val="Hyperlink"/>
                <w:rFonts w:ascii="Times New Roman" w:hAnsi="Times New Roman" w:cs="Times New Roman"/>
                <w:noProof/>
              </w:rPr>
              <w:t>Table of Contents</w:t>
            </w:r>
            <w:r w:rsidR="00756BAA">
              <w:rPr>
                <w:noProof/>
                <w:webHidden/>
              </w:rPr>
              <w:tab/>
            </w:r>
            <w:r w:rsidR="00756BAA">
              <w:rPr>
                <w:noProof/>
                <w:webHidden/>
              </w:rPr>
              <w:fldChar w:fldCharType="begin"/>
            </w:r>
            <w:r w:rsidR="00756BAA">
              <w:rPr>
                <w:noProof/>
                <w:webHidden/>
              </w:rPr>
              <w:instrText xml:space="preserve"> PAGEREF _Toc228443703 \h </w:instrText>
            </w:r>
            <w:r w:rsidR="00756BAA">
              <w:rPr>
                <w:noProof/>
                <w:webHidden/>
              </w:rPr>
            </w:r>
            <w:r w:rsidR="00756BAA">
              <w:rPr>
                <w:noProof/>
                <w:webHidden/>
              </w:rPr>
              <w:fldChar w:fldCharType="separate"/>
            </w:r>
            <w:r w:rsidR="00756BAA">
              <w:rPr>
                <w:noProof/>
                <w:webHidden/>
              </w:rPr>
              <w:t>1</w:t>
            </w:r>
            <w:r w:rsidR="00756BAA">
              <w:rPr>
                <w:noProof/>
                <w:webHidden/>
              </w:rPr>
              <w:fldChar w:fldCharType="end"/>
            </w:r>
          </w:hyperlink>
        </w:p>
        <w:p w14:paraId="31457938" w14:textId="7FE9ADF0" w:rsidR="00756BAA" w:rsidRDefault="00756BAA">
          <w:pPr>
            <w:pStyle w:val="TOC1"/>
            <w:tabs>
              <w:tab w:val="left" w:pos="480"/>
              <w:tab w:val="right" w:leader="dot" w:pos="9016"/>
            </w:tabs>
            <w:rPr>
              <w:rFonts w:eastAsiaTheme="minorEastAsia"/>
              <w:noProof/>
              <w:lang w:val="en-GB" w:eastAsia="en-GB"/>
            </w:rPr>
          </w:pPr>
          <w:hyperlink w:anchor="_Toc228443704" w:history="1">
            <w:r w:rsidRPr="00A7310C">
              <w:rPr>
                <w:rStyle w:val="Hyperlink"/>
                <w:rFonts w:ascii="Times New Roman" w:hAnsi="Times New Roman" w:cs="Times New Roman"/>
                <w:b/>
                <w:bCs/>
                <w:noProof/>
                <w:lang w:val="en-GB"/>
              </w:rPr>
              <w:t>1.</w:t>
            </w:r>
            <w:r>
              <w:rPr>
                <w:rFonts w:eastAsiaTheme="minorEastAsia"/>
                <w:noProof/>
                <w:lang w:val="en-GB" w:eastAsia="en-GB"/>
              </w:rPr>
              <w:tab/>
            </w:r>
            <w:r w:rsidRPr="00A7310C">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_Toc228443704 \h </w:instrText>
            </w:r>
            <w:r>
              <w:rPr>
                <w:noProof/>
                <w:webHidden/>
              </w:rPr>
            </w:r>
            <w:r>
              <w:rPr>
                <w:noProof/>
                <w:webHidden/>
              </w:rPr>
              <w:fldChar w:fldCharType="separate"/>
            </w:r>
            <w:r>
              <w:rPr>
                <w:noProof/>
                <w:webHidden/>
              </w:rPr>
              <w:t>2</w:t>
            </w:r>
            <w:r>
              <w:rPr>
                <w:noProof/>
                <w:webHidden/>
              </w:rPr>
              <w:fldChar w:fldCharType="end"/>
            </w:r>
          </w:hyperlink>
        </w:p>
        <w:p w14:paraId="51483608" w14:textId="436304DF" w:rsidR="00756BAA" w:rsidRDefault="00756BAA">
          <w:pPr>
            <w:pStyle w:val="TOC1"/>
            <w:tabs>
              <w:tab w:val="left" w:pos="480"/>
              <w:tab w:val="right" w:leader="dot" w:pos="9016"/>
            </w:tabs>
            <w:rPr>
              <w:rFonts w:eastAsiaTheme="minorEastAsia"/>
              <w:noProof/>
              <w:lang w:val="en-GB" w:eastAsia="en-GB"/>
            </w:rPr>
          </w:pPr>
          <w:hyperlink w:anchor="_Toc228443705" w:history="1">
            <w:r w:rsidRPr="00A7310C">
              <w:rPr>
                <w:rStyle w:val="Hyperlink"/>
                <w:rFonts w:ascii="Times New Roman" w:hAnsi="Times New Roman" w:cs="Times New Roman"/>
                <w:b/>
                <w:bCs/>
                <w:noProof/>
                <w:lang w:val="en-GB"/>
              </w:rPr>
              <w:t>2.</w:t>
            </w:r>
            <w:r>
              <w:rPr>
                <w:rFonts w:eastAsiaTheme="minorEastAsia"/>
                <w:noProof/>
                <w:lang w:val="en-GB" w:eastAsia="en-GB"/>
              </w:rPr>
              <w:tab/>
            </w:r>
            <w:r w:rsidRPr="00A7310C">
              <w:rPr>
                <w:rStyle w:val="Hyperlink"/>
                <w:rFonts w:ascii="Times New Roman" w:hAnsi="Times New Roman" w:cs="Times New Roman"/>
                <w:b/>
                <w:bCs/>
                <w:noProof/>
                <w:lang w:val="en-GB"/>
              </w:rPr>
              <w:t>Identification of Threats</w:t>
            </w:r>
            <w:r>
              <w:rPr>
                <w:noProof/>
                <w:webHidden/>
              </w:rPr>
              <w:tab/>
            </w:r>
            <w:r>
              <w:rPr>
                <w:noProof/>
                <w:webHidden/>
              </w:rPr>
              <w:fldChar w:fldCharType="begin"/>
            </w:r>
            <w:r>
              <w:rPr>
                <w:noProof/>
                <w:webHidden/>
              </w:rPr>
              <w:instrText xml:space="preserve"> PAGEREF _Toc228443705 \h </w:instrText>
            </w:r>
            <w:r>
              <w:rPr>
                <w:noProof/>
                <w:webHidden/>
              </w:rPr>
            </w:r>
            <w:r>
              <w:rPr>
                <w:noProof/>
                <w:webHidden/>
              </w:rPr>
              <w:fldChar w:fldCharType="separate"/>
            </w:r>
            <w:r>
              <w:rPr>
                <w:noProof/>
                <w:webHidden/>
              </w:rPr>
              <w:t>2</w:t>
            </w:r>
            <w:r>
              <w:rPr>
                <w:noProof/>
                <w:webHidden/>
              </w:rPr>
              <w:fldChar w:fldCharType="end"/>
            </w:r>
          </w:hyperlink>
        </w:p>
        <w:p w14:paraId="5A4D9ED5" w14:textId="5A0DDA9D" w:rsidR="00756BAA" w:rsidRDefault="00756BAA">
          <w:pPr>
            <w:pStyle w:val="TOC2"/>
            <w:tabs>
              <w:tab w:val="left" w:pos="960"/>
              <w:tab w:val="right" w:leader="dot" w:pos="9016"/>
            </w:tabs>
            <w:rPr>
              <w:rFonts w:eastAsiaTheme="minorEastAsia"/>
              <w:noProof/>
              <w:lang w:val="en-GB" w:eastAsia="en-GB"/>
            </w:rPr>
          </w:pPr>
          <w:hyperlink w:anchor="_Toc228443706" w:history="1">
            <w:r w:rsidRPr="00A7310C">
              <w:rPr>
                <w:rStyle w:val="Hyperlink"/>
                <w:rFonts w:ascii="Times New Roman" w:hAnsi="Times New Roman" w:cs="Times New Roman"/>
                <w:noProof/>
                <w:lang w:val="en-GB"/>
              </w:rPr>
              <w:t>2.1</w:t>
            </w:r>
            <w:r>
              <w:rPr>
                <w:rFonts w:eastAsiaTheme="minorEastAsia"/>
                <w:noProof/>
                <w:lang w:val="en-GB" w:eastAsia="en-GB"/>
              </w:rPr>
              <w:tab/>
            </w:r>
            <w:r w:rsidRPr="00A7310C">
              <w:rPr>
                <w:rStyle w:val="Hyperlink"/>
                <w:rFonts w:ascii="Times New Roman" w:hAnsi="Times New Roman" w:cs="Times New Roman"/>
                <w:noProof/>
                <w:lang w:val="en-GB"/>
              </w:rPr>
              <w:t>Internal Threats</w:t>
            </w:r>
            <w:r>
              <w:rPr>
                <w:noProof/>
                <w:webHidden/>
              </w:rPr>
              <w:tab/>
            </w:r>
            <w:r>
              <w:rPr>
                <w:noProof/>
                <w:webHidden/>
              </w:rPr>
              <w:fldChar w:fldCharType="begin"/>
            </w:r>
            <w:r>
              <w:rPr>
                <w:noProof/>
                <w:webHidden/>
              </w:rPr>
              <w:instrText xml:space="preserve"> PAGEREF _Toc228443706 \h </w:instrText>
            </w:r>
            <w:r>
              <w:rPr>
                <w:noProof/>
                <w:webHidden/>
              </w:rPr>
            </w:r>
            <w:r>
              <w:rPr>
                <w:noProof/>
                <w:webHidden/>
              </w:rPr>
              <w:fldChar w:fldCharType="separate"/>
            </w:r>
            <w:r>
              <w:rPr>
                <w:noProof/>
                <w:webHidden/>
              </w:rPr>
              <w:t>2</w:t>
            </w:r>
            <w:r>
              <w:rPr>
                <w:noProof/>
                <w:webHidden/>
              </w:rPr>
              <w:fldChar w:fldCharType="end"/>
            </w:r>
          </w:hyperlink>
        </w:p>
        <w:p w14:paraId="6ED3279E" w14:textId="7382C104" w:rsidR="00756BAA" w:rsidRDefault="00756BAA">
          <w:pPr>
            <w:pStyle w:val="TOC2"/>
            <w:tabs>
              <w:tab w:val="left" w:pos="960"/>
              <w:tab w:val="right" w:leader="dot" w:pos="9016"/>
            </w:tabs>
            <w:rPr>
              <w:rFonts w:eastAsiaTheme="minorEastAsia"/>
              <w:noProof/>
              <w:lang w:val="en-GB" w:eastAsia="en-GB"/>
            </w:rPr>
          </w:pPr>
          <w:hyperlink w:anchor="_Toc228443707" w:history="1">
            <w:r w:rsidRPr="00A7310C">
              <w:rPr>
                <w:rStyle w:val="Hyperlink"/>
                <w:rFonts w:ascii="Times New Roman" w:hAnsi="Times New Roman" w:cs="Times New Roman"/>
                <w:noProof/>
                <w:lang w:val="en-GB"/>
              </w:rPr>
              <w:t>2.2</w:t>
            </w:r>
            <w:r>
              <w:rPr>
                <w:rFonts w:eastAsiaTheme="minorEastAsia"/>
                <w:noProof/>
                <w:lang w:val="en-GB" w:eastAsia="en-GB"/>
              </w:rPr>
              <w:tab/>
            </w:r>
            <w:r w:rsidRPr="00A7310C">
              <w:rPr>
                <w:rStyle w:val="Hyperlink"/>
                <w:rFonts w:ascii="Times New Roman" w:hAnsi="Times New Roman" w:cs="Times New Roman"/>
                <w:noProof/>
                <w:lang w:val="en-GB"/>
              </w:rPr>
              <w:t>External Threats</w:t>
            </w:r>
            <w:r>
              <w:rPr>
                <w:noProof/>
                <w:webHidden/>
              </w:rPr>
              <w:tab/>
            </w:r>
            <w:r>
              <w:rPr>
                <w:noProof/>
                <w:webHidden/>
              </w:rPr>
              <w:fldChar w:fldCharType="begin"/>
            </w:r>
            <w:r>
              <w:rPr>
                <w:noProof/>
                <w:webHidden/>
              </w:rPr>
              <w:instrText xml:space="preserve"> PAGEREF _Toc228443707 \h </w:instrText>
            </w:r>
            <w:r>
              <w:rPr>
                <w:noProof/>
                <w:webHidden/>
              </w:rPr>
            </w:r>
            <w:r>
              <w:rPr>
                <w:noProof/>
                <w:webHidden/>
              </w:rPr>
              <w:fldChar w:fldCharType="separate"/>
            </w:r>
            <w:r>
              <w:rPr>
                <w:noProof/>
                <w:webHidden/>
              </w:rPr>
              <w:t>3</w:t>
            </w:r>
            <w:r>
              <w:rPr>
                <w:noProof/>
                <w:webHidden/>
              </w:rPr>
              <w:fldChar w:fldCharType="end"/>
            </w:r>
          </w:hyperlink>
        </w:p>
        <w:p w14:paraId="35A3DB39" w14:textId="2CF03CFC" w:rsidR="00756BAA" w:rsidRDefault="00756BAA">
          <w:pPr>
            <w:pStyle w:val="TOC1"/>
            <w:tabs>
              <w:tab w:val="left" w:pos="480"/>
              <w:tab w:val="right" w:leader="dot" w:pos="9016"/>
            </w:tabs>
            <w:rPr>
              <w:rFonts w:eastAsiaTheme="minorEastAsia"/>
              <w:noProof/>
              <w:lang w:val="en-GB" w:eastAsia="en-GB"/>
            </w:rPr>
          </w:pPr>
          <w:hyperlink w:anchor="_Toc228443708" w:history="1">
            <w:r w:rsidRPr="00A7310C">
              <w:rPr>
                <w:rStyle w:val="Hyperlink"/>
                <w:rFonts w:ascii="Times New Roman" w:hAnsi="Times New Roman" w:cs="Times New Roman"/>
                <w:b/>
                <w:bCs/>
                <w:noProof/>
                <w:lang w:val="en-GB"/>
              </w:rPr>
              <w:t>3.</w:t>
            </w:r>
            <w:r>
              <w:rPr>
                <w:rFonts w:eastAsiaTheme="minorEastAsia"/>
                <w:noProof/>
                <w:lang w:val="en-GB" w:eastAsia="en-GB"/>
              </w:rPr>
              <w:tab/>
            </w:r>
            <w:r w:rsidRPr="00A7310C">
              <w:rPr>
                <w:rStyle w:val="Hyperlink"/>
                <w:rFonts w:ascii="Times New Roman" w:hAnsi="Times New Roman" w:cs="Times New Roman"/>
                <w:b/>
                <w:bCs/>
                <w:noProof/>
                <w:lang w:val="en-GB"/>
              </w:rPr>
              <w:t>Security Policies</w:t>
            </w:r>
            <w:r>
              <w:rPr>
                <w:noProof/>
                <w:webHidden/>
              </w:rPr>
              <w:tab/>
            </w:r>
            <w:r>
              <w:rPr>
                <w:noProof/>
                <w:webHidden/>
              </w:rPr>
              <w:fldChar w:fldCharType="begin"/>
            </w:r>
            <w:r>
              <w:rPr>
                <w:noProof/>
                <w:webHidden/>
              </w:rPr>
              <w:instrText xml:space="preserve"> PAGEREF _Toc228443708 \h </w:instrText>
            </w:r>
            <w:r>
              <w:rPr>
                <w:noProof/>
                <w:webHidden/>
              </w:rPr>
            </w:r>
            <w:r>
              <w:rPr>
                <w:noProof/>
                <w:webHidden/>
              </w:rPr>
              <w:fldChar w:fldCharType="separate"/>
            </w:r>
            <w:r>
              <w:rPr>
                <w:noProof/>
                <w:webHidden/>
              </w:rPr>
              <w:t>4</w:t>
            </w:r>
            <w:r>
              <w:rPr>
                <w:noProof/>
                <w:webHidden/>
              </w:rPr>
              <w:fldChar w:fldCharType="end"/>
            </w:r>
          </w:hyperlink>
        </w:p>
        <w:p w14:paraId="6A1DF93D" w14:textId="659E7054" w:rsidR="00756BAA" w:rsidRDefault="00756BAA">
          <w:pPr>
            <w:pStyle w:val="TOC2"/>
            <w:tabs>
              <w:tab w:val="left" w:pos="960"/>
              <w:tab w:val="right" w:leader="dot" w:pos="9016"/>
            </w:tabs>
            <w:rPr>
              <w:rFonts w:eastAsiaTheme="minorEastAsia"/>
              <w:noProof/>
              <w:lang w:val="en-GB" w:eastAsia="en-GB"/>
            </w:rPr>
          </w:pPr>
          <w:hyperlink w:anchor="_Toc228443709" w:history="1">
            <w:r w:rsidRPr="00A7310C">
              <w:rPr>
                <w:rStyle w:val="Hyperlink"/>
                <w:rFonts w:ascii="Times New Roman" w:hAnsi="Times New Roman" w:cs="Times New Roman"/>
                <w:noProof/>
                <w:lang w:val="en-GB"/>
              </w:rPr>
              <w:t>3.1</w:t>
            </w:r>
            <w:r>
              <w:rPr>
                <w:rFonts w:eastAsiaTheme="minorEastAsia"/>
                <w:noProof/>
                <w:lang w:val="en-GB" w:eastAsia="en-GB"/>
              </w:rPr>
              <w:tab/>
            </w:r>
            <w:r w:rsidRPr="00A7310C">
              <w:rPr>
                <w:rStyle w:val="Hyperlink"/>
                <w:rFonts w:ascii="Times New Roman" w:hAnsi="Times New Roman" w:cs="Times New Roman"/>
                <w:noProof/>
                <w:lang w:val="en-GB"/>
              </w:rPr>
              <w:t>Access Control Policy</w:t>
            </w:r>
            <w:r>
              <w:rPr>
                <w:noProof/>
                <w:webHidden/>
              </w:rPr>
              <w:tab/>
            </w:r>
            <w:r>
              <w:rPr>
                <w:noProof/>
                <w:webHidden/>
              </w:rPr>
              <w:fldChar w:fldCharType="begin"/>
            </w:r>
            <w:r>
              <w:rPr>
                <w:noProof/>
                <w:webHidden/>
              </w:rPr>
              <w:instrText xml:space="preserve"> PAGEREF _Toc228443709 \h </w:instrText>
            </w:r>
            <w:r>
              <w:rPr>
                <w:noProof/>
                <w:webHidden/>
              </w:rPr>
            </w:r>
            <w:r>
              <w:rPr>
                <w:noProof/>
                <w:webHidden/>
              </w:rPr>
              <w:fldChar w:fldCharType="separate"/>
            </w:r>
            <w:r>
              <w:rPr>
                <w:noProof/>
                <w:webHidden/>
              </w:rPr>
              <w:t>4</w:t>
            </w:r>
            <w:r>
              <w:rPr>
                <w:noProof/>
                <w:webHidden/>
              </w:rPr>
              <w:fldChar w:fldCharType="end"/>
            </w:r>
          </w:hyperlink>
        </w:p>
        <w:p w14:paraId="1AEF89B4" w14:textId="0FB72A93" w:rsidR="00756BAA" w:rsidRDefault="00756BAA">
          <w:pPr>
            <w:pStyle w:val="TOC2"/>
            <w:tabs>
              <w:tab w:val="left" w:pos="960"/>
              <w:tab w:val="right" w:leader="dot" w:pos="9016"/>
            </w:tabs>
            <w:rPr>
              <w:rFonts w:eastAsiaTheme="minorEastAsia"/>
              <w:noProof/>
              <w:lang w:val="en-GB" w:eastAsia="en-GB"/>
            </w:rPr>
          </w:pPr>
          <w:hyperlink w:anchor="_Toc228443710" w:history="1">
            <w:r w:rsidRPr="00A7310C">
              <w:rPr>
                <w:rStyle w:val="Hyperlink"/>
                <w:rFonts w:ascii="Times New Roman" w:hAnsi="Times New Roman" w:cs="Times New Roman"/>
                <w:noProof/>
                <w:lang w:val="en-GB"/>
              </w:rPr>
              <w:t>3.2</w:t>
            </w:r>
            <w:r>
              <w:rPr>
                <w:rFonts w:eastAsiaTheme="minorEastAsia"/>
                <w:noProof/>
                <w:lang w:val="en-GB" w:eastAsia="en-GB"/>
              </w:rPr>
              <w:tab/>
            </w:r>
            <w:r w:rsidRPr="00A7310C">
              <w:rPr>
                <w:rStyle w:val="Hyperlink"/>
                <w:rFonts w:ascii="Times New Roman" w:hAnsi="Times New Roman" w:cs="Times New Roman"/>
                <w:noProof/>
                <w:lang w:val="en-GB"/>
              </w:rPr>
              <w:t>Data Protection Policy</w:t>
            </w:r>
            <w:r>
              <w:rPr>
                <w:noProof/>
                <w:webHidden/>
              </w:rPr>
              <w:tab/>
            </w:r>
            <w:r>
              <w:rPr>
                <w:noProof/>
                <w:webHidden/>
              </w:rPr>
              <w:fldChar w:fldCharType="begin"/>
            </w:r>
            <w:r>
              <w:rPr>
                <w:noProof/>
                <w:webHidden/>
              </w:rPr>
              <w:instrText xml:space="preserve"> PAGEREF _Toc228443710 \h </w:instrText>
            </w:r>
            <w:r>
              <w:rPr>
                <w:noProof/>
                <w:webHidden/>
              </w:rPr>
            </w:r>
            <w:r>
              <w:rPr>
                <w:noProof/>
                <w:webHidden/>
              </w:rPr>
              <w:fldChar w:fldCharType="separate"/>
            </w:r>
            <w:r>
              <w:rPr>
                <w:noProof/>
                <w:webHidden/>
              </w:rPr>
              <w:t>5</w:t>
            </w:r>
            <w:r>
              <w:rPr>
                <w:noProof/>
                <w:webHidden/>
              </w:rPr>
              <w:fldChar w:fldCharType="end"/>
            </w:r>
          </w:hyperlink>
        </w:p>
        <w:p w14:paraId="7282917C" w14:textId="050C177C" w:rsidR="00756BAA" w:rsidRDefault="00756BAA">
          <w:pPr>
            <w:pStyle w:val="TOC2"/>
            <w:tabs>
              <w:tab w:val="left" w:pos="960"/>
              <w:tab w:val="right" w:leader="dot" w:pos="9016"/>
            </w:tabs>
            <w:rPr>
              <w:rFonts w:eastAsiaTheme="minorEastAsia"/>
              <w:noProof/>
              <w:lang w:val="en-GB" w:eastAsia="en-GB"/>
            </w:rPr>
          </w:pPr>
          <w:hyperlink w:anchor="_Toc228443711" w:history="1">
            <w:r w:rsidRPr="00A7310C">
              <w:rPr>
                <w:rStyle w:val="Hyperlink"/>
                <w:rFonts w:ascii="Times New Roman" w:hAnsi="Times New Roman" w:cs="Times New Roman"/>
                <w:noProof/>
                <w:lang w:val="en-GB"/>
              </w:rPr>
              <w:t>3.3</w:t>
            </w:r>
            <w:r>
              <w:rPr>
                <w:rFonts w:eastAsiaTheme="minorEastAsia"/>
                <w:noProof/>
                <w:lang w:val="en-GB" w:eastAsia="en-GB"/>
              </w:rPr>
              <w:tab/>
            </w:r>
            <w:r w:rsidRPr="00A7310C">
              <w:rPr>
                <w:rStyle w:val="Hyperlink"/>
                <w:rFonts w:ascii="Times New Roman" w:hAnsi="Times New Roman" w:cs="Times New Roman"/>
                <w:noProof/>
                <w:lang w:val="en-GB"/>
              </w:rPr>
              <w:t>Bring Your Own Device (BYOD) Policy</w:t>
            </w:r>
            <w:r>
              <w:rPr>
                <w:noProof/>
                <w:webHidden/>
              </w:rPr>
              <w:tab/>
            </w:r>
            <w:r>
              <w:rPr>
                <w:noProof/>
                <w:webHidden/>
              </w:rPr>
              <w:fldChar w:fldCharType="begin"/>
            </w:r>
            <w:r>
              <w:rPr>
                <w:noProof/>
                <w:webHidden/>
              </w:rPr>
              <w:instrText xml:space="preserve"> PAGEREF _Toc228443711 \h </w:instrText>
            </w:r>
            <w:r>
              <w:rPr>
                <w:noProof/>
                <w:webHidden/>
              </w:rPr>
            </w:r>
            <w:r>
              <w:rPr>
                <w:noProof/>
                <w:webHidden/>
              </w:rPr>
              <w:fldChar w:fldCharType="separate"/>
            </w:r>
            <w:r>
              <w:rPr>
                <w:noProof/>
                <w:webHidden/>
              </w:rPr>
              <w:t>5</w:t>
            </w:r>
            <w:r>
              <w:rPr>
                <w:noProof/>
                <w:webHidden/>
              </w:rPr>
              <w:fldChar w:fldCharType="end"/>
            </w:r>
          </w:hyperlink>
        </w:p>
        <w:p w14:paraId="16142CBF" w14:textId="24F7FC40" w:rsidR="00756BAA" w:rsidRDefault="00756BAA">
          <w:pPr>
            <w:pStyle w:val="TOC2"/>
            <w:tabs>
              <w:tab w:val="left" w:pos="960"/>
              <w:tab w:val="right" w:leader="dot" w:pos="9016"/>
            </w:tabs>
            <w:rPr>
              <w:rFonts w:eastAsiaTheme="minorEastAsia"/>
              <w:noProof/>
              <w:lang w:val="en-GB" w:eastAsia="en-GB"/>
            </w:rPr>
          </w:pPr>
          <w:hyperlink w:anchor="_Toc228443712" w:history="1">
            <w:r w:rsidRPr="00A7310C">
              <w:rPr>
                <w:rStyle w:val="Hyperlink"/>
                <w:rFonts w:ascii="Times New Roman" w:hAnsi="Times New Roman" w:cs="Times New Roman"/>
                <w:noProof/>
                <w:lang w:val="en-GB"/>
              </w:rPr>
              <w:t>3.4</w:t>
            </w:r>
            <w:r>
              <w:rPr>
                <w:rFonts w:eastAsiaTheme="minorEastAsia"/>
                <w:noProof/>
                <w:lang w:val="en-GB" w:eastAsia="en-GB"/>
              </w:rPr>
              <w:tab/>
            </w:r>
            <w:r w:rsidRPr="00A7310C">
              <w:rPr>
                <w:rStyle w:val="Hyperlink"/>
                <w:rFonts w:ascii="Times New Roman" w:hAnsi="Times New Roman" w:cs="Times New Roman"/>
                <w:bCs/>
                <w:noProof/>
              </w:rPr>
              <w:t>Incident Response Policy</w:t>
            </w:r>
            <w:r>
              <w:rPr>
                <w:noProof/>
                <w:webHidden/>
              </w:rPr>
              <w:tab/>
            </w:r>
            <w:r>
              <w:rPr>
                <w:noProof/>
                <w:webHidden/>
              </w:rPr>
              <w:fldChar w:fldCharType="begin"/>
            </w:r>
            <w:r>
              <w:rPr>
                <w:noProof/>
                <w:webHidden/>
              </w:rPr>
              <w:instrText xml:space="preserve"> PAGEREF _Toc228443712 \h </w:instrText>
            </w:r>
            <w:r>
              <w:rPr>
                <w:noProof/>
                <w:webHidden/>
              </w:rPr>
            </w:r>
            <w:r>
              <w:rPr>
                <w:noProof/>
                <w:webHidden/>
              </w:rPr>
              <w:fldChar w:fldCharType="separate"/>
            </w:r>
            <w:r>
              <w:rPr>
                <w:noProof/>
                <w:webHidden/>
              </w:rPr>
              <w:t>6</w:t>
            </w:r>
            <w:r>
              <w:rPr>
                <w:noProof/>
                <w:webHidden/>
              </w:rPr>
              <w:fldChar w:fldCharType="end"/>
            </w:r>
          </w:hyperlink>
        </w:p>
        <w:p w14:paraId="1F05680A" w14:textId="62A21C5C" w:rsidR="00756BAA" w:rsidRDefault="00756BAA">
          <w:pPr>
            <w:pStyle w:val="TOC1"/>
            <w:tabs>
              <w:tab w:val="left" w:pos="480"/>
              <w:tab w:val="right" w:leader="dot" w:pos="9016"/>
            </w:tabs>
            <w:rPr>
              <w:rFonts w:eastAsiaTheme="minorEastAsia"/>
              <w:noProof/>
              <w:lang w:val="en-GB" w:eastAsia="en-GB"/>
            </w:rPr>
          </w:pPr>
          <w:hyperlink w:anchor="_Toc228443713" w:history="1">
            <w:r w:rsidRPr="00A7310C">
              <w:rPr>
                <w:rStyle w:val="Hyperlink"/>
                <w:rFonts w:ascii="Times New Roman" w:hAnsi="Times New Roman" w:cs="Times New Roman"/>
                <w:b/>
                <w:bCs/>
                <w:noProof/>
                <w:lang w:val="en-GB"/>
              </w:rPr>
              <w:t>4.</w:t>
            </w:r>
            <w:r>
              <w:rPr>
                <w:rFonts w:eastAsiaTheme="minorEastAsia"/>
                <w:noProof/>
                <w:lang w:val="en-GB" w:eastAsia="en-GB"/>
              </w:rPr>
              <w:tab/>
            </w:r>
            <w:r w:rsidRPr="00A7310C">
              <w:rPr>
                <w:rStyle w:val="Hyperlink"/>
                <w:rFonts w:ascii="Times New Roman" w:hAnsi="Times New Roman" w:cs="Times New Roman"/>
                <w:b/>
                <w:bCs/>
                <w:noProof/>
                <w:lang w:val="en-GB"/>
              </w:rPr>
              <w:t>Mitigation Measures</w:t>
            </w:r>
            <w:r>
              <w:rPr>
                <w:noProof/>
                <w:webHidden/>
              </w:rPr>
              <w:tab/>
            </w:r>
            <w:r>
              <w:rPr>
                <w:noProof/>
                <w:webHidden/>
              </w:rPr>
              <w:fldChar w:fldCharType="begin"/>
            </w:r>
            <w:r>
              <w:rPr>
                <w:noProof/>
                <w:webHidden/>
              </w:rPr>
              <w:instrText xml:space="preserve"> PAGEREF _Toc228443713 \h </w:instrText>
            </w:r>
            <w:r>
              <w:rPr>
                <w:noProof/>
                <w:webHidden/>
              </w:rPr>
            </w:r>
            <w:r>
              <w:rPr>
                <w:noProof/>
                <w:webHidden/>
              </w:rPr>
              <w:fldChar w:fldCharType="separate"/>
            </w:r>
            <w:r>
              <w:rPr>
                <w:noProof/>
                <w:webHidden/>
              </w:rPr>
              <w:t>6</w:t>
            </w:r>
            <w:r>
              <w:rPr>
                <w:noProof/>
                <w:webHidden/>
              </w:rPr>
              <w:fldChar w:fldCharType="end"/>
            </w:r>
          </w:hyperlink>
        </w:p>
        <w:p w14:paraId="2D751A81" w14:textId="6DAA7AD6" w:rsidR="00756BAA" w:rsidRDefault="00756BAA">
          <w:pPr>
            <w:pStyle w:val="TOC2"/>
            <w:tabs>
              <w:tab w:val="left" w:pos="960"/>
              <w:tab w:val="right" w:leader="dot" w:pos="9016"/>
            </w:tabs>
            <w:rPr>
              <w:rFonts w:eastAsiaTheme="minorEastAsia"/>
              <w:noProof/>
              <w:lang w:val="en-GB" w:eastAsia="en-GB"/>
            </w:rPr>
          </w:pPr>
          <w:hyperlink w:anchor="_Toc228443714" w:history="1">
            <w:r w:rsidRPr="00A7310C">
              <w:rPr>
                <w:rStyle w:val="Hyperlink"/>
                <w:rFonts w:ascii="Times New Roman" w:hAnsi="Times New Roman" w:cs="Times New Roman"/>
                <w:noProof/>
                <w:lang w:val="en-GB"/>
              </w:rPr>
              <w:t>4.1</w:t>
            </w:r>
            <w:r>
              <w:rPr>
                <w:rFonts w:eastAsiaTheme="minorEastAsia"/>
                <w:noProof/>
                <w:lang w:val="en-GB" w:eastAsia="en-GB"/>
              </w:rPr>
              <w:tab/>
            </w:r>
            <w:r w:rsidRPr="00A7310C">
              <w:rPr>
                <w:rStyle w:val="Hyperlink"/>
                <w:rFonts w:ascii="Times New Roman" w:hAnsi="Times New Roman" w:cs="Times New Roman"/>
                <w:noProof/>
                <w:lang w:val="en-GB"/>
              </w:rPr>
              <w:t>Multi-Factor Authentication (MFA)</w:t>
            </w:r>
            <w:r>
              <w:rPr>
                <w:noProof/>
                <w:webHidden/>
              </w:rPr>
              <w:tab/>
            </w:r>
            <w:r>
              <w:rPr>
                <w:noProof/>
                <w:webHidden/>
              </w:rPr>
              <w:fldChar w:fldCharType="begin"/>
            </w:r>
            <w:r>
              <w:rPr>
                <w:noProof/>
                <w:webHidden/>
              </w:rPr>
              <w:instrText xml:space="preserve"> PAGEREF _Toc228443714 \h </w:instrText>
            </w:r>
            <w:r>
              <w:rPr>
                <w:noProof/>
                <w:webHidden/>
              </w:rPr>
            </w:r>
            <w:r>
              <w:rPr>
                <w:noProof/>
                <w:webHidden/>
              </w:rPr>
              <w:fldChar w:fldCharType="separate"/>
            </w:r>
            <w:r>
              <w:rPr>
                <w:noProof/>
                <w:webHidden/>
              </w:rPr>
              <w:t>6</w:t>
            </w:r>
            <w:r>
              <w:rPr>
                <w:noProof/>
                <w:webHidden/>
              </w:rPr>
              <w:fldChar w:fldCharType="end"/>
            </w:r>
          </w:hyperlink>
        </w:p>
        <w:p w14:paraId="00869CA9" w14:textId="23958E01" w:rsidR="00756BAA" w:rsidRDefault="00756BAA">
          <w:pPr>
            <w:pStyle w:val="TOC2"/>
            <w:tabs>
              <w:tab w:val="left" w:pos="960"/>
              <w:tab w:val="right" w:leader="dot" w:pos="9016"/>
            </w:tabs>
            <w:rPr>
              <w:rFonts w:eastAsiaTheme="minorEastAsia"/>
              <w:noProof/>
              <w:lang w:val="en-GB" w:eastAsia="en-GB"/>
            </w:rPr>
          </w:pPr>
          <w:hyperlink w:anchor="_Toc228443715" w:history="1">
            <w:r w:rsidRPr="00A7310C">
              <w:rPr>
                <w:rStyle w:val="Hyperlink"/>
                <w:rFonts w:ascii="Times New Roman" w:hAnsi="Times New Roman" w:cs="Times New Roman"/>
                <w:noProof/>
                <w:lang w:val="en-GB"/>
              </w:rPr>
              <w:t>4.2</w:t>
            </w:r>
            <w:r>
              <w:rPr>
                <w:rFonts w:eastAsiaTheme="minorEastAsia"/>
                <w:noProof/>
                <w:lang w:val="en-GB" w:eastAsia="en-GB"/>
              </w:rPr>
              <w:tab/>
            </w:r>
            <w:r w:rsidRPr="00A7310C">
              <w:rPr>
                <w:rStyle w:val="Hyperlink"/>
                <w:rFonts w:ascii="Times New Roman" w:hAnsi="Times New Roman" w:cs="Times New Roman"/>
                <w:noProof/>
                <w:lang w:val="en-GB"/>
              </w:rPr>
              <w:t>Zero Trust Architecture (ZTA)</w:t>
            </w:r>
            <w:r>
              <w:rPr>
                <w:noProof/>
                <w:webHidden/>
              </w:rPr>
              <w:tab/>
            </w:r>
            <w:r>
              <w:rPr>
                <w:noProof/>
                <w:webHidden/>
              </w:rPr>
              <w:fldChar w:fldCharType="begin"/>
            </w:r>
            <w:r>
              <w:rPr>
                <w:noProof/>
                <w:webHidden/>
              </w:rPr>
              <w:instrText xml:space="preserve"> PAGEREF _Toc228443715 \h </w:instrText>
            </w:r>
            <w:r>
              <w:rPr>
                <w:noProof/>
                <w:webHidden/>
              </w:rPr>
            </w:r>
            <w:r>
              <w:rPr>
                <w:noProof/>
                <w:webHidden/>
              </w:rPr>
              <w:fldChar w:fldCharType="separate"/>
            </w:r>
            <w:r>
              <w:rPr>
                <w:noProof/>
                <w:webHidden/>
              </w:rPr>
              <w:t>7</w:t>
            </w:r>
            <w:r>
              <w:rPr>
                <w:noProof/>
                <w:webHidden/>
              </w:rPr>
              <w:fldChar w:fldCharType="end"/>
            </w:r>
          </w:hyperlink>
        </w:p>
        <w:p w14:paraId="4734B20C" w14:textId="256FA456" w:rsidR="00756BAA" w:rsidRDefault="00756BAA">
          <w:pPr>
            <w:pStyle w:val="TOC2"/>
            <w:tabs>
              <w:tab w:val="left" w:pos="960"/>
              <w:tab w:val="right" w:leader="dot" w:pos="9016"/>
            </w:tabs>
            <w:rPr>
              <w:rFonts w:eastAsiaTheme="minorEastAsia"/>
              <w:noProof/>
              <w:lang w:val="en-GB" w:eastAsia="en-GB"/>
            </w:rPr>
          </w:pPr>
          <w:hyperlink w:anchor="_Toc228443716" w:history="1">
            <w:r w:rsidRPr="00A7310C">
              <w:rPr>
                <w:rStyle w:val="Hyperlink"/>
                <w:rFonts w:ascii="Times New Roman" w:hAnsi="Times New Roman" w:cs="Times New Roman"/>
                <w:noProof/>
                <w:lang w:val="en-GB"/>
              </w:rPr>
              <w:t>4.3</w:t>
            </w:r>
            <w:r>
              <w:rPr>
                <w:rFonts w:eastAsiaTheme="minorEastAsia"/>
                <w:noProof/>
                <w:lang w:val="en-GB" w:eastAsia="en-GB"/>
              </w:rPr>
              <w:tab/>
            </w:r>
            <w:r w:rsidRPr="00A7310C">
              <w:rPr>
                <w:rStyle w:val="Hyperlink"/>
                <w:rFonts w:ascii="Times New Roman" w:hAnsi="Times New Roman" w:cs="Times New Roman"/>
                <w:noProof/>
                <w:lang w:val="en-GB"/>
              </w:rPr>
              <w:t>Encryption</w:t>
            </w:r>
            <w:r>
              <w:rPr>
                <w:noProof/>
                <w:webHidden/>
              </w:rPr>
              <w:tab/>
            </w:r>
            <w:r>
              <w:rPr>
                <w:noProof/>
                <w:webHidden/>
              </w:rPr>
              <w:fldChar w:fldCharType="begin"/>
            </w:r>
            <w:r>
              <w:rPr>
                <w:noProof/>
                <w:webHidden/>
              </w:rPr>
              <w:instrText xml:space="preserve"> PAGEREF _Toc228443716 \h </w:instrText>
            </w:r>
            <w:r>
              <w:rPr>
                <w:noProof/>
                <w:webHidden/>
              </w:rPr>
            </w:r>
            <w:r>
              <w:rPr>
                <w:noProof/>
                <w:webHidden/>
              </w:rPr>
              <w:fldChar w:fldCharType="separate"/>
            </w:r>
            <w:r>
              <w:rPr>
                <w:noProof/>
                <w:webHidden/>
              </w:rPr>
              <w:t>7</w:t>
            </w:r>
            <w:r>
              <w:rPr>
                <w:noProof/>
                <w:webHidden/>
              </w:rPr>
              <w:fldChar w:fldCharType="end"/>
            </w:r>
          </w:hyperlink>
        </w:p>
        <w:p w14:paraId="4B9F481B" w14:textId="7064991F" w:rsidR="00756BAA" w:rsidRDefault="00756BAA">
          <w:pPr>
            <w:pStyle w:val="TOC2"/>
            <w:tabs>
              <w:tab w:val="left" w:pos="960"/>
              <w:tab w:val="right" w:leader="dot" w:pos="9016"/>
            </w:tabs>
            <w:rPr>
              <w:rFonts w:eastAsiaTheme="minorEastAsia"/>
              <w:noProof/>
              <w:lang w:val="en-GB" w:eastAsia="en-GB"/>
            </w:rPr>
          </w:pPr>
          <w:hyperlink w:anchor="_Toc228443717" w:history="1">
            <w:r w:rsidRPr="00A7310C">
              <w:rPr>
                <w:rStyle w:val="Hyperlink"/>
                <w:rFonts w:ascii="Times New Roman" w:hAnsi="Times New Roman" w:cs="Times New Roman"/>
                <w:noProof/>
                <w:lang w:val="en-GB"/>
              </w:rPr>
              <w:t>4.4</w:t>
            </w:r>
            <w:r>
              <w:rPr>
                <w:rFonts w:eastAsiaTheme="minorEastAsia"/>
                <w:noProof/>
                <w:lang w:val="en-GB" w:eastAsia="en-GB"/>
              </w:rPr>
              <w:tab/>
            </w:r>
            <w:r w:rsidRPr="00A7310C">
              <w:rPr>
                <w:rStyle w:val="Hyperlink"/>
                <w:rFonts w:ascii="Times New Roman" w:hAnsi="Times New Roman" w:cs="Times New Roman"/>
                <w:noProof/>
                <w:lang w:val="en-GB"/>
              </w:rPr>
              <w:t>Endpoint Security</w:t>
            </w:r>
            <w:r>
              <w:rPr>
                <w:noProof/>
                <w:webHidden/>
              </w:rPr>
              <w:tab/>
            </w:r>
            <w:r>
              <w:rPr>
                <w:noProof/>
                <w:webHidden/>
              </w:rPr>
              <w:fldChar w:fldCharType="begin"/>
            </w:r>
            <w:r>
              <w:rPr>
                <w:noProof/>
                <w:webHidden/>
              </w:rPr>
              <w:instrText xml:space="preserve"> PAGEREF _Toc228443717 \h </w:instrText>
            </w:r>
            <w:r>
              <w:rPr>
                <w:noProof/>
                <w:webHidden/>
              </w:rPr>
            </w:r>
            <w:r>
              <w:rPr>
                <w:noProof/>
                <w:webHidden/>
              </w:rPr>
              <w:fldChar w:fldCharType="separate"/>
            </w:r>
            <w:r>
              <w:rPr>
                <w:noProof/>
                <w:webHidden/>
              </w:rPr>
              <w:t>7</w:t>
            </w:r>
            <w:r>
              <w:rPr>
                <w:noProof/>
                <w:webHidden/>
              </w:rPr>
              <w:fldChar w:fldCharType="end"/>
            </w:r>
          </w:hyperlink>
        </w:p>
        <w:p w14:paraId="389E1FA2" w14:textId="35D7C85E" w:rsidR="00756BAA" w:rsidRDefault="00756BAA">
          <w:pPr>
            <w:pStyle w:val="TOC2"/>
            <w:tabs>
              <w:tab w:val="left" w:pos="960"/>
              <w:tab w:val="right" w:leader="dot" w:pos="9016"/>
            </w:tabs>
            <w:rPr>
              <w:rFonts w:eastAsiaTheme="minorEastAsia"/>
              <w:noProof/>
              <w:lang w:val="en-GB" w:eastAsia="en-GB"/>
            </w:rPr>
          </w:pPr>
          <w:hyperlink w:anchor="_Toc228443718" w:history="1">
            <w:r w:rsidRPr="00A7310C">
              <w:rPr>
                <w:rStyle w:val="Hyperlink"/>
                <w:rFonts w:ascii="Times New Roman" w:hAnsi="Times New Roman" w:cs="Times New Roman"/>
                <w:noProof/>
                <w:lang w:val="en-GB"/>
              </w:rPr>
              <w:t>4.5</w:t>
            </w:r>
            <w:r>
              <w:rPr>
                <w:rFonts w:eastAsiaTheme="minorEastAsia"/>
                <w:noProof/>
                <w:lang w:val="en-GB" w:eastAsia="en-GB"/>
              </w:rPr>
              <w:tab/>
            </w:r>
            <w:r w:rsidRPr="00A7310C">
              <w:rPr>
                <w:rStyle w:val="Hyperlink"/>
                <w:rFonts w:ascii="Times New Roman" w:hAnsi="Times New Roman" w:cs="Times New Roman"/>
                <w:noProof/>
                <w:lang w:val="en-GB"/>
              </w:rPr>
              <w:t>Network Segmentation</w:t>
            </w:r>
            <w:r>
              <w:rPr>
                <w:noProof/>
                <w:webHidden/>
              </w:rPr>
              <w:tab/>
            </w:r>
            <w:r>
              <w:rPr>
                <w:noProof/>
                <w:webHidden/>
              </w:rPr>
              <w:fldChar w:fldCharType="begin"/>
            </w:r>
            <w:r>
              <w:rPr>
                <w:noProof/>
                <w:webHidden/>
              </w:rPr>
              <w:instrText xml:space="preserve"> PAGEREF _Toc228443718 \h </w:instrText>
            </w:r>
            <w:r>
              <w:rPr>
                <w:noProof/>
                <w:webHidden/>
              </w:rPr>
            </w:r>
            <w:r>
              <w:rPr>
                <w:noProof/>
                <w:webHidden/>
              </w:rPr>
              <w:fldChar w:fldCharType="separate"/>
            </w:r>
            <w:r>
              <w:rPr>
                <w:noProof/>
                <w:webHidden/>
              </w:rPr>
              <w:t>7</w:t>
            </w:r>
            <w:r>
              <w:rPr>
                <w:noProof/>
                <w:webHidden/>
              </w:rPr>
              <w:fldChar w:fldCharType="end"/>
            </w:r>
          </w:hyperlink>
        </w:p>
        <w:p w14:paraId="25304BF1" w14:textId="3D285D82" w:rsidR="00756BAA" w:rsidRDefault="00756BAA">
          <w:pPr>
            <w:pStyle w:val="TOC1"/>
            <w:tabs>
              <w:tab w:val="left" w:pos="480"/>
              <w:tab w:val="right" w:leader="dot" w:pos="9016"/>
            </w:tabs>
            <w:rPr>
              <w:rFonts w:eastAsiaTheme="minorEastAsia"/>
              <w:noProof/>
              <w:lang w:val="en-GB" w:eastAsia="en-GB"/>
            </w:rPr>
          </w:pPr>
          <w:hyperlink w:anchor="_Toc228443719" w:history="1">
            <w:r w:rsidRPr="00A7310C">
              <w:rPr>
                <w:rStyle w:val="Hyperlink"/>
                <w:rFonts w:ascii="Times New Roman" w:hAnsi="Times New Roman" w:cs="Times New Roman"/>
                <w:b/>
                <w:bCs/>
                <w:noProof/>
                <w:lang w:val="en-GB"/>
              </w:rPr>
              <w:t>5.</w:t>
            </w:r>
            <w:r>
              <w:rPr>
                <w:rFonts w:eastAsiaTheme="minorEastAsia"/>
                <w:noProof/>
                <w:lang w:val="en-GB" w:eastAsia="en-GB"/>
              </w:rPr>
              <w:tab/>
            </w:r>
            <w:r w:rsidRPr="00A7310C">
              <w:rPr>
                <w:rStyle w:val="Hyperlink"/>
                <w:rFonts w:ascii="Times New Roman" w:hAnsi="Times New Roman" w:cs="Times New Roman"/>
                <w:b/>
                <w:bCs/>
                <w:noProof/>
                <w:lang w:val="en-GB"/>
              </w:rPr>
              <w:t>Monitoring and Incident Response</w:t>
            </w:r>
            <w:r>
              <w:rPr>
                <w:noProof/>
                <w:webHidden/>
              </w:rPr>
              <w:tab/>
            </w:r>
            <w:r>
              <w:rPr>
                <w:noProof/>
                <w:webHidden/>
              </w:rPr>
              <w:fldChar w:fldCharType="begin"/>
            </w:r>
            <w:r>
              <w:rPr>
                <w:noProof/>
                <w:webHidden/>
              </w:rPr>
              <w:instrText xml:space="preserve"> PAGEREF _Toc228443719 \h </w:instrText>
            </w:r>
            <w:r>
              <w:rPr>
                <w:noProof/>
                <w:webHidden/>
              </w:rPr>
            </w:r>
            <w:r>
              <w:rPr>
                <w:noProof/>
                <w:webHidden/>
              </w:rPr>
              <w:fldChar w:fldCharType="separate"/>
            </w:r>
            <w:r>
              <w:rPr>
                <w:noProof/>
                <w:webHidden/>
              </w:rPr>
              <w:t>8</w:t>
            </w:r>
            <w:r>
              <w:rPr>
                <w:noProof/>
                <w:webHidden/>
              </w:rPr>
              <w:fldChar w:fldCharType="end"/>
            </w:r>
          </w:hyperlink>
        </w:p>
        <w:p w14:paraId="48DE17F8" w14:textId="78A08E81" w:rsidR="00756BAA" w:rsidRDefault="00756BAA">
          <w:pPr>
            <w:pStyle w:val="TOC2"/>
            <w:tabs>
              <w:tab w:val="left" w:pos="960"/>
              <w:tab w:val="right" w:leader="dot" w:pos="9016"/>
            </w:tabs>
            <w:rPr>
              <w:rFonts w:eastAsiaTheme="minorEastAsia"/>
              <w:noProof/>
              <w:lang w:val="en-GB" w:eastAsia="en-GB"/>
            </w:rPr>
          </w:pPr>
          <w:hyperlink w:anchor="_Toc228443720" w:history="1">
            <w:r w:rsidRPr="00A7310C">
              <w:rPr>
                <w:rStyle w:val="Hyperlink"/>
                <w:bCs/>
                <w:noProof/>
                <w:lang w:val="en-GB"/>
              </w:rPr>
              <w:t>5.1</w:t>
            </w:r>
            <w:r>
              <w:rPr>
                <w:rFonts w:eastAsiaTheme="minorEastAsia"/>
                <w:noProof/>
                <w:lang w:val="en-GB" w:eastAsia="en-GB"/>
              </w:rPr>
              <w:tab/>
            </w:r>
            <w:r w:rsidRPr="00A7310C">
              <w:rPr>
                <w:rStyle w:val="Hyperlink"/>
                <w:bCs/>
                <w:noProof/>
                <w:lang w:val="en-GB"/>
              </w:rPr>
              <w:t>Continuous Monitoring Strategy</w:t>
            </w:r>
            <w:r>
              <w:rPr>
                <w:noProof/>
                <w:webHidden/>
              </w:rPr>
              <w:tab/>
            </w:r>
            <w:r>
              <w:rPr>
                <w:noProof/>
                <w:webHidden/>
              </w:rPr>
              <w:fldChar w:fldCharType="begin"/>
            </w:r>
            <w:r>
              <w:rPr>
                <w:noProof/>
                <w:webHidden/>
              </w:rPr>
              <w:instrText xml:space="preserve"> PAGEREF _Toc228443720 \h </w:instrText>
            </w:r>
            <w:r>
              <w:rPr>
                <w:noProof/>
                <w:webHidden/>
              </w:rPr>
            </w:r>
            <w:r>
              <w:rPr>
                <w:noProof/>
                <w:webHidden/>
              </w:rPr>
              <w:fldChar w:fldCharType="separate"/>
            </w:r>
            <w:r>
              <w:rPr>
                <w:noProof/>
                <w:webHidden/>
              </w:rPr>
              <w:t>8</w:t>
            </w:r>
            <w:r>
              <w:rPr>
                <w:noProof/>
                <w:webHidden/>
              </w:rPr>
              <w:fldChar w:fldCharType="end"/>
            </w:r>
          </w:hyperlink>
        </w:p>
        <w:p w14:paraId="0B4A6083" w14:textId="74D5CB89" w:rsidR="00756BAA" w:rsidRDefault="00756BAA">
          <w:pPr>
            <w:pStyle w:val="TOC2"/>
            <w:tabs>
              <w:tab w:val="left" w:pos="960"/>
              <w:tab w:val="right" w:leader="dot" w:pos="9016"/>
            </w:tabs>
            <w:rPr>
              <w:rFonts w:eastAsiaTheme="minorEastAsia"/>
              <w:noProof/>
              <w:lang w:val="en-GB" w:eastAsia="en-GB"/>
            </w:rPr>
          </w:pPr>
          <w:hyperlink w:anchor="_Toc228443721" w:history="1">
            <w:r w:rsidRPr="00A7310C">
              <w:rPr>
                <w:rStyle w:val="Hyperlink"/>
                <w:bCs/>
                <w:noProof/>
                <w:lang w:val="en-GB"/>
              </w:rPr>
              <w:t>5.2</w:t>
            </w:r>
            <w:r>
              <w:rPr>
                <w:rFonts w:eastAsiaTheme="minorEastAsia"/>
                <w:noProof/>
                <w:lang w:val="en-GB" w:eastAsia="en-GB"/>
              </w:rPr>
              <w:tab/>
            </w:r>
            <w:r w:rsidRPr="00A7310C">
              <w:rPr>
                <w:rStyle w:val="Hyperlink"/>
                <w:bCs/>
                <w:noProof/>
                <w:lang w:val="en-GB"/>
              </w:rPr>
              <w:t>Incident Response Lifecycle</w:t>
            </w:r>
            <w:r>
              <w:rPr>
                <w:noProof/>
                <w:webHidden/>
              </w:rPr>
              <w:tab/>
            </w:r>
            <w:r>
              <w:rPr>
                <w:noProof/>
                <w:webHidden/>
              </w:rPr>
              <w:fldChar w:fldCharType="begin"/>
            </w:r>
            <w:r>
              <w:rPr>
                <w:noProof/>
                <w:webHidden/>
              </w:rPr>
              <w:instrText xml:space="preserve"> PAGEREF _Toc228443721 \h </w:instrText>
            </w:r>
            <w:r>
              <w:rPr>
                <w:noProof/>
                <w:webHidden/>
              </w:rPr>
            </w:r>
            <w:r>
              <w:rPr>
                <w:noProof/>
                <w:webHidden/>
              </w:rPr>
              <w:fldChar w:fldCharType="separate"/>
            </w:r>
            <w:r>
              <w:rPr>
                <w:noProof/>
                <w:webHidden/>
              </w:rPr>
              <w:t>8</w:t>
            </w:r>
            <w:r>
              <w:rPr>
                <w:noProof/>
                <w:webHidden/>
              </w:rPr>
              <w:fldChar w:fldCharType="end"/>
            </w:r>
          </w:hyperlink>
        </w:p>
        <w:p w14:paraId="3F6525C8" w14:textId="77483A3C" w:rsidR="00756BAA" w:rsidRDefault="00756BAA">
          <w:pPr>
            <w:pStyle w:val="TOC1"/>
            <w:tabs>
              <w:tab w:val="left" w:pos="480"/>
              <w:tab w:val="right" w:leader="dot" w:pos="9016"/>
            </w:tabs>
            <w:rPr>
              <w:rFonts w:eastAsiaTheme="minorEastAsia"/>
              <w:noProof/>
              <w:lang w:val="en-GB" w:eastAsia="en-GB"/>
            </w:rPr>
          </w:pPr>
          <w:hyperlink w:anchor="_Toc228443722" w:history="1">
            <w:r w:rsidRPr="00A7310C">
              <w:rPr>
                <w:rStyle w:val="Hyperlink"/>
                <w:rFonts w:ascii="Times New Roman" w:hAnsi="Times New Roman" w:cs="Times New Roman"/>
                <w:b/>
                <w:bCs/>
                <w:noProof/>
                <w:lang w:val="en-GB"/>
              </w:rPr>
              <w:t>6.</w:t>
            </w:r>
            <w:r>
              <w:rPr>
                <w:rFonts w:eastAsiaTheme="minorEastAsia"/>
                <w:noProof/>
                <w:lang w:val="en-GB" w:eastAsia="en-GB"/>
              </w:rPr>
              <w:tab/>
            </w:r>
            <w:r w:rsidRPr="00A7310C">
              <w:rPr>
                <w:rStyle w:val="Hyperlink"/>
                <w:rFonts w:ascii="Times New Roman" w:hAnsi="Times New Roman" w:cs="Times New Roman"/>
                <w:b/>
                <w:bCs/>
                <w:noProof/>
              </w:rPr>
              <w:t>Monitoring and Incident Response</w:t>
            </w:r>
            <w:r>
              <w:rPr>
                <w:noProof/>
                <w:webHidden/>
              </w:rPr>
              <w:tab/>
            </w:r>
            <w:r>
              <w:rPr>
                <w:noProof/>
                <w:webHidden/>
              </w:rPr>
              <w:fldChar w:fldCharType="begin"/>
            </w:r>
            <w:r>
              <w:rPr>
                <w:noProof/>
                <w:webHidden/>
              </w:rPr>
              <w:instrText xml:space="preserve"> PAGEREF _Toc228443722 \h </w:instrText>
            </w:r>
            <w:r>
              <w:rPr>
                <w:noProof/>
                <w:webHidden/>
              </w:rPr>
            </w:r>
            <w:r>
              <w:rPr>
                <w:noProof/>
                <w:webHidden/>
              </w:rPr>
              <w:fldChar w:fldCharType="separate"/>
            </w:r>
            <w:r>
              <w:rPr>
                <w:noProof/>
                <w:webHidden/>
              </w:rPr>
              <w:t>9</w:t>
            </w:r>
            <w:r>
              <w:rPr>
                <w:noProof/>
                <w:webHidden/>
              </w:rPr>
              <w:fldChar w:fldCharType="end"/>
            </w:r>
          </w:hyperlink>
        </w:p>
        <w:p w14:paraId="2667393B" w14:textId="741ADAC7" w:rsidR="00756BAA" w:rsidRDefault="00756BAA">
          <w:pPr>
            <w:pStyle w:val="TOC2"/>
            <w:tabs>
              <w:tab w:val="left" w:pos="960"/>
              <w:tab w:val="right" w:leader="dot" w:pos="9016"/>
            </w:tabs>
            <w:rPr>
              <w:rFonts w:eastAsiaTheme="minorEastAsia"/>
              <w:noProof/>
              <w:lang w:val="en-GB" w:eastAsia="en-GB"/>
            </w:rPr>
          </w:pPr>
          <w:hyperlink w:anchor="_Toc228443723" w:history="1">
            <w:r w:rsidRPr="00A7310C">
              <w:rPr>
                <w:rStyle w:val="Hyperlink"/>
                <w:bCs/>
                <w:noProof/>
                <w:lang w:val="en-GB"/>
              </w:rPr>
              <w:t>6.1</w:t>
            </w:r>
            <w:r>
              <w:rPr>
                <w:rFonts w:eastAsiaTheme="minorEastAsia"/>
                <w:noProof/>
                <w:lang w:val="en-GB" w:eastAsia="en-GB"/>
              </w:rPr>
              <w:tab/>
            </w:r>
            <w:r w:rsidRPr="00A7310C">
              <w:rPr>
                <w:rStyle w:val="Hyperlink"/>
                <w:bCs/>
                <w:noProof/>
                <w:lang w:val="en-GB"/>
              </w:rPr>
              <w:t>Continuous Monitoring Strategy</w:t>
            </w:r>
            <w:r>
              <w:rPr>
                <w:noProof/>
                <w:webHidden/>
              </w:rPr>
              <w:tab/>
            </w:r>
            <w:r>
              <w:rPr>
                <w:noProof/>
                <w:webHidden/>
              </w:rPr>
              <w:fldChar w:fldCharType="begin"/>
            </w:r>
            <w:r>
              <w:rPr>
                <w:noProof/>
                <w:webHidden/>
              </w:rPr>
              <w:instrText xml:space="preserve"> PAGEREF _Toc228443723 \h </w:instrText>
            </w:r>
            <w:r>
              <w:rPr>
                <w:noProof/>
                <w:webHidden/>
              </w:rPr>
            </w:r>
            <w:r>
              <w:rPr>
                <w:noProof/>
                <w:webHidden/>
              </w:rPr>
              <w:fldChar w:fldCharType="separate"/>
            </w:r>
            <w:r>
              <w:rPr>
                <w:noProof/>
                <w:webHidden/>
              </w:rPr>
              <w:t>9</w:t>
            </w:r>
            <w:r>
              <w:rPr>
                <w:noProof/>
                <w:webHidden/>
              </w:rPr>
              <w:fldChar w:fldCharType="end"/>
            </w:r>
          </w:hyperlink>
        </w:p>
        <w:p w14:paraId="610B6286" w14:textId="775CE865" w:rsidR="00756BAA" w:rsidRDefault="00756BAA">
          <w:pPr>
            <w:pStyle w:val="TOC2"/>
            <w:tabs>
              <w:tab w:val="left" w:pos="960"/>
              <w:tab w:val="right" w:leader="dot" w:pos="9016"/>
            </w:tabs>
            <w:rPr>
              <w:rFonts w:eastAsiaTheme="minorEastAsia"/>
              <w:noProof/>
              <w:lang w:val="en-GB" w:eastAsia="en-GB"/>
            </w:rPr>
          </w:pPr>
          <w:hyperlink w:anchor="_Toc228443724" w:history="1">
            <w:r w:rsidRPr="00A7310C">
              <w:rPr>
                <w:rStyle w:val="Hyperlink"/>
                <w:bCs/>
                <w:noProof/>
                <w:lang w:val="en-GB"/>
              </w:rPr>
              <w:t>6.2</w:t>
            </w:r>
            <w:r>
              <w:rPr>
                <w:rFonts w:eastAsiaTheme="minorEastAsia"/>
                <w:noProof/>
                <w:lang w:val="en-GB" w:eastAsia="en-GB"/>
              </w:rPr>
              <w:tab/>
            </w:r>
            <w:r w:rsidRPr="00A7310C">
              <w:rPr>
                <w:rStyle w:val="Hyperlink"/>
                <w:bCs/>
                <w:noProof/>
                <w:lang w:val="en-GB"/>
              </w:rPr>
              <w:t>Incident Response Lifecycle</w:t>
            </w:r>
            <w:r>
              <w:rPr>
                <w:noProof/>
                <w:webHidden/>
              </w:rPr>
              <w:tab/>
            </w:r>
            <w:r>
              <w:rPr>
                <w:noProof/>
                <w:webHidden/>
              </w:rPr>
              <w:fldChar w:fldCharType="begin"/>
            </w:r>
            <w:r>
              <w:rPr>
                <w:noProof/>
                <w:webHidden/>
              </w:rPr>
              <w:instrText xml:space="preserve"> PAGEREF _Toc228443724 \h </w:instrText>
            </w:r>
            <w:r>
              <w:rPr>
                <w:noProof/>
                <w:webHidden/>
              </w:rPr>
            </w:r>
            <w:r>
              <w:rPr>
                <w:noProof/>
                <w:webHidden/>
              </w:rPr>
              <w:fldChar w:fldCharType="separate"/>
            </w:r>
            <w:r>
              <w:rPr>
                <w:noProof/>
                <w:webHidden/>
              </w:rPr>
              <w:t>9</w:t>
            </w:r>
            <w:r>
              <w:rPr>
                <w:noProof/>
                <w:webHidden/>
              </w:rPr>
              <w:fldChar w:fldCharType="end"/>
            </w:r>
          </w:hyperlink>
        </w:p>
        <w:p w14:paraId="0CCFA392" w14:textId="0723D6BC" w:rsidR="00756BAA" w:rsidRDefault="00756BAA">
          <w:pPr>
            <w:pStyle w:val="TOC2"/>
            <w:tabs>
              <w:tab w:val="left" w:pos="960"/>
              <w:tab w:val="right" w:leader="dot" w:pos="9016"/>
            </w:tabs>
            <w:rPr>
              <w:rFonts w:eastAsiaTheme="minorEastAsia"/>
              <w:noProof/>
              <w:lang w:val="en-GB" w:eastAsia="en-GB"/>
            </w:rPr>
          </w:pPr>
          <w:hyperlink w:anchor="_Toc228443725" w:history="1">
            <w:r w:rsidRPr="00A7310C">
              <w:rPr>
                <w:rStyle w:val="Hyperlink"/>
                <w:bCs/>
                <w:noProof/>
                <w:lang w:val="en-GB"/>
              </w:rPr>
              <w:t>6.3</w:t>
            </w:r>
            <w:r>
              <w:rPr>
                <w:rFonts w:eastAsiaTheme="minorEastAsia"/>
                <w:noProof/>
                <w:lang w:val="en-GB" w:eastAsia="en-GB"/>
              </w:rPr>
              <w:tab/>
            </w:r>
            <w:r w:rsidRPr="00A7310C">
              <w:rPr>
                <w:rStyle w:val="Hyperlink"/>
                <w:bCs/>
                <w:noProof/>
                <w:lang w:val="en-GB"/>
              </w:rPr>
              <w:t>Role-Based Training</w:t>
            </w:r>
            <w:r>
              <w:rPr>
                <w:noProof/>
                <w:webHidden/>
              </w:rPr>
              <w:tab/>
            </w:r>
            <w:r>
              <w:rPr>
                <w:noProof/>
                <w:webHidden/>
              </w:rPr>
              <w:fldChar w:fldCharType="begin"/>
            </w:r>
            <w:r>
              <w:rPr>
                <w:noProof/>
                <w:webHidden/>
              </w:rPr>
              <w:instrText xml:space="preserve"> PAGEREF _Toc228443725 \h </w:instrText>
            </w:r>
            <w:r>
              <w:rPr>
                <w:noProof/>
                <w:webHidden/>
              </w:rPr>
            </w:r>
            <w:r>
              <w:rPr>
                <w:noProof/>
                <w:webHidden/>
              </w:rPr>
              <w:fldChar w:fldCharType="separate"/>
            </w:r>
            <w:r>
              <w:rPr>
                <w:noProof/>
                <w:webHidden/>
              </w:rPr>
              <w:t>10</w:t>
            </w:r>
            <w:r>
              <w:rPr>
                <w:noProof/>
                <w:webHidden/>
              </w:rPr>
              <w:fldChar w:fldCharType="end"/>
            </w:r>
          </w:hyperlink>
        </w:p>
        <w:p w14:paraId="14C2D94E" w14:textId="44A32213" w:rsidR="00756BAA" w:rsidRDefault="00756BAA">
          <w:pPr>
            <w:pStyle w:val="TOC2"/>
            <w:tabs>
              <w:tab w:val="left" w:pos="960"/>
              <w:tab w:val="right" w:leader="dot" w:pos="9016"/>
            </w:tabs>
            <w:rPr>
              <w:rFonts w:eastAsiaTheme="minorEastAsia"/>
              <w:noProof/>
              <w:lang w:val="en-GB" w:eastAsia="en-GB"/>
            </w:rPr>
          </w:pPr>
          <w:hyperlink w:anchor="_Toc228443726" w:history="1">
            <w:r w:rsidRPr="00A7310C">
              <w:rPr>
                <w:rStyle w:val="Hyperlink"/>
                <w:bCs/>
                <w:noProof/>
                <w:lang w:val="en-GB"/>
              </w:rPr>
              <w:t>6.4</w:t>
            </w:r>
            <w:r>
              <w:rPr>
                <w:rFonts w:eastAsiaTheme="minorEastAsia"/>
                <w:noProof/>
                <w:lang w:val="en-GB" w:eastAsia="en-GB"/>
              </w:rPr>
              <w:tab/>
            </w:r>
            <w:r w:rsidRPr="00A7310C">
              <w:rPr>
                <w:rStyle w:val="Hyperlink"/>
                <w:bCs/>
                <w:noProof/>
                <w:lang w:val="en-GB"/>
              </w:rPr>
              <w:t>Security Culture Development</w:t>
            </w:r>
            <w:r>
              <w:rPr>
                <w:noProof/>
                <w:webHidden/>
              </w:rPr>
              <w:tab/>
            </w:r>
            <w:r>
              <w:rPr>
                <w:noProof/>
                <w:webHidden/>
              </w:rPr>
              <w:fldChar w:fldCharType="begin"/>
            </w:r>
            <w:r>
              <w:rPr>
                <w:noProof/>
                <w:webHidden/>
              </w:rPr>
              <w:instrText xml:space="preserve"> PAGEREF _Toc228443726 \h </w:instrText>
            </w:r>
            <w:r>
              <w:rPr>
                <w:noProof/>
                <w:webHidden/>
              </w:rPr>
            </w:r>
            <w:r>
              <w:rPr>
                <w:noProof/>
                <w:webHidden/>
              </w:rPr>
              <w:fldChar w:fldCharType="separate"/>
            </w:r>
            <w:r>
              <w:rPr>
                <w:noProof/>
                <w:webHidden/>
              </w:rPr>
              <w:t>10</w:t>
            </w:r>
            <w:r>
              <w:rPr>
                <w:noProof/>
                <w:webHidden/>
              </w:rPr>
              <w:fldChar w:fldCharType="end"/>
            </w:r>
          </w:hyperlink>
        </w:p>
        <w:p w14:paraId="121740D5" w14:textId="77C8F790" w:rsidR="00756BAA" w:rsidRDefault="00756BAA">
          <w:pPr>
            <w:pStyle w:val="TOC1"/>
            <w:tabs>
              <w:tab w:val="left" w:pos="480"/>
              <w:tab w:val="right" w:leader="dot" w:pos="9016"/>
            </w:tabs>
            <w:rPr>
              <w:rFonts w:eastAsiaTheme="minorEastAsia"/>
              <w:noProof/>
              <w:lang w:val="en-GB" w:eastAsia="en-GB"/>
            </w:rPr>
          </w:pPr>
          <w:hyperlink w:anchor="_Toc228443727" w:history="1">
            <w:r w:rsidRPr="00A7310C">
              <w:rPr>
                <w:rStyle w:val="Hyperlink"/>
                <w:rFonts w:ascii="Times New Roman" w:hAnsi="Times New Roman" w:cs="Times New Roman"/>
                <w:b/>
                <w:bCs/>
                <w:noProof/>
                <w:lang w:val="en-GB"/>
              </w:rPr>
              <w:t>7.</w:t>
            </w:r>
            <w:r>
              <w:rPr>
                <w:rFonts w:eastAsiaTheme="minorEastAsia"/>
                <w:noProof/>
                <w:lang w:val="en-GB" w:eastAsia="en-GB"/>
              </w:rPr>
              <w:tab/>
            </w:r>
            <w:r w:rsidRPr="00A7310C">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_Toc228443727 \h </w:instrText>
            </w:r>
            <w:r>
              <w:rPr>
                <w:noProof/>
                <w:webHidden/>
              </w:rPr>
            </w:r>
            <w:r>
              <w:rPr>
                <w:noProof/>
                <w:webHidden/>
              </w:rPr>
              <w:fldChar w:fldCharType="separate"/>
            </w:r>
            <w:r>
              <w:rPr>
                <w:noProof/>
                <w:webHidden/>
              </w:rPr>
              <w:t>10</w:t>
            </w:r>
            <w:r>
              <w:rPr>
                <w:noProof/>
                <w:webHidden/>
              </w:rPr>
              <w:fldChar w:fldCharType="end"/>
            </w:r>
          </w:hyperlink>
        </w:p>
        <w:p w14:paraId="211EE766" w14:textId="4977932F" w:rsidR="00756BAA" w:rsidRDefault="00756BAA">
          <w:pPr>
            <w:pStyle w:val="TOC1"/>
            <w:tabs>
              <w:tab w:val="right" w:leader="dot" w:pos="9016"/>
            </w:tabs>
            <w:rPr>
              <w:rFonts w:eastAsiaTheme="minorEastAsia"/>
              <w:noProof/>
              <w:lang w:val="en-GB" w:eastAsia="en-GB"/>
            </w:rPr>
          </w:pPr>
          <w:hyperlink w:anchor="_Toc228443728" w:history="1">
            <w:r w:rsidRPr="00A7310C">
              <w:rPr>
                <w:rStyle w:val="Hyperlink"/>
                <w:rFonts w:ascii="Times New Roman" w:hAnsi="Times New Roman" w:cs="Times New Roman"/>
                <w:b/>
                <w:bCs/>
                <w:noProof/>
                <w:lang w:val="en-GB"/>
              </w:rPr>
              <w:t>References</w:t>
            </w:r>
            <w:r>
              <w:rPr>
                <w:noProof/>
                <w:webHidden/>
              </w:rPr>
              <w:tab/>
            </w:r>
            <w:r>
              <w:rPr>
                <w:noProof/>
                <w:webHidden/>
              </w:rPr>
              <w:fldChar w:fldCharType="begin"/>
            </w:r>
            <w:r>
              <w:rPr>
                <w:noProof/>
                <w:webHidden/>
              </w:rPr>
              <w:instrText xml:space="preserve"> PAGEREF _Toc228443728 \h </w:instrText>
            </w:r>
            <w:r>
              <w:rPr>
                <w:noProof/>
                <w:webHidden/>
              </w:rPr>
            </w:r>
            <w:r>
              <w:rPr>
                <w:noProof/>
                <w:webHidden/>
              </w:rPr>
              <w:fldChar w:fldCharType="separate"/>
            </w:r>
            <w:r>
              <w:rPr>
                <w:noProof/>
                <w:webHidden/>
              </w:rPr>
              <w:t>11</w:t>
            </w:r>
            <w:r>
              <w:rPr>
                <w:noProof/>
                <w:webHidden/>
              </w:rPr>
              <w:fldChar w:fldCharType="end"/>
            </w:r>
          </w:hyperlink>
        </w:p>
        <w:p w14:paraId="14100BC7" w14:textId="399FFA7D"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40E25875" w14:textId="0333B29A" w:rsidR="00ED5E81" w:rsidRDefault="009F24B6"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 w:name="_Toc228443704"/>
      <w:r w:rsidRPr="00F3304A">
        <w:rPr>
          <w:rFonts w:ascii="Times New Roman" w:hAnsi="Times New Roman" w:cs="Times New Roman"/>
          <w:b/>
          <w:bCs/>
          <w:color w:val="000000" w:themeColor="text1"/>
          <w:sz w:val="32"/>
          <w:szCs w:val="32"/>
          <w:lang w:val="en-GB"/>
        </w:rPr>
        <w:lastRenderedPageBreak/>
        <w:t>Introduction</w:t>
      </w:r>
      <w:bookmarkEnd w:id="1"/>
    </w:p>
    <w:p w14:paraId="7C3117D8" w14:textId="6B7C0C4C" w:rsidR="00FE38E5" w:rsidRPr="00FE38E5" w:rsidRDefault="00FE38E5" w:rsidP="00FE38E5">
      <w:pPr>
        <w:rPr>
          <w:rFonts w:ascii="Times New Roman" w:hAnsi="Times New Roman" w:cs="Times New Roman"/>
          <w:color w:val="000000" w:themeColor="text1"/>
          <w:lang w:val="en-GB"/>
        </w:rPr>
      </w:pPr>
      <w:r w:rsidRPr="00FE38E5">
        <w:rPr>
          <w:rFonts w:ascii="Times New Roman" w:hAnsi="Times New Roman" w:cs="Times New Roman"/>
          <w:color w:val="000000" w:themeColor="text1"/>
          <w:lang w:val="en-GB"/>
        </w:rPr>
        <w:t xml:space="preserve">For any organisation, big or small, with an online presence, cybersecurity is a major concern. In the healthcare industry, with the high-profile targets being large healthcare providers, </w:t>
      </w:r>
      <w:r w:rsidR="00C11373" w:rsidRPr="00C11373">
        <w:rPr>
          <w:rFonts w:ascii="Times New Roman" w:hAnsi="Times New Roman" w:cs="Times New Roman"/>
          <w:color w:val="000000" w:themeColor="text1"/>
          <w:lang w:val="en-GB"/>
        </w:rPr>
        <w:t>there has been a sharp rise in cyber-attacks on health technology companies as hackers cash in on the wealth of patient information stored by them.</w:t>
      </w:r>
      <w:r w:rsidRPr="00FE38E5">
        <w:rPr>
          <w:rFonts w:ascii="Times New Roman" w:hAnsi="Times New Roman" w:cs="Times New Roman"/>
          <w:color w:val="000000" w:themeColor="text1"/>
          <w:lang w:val="en-GB"/>
        </w:rPr>
        <w:t>, including the healthcare data analytics companies.</w:t>
      </w:r>
      <w:r w:rsidR="00C11373">
        <w:rPr>
          <w:rFonts w:ascii="Times New Roman" w:hAnsi="Times New Roman" w:cs="Times New Roman"/>
          <w:color w:val="000000" w:themeColor="text1"/>
          <w:lang w:val="en-GB"/>
        </w:rPr>
        <w:t xml:space="preserve"> The WannaCry attack (2017) disrupted NHS Services, highlighting vulnerabilities in healthcare system</w:t>
      </w:r>
      <w:r w:rsidRPr="00FE38E5">
        <w:rPr>
          <w:rFonts w:ascii="Times New Roman" w:hAnsi="Times New Roman" w:cs="Times New Roman"/>
          <w:color w:val="000000" w:themeColor="text1"/>
          <w:lang w:val="en-GB"/>
        </w:rPr>
        <w:t xml:space="preserve">. The total cost to the NHS of the WannaCry cyber-attack was £92 million over 3 months, according to the National Audit Office (2018). For a company like Health Plus Analytics (HPA), which deals with large volumes of patient data </w:t>
      </w:r>
      <w:r w:rsidR="00C11373" w:rsidRPr="00FE38E5">
        <w:rPr>
          <w:rFonts w:ascii="Times New Roman" w:hAnsi="Times New Roman" w:cs="Times New Roman"/>
          <w:color w:val="000000" w:themeColor="text1"/>
          <w:lang w:val="en-GB"/>
        </w:rPr>
        <w:t>daily</w:t>
      </w:r>
      <w:r w:rsidRPr="00FE38E5">
        <w:rPr>
          <w:rFonts w:ascii="Times New Roman" w:hAnsi="Times New Roman" w:cs="Times New Roman"/>
          <w:color w:val="000000" w:themeColor="text1"/>
          <w:lang w:val="en-GB"/>
        </w:rPr>
        <w:t>, it is therefore crucial that its cybersecurity measures are robust and always improving.</w:t>
      </w:r>
    </w:p>
    <w:p w14:paraId="026CAE83" w14:textId="77777777" w:rsidR="00FE38E5" w:rsidRPr="00FE38E5" w:rsidRDefault="00FE38E5" w:rsidP="00FE38E5">
      <w:pPr>
        <w:rPr>
          <w:rFonts w:ascii="Times New Roman" w:hAnsi="Times New Roman" w:cs="Times New Roman"/>
          <w:color w:val="000000" w:themeColor="text1"/>
          <w:lang w:val="en-GB"/>
        </w:rPr>
      </w:pPr>
    </w:p>
    <w:p w14:paraId="1E6F8094" w14:textId="2C5688A9" w:rsidR="00FE38E5" w:rsidRPr="00FE38E5" w:rsidRDefault="00FE38E5" w:rsidP="00FE38E5">
      <w:pPr>
        <w:rPr>
          <w:rFonts w:ascii="Times New Roman" w:hAnsi="Times New Roman" w:cs="Times New Roman"/>
          <w:color w:val="000000" w:themeColor="text1"/>
          <w:lang w:val="en-GB"/>
        </w:rPr>
      </w:pPr>
      <w:r w:rsidRPr="00FE38E5">
        <w:rPr>
          <w:rFonts w:ascii="Times New Roman" w:hAnsi="Times New Roman" w:cs="Times New Roman"/>
          <w:color w:val="000000" w:themeColor="text1"/>
          <w:lang w:val="en-GB"/>
        </w:rPr>
        <w:t>As health data analytics and clinical decision support is something that HPA undertakes, this means that Special Category data under Article 9 of the UK GDPR is being handled. As a result, the highest obligations are in place. HPA must adhere to the NHS Digital Data Security and Protection Standards and complete the Data Security and Protection Toolkit (DSPT), in addition to achieving Cyber Essentials certification by the National Cyber Security Centre (NCSC). The consequences for non-compliance are serious, including enforcement action from the Information Commissioner’s Office (ICO), and the potential for large fines of up to £17.5m or 4% of global turnover. There are also serious reputational consequences for non-compliance.</w:t>
      </w:r>
      <w:r w:rsidR="00C11373">
        <w:rPr>
          <w:rFonts w:ascii="Times New Roman" w:hAnsi="Times New Roman" w:cs="Times New Roman"/>
          <w:color w:val="000000" w:themeColor="text1"/>
          <w:lang w:val="en-GB"/>
        </w:rPr>
        <w:t xml:space="preserve"> High security standards are essential due to regulatory requirements and patient trust</w:t>
      </w:r>
      <w:r w:rsidRPr="00FE38E5">
        <w:rPr>
          <w:rFonts w:ascii="Times New Roman" w:hAnsi="Times New Roman" w:cs="Times New Roman"/>
          <w:color w:val="000000" w:themeColor="text1"/>
          <w:lang w:val="en-GB"/>
        </w:rPr>
        <w:t>.</w:t>
      </w:r>
    </w:p>
    <w:p w14:paraId="36A46EF5" w14:textId="77777777" w:rsidR="00FE38E5" w:rsidRPr="00FE38E5" w:rsidRDefault="00FE38E5" w:rsidP="00FE38E5">
      <w:pPr>
        <w:rPr>
          <w:rFonts w:ascii="Times New Roman" w:hAnsi="Times New Roman" w:cs="Times New Roman"/>
          <w:color w:val="000000" w:themeColor="text1"/>
          <w:lang w:val="en-GB"/>
        </w:rPr>
      </w:pPr>
    </w:p>
    <w:p w14:paraId="6DB00106" w14:textId="3F873104" w:rsidR="009E0311" w:rsidRPr="00EA2CC9" w:rsidRDefault="00FE38E5" w:rsidP="00FE38E5">
      <w:pPr>
        <w:rPr>
          <w:rFonts w:ascii="Times New Roman" w:hAnsi="Times New Roman" w:cs="Times New Roman"/>
          <w:color w:val="000000" w:themeColor="text1"/>
          <w:lang w:val="en-GB"/>
        </w:rPr>
      </w:pPr>
      <w:r w:rsidRPr="00FE38E5">
        <w:rPr>
          <w:rFonts w:ascii="Times New Roman" w:hAnsi="Times New Roman" w:cs="Times New Roman"/>
          <w:color w:val="000000" w:themeColor="text1"/>
          <w:lang w:val="en-GB"/>
        </w:rPr>
        <w:t>This report describes a complete framework for data security and governance that can be put into practice to prevent similar events at HPA in the future. The issues which were exploited in the recent security incidents were insufficient identity and access management for data in the cloud and missing network segmentation and endpoint protection to prevent a ransomware attack on the servers for the analytics services. This report explains the complete data security framework which fulfils the requirements of the key data protection regulations and realizes international best practice according to ISO/IEC 27001:2022, the NIST Cybersecurity Framework (CSF) 2.0 and the UK GDPR.</w:t>
      </w:r>
    </w:p>
    <w:p w14:paraId="2C9AA9E8" w14:textId="34863998" w:rsidR="00EA2CC9" w:rsidRPr="00FE38E5" w:rsidRDefault="00766945" w:rsidP="00EA2CC9">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2" w:name="_Toc228443705"/>
      <w:r w:rsidRPr="00766945">
        <w:rPr>
          <w:rFonts w:ascii="Times New Roman" w:hAnsi="Times New Roman" w:cs="Times New Roman"/>
          <w:b/>
          <w:bCs/>
          <w:color w:val="000000" w:themeColor="text1"/>
          <w:sz w:val="32"/>
          <w:szCs w:val="32"/>
          <w:lang w:val="en-GB"/>
        </w:rPr>
        <w:t>Identification of Threats</w:t>
      </w:r>
      <w:bookmarkEnd w:id="2"/>
    </w:p>
    <w:p w14:paraId="72AC0233" w14:textId="313CD1A0" w:rsidR="003C4AC1" w:rsidRDefault="00766945" w:rsidP="00F3304A">
      <w:pPr>
        <w:pStyle w:val="Heading2"/>
        <w:numPr>
          <w:ilvl w:val="1"/>
          <w:numId w:val="20"/>
        </w:numPr>
        <w:rPr>
          <w:rFonts w:ascii="Times New Roman" w:hAnsi="Times New Roman" w:cs="Times New Roman"/>
          <w:lang w:val="en-GB"/>
        </w:rPr>
      </w:pPr>
      <w:bookmarkStart w:id="3" w:name="_Toc228443706"/>
      <w:r w:rsidRPr="00766945">
        <w:rPr>
          <w:rFonts w:ascii="Times New Roman" w:hAnsi="Times New Roman" w:cs="Times New Roman"/>
          <w:lang w:val="en-GB"/>
        </w:rPr>
        <w:t>Internal Threats</w:t>
      </w:r>
      <w:bookmarkEnd w:id="3"/>
    </w:p>
    <w:p w14:paraId="640B8B3C" w14:textId="77777777" w:rsidR="00FE38E5" w:rsidRPr="00FE38E5" w:rsidRDefault="00FE38E5" w:rsidP="00FE38E5">
      <w:pPr>
        <w:rPr>
          <w:lang w:val="en-GB"/>
        </w:rPr>
      </w:pPr>
      <w:r w:rsidRPr="00FE38E5">
        <w:rPr>
          <w:lang w:val="en-GB"/>
        </w:rPr>
        <w:t>Most people consider the threats to their organisation to come from outside. But the evidence is that there are as many threats from within. A recent report from the Ponemon Institute (2022) found that, on a global basis, 22% of data breaches were caused by what they termed “insider attacks”. In this article, HPA looks at the main categories of internal threat to healthcare organisations.</w:t>
      </w:r>
    </w:p>
    <w:p w14:paraId="29E959DC" w14:textId="77777777" w:rsidR="00FE38E5" w:rsidRPr="00FE38E5" w:rsidRDefault="00FE38E5" w:rsidP="00FE38E5">
      <w:pPr>
        <w:rPr>
          <w:lang w:val="en-GB"/>
        </w:rPr>
      </w:pPr>
    </w:p>
    <w:p w14:paraId="78291753" w14:textId="6C483BA4" w:rsidR="00FE38E5" w:rsidRPr="00FE38E5" w:rsidRDefault="00FE38E5" w:rsidP="00FE38E5">
      <w:pPr>
        <w:rPr>
          <w:lang w:val="en-GB"/>
        </w:rPr>
      </w:pPr>
      <w:r w:rsidRPr="00FE38E5">
        <w:rPr>
          <w:lang w:val="en-GB"/>
        </w:rPr>
        <w:t>•</w:t>
      </w:r>
      <w:r w:rsidRPr="00FE38E5">
        <w:rPr>
          <w:lang w:val="en-GB"/>
        </w:rPr>
        <w:tab/>
      </w:r>
      <w:r w:rsidR="00087C0F">
        <w:rPr>
          <w:lang w:val="en-GB"/>
        </w:rPr>
        <w:t xml:space="preserve">Malicious insiders may misuse patient data for financial gain, breaching confidentially </w:t>
      </w:r>
      <w:r w:rsidRPr="00FE38E5">
        <w:rPr>
          <w:lang w:val="en-GB"/>
        </w:rPr>
        <w:t>within the CIA Triad.</w:t>
      </w:r>
    </w:p>
    <w:p w14:paraId="5B70B327" w14:textId="33E4D8ED" w:rsidR="00FE38E5" w:rsidRPr="00FE38E5" w:rsidRDefault="00FE38E5" w:rsidP="00FE38E5">
      <w:pPr>
        <w:rPr>
          <w:lang w:val="en-GB"/>
        </w:rPr>
      </w:pPr>
      <w:r w:rsidRPr="00FE38E5">
        <w:rPr>
          <w:lang w:val="en-GB"/>
        </w:rPr>
        <w:t>•</w:t>
      </w:r>
      <w:r w:rsidRPr="00FE38E5">
        <w:rPr>
          <w:lang w:val="en-GB"/>
        </w:rPr>
        <w:tab/>
        <w:t>Human Error – Confidentiality and Integrity breaches:</w:t>
      </w:r>
      <w:r w:rsidR="00087C0F">
        <w:rPr>
          <w:lang w:val="en-GB"/>
        </w:rPr>
        <w:t xml:space="preserve"> Human error, including misconfigured storage and weak passwords, leads to data breach</w:t>
      </w:r>
      <w:r w:rsidRPr="00FE38E5">
        <w:rPr>
          <w:lang w:val="en-GB"/>
        </w:rPr>
        <w:t>.</w:t>
      </w:r>
    </w:p>
    <w:p w14:paraId="0D95BD82" w14:textId="77777777" w:rsidR="00FE38E5" w:rsidRPr="00FE38E5" w:rsidRDefault="00FE38E5" w:rsidP="00FE38E5">
      <w:pPr>
        <w:rPr>
          <w:lang w:val="en-GB"/>
        </w:rPr>
      </w:pPr>
      <w:r w:rsidRPr="00FE38E5">
        <w:rPr>
          <w:lang w:val="en-GB"/>
        </w:rPr>
        <w:t>•</w:t>
      </w:r>
      <w:r w:rsidRPr="00FE38E5">
        <w:rPr>
          <w:lang w:val="en-GB"/>
        </w:rPr>
        <w:tab/>
        <w:t>Privilege escalation: The absence of adequate role-based access controls (RBAC) enables users to access data for which they are responsible in an incorrect or unnecessary manner, significantly increasing the damage an account compromise can cause.</w:t>
      </w:r>
    </w:p>
    <w:p w14:paraId="7C504AA1" w14:textId="2E53EECB" w:rsidR="008D0396" w:rsidRPr="00FE38E5" w:rsidRDefault="00FE38E5" w:rsidP="00FE38E5">
      <w:pPr>
        <w:rPr>
          <w:lang w:val="en-GB"/>
        </w:rPr>
      </w:pPr>
      <w:r w:rsidRPr="00FE38E5">
        <w:rPr>
          <w:lang w:val="en-GB"/>
        </w:rPr>
        <w:t>•</w:t>
      </w:r>
      <w:r w:rsidRPr="00FE38E5">
        <w:rPr>
          <w:lang w:val="en-GB"/>
        </w:rPr>
        <w:tab/>
        <w:t>Shadow IT: Individuals (staff, medical staff, visitors etc.) using unapproved (to the organisation) personal equipment/devices, software applications, cloud services (e.g. Dropbox, Google Drive etc.)</w:t>
      </w:r>
      <w:r w:rsidR="00F06976">
        <w:rPr>
          <w:lang w:val="en-GB"/>
        </w:rPr>
        <w:t xml:space="preserve"> involves of unapproved devices or cloud services to handle sensitive data</w:t>
      </w:r>
      <w:r w:rsidRPr="00FE38E5">
        <w:rPr>
          <w:lang w:val="en-GB"/>
        </w:rPr>
        <w:t>.</w:t>
      </w:r>
    </w:p>
    <w:p w14:paraId="07E89F3C" w14:textId="17B783C1" w:rsidR="003C4AC1" w:rsidRPr="00F3304A" w:rsidRDefault="00766945" w:rsidP="00F3304A">
      <w:pPr>
        <w:pStyle w:val="Heading2"/>
        <w:numPr>
          <w:ilvl w:val="1"/>
          <w:numId w:val="20"/>
        </w:numPr>
        <w:rPr>
          <w:rFonts w:ascii="Times New Roman" w:hAnsi="Times New Roman" w:cs="Times New Roman"/>
          <w:lang w:val="en-GB"/>
        </w:rPr>
      </w:pPr>
      <w:bookmarkStart w:id="4" w:name="_Toc228443707"/>
      <w:r w:rsidRPr="00766945">
        <w:rPr>
          <w:rFonts w:ascii="Times New Roman" w:hAnsi="Times New Roman" w:cs="Times New Roman"/>
          <w:lang w:val="en-GB"/>
        </w:rPr>
        <w:t>External Threats</w:t>
      </w:r>
      <w:bookmarkEnd w:id="4"/>
      <w:r w:rsidR="003C4AC1" w:rsidRPr="00F3304A">
        <w:rPr>
          <w:rFonts w:ascii="Times New Roman" w:hAnsi="Times New Roman" w:cs="Times New Roman"/>
          <w:lang w:val="en-GB"/>
        </w:rPr>
        <w:t xml:space="preserve"> </w:t>
      </w:r>
    </w:p>
    <w:p w14:paraId="40754097" w14:textId="501CC3C8" w:rsidR="00FE38E5" w:rsidRPr="00FE38E5" w:rsidRDefault="00F06976" w:rsidP="00FE38E5">
      <w:pPr>
        <w:rPr>
          <w:rFonts w:ascii="Times New Roman" w:hAnsi="Times New Roman" w:cs="Times New Roman"/>
          <w:color w:val="000000" w:themeColor="text1"/>
          <w:lang w:val="en-GB"/>
        </w:rPr>
      </w:pPr>
      <w:r>
        <w:rPr>
          <w:rFonts w:ascii="Times New Roman" w:hAnsi="Times New Roman" w:cs="Times New Roman"/>
          <w:color w:val="000000" w:themeColor="text1"/>
          <w:lang w:val="en-GB"/>
        </w:rPr>
        <w:t>Ransomware disrupts availability and may compromise data integrity and confidentiality through encryption and exfiltration.</w:t>
      </w:r>
    </w:p>
    <w:p w14:paraId="6D3BC110" w14:textId="77777777" w:rsidR="00FE38E5" w:rsidRPr="00FE38E5" w:rsidRDefault="00FE38E5" w:rsidP="00FE38E5">
      <w:pPr>
        <w:rPr>
          <w:rFonts w:ascii="Times New Roman" w:hAnsi="Times New Roman" w:cs="Times New Roman"/>
          <w:color w:val="000000" w:themeColor="text1"/>
          <w:lang w:val="en-GB"/>
        </w:rPr>
      </w:pPr>
      <w:r w:rsidRPr="00FE38E5">
        <w:rPr>
          <w:rFonts w:ascii="Times New Roman" w:hAnsi="Times New Roman" w:cs="Times New Roman"/>
          <w:color w:val="000000" w:themeColor="text1"/>
          <w:lang w:val="en-GB"/>
        </w:rPr>
        <w:t>•</w:t>
      </w:r>
      <w:r w:rsidRPr="00FE38E5">
        <w:rPr>
          <w:rFonts w:ascii="Times New Roman" w:hAnsi="Times New Roman" w:cs="Times New Roman"/>
          <w:color w:val="000000" w:themeColor="text1"/>
          <w:lang w:val="en-GB"/>
        </w:rPr>
        <w:tab/>
      </w:r>
      <w:r w:rsidRPr="00FE38E5">
        <w:rPr>
          <w:rFonts w:ascii="Times New Roman" w:hAnsi="Times New Roman" w:cs="Times New Roman"/>
          <w:color w:val="000000" w:themeColor="text1"/>
          <w:lang w:val="en-GB"/>
        </w:rPr>
        <w:tab/>
        <w:t>Ransomware – NCSC (2023) identified ransomware as the most current and evolving threat to organisations across all sectors, however targeting within healthcare is particularly attractive due to the high value that can be extracted from the data of sensitive organisations which depend on the constant availability of large datasets. This type of threat poses a risk to all areas of the CIA Triad, not only aiming to prevent access to data (Availability), but also, whilst attempting to lock users from their information, also integrity of the data by encrypting and potentially tampering with the contents, in addition to breaching confidentiality by releasing exfiltrated data.</w:t>
      </w:r>
    </w:p>
    <w:p w14:paraId="286A6558" w14:textId="713D0782" w:rsidR="00FE38E5" w:rsidRPr="00FE38E5" w:rsidRDefault="00FE38E5" w:rsidP="00FE38E5">
      <w:pPr>
        <w:rPr>
          <w:rFonts w:ascii="Times New Roman" w:hAnsi="Times New Roman" w:cs="Times New Roman"/>
          <w:color w:val="000000" w:themeColor="text1"/>
          <w:lang w:val="en-GB"/>
        </w:rPr>
      </w:pPr>
      <w:r w:rsidRPr="00FE38E5">
        <w:rPr>
          <w:rFonts w:ascii="Times New Roman" w:hAnsi="Times New Roman" w:cs="Times New Roman"/>
          <w:color w:val="000000" w:themeColor="text1"/>
          <w:lang w:val="en-GB"/>
        </w:rPr>
        <w:t>•</w:t>
      </w:r>
      <w:r w:rsidRPr="00FE38E5">
        <w:rPr>
          <w:rFonts w:ascii="Times New Roman" w:hAnsi="Times New Roman" w:cs="Times New Roman"/>
          <w:color w:val="000000" w:themeColor="text1"/>
          <w:lang w:val="en-GB"/>
        </w:rPr>
        <w:tab/>
        <w:t>Phishing &amp; spear phishing:</w:t>
      </w:r>
      <w:r w:rsidR="00F06976">
        <w:rPr>
          <w:rFonts w:ascii="Times New Roman" w:hAnsi="Times New Roman" w:cs="Times New Roman"/>
          <w:color w:val="000000" w:themeColor="text1"/>
          <w:lang w:val="en-GB"/>
        </w:rPr>
        <w:t xml:space="preserve"> Phishing remains a primary attack vector used to steal credentials and access systems</w:t>
      </w:r>
      <w:r w:rsidRPr="00FE38E5">
        <w:rPr>
          <w:rFonts w:ascii="Times New Roman" w:hAnsi="Times New Roman" w:cs="Times New Roman"/>
          <w:color w:val="000000" w:themeColor="text1"/>
          <w:lang w:val="en-GB"/>
        </w:rPr>
        <w:t>.</w:t>
      </w:r>
    </w:p>
    <w:p w14:paraId="14BEB56A" w14:textId="753EC6E1" w:rsidR="00FE38E5" w:rsidRPr="00FE38E5" w:rsidRDefault="00FE38E5" w:rsidP="00FE38E5">
      <w:pPr>
        <w:rPr>
          <w:rFonts w:ascii="Times New Roman" w:hAnsi="Times New Roman" w:cs="Times New Roman"/>
          <w:color w:val="000000" w:themeColor="text1"/>
          <w:lang w:val="en-GB"/>
        </w:rPr>
      </w:pPr>
      <w:r w:rsidRPr="00FE38E5">
        <w:rPr>
          <w:rFonts w:ascii="Times New Roman" w:hAnsi="Times New Roman" w:cs="Times New Roman"/>
          <w:color w:val="000000" w:themeColor="text1"/>
          <w:lang w:val="en-GB"/>
        </w:rPr>
        <w:t>•</w:t>
      </w:r>
      <w:r w:rsidRPr="00FE38E5">
        <w:rPr>
          <w:rFonts w:ascii="Times New Roman" w:hAnsi="Times New Roman" w:cs="Times New Roman"/>
          <w:color w:val="000000" w:themeColor="text1"/>
          <w:lang w:val="en-GB"/>
        </w:rPr>
        <w:tab/>
      </w:r>
      <w:r>
        <w:rPr>
          <w:rFonts w:ascii="Times New Roman" w:hAnsi="Times New Roman" w:cs="Times New Roman"/>
          <w:color w:val="000000" w:themeColor="text1"/>
          <w:lang w:val="en-GB"/>
        </w:rPr>
        <w:t>Cloud-based attacks</w:t>
      </w:r>
      <w:r w:rsidRPr="00FE38E5">
        <w:rPr>
          <w:rFonts w:ascii="Times New Roman" w:hAnsi="Times New Roman" w:cs="Times New Roman"/>
          <w:color w:val="000000" w:themeColor="text1"/>
          <w:lang w:val="en-GB"/>
        </w:rPr>
        <w:t xml:space="preserve">: Attacks based on misconfigured identity and access management (IAM) and exposed APIs </w:t>
      </w:r>
      <w:r w:rsidR="00F06976">
        <w:rPr>
          <w:rFonts w:ascii="Times New Roman" w:hAnsi="Times New Roman" w:cs="Times New Roman"/>
          <w:color w:val="000000" w:themeColor="text1"/>
          <w:lang w:val="en-GB"/>
        </w:rPr>
        <w:t>exploit misconfigured IAM, APIs, and insufficient monitoring</w:t>
      </w:r>
      <w:r w:rsidRPr="00FE38E5">
        <w:rPr>
          <w:rFonts w:ascii="Times New Roman" w:hAnsi="Times New Roman" w:cs="Times New Roman"/>
          <w:color w:val="000000" w:themeColor="text1"/>
          <w:lang w:val="en-GB"/>
        </w:rPr>
        <w:t>.</w:t>
      </w:r>
    </w:p>
    <w:p w14:paraId="29FB0F80" w14:textId="77777777" w:rsidR="00FE38E5" w:rsidRPr="00F3304A" w:rsidRDefault="00FE38E5" w:rsidP="00FE38E5">
      <w:pPr>
        <w:rPr>
          <w:rFonts w:ascii="Times New Roman" w:hAnsi="Times New Roman" w:cs="Times New Roman"/>
          <w:color w:val="000000" w:themeColor="text1"/>
          <w:lang w:val="en-GB"/>
        </w:rPr>
      </w:pPr>
      <w:r w:rsidRPr="00FE38E5">
        <w:rPr>
          <w:rFonts w:ascii="Times New Roman" w:hAnsi="Times New Roman" w:cs="Times New Roman"/>
          <w:color w:val="000000" w:themeColor="text1"/>
          <w:lang w:val="en-GB"/>
        </w:rPr>
        <w:t>•</w:t>
      </w:r>
      <w:r w:rsidRPr="00FE38E5">
        <w:rPr>
          <w:rFonts w:ascii="Times New Roman" w:hAnsi="Times New Roman" w:cs="Times New Roman"/>
          <w:color w:val="000000" w:themeColor="text1"/>
          <w:lang w:val="en-GB"/>
        </w:rPr>
        <w:tab/>
        <w:t>Supply Chain Attacks on software and data processors used by HPA: There is the potential that HPA could be affected by vulnerabilities in software or data processors it uses. Such attacks were seen in the SolarWinds case in 2020 and can have massive effects through wide-spread contamination in a sector.</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56"/>
        <w:gridCol w:w="2256"/>
        <w:gridCol w:w="2257"/>
        <w:gridCol w:w="2257"/>
      </w:tblGrid>
      <w:tr w:rsidR="00FE38E5" w14:paraId="6F5300BC" w14:textId="77777777" w:rsidTr="00AD3C29">
        <w:tc>
          <w:tcPr>
            <w:tcW w:w="2256" w:type="dxa"/>
            <w:tcBorders>
              <w:top w:val="single" w:sz="1" w:space="0" w:color="CCCCCC"/>
              <w:left w:val="single" w:sz="1" w:space="0" w:color="CCCCCC"/>
              <w:bottom w:val="single" w:sz="1" w:space="0" w:color="CCCCCC"/>
              <w:right w:val="single" w:sz="1" w:space="0" w:color="CCCCCC"/>
            </w:tcBorders>
            <w:shd w:val="clear" w:color="auto" w:fill="1A3A5C"/>
            <w:tcMar>
              <w:top w:w="100" w:type="dxa"/>
              <w:left w:w="120" w:type="dxa"/>
              <w:bottom w:w="100" w:type="dxa"/>
              <w:right w:w="120" w:type="dxa"/>
            </w:tcMar>
            <w:vAlign w:val="center"/>
          </w:tcPr>
          <w:p w14:paraId="1F8E6876" w14:textId="77777777" w:rsidR="00FE38E5" w:rsidRPr="00FE38E5" w:rsidRDefault="00FE38E5" w:rsidP="00AD3C29">
            <w:pPr>
              <w:jc w:val="center"/>
              <w:rPr>
                <w:rFonts w:ascii="Times New Roman" w:hAnsi="Times New Roman" w:cs="Times New Roman"/>
              </w:rPr>
            </w:pPr>
            <w:r w:rsidRPr="00FE38E5">
              <w:rPr>
                <w:rFonts w:ascii="Times New Roman" w:eastAsia="Calibri" w:hAnsi="Times New Roman" w:cs="Times New Roman"/>
                <w:b/>
                <w:bCs/>
                <w:color w:val="FFFFFF"/>
              </w:rPr>
              <w:t>Threat Category</w:t>
            </w:r>
          </w:p>
        </w:tc>
        <w:tc>
          <w:tcPr>
            <w:tcW w:w="2256" w:type="dxa"/>
            <w:tcBorders>
              <w:top w:val="single" w:sz="1" w:space="0" w:color="CCCCCC"/>
              <w:left w:val="single" w:sz="1" w:space="0" w:color="CCCCCC"/>
              <w:bottom w:val="single" w:sz="1" w:space="0" w:color="CCCCCC"/>
              <w:right w:val="single" w:sz="1" w:space="0" w:color="CCCCCC"/>
            </w:tcBorders>
            <w:shd w:val="clear" w:color="auto" w:fill="1A3A5C"/>
            <w:tcMar>
              <w:top w:w="100" w:type="dxa"/>
              <w:left w:w="120" w:type="dxa"/>
              <w:bottom w:w="100" w:type="dxa"/>
              <w:right w:w="120" w:type="dxa"/>
            </w:tcMar>
            <w:vAlign w:val="center"/>
          </w:tcPr>
          <w:p w14:paraId="354A2ADE" w14:textId="77777777" w:rsidR="00FE38E5" w:rsidRPr="00FE38E5" w:rsidRDefault="00FE38E5" w:rsidP="00AD3C29">
            <w:pPr>
              <w:jc w:val="center"/>
              <w:rPr>
                <w:rFonts w:ascii="Times New Roman" w:hAnsi="Times New Roman" w:cs="Times New Roman"/>
              </w:rPr>
            </w:pPr>
            <w:r w:rsidRPr="00FE38E5">
              <w:rPr>
                <w:rFonts w:ascii="Times New Roman" w:eastAsia="Calibri" w:hAnsi="Times New Roman" w:cs="Times New Roman"/>
                <w:b/>
                <w:bCs/>
                <w:color w:val="FFFFFF"/>
              </w:rPr>
              <w:t>Confidentiality</w:t>
            </w:r>
          </w:p>
        </w:tc>
        <w:tc>
          <w:tcPr>
            <w:tcW w:w="2256" w:type="dxa"/>
            <w:tcBorders>
              <w:top w:val="single" w:sz="1" w:space="0" w:color="CCCCCC"/>
              <w:left w:val="single" w:sz="1" w:space="0" w:color="CCCCCC"/>
              <w:bottom w:val="single" w:sz="1" w:space="0" w:color="CCCCCC"/>
              <w:right w:val="single" w:sz="1" w:space="0" w:color="CCCCCC"/>
            </w:tcBorders>
            <w:shd w:val="clear" w:color="auto" w:fill="1A3A5C"/>
            <w:tcMar>
              <w:top w:w="100" w:type="dxa"/>
              <w:left w:w="120" w:type="dxa"/>
              <w:bottom w:w="100" w:type="dxa"/>
              <w:right w:w="120" w:type="dxa"/>
            </w:tcMar>
            <w:vAlign w:val="center"/>
          </w:tcPr>
          <w:p w14:paraId="795B62BB" w14:textId="77777777" w:rsidR="00FE38E5" w:rsidRPr="00FE38E5" w:rsidRDefault="00FE38E5" w:rsidP="00AD3C29">
            <w:pPr>
              <w:jc w:val="center"/>
              <w:rPr>
                <w:rFonts w:ascii="Times New Roman" w:hAnsi="Times New Roman" w:cs="Times New Roman"/>
              </w:rPr>
            </w:pPr>
            <w:r w:rsidRPr="00FE38E5">
              <w:rPr>
                <w:rFonts w:ascii="Times New Roman" w:eastAsia="Calibri" w:hAnsi="Times New Roman" w:cs="Times New Roman"/>
                <w:b/>
                <w:bCs/>
                <w:color w:val="FFFFFF"/>
              </w:rPr>
              <w:t>Integrity</w:t>
            </w:r>
          </w:p>
        </w:tc>
        <w:tc>
          <w:tcPr>
            <w:tcW w:w="2256" w:type="dxa"/>
            <w:tcBorders>
              <w:top w:val="single" w:sz="1" w:space="0" w:color="CCCCCC"/>
              <w:left w:val="single" w:sz="1" w:space="0" w:color="CCCCCC"/>
              <w:bottom w:val="single" w:sz="1" w:space="0" w:color="CCCCCC"/>
              <w:right w:val="single" w:sz="1" w:space="0" w:color="CCCCCC"/>
            </w:tcBorders>
            <w:shd w:val="clear" w:color="auto" w:fill="1A3A5C"/>
            <w:tcMar>
              <w:top w:w="100" w:type="dxa"/>
              <w:left w:w="120" w:type="dxa"/>
              <w:bottom w:w="100" w:type="dxa"/>
              <w:right w:w="120" w:type="dxa"/>
            </w:tcMar>
            <w:vAlign w:val="center"/>
          </w:tcPr>
          <w:p w14:paraId="41E7A934" w14:textId="77777777" w:rsidR="00FE38E5" w:rsidRPr="00FE38E5" w:rsidRDefault="00FE38E5" w:rsidP="00AD3C29">
            <w:pPr>
              <w:jc w:val="center"/>
              <w:rPr>
                <w:rFonts w:ascii="Times New Roman" w:hAnsi="Times New Roman" w:cs="Times New Roman"/>
              </w:rPr>
            </w:pPr>
            <w:r w:rsidRPr="00FE38E5">
              <w:rPr>
                <w:rFonts w:ascii="Times New Roman" w:eastAsia="Calibri" w:hAnsi="Times New Roman" w:cs="Times New Roman"/>
                <w:b/>
                <w:bCs/>
                <w:color w:val="FFFFFF"/>
              </w:rPr>
              <w:t>Availability</w:t>
            </w:r>
          </w:p>
        </w:tc>
      </w:tr>
      <w:tr w:rsidR="00FE38E5" w14:paraId="17248EC3" w14:textId="77777777" w:rsidTr="00AD3C29">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5E502C1F" w14:textId="77777777" w:rsidR="00FE38E5" w:rsidRPr="00FE38E5" w:rsidRDefault="00FE38E5" w:rsidP="00AD3C29">
            <w:pPr>
              <w:jc w:val="center"/>
              <w:rPr>
                <w:rFonts w:ascii="Times New Roman" w:hAnsi="Times New Roman" w:cs="Times New Roman"/>
              </w:rPr>
            </w:pPr>
            <w:r w:rsidRPr="00FE38E5">
              <w:rPr>
                <w:rFonts w:ascii="Times New Roman" w:eastAsia="Calibri" w:hAnsi="Times New Roman" w:cs="Times New Roman"/>
                <w:color w:val="222222"/>
              </w:rPr>
              <w:t>Ransomware</w:t>
            </w:r>
          </w:p>
        </w:tc>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44B99CF8" w14:textId="77777777" w:rsidR="00FE38E5" w:rsidRPr="00FE38E5" w:rsidRDefault="00FE38E5" w:rsidP="00AD3C29">
            <w:pPr>
              <w:jc w:val="center"/>
              <w:rPr>
                <w:rFonts w:ascii="Times New Roman" w:hAnsi="Times New Roman" w:cs="Times New Roman"/>
              </w:rPr>
            </w:pPr>
            <w:r w:rsidRPr="00FE38E5">
              <w:rPr>
                <w:rFonts w:ascii="Segoe UI Symbol" w:eastAsia="Calibri" w:hAnsi="Segoe UI Symbol" w:cs="Segoe UI Symbol"/>
                <w:color w:val="222222"/>
              </w:rPr>
              <w:t>✔</w:t>
            </w:r>
          </w:p>
        </w:tc>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1FC7ABAA" w14:textId="77777777" w:rsidR="00FE38E5" w:rsidRPr="00FE38E5" w:rsidRDefault="00FE38E5" w:rsidP="00AD3C29">
            <w:pPr>
              <w:jc w:val="center"/>
              <w:rPr>
                <w:rFonts w:ascii="Times New Roman" w:hAnsi="Times New Roman" w:cs="Times New Roman"/>
              </w:rPr>
            </w:pPr>
            <w:r w:rsidRPr="00FE38E5">
              <w:rPr>
                <w:rFonts w:ascii="Segoe UI Symbol" w:eastAsia="Calibri" w:hAnsi="Segoe UI Symbol" w:cs="Segoe UI Symbol"/>
                <w:color w:val="222222"/>
              </w:rPr>
              <w:t>✔</w:t>
            </w:r>
          </w:p>
        </w:tc>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4A115CDE" w14:textId="77777777" w:rsidR="00FE38E5" w:rsidRPr="00FE38E5" w:rsidRDefault="00FE38E5" w:rsidP="00AD3C29">
            <w:pPr>
              <w:jc w:val="center"/>
              <w:rPr>
                <w:rFonts w:ascii="Times New Roman" w:hAnsi="Times New Roman" w:cs="Times New Roman"/>
              </w:rPr>
            </w:pPr>
            <w:r w:rsidRPr="00FE38E5">
              <w:rPr>
                <w:rFonts w:ascii="Segoe UI Symbol" w:eastAsia="Calibri" w:hAnsi="Segoe UI Symbol" w:cs="Segoe UI Symbol"/>
                <w:color w:val="222222"/>
              </w:rPr>
              <w:t>✔</w:t>
            </w:r>
            <w:r w:rsidRPr="00FE38E5">
              <w:rPr>
                <w:rFonts w:ascii="Times New Roman" w:eastAsia="Calibri" w:hAnsi="Times New Roman" w:cs="Times New Roman"/>
                <w:color w:val="222222"/>
              </w:rPr>
              <w:t xml:space="preserve"> (Critical)</w:t>
            </w:r>
          </w:p>
        </w:tc>
      </w:tr>
      <w:tr w:rsidR="00FE38E5" w14:paraId="792BB02C" w14:textId="77777777" w:rsidTr="00AD3C29">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708587B5" w14:textId="77777777" w:rsidR="00FE38E5" w:rsidRPr="00FE38E5" w:rsidRDefault="00FE38E5" w:rsidP="00AD3C29">
            <w:pPr>
              <w:jc w:val="center"/>
              <w:rPr>
                <w:rFonts w:ascii="Times New Roman" w:hAnsi="Times New Roman" w:cs="Times New Roman"/>
              </w:rPr>
            </w:pPr>
            <w:r w:rsidRPr="00FE38E5">
              <w:rPr>
                <w:rFonts w:ascii="Times New Roman" w:eastAsia="Calibri" w:hAnsi="Times New Roman" w:cs="Times New Roman"/>
                <w:color w:val="222222"/>
              </w:rPr>
              <w:lastRenderedPageBreak/>
              <w:t>Phishing / Credential Theft</w:t>
            </w:r>
          </w:p>
        </w:tc>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4DB425C9" w14:textId="77777777" w:rsidR="00FE38E5" w:rsidRPr="00FE38E5" w:rsidRDefault="00FE38E5" w:rsidP="00AD3C29">
            <w:pPr>
              <w:jc w:val="center"/>
              <w:rPr>
                <w:rFonts w:ascii="Times New Roman" w:hAnsi="Times New Roman" w:cs="Times New Roman"/>
              </w:rPr>
            </w:pPr>
            <w:r w:rsidRPr="00FE38E5">
              <w:rPr>
                <w:rFonts w:ascii="Segoe UI Symbol" w:eastAsia="Calibri" w:hAnsi="Segoe UI Symbol" w:cs="Segoe UI Symbol"/>
                <w:color w:val="222222"/>
              </w:rPr>
              <w:t>✔</w:t>
            </w:r>
            <w:r w:rsidRPr="00FE38E5">
              <w:rPr>
                <w:rFonts w:ascii="Times New Roman" w:eastAsia="Calibri" w:hAnsi="Times New Roman" w:cs="Times New Roman"/>
                <w:color w:val="222222"/>
              </w:rPr>
              <w:t xml:space="preserve"> (Critical)</w:t>
            </w:r>
          </w:p>
        </w:tc>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131A73C1" w14:textId="77777777" w:rsidR="00FE38E5" w:rsidRPr="00FE38E5" w:rsidRDefault="00FE38E5" w:rsidP="00AD3C29">
            <w:pPr>
              <w:jc w:val="center"/>
              <w:rPr>
                <w:rFonts w:ascii="Times New Roman" w:hAnsi="Times New Roman" w:cs="Times New Roman"/>
              </w:rPr>
            </w:pPr>
            <w:r w:rsidRPr="00FE38E5">
              <w:rPr>
                <w:rFonts w:ascii="Segoe UI Symbol" w:eastAsia="Calibri" w:hAnsi="Segoe UI Symbol" w:cs="Segoe UI Symbol"/>
                <w:color w:val="222222"/>
              </w:rPr>
              <w:t>✔</w:t>
            </w:r>
          </w:p>
        </w:tc>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78D75D85" w14:textId="77777777" w:rsidR="00FE38E5" w:rsidRPr="00FE38E5" w:rsidRDefault="00FE38E5" w:rsidP="00AD3C29">
            <w:pPr>
              <w:jc w:val="center"/>
              <w:rPr>
                <w:rFonts w:ascii="Times New Roman" w:hAnsi="Times New Roman" w:cs="Times New Roman"/>
              </w:rPr>
            </w:pPr>
            <w:r w:rsidRPr="00FE38E5">
              <w:rPr>
                <w:rFonts w:ascii="Times New Roman" w:eastAsia="Calibri" w:hAnsi="Times New Roman" w:cs="Times New Roman"/>
                <w:color w:val="222222"/>
              </w:rPr>
              <w:t>—</w:t>
            </w:r>
          </w:p>
        </w:tc>
      </w:tr>
      <w:tr w:rsidR="00FE38E5" w14:paraId="79C811DF" w14:textId="77777777" w:rsidTr="00AD3C29">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1C1287BD" w14:textId="77777777" w:rsidR="00FE38E5" w:rsidRPr="00FE38E5" w:rsidRDefault="00FE38E5" w:rsidP="00AD3C29">
            <w:pPr>
              <w:jc w:val="center"/>
              <w:rPr>
                <w:rFonts w:ascii="Times New Roman" w:hAnsi="Times New Roman" w:cs="Times New Roman"/>
              </w:rPr>
            </w:pPr>
            <w:r w:rsidRPr="00FE38E5">
              <w:rPr>
                <w:rFonts w:ascii="Times New Roman" w:eastAsia="Calibri" w:hAnsi="Times New Roman" w:cs="Times New Roman"/>
                <w:color w:val="222222"/>
              </w:rPr>
              <w:t>Insider Threat</w:t>
            </w:r>
          </w:p>
        </w:tc>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0DEE2BF7" w14:textId="77777777" w:rsidR="00FE38E5" w:rsidRPr="00FE38E5" w:rsidRDefault="00FE38E5" w:rsidP="00AD3C29">
            <w:pPr>
              <w:jc w:val="center"/>
              <w:rPr>
                <w:rFonts w:ascii="Times New Roman" w:hAnsi="Times New Roman" w:cs="Times New Roman"/>
              </w:rPr>
            </w:pPr>
            <w:r w:rsidRPr="00FE38E5">
              <w:rPr>
                <w:rFonts w:ascii="Segoe UI Symbol" w:eastAsia="Calibri" w:hAnsi="Segoe UI Symbol" w:cs="Segoe UI Symbol"/>
                <w:color w:val="222222"/>
              </w:rPr>
              <w:t>✔</w:t>
            </w:r>
            <w:r w:rsidRPr="00FE38E5">
              <w:rPr>
                <w:rFonts w:ascii="Times New Roman" w:eastAsia="Calibri" w:hAnsi="Times New Roman" w:cs="Times New Roman"/>
                <w:color w:val="222222"/>
              </w:rPr>
              <w:t xml:space="preserve"> (Critical)</w:t>
            </w:r>
          </w:p>
        </w:tc>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05194F18" w14:textId="77777777" w:rsidR="00FE38E5" w:rsidRPr="00FE38E5" w:rsidRDefault="00FE38E5" w:rsidP="00AD3C29">
            <w:pPr>
              <w:jc w:val="center"/>
              <w:rPr>
                <w:rFonts w:ascii="Times New Roman" w:hAnsi="Times New Roman" w:cs="Times New Roman"/>
              </w:rPr>
            </w:pPr>
            <w:r w:rsidRPr="00FE38E5">
              <w:rPr>
                <w:rFonts w:ascii="Segoe UI Symbol" w:eastAsia="Calibri" w:hAnsi="Segoe UI Symbol" w:cs="Segoe UI Symbol"/>
                <w:color w:val="222222"/>
              </w:rPr>
              <w:t>✔</w:t>
            </w:r>
          </w:p>
        </w:tc>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36FBED36" w14:textId="77777777" w:rsidR="00FE38E5" w:rsidRPr="00FE38E5" w:rsidRDefault="00FE38E5" w:rsidP="00AD3C29">
            <w:pPr>
              <w:jc w:val="center"/>
              <w:rPr>
                <w:rFonts w:ascii="Times New Roman" w:hAnsi="Times New Roman" w:cs="Times New Roman"/>
              </w:rPr>
            </w:pPr>
            <w:r w:rsidRPr="00FE38E5">
              <w:rPr>
                <w:rFonts w:ascii="Times New Roman" w:eastAsia="Calibri" w:hAnsi="Times New Roman" w:cs="Times New Roman"/>
                <w:color w:val="222222"/>
              </w:rPr>
              <w:t>—</w:t>
            </w:r>
          </w:p>
        </w:tc>
      </w:tr>
      <w:tr w:rsidR="00FE38E5" w14:paraId="5699BF43" w14:textId="77777777" w:rsidTr="00AD3C29">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0B628F60" w14:textId="77777777" w:rsidR="00FE38E5" w:rsidRPr="00FE38E5" w:rsidRDefault="00FE38E5" w:rsidP="00AD3C29">
            <w:pPr>
              <w:jc w:val="center"/>
              <w:rPr>
                <w:rFonts w:ascii="Times New Roman" w:hAnsi="Times New Roman" w:cs="Times New Roman"/>
              </w:rPr>
            </w:pPr>
            <w:r w:rsidRPr="00FE38E5">
              <w:rPr>
                <w:rFonts w:ascii="Times New Roman" w:eastAsia="Calibri" w:hAnsi="Times New Roman" w:cs="Times New Roman"/>
                <w:color w:val="222222"/>
              </w:rPr>
              <w:t>Cloud Misconfiguration</w:t>
            </w:r>
          </w:p>
        </w:tc>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5F2316FC" w14:textId="77777777" w:rsidR="00FE38E5" w:rsidRPr="00FE38E5" w:rsidRDefault="00FE38E5" w:rsidP="00AD3C29">
            <w:pPr>
              <w:jc w:val="center"/>
              <w:rPr>
                <w:rFonts w:ascii="Times New Roman" w:hAnsi="Times New Roman" w:cs="Times New Roman"/>
              </w:rPr>
            </w:pPr>
            <w:r w:rsidRPr="00FE38E5">
              <w:rPr>
                <w:rFonts w:ascii="Segoe UI Symbol" w:eastAsia="Calibri" w:hAnsi="Segoe UI Symbol" w:cs="Segoe UI Symbol"/>
                <w:color w:val="222222"/>
              </w:rPr>
              <w:t>✔</w:t>
            </w:r>
          </w:p>
        </w:tc>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6035BBD4" w14:textId="77777777" w:rsidR="00FE38E5" w:rsidRPr="00FE38E5" w:rsidRDefault="00FE38E5" w:rsidP="00AD3C29">
            <w:pPr>
              <w:jc w:val="center"/>
              <w:rPr>
                <w:rFonts w:ascii="Times New Roman" w:hAnsi="Times New Roman" w:cs="Times New Roman"/>
              </w:rPr>
            </w:pPr>
            <w:r w:rsidRPr="00FE38E5">
              <w:rPr>
                <w:rFonts w:ascii="Segoe UI Symbol" w:eastAsia="Calibri" w:hAnsi="Segoe UI Symbol" w:cs="Segoe UI Symbol"/>
                <w:color w:val="222222"/>
              </w:rPr>
              <w:t>✔</w:t>
            </w:r>
          </w:p>
        </w:tc>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08739EA4" w14:textId="77777777" w:rsidR="00FE38E5" w:rsidRPr="00FE38E5" w:rsidRDefault="00FE38E5" w:rsidP="00AD3C29">
            <w:pPr>
              <w:jc w:val="center"/>
              <w:rPr>
                <w:rFonts w:ascii="Times New Roman" w:hAnsi="Times New Roman" w:cs="Times New Roman"/>
              </w:rPr>
            </w:pPr>
            <w:r w:rsidRPr="00FE38E5">
              <w:rPr>
                <w:rFonts w:ascii="Segoe UI Symbol" w:eastAsia="Calibri" w:hAnsi="Segoe UI Symbol" w:cs="Segoe UI Symbol"/>
                <w:color w:val="222222"/>
              </w:rPr>
              <w:t>✔</w:t>
            </w:r>
          </w:p>
        </w:tc>
      </w:tr>
      <w:tr w:rsidR="00FE38E5" w14:paraId="4B4CF53C" w14:textId="77777777" w:rsidTr="00AD3C29">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634B4454" w14:textId="77777777" w:rsidR="00FE38E5" w:rsidRPr="00FE38E5" w:rsidRDefault="00FE38E5" w:rsidP="00AD3C29">
            <w:pPr>
              <w:jc w:val="center"/>
              <w:rPr>
                <w:rFonts w:ascii="Times New Roman" w:hAnsi="Times New Roman" w:cs="Times New Roman"/>
              </w:rPr>
            </w:pPr>
            <w:r w:rsidRPr="00FE38E5">
              <w:rPr>
                <w:rFonts w:ascii="Times New Roman" w:eastAsia="Calibri" w:hAnsi="Times New Roman" w:cs="Times New Roman"/>
                <w:color w:val="222222"/>
              </w:rPr>
              <w:t>Supply Chain Attack</w:t>
            </w:r>
          </w:p>
        </w:tc>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5989464C" w14:textId="77777777" w:rsidR="00FE38E5" w:rsidRPr="00FE38E5" w:rsidRDefault="00FE38E5" w:rsidP="00AD3C29">
            <w:pPr>
              <w:jc w:val="center"/>
              <w:rPr>
                <w:rFonts w:ascii="Times New Roman" w:hAnsi="Times New Roman" w:cs="Times New Roman"/>
              </w:rPr>
            </w:pPr>
            <w:r w:rsidRPr="00FE38E5">
              <w:rPr>
                <w:rFonts w:ascii="Segoe UI Symbol" w:eastAsia="Calibri" w:hAnsi="Segoe UI Symbol" w:cs="Segoe UI Symbol"/>
                <w:color w:val="222222"/>
              </w:rPr>
              <w:t>✔</w:t>
            </w:r>
          </w:p>
        </w:tc>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025AAE26" w14:textId="77777777" w:rsidR="00FE38E5" w:rsidRPr="00FE38E5" w:rsidRDefault="00FE38E5" w:rsidP="00AD3C29">
            <w:pPr>
              <w:jc w:val="center"/>
              <w:rPr>
                <w:rFonts w:ascii="Times New Roman" w:hAnsi="Times New Roman" w:cs="Times New Roman"/>
              </w:rPr>
            </w:pPr>
            <w:r w:rsidRPr="00FE38E5">
              <w:rPr>
                <w:rFonts w:ascii="Segoe UI Symbol" w:eastAsia="Calibri" w:hAnsi="Segoe UI Symbol" w:cs="Segoe UI Symbol"/>
                <w:color w:val="222222"/>
              </w:rPr>
              <w:t>✔</w:t>
            </w:r>
            <w:r w:rsidRPr="00FE38E5">
              <w:rPr>
                <w:rFonts w:ascii="Times New Roman" w:eastAsia="Calibri" w:hAnsi="Times New Roman" w:cs="Times New Roman"/>
                <w:color w:val="222222"/>
              </w:rPr>
              <w:t xml:space="preserve"> (Critical)</w:t>
            </w:r>
          </w:p>
        </w:tc>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6BD7A7CB" w14:textId="77777777" w:rsidR="00FE38E5" w:rsidRPr="00FE38E5" w:rsidRDefault="00FE38E5" w:rsidP="00AD3C29">
            <w:pPr>
              <w:jc w:val="center"/>
              <w:rPr>
                <w:rFonts w:ascii="Times New Roman" w:hAnsi="Times New Roman" w:cs="Times New Roman"/>
              </w:rPr>
            </w:pPr>
            <w:r w:rsidRPr="00FE38E5">
              <w:rPr>
                <w:rFonts w:ascii="Segoe UI Symbol" w:eastAsia="Calibri" w:hAnsi="Segoe UI Symbol" w:cs="Segoe UI Symbol"/>
                <w:color w:val="222222"/>
              </w:rPr>
              <w:t>✔</w:t>
            </w:r>
          </w:p>
        </w:tc>
      </w:tr>
    </w:tbl>
    <w:p w14:paraId="5DB3821C" w14:textId="3E67AA3F" w:rsidR="00F3304A" w:rsidRPr="00F3304A" w:rsidRDefault="00F3304A" w:rsidP="00FE38E5">
      <w:pPr>
        <w:rPr>
          <w:rFonts w:ascii="Times New Roman" w:hAnsi="Times New Roman" w:cs="Times New Roman"/>
          <w:color w:val="000000" w:themeColor="text1"/>
          <w:lang w:val="en-GB"/>
        </w:rPr>
      </w:pPr>
    </w:p>
    <w:p w14:paraId="756888FB" w14:textId="5571EDF0" w:rsidR="003C4AC1" w:rsidRDefault="00766945"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5" w:name="_Toc228443708"/>
      <w:r w:rsidRPr="00766945">
        <w:rPr>
          <w:rFonts w:ascii="Times New Roman" w:hAnsi="Times New Roman" w:cs="Times New Roman"/>
          <w:b/>
          <w:bCs/>
          <w:color w:val="000000" w:themeColor="text1"/>
          <w:sz w:val="32"/>
          <w:szCs w:val="32"/>
          <w:lang w:val="en-GB"/>
        </w:rPr>
        <w:t>Security Policies</w:t>
      </w:r>
      <w:bookmarkEnd w:id="5"/>
    </w:p>
    <w:p w14:paraId="0150C93D" w14:textId="73D8C9C2" w:rsidR="00FE38E5" w:rsidRPr="00FE38E5" w:rsidRDefault="00F06976" w:rsidP="00FE38E5">
      <w:pPr>
        <w:rPr>
          <w:lang w:val="en-GB"/>
        </w:rPr>
      </w:pPr>
      <w:r>
        <w:rPr>
          <w:lang w:val="en-GB"/>
        </w:rPr>
        <w:t xml:space="preserve">HPA security policies align with ISO 270001, NIST, CSF, and UK GDPR requirements. </w:t>
      </w:r>
    </w:p>
    <w:p w14:paraId="320C5D8C" w14:textId="5DD38C7E" w:rsidR="003C4AC1" w:rsidRDefault="0092518F" w:rsidP="00F3304A">
      <w:pPr>
        <w:pStyle w:val="Heading2"/>
        <w:numPr>
          <w:ilvl w:val="1"/>
          <w:numId w:val="20"/>
        </w:numPr>
        <w:rPr>
          <w:rFonts w:ascii="Times New Roman" w:hAnsi="Times New Roman" w:cs="Times New Roman"/>
          <w:lang w:val="en-GB"/>
        </w:rPr>
      </w:pPr>
      <w:bookmarkStart w:id="6" w:name="_Toc228443709"/>
      <w:r w:rsidRPr="0092518F">
        <w:rPr>
          <w:rFonts w:ascii="Times New Roman" w:hAnsi="Times New Roman" w:cs="Times New Roman"/>
          <w:lang w:val="en-GB"/>
        </w:rPr>
        <w:t>Access Control Policy</w:t>
      </w:r>
      <w:bookmarkEnd w:id="6"/>
    </w:p>
    <w:p w14:paraId="77849989" w14:textId="1F6BBC41" w:rsidR="00FE38E5" w:rsidRPr="00FE38E5" w:rsidRDefault="00F06976" w:rsidP="00FE38E5">
      <w:pPr>
        <w:rPr>
          <w:lang w:val="en-GB"/>
        </w:rPr>
      </w:pPr>
      <w:r>
        <w:rPr>
          <w:lang w:val="en-GB"/>
        </w:rPr>
        <w:t>Access to patient data must follow the principle of least privilege</w:t>
      </w:r>
      <w:r w:rsidR="00FE38E5" w:rsidRPr="00FE38E5">
        <w:rPr>
          <w:lang w:val="en-GB"/>
        </w:rPr>
        <w:t>.</w:t>
      </w:r>
    </w:p>
    <w:p w14:paraId="35032032" w14:textId="77777777" w:rsidR="00FE38E5" w:rsidRPr="00FE38E5" w:rsidRDefault="00FE38E5" w:rsidP="00FE38E5">
      <w:pPr>
        <w:rPr>
          <w:lang w:val="en-GB"/>
        </w:rPr>
      </w:pPr>
      <w:r w:rsidRPr="00FE38E5">
        <w:rPr>
          <w:lang w:val="en-GB"/>
        </w:rPr>
        <w:t>•</w:t>
      </w:r>
      <w:r w:rsidRPr="00FE38E5">
        <w:rPr>
          <w:lang w:val="en-GB"/>
        </w:rPr>
        <w:tab/>
        <w:t>All User Accounts should be operating with the Principle of Least Privilege (PoLP), where the user has just the rights and access to information and resources required to perform the tasks and duties of their role.</w:t>
      </w:r>
    </w:p>
    <w:p w14:paraId="53F6E8B8" w14:textId="77777777" w:rsidR="00FE38E5" w:rsidRPr="00FE38E5" w:rsidRDefault="00FE38E5" w:rsidP="00FE38E5">
      <w:pPr>
        <w:rPr>
          <w:lang w:val="en-GB"/>
        </w:rPr>
      </w:pPr>
      <w:r w:rsidRPr="00FE38E5">
        <w:rPr>
          <w:lang w:val="en-GB"/>
        </w:rPr>
        <w:t>•</w:t>
      </w:r>
      <w:r w:rsidRPr="00FE38E5">
        <w:rPr>
          <w:lang w:val="en-GB"/>
        </w:rPr>
        <w:tab/>
        <w:t>Role-Based Access Control (RBAC) be implemented on all systems that hold Special Category data and reviewed and updated every six months.</w:t>
      </w:r>
    </w:p>
    <w:p w14:paraId="424AAA6B" w14:textId="77777777" w:rsidR="00FE38E5" w:rsidRPr="00FE38E5" w:rsidRDefault="00FE38E5" w:rsidP="00FE38E5">
      <w:pPr>
        <w:rPr>
          <w:lang w:val="en-GB"/>
        </w:rPr>
      </w:pPr>
      <w:r w:rsidRPr="00FE38E5">
        <w:rPr>
          <w:lang w:val="en-GB"/>
        </w:rPr>
        <w:t>•</w:t>
      </w:r>
      <w:r w:rsidRPr="00FE38E5">
        <w:rPr>
          <w:lang w:val="en-GB"/>
        </w:rPr>
        <w:tab/>
        <w:t>All administrative accounts shall be covered by a Privileged Access Management (PAM) solution. All privileged sessions shall be recorded and audited.</w:t>
      </w:r>
    </w:p>
    <w:p w14:paraId="129B7A8A" w14:textId="4A6919BC" w:rsidR="00914D7F" w:rsidRPr="00FE38E5" w:rsidRDefault="00FE38E5" w:rsidP="00914D7F">
      <w:pPr>
        <w:rPr>
          <w:lang w:val="en-GB"/>
        </w:rPr>
      </w:pPr>
      <w:r w:rsidRPr="00FE38E5">
        <w:rPr>
          <w:lang w:val="en-GB"/>
        </w:rPr>
        <w:t>•</w:t>
      </w:r>
      <w:r w:rsidRPr="00FE38E5">
        <w:rPr>
          <w:lang w:val="en-GB"/>
        </w:rPr>
        <w:tab/>
      </w:r>
      <w:r w:rsidR="00F06976">
        <w:rPr>
          <w:lang w:val="en-GB"/>
        </w:rPr>
        <w:t>User accounts must follow a formal joiner/mover/leaver process</w:t>
      </w:r>
      <w:r w:rsidRPr="00FE38E5">
        <w:rPr>
          <w:lang w:val="en-GB"/>
        </w:rPr>
        <w:t>.</w:t>
      </w:r>
    </w:p>
    <w:p w14:paraId="27ED94A0" w14:textId="10B8857E" w:rsidR="0092518F" w:rsidRDefault="00EE40E1" w:rsidP="0092518F">
      <w:pPr>
        <w:pStyle w:val="Heading2"/>
        <w:numPr>
          <w:ilvl w:val="1"/>
          <w:numId w:val="20"/>
        </w:numPr>
        <w:rPr>
          <w:rFonts w:ascii="Times New Roman" w:hAnsi="Times New Roman" w:cs="Times New Roman"/>
          <w:lang w:val="en-GB"/>
        </w:rPr>
      </w:pPr>
      <w:bookmarkStart w:id="7" w:name="_Toc228443710"/>
      <w:r w:rsidRPr="00EE40E1">
        <w:rPr>
          <w:rFonts w:ascii="Times New Roman" w:hAnsi="Times New Roman" w:cs="Times New Roman"/>
          <w:lang w:val="en-GB"/>
        </w:rPr>
        <w:t>Data Protection Policy</w:t>
      </w:r>
      <w:bookmarkEnd w:id="7"/>
      <w:r w:rsidR="0092518F" w:rsidRPr="0092518F">
        <w:rPr>
          <w:rFonts w:ascii="Times New Roman" w:hAnsi="Times New Roman" w:cs="Times New Roman"/>
          <w:lang w:val="en-GB"/>
        </w:rPr>
        <w:t xml:space="preserve"> </w:t>
      </w:r>
    </w:p>
    <w:p w14:paraId="5DC74B9A" w14:textId="6F54891D" w:rsidR="00B06F25" w:rsidRPr="00B06F25" w:rsidRDefault="00B06F25" w:rsidP="00B06F25">
      <w:pPr>
        <w:rPr>
          <w:lang w:val="en-GB"/>
        </w:rPr>
      </w:pPr>
      <w:r w:rsidRPr="00B06F25">
        <w:rPr>
          <w:lang w:val="en-GB"/>
        </w:rPr>
        <w:t>As HPA is processing personal data it is classed as a data processor of Special Category data and therefore must comply to the UK GDPR</w:t>
      </w:r>
      <w:r w:rsidR="00F06976">
        <w:rPr>
          <w:lang w:val="en-GB"/>
        </w:rPr>
        <w:t xml:space="preserve"> Articles 5, 9 and 32</w:t>
      </w:r>
      <w:r w:rsidRPr="00B06F25">
        <w:rPr>
          <w:lang w:val="en-GB"/>
        </w:rPr>
        <w:t>.</w:t>
      </w:r>
    </w:p>
    <w:p w14:paraId="41AC4330" w14:textId="178DD632" w:rsidR="00B06F25" w:rsidRPr="00B06F25" w:rsidRDefault="00B06F25" w:rsidP="00B06F25">
      <w:pPr>
        <w:rPr>
          <w:lang w:val="en-GB"/>
        </w:rPr>
      </w:pPr>
      <w:r w:rsidRPr="00B06F25">
        <w:rPr>
          <w:lang w:val="en-GB"/>
        </w:rPr>
        <w:t>•</w:t>
      </w:r>
      <w:r w:rsidRPr="00B06F25">
        <w:rPr>
          <w:lang w:val="en-GB"/>
        </w:rPr>
        <w:tab/>
        <w:t>All patient records will be coded with 4 different types of data classification Public, Internal, Confidential &amp; Restricted (Special Category).</w:t>
      </w:r>
    </w:p>
    <w:p w14:paraId="089A6607" w14:textId="77777777" w:rsidR="00B06F25" w:rsidRPr="00B06F25" w:rsidRDefault="00B06F25" w:rsidP="00B06F25">
      <w:pPr>
        <w:rPr>
          <w:lang w:val="en-GB"/>
        </w:rPr>
      </w:pPr>
      <w:r w:rsidRPr="00B06F25">
        <w:rPr>
          <w:lang w:val="en-GB"/>
        </w:rPr>
        <w:t>•</w:t>
      </w:r>
      <w:r w:rsidRPr="00B06F25">
        <w:rPr>
          <w:lang w:val="en-GB"/>
        </w:rPr>
        <w:tab/>
        <w:t>Ensure data minimisation is implemented and only necessary data is collected and retained for the stated and legitimate purposes.</w:t>
      </w:r>
    </w:p>
    <w:p w14:paraId="2648C900" w14:textId="77777777" w:rsidR="00B06F25" w:rsidRPr="00B06F25" w:rsidRDefault="00B06F25" w:rsidP="00B06F25">
      <w:pPr>
        <w:rPr>
          <w:lang w:val="en-GB"/>
        </w:rPr>
      </w:pPr>
      <w:r w:rsidRPr="00B06F25">
        <w:rPr>
          <w:lang w:val="en-GB"/>
        </w:rPr>
        <w:t>•</w:t>
      </w:r>
      <w:r w:rsidRPr="00B06F25">
        <w:rPr>
          <w:lang w:val="en-GB"/>
        </w:rPr>
        <w:tab/>
        <w:t>Privacy Impact Assessments (PIAs/DPIAs) for new data processing activities shall be conducted.</w:t>
      </w:r>
    </w:p>
    <w:p w14:paraId="6C9FF855" w14:textId="5153D027" w:rsidR="00B06F25" w:rsidRPr="00B06F25" w:rsidRDefault="00B06F25" w:rsidP="00B06F25">
      <w:pPr>
        <w:rPr>
          <w:lang w:val="en-GB"/>
        </w:rPr>
      </w:pPr>
      <w:r w:rsidRPr="00B06F25">
        <w:rPr>
          <w:lang w:val="en-GB"/>
        </w:rPr>
        <w:lastRenderedPageBreak/>
        <w:t>•</w:t>
      </w:r>
      <w:r w:rsidRPr="00B06F25">
        <w:rPr>
          <w:lang w:val="en-GB"/>
        </w:rPr>
        <w:tab/>
        <w:t>Retention Schedules relating to the management of data during its lifecycle must be complied with in line with the NHS Records Management Code of Practice 2021.</w:t>
      </w:r>
    </w:p>
    <w:p w14:paraId="560A0403" w14:textId="77777777" w:rsidR="00EE40E1" w:rsidRDefault="00EE40E1" w:rsidP="00EE40E1">
      <w:pPr>
        <w:pStyle w:val="Heading2"/>
        <w:numPr>
          <w:ilvl w:val="1"/>
          <w:numId w:val="20"/>
        </w:numPr>
        <w:rPr>
          <w:rFonts w:ascii="Times New Roman" w:hAnsi="Times New Roman" w:cs="Times New Roman"/>
          <w:lang w:val="en-GB"/>
        </w:rPr>
      </w:pPr>
      <w:bookmarkStart w:id="8" w:name="_Toc228443711"/>
      <w:r w:rsidRPr="00EE40E1">
        <w:rPr>
          <w:rFonts w:ascii="Times New Roman" w:hAnsi="Times New Roman" w:cs="Times New Roman"/>
          <w:lang w:val="en-GB"/>
        </w:rPr>
        <w:t>Bring Your Own Device (BYOD) Policy</w:t>
      </w:r>
      <w:bookmarkEnd w:id="8"/>
    </w:p>
    <w:p w14:paraId="730E22CC" w14:textId="378ADC13" w:rsidR="00B06F25" w:rsidRPr="00B06F25" w:rsidRDefault="00F06976" w:rsidP="00B06F25">
      <w:pPr>
        <w:rPr>
          <w:lang w:val="en-GB"/>
        </w:rPr>
      </w:pPr>
      <w:r>
        <w:rPr>
          <w:lang w:val="en-GB"/>
        </w:rPr>
        <w:t>Personal devices introduce risks if not properly managed and secured</w:t>
      </w:r>
      <w:r w:rsidR="00B06F25" w:rsidRPr="00B06F25">
        <w:rPr>
          <w:lang w:val="en-GB"/>
        </w:rPr>
        <w:t>. NHS Digital Security Standards require appropriate controls to be in place on endpoints that access clinical systems.</w:t>
      </w:r>
    </w:p>
    <w:p w14:paraId="0059D77D" w14:textId="77777777" w:rsidR="00B06F25" w:rsidRPr="00B06F25" w:rsidRDefault="00B06F25" w:rsidP="00B06F25">
      <w:pPr>
        <w:rPr>
          <w:lang w:val="en-GB"/>
        </w:rPr>
      </w:pPr>
      <w:r w:rsidRPr="00B06F25">
        <w:rPr>
          <w:lang w:val="en-GB"/>
        </w:rPr>
        <w:t>•</w:t>
      </w:r>
      <w:r w:rsidRPr="00B06F25">
        <w:rPr>
          <w:lang w:val="en-GB"/>
        </w:rPr>
        <w:tab/>
        <w:t>All personal devices that will be used to access HPA systems (e.g. laptop, tablet, smart phone) need to be registered with the IT Security team and enrolled in a Mobile Device Management (MDM) solution.</w:t>
      </w:r>
    </w:p>
    <w:p w14:paraId="11AC7A4E" w14:textId="77777777" w:rsidR="00B06F25" w:rsidRPr="00B06F25" w:rsidRDefault="00B06F25" w:rsidP="00B06F25">
      <w:pPr>
        <w:rPr>
          <w:lang w:val="en-GB"/>
        </w:rPr>
      </w:pPr>
      <w:r w:rsidRPr="00B06F25">
        <w:rPr>
          <w:lang w:val="en-GB"/>
        </w:rPr>
        <w:t>•</w:t>
      </w:r>
      <w:r w:rsidRPr="00B06F25">
        <w:rPr>
          <w:lang w:val="en-GB"/>
        </w:rPr>
        <w:tab/>
        <w:t>No patient data or images should ever be stored on a personal device. All patient data and images should be accessed via approved virtualised applications or browser-based platforms only.</w:t>
      </w:r>
    </w:p>
    <w:p w14:paraId="20DCB60A" w14:textId="261AC1C6" w:rsidR="00B06F25" w:rsidRPr="00B06F25" w:rsidRDefault="00B06F25" w:rsidP="00B06F25">
      <w:pPr>
        <w:rPr>
          <w:lang w:val="en-GB"/>
        </w:rPr>
      </w:pPr>
      <w:r w:rsidRPr="00B06F25">
        <w:rPr>
          <w:lang w:val="en-GB"/>
        </w:rPr>
        <w:t>•</w:t>
      </w:r>
      <w:r w:rsidRPr="00B06F25">
        <w:rPr>
          <w:lang w:val="en-GB"/>
        </w:rPr>
        <w:tab/>
        <w:t>Minimum device standards - All devices must be encrypted (if capable of encryption), be up to date with the latest operating system patches, and have approved Endpoint Protection Software installed.</w:t>
      </w:r>
    </w:p>
    <w:p w14:paraId="45073FC4" w14:textId="4E406C37" w:rsidR="00B06F25" w:rsidRPr="00B06F25" w:rsidRDefault="00B06F25" w:rsidP="00B06F25">
      <w:pPr>
        <w:rPr>
          <w:lang w:val="en-GB"/>
        </w:rPr>
      </w:pPr>
      <w:r w:rsidRPr="00B06F25">
        <w:rPr>
          <w:lang w:val="en-GB"/>
        </w:rPr>
        <w:t>•</w:t>
      </w:r>
      <w:r w:rsidRPr="00B06F25">
        <w:rPr>
          <w:lang w:val="en-GB"/>
        </w:rPr>
        <w:tab/>
        <w:t>Non-Compliant devices should be prevented from accessing the Network through NAC.</w:t>
      </w:r>
    </w:p>
    <w:p w14:paraId="3715316A" w14:textId="6674613F" w:rsidR="00EE40E1" w:rsidRDefault="00EE40E1" w:rsidP="00EE40E1">
      <w:pPr>
        <w:pStyle w:val="Heading2"/>
        <w:numPr>
          <w:ilvl w:val="1"/>
          <w:numId w:val="20"/>
        </w:numPr>
        <w:rPr>
          <w:rFonts w:ascii="Times New Roman" w:hAnsi="Times New Roman" w:cs="Times New Roman"/>
          <w:lang w:val="en-GB"/>
        </w:rPr>
      </w:pPr>
      <w:r w:rsidRPr="00B06F25">
        <w:rPr>
          <w:rFonts w:ascii="Times New Roman" w:hAnsi="Times New Roman" w:cs="Times New Roman"/>
          <w:bCs/>
          <w:lang w:val="en-GB"/>
        </w:rPr>
        <w:t xml:space="preserve"> </w:t>
      </w:r>
      <w:bookmarkStart w:id="9" w:name="_Toc228443712"/>
      <w:r w:rsidRPr="00EE40E1">
        <w:rPr>
          <w:rFonts w:ascii="Times New Roman" w:hAnsi="Times New Roman" w:cs="Times New Roman"/>
          <w:bCs/>
        </w:rPr>
        <w:t>Incident Response Policy</w:t>
      </w:r>
      <w:bookmarkEnd w:id="9"/>
      <w:r w:rsidRPr="00EE40E1">
        <w:rPr>
          <w:rFonts w:ascii="Times New Roman" w:hAnsi="Times New Roman" w:cs="Times New Roman"/>
          <w:lang w:val="en-GB"/>
        </w:rPr>
        <w:br/>
      </w:r>
    </w:p>
    <w:p w14:paraId="7CCA27D4" w14:textId="1FA2C2E9" w:rsidR="00B06F25" w:rsidRPr="00B06F25" w:rsidRDefault="00B06F25" w:rsidP="00B06F25">
      <w:pPr>
        <w:rPr>
          <w:lang w:val="en-GB"/>
        </w:rPr>
      </w:pPr>
      <w:r w:rsidRPr="00B06F25">
        <w:rPr>
          <w:lang w:val="en-GB"/>
        </w:rPr>
        <w:t>Following the ransomware attack on our analytics servers, we must respond in a manner that is in line with our incident response procedures. All organisations following an ISO 27001:2022 approach must have pre-defined and tested procedures for handling security incidents under Control 5.26. The NIST Cybersecurity Framework (NIST CSF) approach under the Respond function is also outlined below. Finally, any personal data breaches must be notified to the ICO within 72 hours of the breach under UK GDPR Article 33.</w:t>
      </w:r>
    </w:p>
    <w:p w14:paraId="7266E833" w14:textId="77777777" w:rsidR="00B06F25" w:rsidRPr="00B06F25" w:rsidRDefault="00B06F25" w:rsidP="00B06F25">
      <w:pPr>
        <w:rPr>
          <w:lang w:val="en-GB"/>
        </w:rPr>
      </w:pPr>
      <w:r w:rsidRPr="00B06F25">
        <w:rPr>
          <w:lang w:val="en-GB"/>
        </w:rPr>
        <w:t>•</w:t>
      </w:r>
      <w:r w:rsidRPr="00B06F25">
        <w:rPr>
          <w:lang w:val="en-GB"/>
        </w:rPr>
        <w:tab/>
        <w:t>All security incidents must be reported as soon as possible to Kroll’s Security Operations Centre (SOC) staff via the designated incident reporting channel.</w:t>
      </w:r>
    </w:p>
    <w:p w14:paraId="70E6D3DA" w14:textId="77777777" w:rsidR="00B06F25" w:rsidRPr="00B06F25" w:rsidRDefault="00B06F25" w:rsidP="00B06F25">
      <w:pPr>
        <w:rPr>
          <w:lang w:val="en-GB"/>
        </w:rPr>
      </w:pPr>
      <w:r w:rsidRPr="00B06F25">
        <w:rPr>
          <w:lang w:val="en-GB"/>
        </w:rPr>
        <w:t>• A full Incident Response Plan (IRP) should be referenceable and based around the NIST SP 800-61 incident management processes. It should be updated on an annual basis and after significant incidents.</w:t>
      </w:r>
    </w:p>
    <w:p w14:paraId="625A3E9D" w14:textId="77777777" w:rsidR="00B06F25" w:rsidRPr="00B06F25" w:rsidRDefault="00B06F25" w:rsidP="00B06F25">
      <w:pPr>
        <w:rPr>
          <w:lang w:val="en-GB"/>
        </w:rPr>
      </w:pPr>
      <w:r w:rsidRPr="00B06F25">
        <w:rPr>
          <w:lang w:val="en-GB"/>
        </w:rPr>
        <w:t>•</w:t>
      </w:r>
      <w:r w:rsidRPr="00B06F25">
        <w:rPr>
          <w:lang w:val="en-GB"/>
        </w:rPr>
        <w:tab/>
        <w:t>You must notify our Data Protection Officer (DPO) within 2 hours of any data breach occurrence (actual or suspected).</w:t>
      </w:r>
    </w:p>
    <w:p w14:paraId="5F1696AE" w14:textId="3B2106F2" w:rsidR="00B06F25" w:rsidRPr="00B06F25" w:rsidRDefault="00B06F25" w:rsidP="00B06F25">
      <w:pPr>
        <w:rPr>
          <w:lang w:val="en-GB"/>
        </w:rPr>
      </w:pPr>
      <w:r w:rsidRPr="00B06F25">
        <w:rPr>
          <w:lang w:val="en-GB"/>
        </w:rPr>
        <w:lastRenderedPageBreak/>
        <w:t>•</w:t>
      </w:r>
      <w:r w:rsidRPr="00B06F25">
        <w:rPr>
          <w:lang w:val="en-GB"/>
        </w:rPr>
        <w:tab/>
        <w:t>Post incident reviews should be conducted within 10 working days of the incident being closed to identify the root cause of the incident and inform the subsequent remediation action.</w:t>
      </w:r>
    </w:p>
    <w:p w14:paraId="482D5E86" w14:textId="215678D2" w:rsidR="003C4AC1" w:rsidRDefault="004131CD"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0" w:name="_Toc228443713"/>
      <w:r w:rsidRPr="004131CD">
        <w:rPr>
          <w:rFonts w:ascii="Times New Roman" w:hAnsi="Times New Roman" w:cs="Times New Roman"/>
          <w:b/>
          <w:bCs/>
          <w:color w:val="000000" w:themeColor="text1"/>
          <w:sz w:val="32"/>
          <w:szCs w:val="32"/>
          <w:lang w:val="en-GB"/>
        </w:rPr>
        <w:t>Mitigation Measures</w:t>
      </w:r>
      <w:bookmarkEnd w:id="10"/>
    </w:p>
    <w:p w14:paraId="6672D3E9" w14:textId="2F7D1247" w:rsidR="00B06F25" w:rsidRPr="00B06F25" w:rsidRDefault="00B06F25" w:rsidP="00B06F25">
      <w:pPr>
        <w:rPr>
          <w:lang w:val="en-GB"/>
        </w:rPr>
      </w:pPr>
      <w:r w:rsidRPr="00B06F25">
        <w:rPr>
          <w:lang w:val="en-GB"/>
        </w:rPr>
        <w:t>For each of the threats listed in Section 2 we have specified a few technical controls which should mitigate that threat. In addition to specifying each control we have detailed where it should be applied and mapped against the relevant NIST CSF Protect function and the relevant ISO 27001:2022 Annex A controls.</w:t>
      </w:r>
    </w:p>
    <w:p w14:paraId="1BB85707" w14:textId="71BD99EF" w:rsidR="003C4AC1" w:rsidRDefault="004131CD" w:rsidP="00F3304A">
      <w:pPr>
        <w:pStyle w:val="Heading2"/>
        <w:numPr>
          <w:ilvl w:val="1"/>
          <w:numId w:val="20"/>
        </w:numPr>
        <w:rPr>
          <w:rFonts w:ascii="Times New Roman" w:hAnsi="Times New Roman" w:cs="Times New Roman"/>
          <w:lang w:val="en-GB"/>
        </w:rPr>
      </w:pPr>
      <w:bookmarkStart w:id="11" w:name="_Toc228443714"/>
      <w:r w:rsidRPr="004131CD">
        <w:rPr>
          <w:rFonts w:ascii="Times New Roman" w:hAnsi="Times New Roman" w:cs="Times New Roman"/>
          <w:lang w:val="en-GB"/>
        </w:rPr>
        <w:t>Multi-Factor Authentication (MFA)</w:t>
      </w:r>
      <w:bookmarkEnd w:id="11"/>
    </w:p>
    <w:p w14:paraId="71B86D86" w14:textId="63556167" w:rsidR="00B06F25" w:rsidRPr="00B06F25" w:rsidRDefault="00B06F25" w:rsidP="00B06F25">
      <w:pPr>
        <w:rPr>
          <w:lang w:val="en-GB"/>
        </w:rPr>
      </w:pPr>
      <w:r w:rsidRPr="00B06F25">
        <w:rPr>
          <w:lang w:val="en-GB"/>
        </w:rPr>
        <w:t>All users will be required to enable MFA for their accounts. MFA for privileged access will utilize phishing resistant FIDO2/WebAuthN methods. All cloud-based patient data portals will also be MFA enabled.</w:t>
      </w:r>
      <w:r w:rsidR="00F06976">
        <w:rPr>
          <w:lang w:val="en-GB"/>
        </w:rPr>
        <w:t xml:space="preserve"> MFA prevents most credential-based attacks</w:t>
      </w:r>
      <w:r w:rsidRPr="00B06F25">
        <w:rPr>
          <w:lang w:val="en-GB"/>
        </w:rPr>
        <w:t>. Users will be restricted to accessing the network from unregistered devices and at untypical locations and can be enforced through Azure Active Directory Conditional Access policies.</w:t>
      </w:r>
    </w:p>
    <w:p w14:paraId="1453A16A" w14:textId="5562629A" w:rsidR="00B06F25" w:rsidRDefault="004131CD" w:rsidP="00B06F25">
      <w:pPr>
        <w:pStyle w:val="Heading2"/>
        <w:numPr>
          <w:ilvl w:val="1"/>
          <w:numId w:val="20"/>
        </w:numPr>
        <w:rPr>
          <w:rFonts w:ascii="Times New Roman" w:hAnsi="Times New Roman" w:cs="Times New Roman"/>
          <w:lang w:val="en-GB"/>
        </w:rPr>
      </w:pPr>
      <w:bookmarkStart w:id="12" w:name="_Toc228443715"/>
      <w:r w:rsidRPr="004131CD">
        <w:rPr>
          <w:rFonts w:ascii="Times New Roman" w:hAnsi="Times New Roman" w:cs="Times New Roman"/>
          <w:lang w:val="en-GB"/>
        </w:rPr>
        <w:t>Zero Trust Architecture (ZTA)</w:t>
      </w:r>
      <w:bookmarkEnd w:id="12"/>
    </w:p>
    <w:p w14:paraId="1204A249" w14:textId="77777777" w:rsidR="00B06F25" w:rsidRPr="00B06F25" w:rsidRDefault="00B06F25" w:rsidP="00B06F25">
      <w:pPr>
        <w:rPr>
          <w:lang w:val="en-GB"/>
        </w:rPr>
      </w:pPr>
      <w:r w:rsidRPr="00B06F25">
        <w:rPr>
          <w:lang w:val="en-GB"/>
        </w:rPr>
        <w:t>HPA will transition from a perimeter-based security approach to a Zero Trust Architecture, adhering to the principle of “never trust, always verify” outlined in NIST SP 800-207 (Rose et al., 2020). The implementation of Zero Trust Architecture will include the following modifications.</w:t>
      </w:r>
    </w:p>
    <w:p w14:paraId="56D27B5F" w14:textId="23541360" w:rsidR="00B06F25" w:rsidRPr="00B06F25" w:rsidRDefault="00B06F25" w:rsidP="00B06F25">
      <w:pPr>
        <w:rPr>
          <w:lang w:val="en-GB"/>
        </w:rPr>
      </w:pPr>
      <w:r w:rsidRPr="00B06F25">
        <w:rPr>
          <w:lang w:val="en-GB"/>
        </w:rPr>
        <w:t>•</w:t>
      </w:r>
      <w:r w:rsidRPr="00B06F25">
        <w:rPr>
          <w:lang w:val="en-GB"/>
        </w:rPr>
        <w:tab/>
      </w:r>
      <w:r>
        <w:rPr>
          <w:lang w:val="en-GB"/>
        </w:rPr>
        <w:t>U</w:t>
      </w:r>
      <w:r w:rsidRPr="00B06F25">
        <w:rPr>
          <w:lang w:val="en-GB"/>
        </w:rPr>
        <w:t>ser identification for each login regardless of location.</w:t>
      </w:r>
    </w:p>
    <w:p w14:paraId="63D3D5D5" w14:textId="77777777" w:rsidR="00B06F25" w:rsidRPr="00B06F25" w:rsidRDefault="00B06F25" w:rsidP="00B06F25">
      <w:pPr>
        <w:rPr>
          <w:lang w:val="en-GB"/>
        </w:rPr>
      </w:pPr>
      <w:r w:rsidRPr="00B06F25">
        <w:rPr>
          <w:lang w:val="en-GB"/>
        </w:rPr>
        <w:t>•</w:t>
      </w:r>
      <w:r w:rsidRPr="00B06F25">
        <w:rPr>
          <w:lang w:val="en-GB"/>
        </w:rPr>
        <w:tab/>
        <w:t>Micro-segmentation to prevent the spread of ransomware as well as reduce other parts of the network’s exposure to attack vectors.</w:t>
      </w:r>
    </w:p>
    <w:p w14:paraId="1A31DAD3" w14:textId="50BF42EA" w:rsidR="00B06F25" w:rsidRPr="00B06F25" w:rsidRDefault="00B06F25" w:rsidP="00B06F25">
      <w:pPr>
        <w:rPr>
          <w:lang w:val="en-GB"/>
        </w:rPr>
      </w:pPr>
      <w:r w:rsidRPr="00B06F25">
        <w:rPr>
          <w:lang w:val="en-GB"/>
        </w:rPr>
        <w:t>•</w:t>
      </w:r>
      <w:r w:rsidRPr="00B06F25">
        <w:rPr>
          <w:lang w:val="en-GB"/>
        </w:rPr>
        <w:tab/>
        <w:t>Ongoing health check on devices, user behaviour analytics (UBA) and contextual signals as the device and user goes to access.</w:t>
      </w:r>
    </w:p>
    <w:p w14:paraId="3204F8B3" w14:textId="4B976C57" w:rsidR="001564EC" w:rsidRPr="001564EC" w:rsidRDefault="001564EC" w:rsidP="001564EC">
      <w:pPr>
        <w:rPr>
          <w:lang w:val="en-GB"/>
        </w:rPr>
      </w:pPr>
    </w:p>
    <w:p w14:paraId="6781DC62" w14:textId="670802CD" w:rsidR="003C4AC1" w:rsidRDefault="004131CD" w:rsidP="00F3304A">
      <w:pPr>
        <w:pStyle w:val="Heading2"/>
        <w:numPr>
          <w:ilvl w:val="1"/>
          <w:numId w:val="20"/>
        </w:numPr>
        <w:rPr>
          <w:rFonts w:ascii="Times New Roman" w:hAnsi="Times New Roman" w:cs="Times New Roman"/>
          <w:lang w:val="en-GB"/>
        </w:rPr>
      </w:pPr>
      <w:bookmarkStart w:id="13" w:name="_Toc228443716"/>
      <w:r w:rsidRPr="004131CD">
        <w:rPr>
          <w:rFonts w:ascii="Times New Roman" w:hAnsi="Times New Roman" w:cs="Times New Roman"/>
          <w:lang w:val="en-GB"/>
        </w:rPr>
        <w:t>Encryption</w:t>
      </w:r>
      <w:bookmarkEnd w:id="13"/>
      <w:r w:rsidR="003C4AC1" w:rsidRPr="00F3304A">
        <w:rPr>
          <w:rFonts w:ascii="Times New Roman" w:hAnsi="Times New Roman" w:cs="Times New Roman"/>
          <w:lang w:val="en-GB"/>
        </w:rPr>
        <w:t xml:space="preserve"> </w:t>
      </w:r>
    </w:p>
    <w:p w14:paraId="52D65666" w14:textId="77777777" w:rsidR="00B06F25" w:rsidRPr="00B06F25" w:rsidRDefault="00B06F25" w:rsidP="00B06F25">
      <w:pPr>
        <w:rPr>
          <w:lang w:val="en-GB"/>
        </w:rPr>
      </w:pPr>
      <w:r w:rsidRPr="00B06F25">
        <w:rPr>
          <w:lang w:val="en-GB"/>
        </w:rPr>
        <w:t>We have updated our processes in line with the new ISO 27001:2022 standards. All patient data held or processed by WhiteCoat will now be encrypted at rest and in transit (ISO 27001:2022 Control 8.24).</w:t>
      </w:r>
    </w:p>
    <w:p w14:paraId="03BD773A" w14:textId="06C03FB5" w:rsidR="00B06F25" w:rsidRPr="00B06F25" w:rsidRDefault="00B06F25" w:rsidP="00B06F25">
      <w:pPr>
        <w:rPr>
          <w:lang w:val="en-GB"/>
        </w:rPr>
      </w:pPr>
      <w:r w:rsidRPr="00B06F25">
        <w:rPr>
          <w:lang w:val="en-GB"/>
        </w:rPr>
        <w:t>•</w:t>
      </w:r>
      <w:r w:rsidRPr="00B06F25">
        <w:rPr>
          <w:lang w:val="en-GB"/>
        </w:rPr>
        <w:tab/>
      </w:r>
      <w:r>
        <w:rPr>
          <w:lang w:val="en-GB"/>
        </w:rPr>
        <w:t>D</w:t>
      </w:r>
      <w:r w:rsidRPr="00B06F25">
        <w:rPr>
          <w:lang w:val="en-GB"/>
        </w:rPr>
        <w:t>ata at rest (patient images, databases and EPRMs etc.): All storage volumes and databases to be AES-256 encrypted. Offsite cloud object storage (e.g. Azure Blob Storage) with customer-managed keys stored in Azure Key Vault to be considered compliant.</w:t>
      </w:r>
    </w:p>
    <w:p w14:paraId="16939C54" w14:textId="77777777" w:rsidR="00B06F25" w:rsidRPr="00B06F25" w:rsidRDefault="00B06F25" w:rsidP="00B06F25">
      <w:pPr>
        <w:rPr>
          <w:lang w:val="en-GB"/>
        </w:rPr>
      </w:pPr>
      <w:r w:rsidRPr="00B06F25">
        <w:rPr>
          <w:lang w:val="en-GB"/>
        </w:rPr>
        <w:lastRenderedPageBreak/>
        <w:t>•</w:t>
      </w:r>
      <w:r w:rsidRPr="00B06F25">
        <w:rPr>
          <w:lang w:val="en-GB"/>
        </w:rPr>
        <w:tab/>
        <w:t>All data transmitted will be encrypted with TLS 1.3 with older protocols disabled at the transport level.</w:t>
      </w:r>
    </w:p>
    <w:p w14:paraId="76B7C66C" w14:textId="37E0F518" w:rsidR="00B06F25" w:rsidRPr="00B06F25" w:rsidRDefault="00B06F25" w:rsidP="00B06F25">
      <w:pPr>
        <w:rPr>
          <w:lang w:val="en-GB"/>
        </w:rPr>
      </w:pPr>
      <w:r w:rsidRPr="00B06F25">
        <w:rPr>
          <w:lang w:val="en-GB"/>
        </w:rPr>
        <w:t>•</w:t>
      </w:r>
      <w:r w:rsidRPr="00B06F25">
        <w:rPr>
          <w:lang w:val="en-GB"/>
        </w:rPr>
        <w:tab/>
        <w:t>All inter system transfers of patient data between HPA and NHS partner organisations should be end to end encrypted.</w:t>
      </w:r>
    </w:p>
    <w:p w14:paraId="440CCCA6" w14:textId="45C2AD58" w:rsidR="003C4AC1" w:rsidRDefault="004131CD" w:rsidP="00F3304A">
      <w:pPr>
        <w:pStyle w:val="Heading2"/>
        <w:numPr>
          <w:ilvl w:val="1"/>
          <w:numId w:val="20"/>
        </w:numPr>
        <w:rPr>
          <w:rFonts w:ascii="Times New Roman" w:hAnsi="Times New Roman" w:cs="Times New Roman"/>
          <w:lang w:val="en-GB"/>
        </w:rPr>
      </w:pPr>
      <w:bookmarkStart w:id="14" w:name="_Toc228443717"/>
      <w:r w:rsidRPr="004131CD">
        <w:rPr>
          <w:rFonts w:ascii="Times New Roman" w:hAnsi="Times New Roman" w:cs="Times New Roman"/>
          <w:lang w:val="en-GB"/>
        </w:rPr>
        <w:t>Endpoint Security</w:t>
      </w:r>
      <w:bookmarkEnd w:id="14"/>
    </w:p>
    <w:p w14:paraId="006F6876" w14:textId="0B6349DF" w:rsidR="00B06F25" w:rsidRPr="00B06F25" w:rsidRDefault="00B06F25" w:rsidP="00B06F25">
      <w:pPr>
        <w:rPr>
          <w:lang w:val="en-GB"/>
        </w:rPr>
      </w:pPr>
      <w:r w:rsidRPr="00B06F25">
        <w:rPr>
          <w:lang w:val="en-GB"/>
        </w:rPr>
        <w:t>Managed endpoints must be protected using an Endpoint Detection and Response (EDR) solution that performs behavioural analysis and automatically detects and contains threats. Microsoft Defender for Endpoint or other enterprise grade EDR must be used to provide real-time threat intelligence, memory protection and automated isolation of affected endpoints to prevent spread of infection (similar to how the recent ransomware attack entered the organisation). All managed endpoints must meet the hardening standards as outlined in the CIS Benchmarks Level 1.</w:t>
      </w:r>
    </w:p>
    <w:p w14:paraId="6FEB9FB7" w14:textId="5B8F796F" w:rsidR="003C4AC1" w:rsidRDefault="004131CD" w:rsidP="00F3304A">
      <w:pPr>
        <w:pStyle w:val="Heading2"/>
        <w:numPr>
          <w:ilvl w:val="1"/>
          <w:numId w:val="20"/>
        </w:numPr>
        <w:rPr>
          <w:rFonts w:ascii="Times New Roman" w:hAnsi="Times New Roman" w:cs="Times New Roman"/>
          <w:lang w:val="en-GB"/>
        </w:rPr>
      </w:pPr>
      <w:bookmarkStart w:id="15" w:name="_Toc228443718"/>
      <w:r w:rsidRPr="004131CD">
        <w:rPr>
          <w:rFonts w:ascii="Times New Roman" w:hAnsi="Times New Roman" w:cs="Times New Roman"/>
          <w:lang w:val="en-GB"/>
        </w:rPr>
        <w:t>Network Segmentation</w:t>
      </w:r>
      <w:bookmarkEnd w:id="15"/>
    </w:p>
    <w:p w14:paraId="4BB9C4A3" w14:textId="37EBC3CA" w:rsidR="00B06F25" w:rsidRPr="00B06F25" w:rsidRDefault="00B06F25" w:rsidP="00B06F25">
      <w:pPr>
        <w:rPr>
          <w:lang w:val="en-GB"/>
        </w:rPr>
      </w:pPr>
      <w:r w:rsidRPr="00B06F25">
        <w:rPr>
          <w:lang w:val="en-GB"/>
        </w:rPr>
        <w:t>The analytics server environment shall be redesigned and rebuilt on a VLAN based segmented network with several security zones (DMZ, Application Tier, Data Tier, Management Tier). Firewalls shall be set up to allow connections between the zones and be able to track packets. These firewalls shall be capable of layer 7 inspection (application layer). This reorganized setup of the analytics server environment will effectively contain the impact of a ransomware attack, as has happened at HPA.</w:t>
      </w:r>
    </w:p>
    <w:p w14:paraId="6415CD62" w14:textId="39AFE595" w:rsidR="004131CD" w:rsidRPr="004131CD" w:rsidRDefault="004131CD" w:rsidP="004131CD">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6" w:name="_Toc228443719"/>
      <w:r w:rsidRPr="004131CD">
        <w:rPr>
          <w:rFonts w:ascii="Times New Roman" w:hAnsi="Times New Roman" w:cs="Times New Roman"/>
          <w:b/>
          <w:bCs/>
          <w:color w:val="000000" w:themeColor="text1"/>
          <w:sz w:val="32"/>
          <w:szCs w:val="32"/>
          <w:lang w:val="en-GB"/>
        </w:rPr>
        <w:t>Monitoring and Incident Response</w:t>
      </w:r>
      <w:bookmarkEnd w:id="16"/>
    </w:p>
    <w:p w14:paraId="29CDDF4B" w14:textId="1FFEA25C" w:rsidR="004131CD" w:rsidRDefault="004131CD" w:rsidP="00B06F25">
      <w:pPr>
        <w:pStyle w:val="Heading2"/>
        <w:numPr>
          <w:ilvl w:val="1"/>
          <w:numId w:val="25"/>
        </w:numPr>
        <w:rPr>
          <w:bCs/>
          <w:lang w:val="en-GB"/>
        </w:rPr>
      </w:pPr>
      <w:bookmarkStart w:id="17" w:name="_Toc228443720"/>
      <w:r w:rsidRPr="004131CD">
        <w:rPr>
          <w:bCs/>
          <w:lang w:val="en-GB"/>
        </w:rPr>
        <w:t>Continuous Monitoring Strategy</w:t>
      </w:r>
      <w:bookmarkEnd w:id="17"/>
    </w:p>
    <w:p w14:paraId="6D8239BE" w14:textId="291C667D" w:rsidR="00B06F25" w:rsidRPr="00B06F25" w:rsidRDefault="00B06F25" w:rsidP="00B06F25">
      <w:pPr>
        <w:rPr>
          <w:lang w:val="en-GB"/>
        </w:rPr>
      </w:pPr>
      <w:r w:rsidRPr="00B06F25">
        <w:rPr>
          <w:lang w:val="en-GB"/>
        </w:rPr>
        <w:t xml:space="preserve">HPA will be establishing a Security Monitoring hub utilising a Security Information and Event Management (SIEM) platform. Tools such as Microsoft Sentinel and/or Splunk will be used to ingest log data from all relevant system components, including cloud-based offerings, network devices, endpoints and Identity Providers. </w:t>
      </w:r>
      <w:r w:rsidR="00F06976">
        <w:rPr>
          <w:lang w:val="en-GB"/>
        </w:rPr>
        <w:t>SIEM enables analysis of</w:t>
      </w:r>
      <w:r w:rsidRPr="00B06F25">
        <w:rPr>
          <w:lang w:val="en-GB"/>
        </w:rPr>
        <w:t>;</w:t>
      </w:r>
    </w:p>
    <w:p w14:paraId="37EE2DED" w14:textId="77777777" w:rsidR="00B06F25" w:rsidRPr="00B06F25" w:rsidRDefault="00B06F25" w:rsidP="00B06F25">
      <w:pPr>
        <w:rPr>
          <w:lang w:val="en-GB"/>
        </w:rPr>
      </w:pPr>
      <w:r w:rsidRPr="00B06F25">
        <w:rPr>
          <w:lang w:val="en-GB"/>
        </w:rPr>
        <w:t>•</w:t>
      </w:r>
      <w:r w:rsidRPr="00B06F25">
        <w:rPr>
          <w:lang w:val="en-GB"/>
        </w:rPr>
        <w:tab/>
        <w:t>User and Entity Behaviour Analytics (UEBA) - Using machine learning the team create a behavioural baseline of users and entities on the organisation, identifying any unusual access behaviour such as large downloads of data or activity at times of day that you wouldn’t normally expect them to be working indicating potential insider threat or compromised accounts.</w:t>
      </w:r>
    </w:p>
    <w:p w14:paraId="4764B956" w14:textId="77777777" w:rsidR="00B06F25" w:rsidRPr="00B06F25" w:rsidRDefault="00B06F25" w:rsidP="00B06F25">
      <w:pPr>
        <w:rPr>
          <w:lang w:val="en-GB"/>
        </w:rPr>
      </w:pPr>
      <w:r w:rsidRPr="00B06F25">
        <w:rPr>
          <w:lang w:val="en-GB"/>
        </w:rPr>
        <w:t>•</w:t>
      </w:r>
      <w:r w:rsidRPr="00B06F25">
        <w:rPr>
          <w:lang w:val="en-GB"/>
        </w:rPr>
        <w:tab/>
        <w:t>Threat Intelligence Integration: SIEM feeds will be populated with the latest threat intelligence from NCSC, NHS Digital Cyber Associates Network (CAN), and other industry threat intelligence providers to enhance detection capability with the most current IoCs.</w:t>
      </w:r>
    </w:p>
    <w:p w14:paraId="6C84069D" w14:textId="26FA7DD3" w:rsidR="00B06F25" w:rsidRPr="00B06F25" w:rsidRDefault="00B06F25" w:rsidP="00B06F25">
      <w:pPr>
        <w:rPr>
          <w:lang w:val="en-GB"/>
        </w:rPr>
      </w:pPr>
      <w:r w:rsidRPr="00B06F25">
        <w:rPr>
          <w:lang w:val="en-GB"/>
        </w:rPr>
        <w:lastRenderedPageBreak/>
        <w:t>•</w:t>
      </w:r>
      <w:r w:rsidRPr="00B06F25">
        <w:rPr>
          <w:lang w:val="en-GB"/>
        </w:rPr>
        <w:tab/>
      </w:r>
      <w:r>
        <w:rPr>
          <w:lang w:val="en-GB"/>
        </w:rPr>
        <w:t>L</w:t>
      </w:r>
      <w:r w:rsidRPr="00B06F25">
        <w:rPr>
          <w:lang w:val="en-GB"/>
        </w:rPr>
        <w:t>og retention – All security relevant logs should be retained for a minimum of 12 months with a minimum of 6 months available online.</w:t>
      </w:r>
    </w:p>
    <w:p w14:paraId="52F67D41" w14:textId="09008481" w:rsidR="00416014" w:rsidRDefault="004131CD" w:rsidP="00416014">
      <w:pPr>
        <w:pStyle w:val="Heading2"/>
        <w:numPr>
          <w:ilvl w:val="1"/>
          <w:numId w:val="25"/>
        </w:numPr>
        <w:rPr>
          <w:bCs/>
          <w:lang w:val="en-GB"/>
        </w:rPr>
      </w:pPr>
      <w:bookmarkStart w:id="18" w:name="_Toc228443721"/>
      <w:r w:rsidRPr="004131CD">
        <w:rPr>
          <w:bCs/>
          <w:lang w:val="en-GB"/>
        </w:rPr>
        <w:t>Incident Response Lifecycl</w:t>
      </w:r>
      <w:r w:rsidR="00994CBE">
        <w:rPr>
          <w:bCs/>
          <w:lang w:val="en-GB"/>
        </w:rPr>
        <w:t>e</w:t>
      </w:r>
      <w:bookmarkEnd w:id="18"/>
    </w:p>
    <w:p w14:paraId="18617887" w14:textId="77777777" w:rsidR="00B06F25" w:rsidRPr="00B06F25" w:rsidRDefault="00B06F25" w:rsidP="00B06F25">
      <w:pPr>
        <w:rPr>
          <w:lang w:val="en-GB"/>
        </w:rPr>
      </w:pPr>
      <w:r w:rsidRPr="00B06F25">
        <w:rPr>
          <w:lang w:val="en-GB"/>
        </w:rPr>
        <w:t>This illustration depicts the HPA Incident Response Lifecycle following the NIST SP 800-61 guidelines.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56"/>
        <w:gridCol w:w="2256"/>
        <w:gridCol w:w="2257"/>
        <w:gridCol w:w="2257"/>
      </w:tblGrid>
      <w:tr w:rsidR="00B06F25" w14:paraId="224E48F7" w14:textId="77777777" w:rsidTr="004570D7">
        <w:tc>
          <w:tcPr>
            <w:tcW w:w="2256" w:type="dxa"/>
            <w:tcBorders>
              <w:top w:val="single" w:sz="1" w:space="0" w:color="CCCCCC"/>
              <w:left w:val="single" w:sz="1" w:space="0" w:color="CCCCCC"/>
              <w:bottom w:val="single" w:sz="1" w:space="0" w:color="CCCCCC"/>
              <w:right w:val="single" w:sz="1" w:space="0" w:color="CCCCCC"/>
            </w:tcBorders>
            <w:shd w:val="clear" w:color="auto" w:fill="1A3A5C"/>
            <w:tcMar>
              <w:top w:w="100" w:type="dxa"/>
              <w:left w:w="120" w:type="dxa"/>
              <w:bottom w:w="100" w:type="dxa"/>
              <w:right w:w="120" w:type="dxa"/>
            </w:tcMar>
            <w:vAlign w:val="center"/>
          </w:tcPr>
          <w:p w14:paraId="6E599F18" w14:textId="77777777" w:rsidR="00B06F25" w:rsidRDefault="00B06F25" w:rsidP="00AD3C29">
            <w:pPr>
              <w:jc w:val="center"/>
            </w:pPr>
            <w:r>
              <w:rPr>
                <w:rFonts w:ascii="Calibri" w:eastAsia="Calibri" w:hAnsi="Calibri" w:cs="Calibri"/>
                <w:b/>
                <w:bCs/>
                <w:color w:val="FFFFFF"/>
                <w:sz w:val="20"/>
                <w:szCs w:val="20"/>
              </w:rPr>
              <w:t>Phase</w:t>
            </w:r>
          </w:p>
        </w:tc>
        <w:tc>
          <w:tcPr>
            <w:tcW w:w="2256" w:type="dxa"/>
            <w:tcBorders>
              <w:top w:val="single" w:sz="1" w:space="0" w:color="CCCCCC"/>
              <w:left w:val="single" w:sz="1" w:space="0" w:color="CCCCCC"/>
              <w:bottom w:val="single" w:sz="1" w:space="0" w:color="CCCCCC"/>
              <w:right w:val="single" w:sz="1" w:space="0" w:color="CCCCCC"/>
            </w:tcBorders>
            <w:shd w:val="clear" w:color="auto" w:fill="1A3A5C"/>
            <w:tcMar>
              <w:top w:w="100" w:type="dxa"/>
              <w:left w:w="120" w:type="dxa"/>
              <w:bottom w:w="100" w:type="dxa"/>
              <w:right w:w="120" w:type="dxa"/>
            </w:tcMar>
            <w:vAlign w:val="center"/>
          </w:tcPr>
          <w:p w14:paraId="7F394391" w14:textId="77777777" w:rsidR="00B06F25" w:rsidRDefault="00B06F25" w:rsidP="00AD3C29">
            <w:pPr>
              <w:jc w:val="center"/>
            </w:pPr>
            <w:r>
              <w:rPr>
                <w:rFonts w:ascii="Calibri" w:eastAsia="Calibri" w:hAnsi="Calibri" w:cs="Calibri"/>
                <w:b/>
                <w:bCs/>
                <w:color w:val="FFFFFF"/>
                <w:sz w:val="20"/>
                <w:szCs w:val="20"/>
              </w:rPr>
              <w:t>Key Actions</w:t>
            </w:r>
          </w:p>
        </w:tc>
        <w:tc>
          <w:tcPr>
            <w:tcW w:w="2257" w:type="dxa"/>
            <w:tcBorders>
              <w:top w:val="single" w:sz="1" w:space="0" w:color="CCCCCC"/>
              <w:left w:val="single" w:sz="1" w:space="0" w:color="CCCCCC"/>
              <w:bottom w:val="single" w:sz="1" w:space="0" w:color="CCCCCC"/>
              <w:right w:val="single" w:sz="1" w:space="0" w:color="CCCCCC"/>
            </w:tcBorders>
            <w:shd w:val="clear" w:color="auto" w:fill="1A3A5C"/>
            <w:tcMar>
              <w:top w:w="100" w:type="dxa"/>
              <w:left w:w="120" w:type="dxa"/>
              <w:bottom w:w="100" w:type="dxa"/>
              <w:right w:w="120" w:type="dxa"/>
            </w:tcMar>
            <w:vAlign w:val="center"/>
          </w:tcPr>
          <w:p w14:paraId="52E20896" w14:textId="77777777" w:rsidR="00B06F25" w:rsidRDefault="00B06F25" w:rsidP="00AD3C29">
            <w:pPr>
              <w:jc w:val="center"/>
            </w:pPr>
            <w:r>
              <w:rPr>
                <w:rFonts w:ascii="Calibri" w:eastAsia="Calibri" w:hAnsi="Calibri" w:cs="Calibri"/>
                <w:b/>
                <w:bCs/>
                <w:color w:val="FFFFFF"/>
                <w:sz w:val="20"/>
                <w:szCs w:val="20"/>
              </w:rPr>
              <w:t>Owner</w:t>
            </w:r>
          </w:p>
        </w:tc>
        <w:tc>
          <w:tcPr>
            <w:tcW w:w="2257" w:type="dxa"/>
            <w:tcBorders>
              <w:top w:val="single" w:sz="1" w:space="0" w:color="CCCCCC"/>
              <w:left w:val="single" w:sz="1" w:space="0" w:color="CCCCCC"/>
              <w:bottom w:val="single" w:sz="1" w:space="0" w:color="CCCCCC"/>
              <w:right w:val="single" w:sz="1" w:space="0" w:color="CCCCCC"/>
            </w:tcBorders>
            <w:shd w:val="clear" w:color="auto" w:fill="1A3A5C"/>
            <w:tcMar>
              <w:top w:w="100" w:type="dxa"/>
              <w:left w:w="120" w:type="dxa"/>
              <w:bottom w:w="100" w:type="dxa"/>
              <w:right w:w="120" w:type="dxa"/>
            </w:tcMar>
            <w:vAlign w:val="center"/>
          </w:tcPr>
          <w:p w14:paraId="44704686" w14:textId="77777777" w:rsidR="00B06F25" w:rsidRDefault="00B06F25" w:rsidP="00AD3C29">
            <w:pPr>
              <w:jc w:val="center"/>
            </w:pPr>
            <w:r>
              <w:rPr>
                <w:rFonts w:ascii="Calibri" w:eastAsia="Calibri" w:hAnsi="Calibri" w:cs="Calibri"/>
                <w:b/>
                <w:bCs/>
                <w:color w:val="FFFFFF"/>
                <w:sz w:val="20"/>
                <w:szCs w:val="20"/>
              </w:rPr>
              <w:t>Timeframe</w:t>
            </w:r>
          </w:p>
        </w:tc>
      </w:tr>
      <w:tr w:rsidR="00B06F25" w14:paraId="02FD118E" w14:textId="77777777" w:rsidTr="004570D7">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3051EDBE" w14:textId="77777777" w:rsidR="00B06F25" w:rsidRDefault="00B06F25" w:rsidP="00AD3C29">
            <w:pPr>
              <w:jc w:val="center"/>
            </w:pPr>
            <w:r>
              <w:rPr>
                <w:rFonts w:ascii="Calibri" w:eastAsia="Calibri" w:hAnsi="Calibri" w:cs="Calibri"/>
                <w:color w:val="222222"/>
                <w:sz w:val="20"/>
                <w:szCs w:val="20"/>
              </w:rPr>
              <w:t>1. Detection</w:t>
            </w:r>
          </w:p>
        </w:tc>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521A6CD6" w14:textId="77777777" w:rsidR="00B06F25" w:rsidRPr="00B06F25" w:rsidRDefault="00B06F25" w:rsidP="00AD3C29">
            <w:pPr>
              <w:jc w:val="center"/>
              <w:rPr>
                <w:lang w:val="en-GB"/>
              </w:rPr>
            </w:pPr>
            <w:r w:rsidRPr="00B06F25">
              <w:rPr>
                <w:rFonts w:ascii="Calibri" w:eastAsia="Calibri" w:hAnsi="Calibri" w:cs="Calibri"/>
                <w:color w:val="222222"/>
                <w:sz w:val="20"/>
                <w:szCs w:val="20"/>
                <w:lang w:val="en-GB"/>
              </w:rPr>
              <w:t>SIEM alert triage; initial severity classification; DPO notification if personal data implicated</w:t>
            </w:r>
          </w:p>
        </w:tc>
        <w:tc>
          <w:tcPr>
            <w:tcW w:w="2257"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5ACE2D46" w14:textId="77777777" w:rsidR="00B06F25" w:rsidRDefault="00B06F25" w:rsidP="00AD3C29">
            <w:pPr>
              <w:jc w:val="center"/>
            </w:pPr>
            <w:r>
              <w:rPr>
                <w:rFonts w:ascii="Calibri" w:eastAsia="Calibri" w:hAnsi="Calibri" w:cs="Calibri"/>
                <w:color w:val="222222"/>
                <w:sz w:val="20"/>
                <w:szCs w:val="20"/>
              </w:rPr>
              <w:t>SOC Analyst</w:t>
            </w:r>
          </w:p>
        </w:tc>
        <w:tc>
          <w:tcPr>
            <w:tcW w:w="2257"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32ABC6F9" w14:textId="77777777" w:rsidR="00B06F25" w:rsidRDefault="00B06F25" w:rsidP="00AD3C29">
            <w:pPr>
              <w:jc w:val="center"/>
            </w:pPr>
            <w:r>
              <w:rPr>
                <w:rFonts w:ascii="Calibri" w:eastAsia="Calibri" w:hAnsi="Calibri" w:cs="Calibri"/>
                <w:color w:val="222222"/>
                <w:sz w:val="20"/>
                <w:szCs w:val="20"/>
              </w:rPr>
              <w:t>0–2 hours</w:t>
            </w:r>
          </w:p>
        </w:tc>
      </w:tr>
      <w:tr w:rsidR="00B06F25" w14:paraId="19A8BA38" w14:textId="77777777" w:rsidTr="004570D7">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419738EC" w14:textId="77777777" w:rsidR="00B06F25" w:rsidRDefault="00B06F25" w:rsidP="00AD3C29">
            <w:pPr>
              <w:jc w:val="center"/>
            </w:pPr>
            <w:r>
              <w:rPr>
                <w:rFonts w:ascii="Calibri" w:eastAsia="Calibri" w:hAnsi="Calibri" w:cs="Calibri"/>
                <w:color w:val="222222"/>
                <w:sz w:val="20"/>
                <w:szCs w:val="20"/>
              </w:rPr>
              <w:t>2. Containment</w:t>
            </w:r>
          </w:p>
        </w:tc>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616F8263" w14:textId="77777777" w:rsidR="00B06F25" w:rsidRPr="00B06F25" w:rsidRDefault="00B06F25" w:rsidP="00AD3C29">
            <w:pPr>
              <w:jc w:val="center"/>
              <w:rPr>
                <w:lang w:val="en-GB"/>
              </w:rPr>
            </w:pPr>
            <w:r w:rsidRPr="00B06F25">
              <w:rPr>
                <w:rFonts w:ascii="Calibri" w:eastAsia="Calibri" w:hAnsi="Calibri" w:cs="Calibri"/>
                <w:color w:val="222222"/>
                <w:sz w:val="20"/>
                <w:szCs w:val="20"/>
                <w:lang w:val="en-GB"/>
              </w:rPr>
              <w:t>Isolate affected systems; block malicious IPs; revoke compromised credentials; preserve forensic evidence</w:t>
            </w:r>
          </w:p>
        </w:tc>
        <w:tc>
          <w:tcPr>
            <w:tcW w:w="2257"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0DE9F9D8" w14:textId="77777777" w:rsidR="00B06F25" w:rsidRDefault="00B06F25" w:rsidP="00AD3C29">
            <w:pPr>
              <w:jc w:val="center"/>
            </w:pPr>
            <w:r>
              <w:rPr>
                <w:rFonts w:ascii="Calibri" w:eastAsia="Calibri" w:hAnsi="Calibri" w:cs="Calibri"/>
                <w:color w:val="222222"/>
                <w:sz w:val="20"/>
                <w:szCs w:val="20"/>
              </w:rPr>
              <w:t>IR Team Lead</w:t>
            </w:r>
          </w:p>
        </w:tc>
        <w:tc>
          <w:tcPr>
            <w:tcW w:w="2257"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642279D5" w14:textId="77777777" w:rsidR="00B06F25" w:rsidRDefault="00B06F25" w:rsidP="00AD3C29">
            <w:pPr>
              <w:jc w:val="center"/>
            </w:pPr>
            <w:r>
              <w:rPr>
                <w:rFonts w:ascii="Calibri" w:eastAsia="Calibri" w:hAnsi="Calibri" w:cs="Calibri"/>
                <w:color w:val="222222"/>
                <w:sz w:val="20"/>
                <w:szCs w:val="20"/>
              </w:rPr>
              <w:t>2–6 hours</w:t>
            </w:r>
          </w:p>
        </w:tc>
      </w:tr>
      <w:tr w:rsidR="00B06F25" w14:paraId="3FA7E4BD" w14:textId="77777777" w:rsidTr="004570D7">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78FCC803" w14:textId="77777777" w:rsidR="00B06F25" w:rsidRDefault="00B06F25" w:rsidP="00AD3C29">
            <w:pPr>
              <w:jc w:val="center"/>
            </w:pPr>
            <w:r>
              <w:rPr>
                <w:rFonts w:ascii="Calibri" w:eastAsia="Calibri" w:hAnsi="Calibri" w:cs="Calibri"/>
                <w:color w:val="222222"/>
                <w:sz w:val="20"/>
                <w:szCs w:val="20"/>
              </w:rPr>
              <w:t>3. Eradication</w:t>
            </w:r>
          </w:p>
        </w:tc>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14921AD8" w14:textId="77777777" w:rsidR="00B06F25" w:rsidRPr="00B06F25" w:rsidRDefault="00B06F25" w:rsidP="00AD3C29">
            <w:pPr>
              <w:jc w:val="center"/>
              <w:rPr>
                <w:lang w:val="en-GB"/>
              </w:rPr>
            </w:pPr>
            <w:r w:rsidRPr="00B06F25">
              <w:rPr>
                <w:rFonts w:ascii="Calibri" w:eastAsia="Calibri" w:hAnsi="Calibri" w:cs="Calibri"/>
                <w:color w:val="222222"/>
                <w:sz w:val="20"/>
                <w:szCs w:val="20"/>
                <w:lang w:val="en-GB"/>
              </w:rPr>
              <w:t>Remove malware; patch exploited vulnerabilities; validate clean state; credential rotation</w:t>
            </w:r>
          </w:p>
        </w:tc>
        <w:tc>
          <w:tcPr>
            <w:tcW w:w="2257"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441C9EC5" w14:textId="77777777" w:rsidR="00B06F25" w:rsidRDefault="00B06F25" w:rsidP="00AD3C29">
            <w:pPr>
              <w:jc w:val="center"/>
            </w:pPr>
            <w:r>
              <w:rPr>
                <w:rFonts w:ascii="Calibri" w:eastAsia="Calibri" w:hAnsi="Calibri" w:cs="Calibri"/>
                <w:color w:val="222222"/>
                <w:sz w:val="20"/>
                <w:szCs w:val="20"/>
              </w:rPr>
              <w:t>IR Team / IT Ops</w:t>
            </w:r>
          </w:p>
        </w:tc>
        <w:tc>
          <w:tcPr>
            <w:tcW w:w="2257"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1903BE4A" w14:textId="77777777" w:rsidR="00B06F25" w:rsidRDefault="00B06F25" w:rsidP="00AD3C29">
            <w:pPr>
              <w:jc w:val="center"/>
            </w:pPr>
            <w:r>
              <w:rPr>
                <w:rFonts w:ascii="Calibri" w:eastAsia="Calibri" w:hAnsi="Calibri" w:cs="Calibri"/>
                <w:color w:val="222222"/>
                <w:sz w:val="20"/>
                <w:szCs w:val="20"/>
              </w:rPr>
              <w:t>6–48 hours</w:t>
            </w:r>
          </w:p>
        </w:tc>
      </w:tr>
      <w:tr w:rsidR="00B06F25" w14:paraId="6FEA80BA" w14:textId="77777777" w:rsidTr="004570D7">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26FF07EB" w14:textId="77777777" w:rsidR="00B06F25" w:rsidRDefault="00B06F25" w:rsidP="00AD3C29">
            <w:pPr>
              <w:jc w:val="center"/>
            </w:pPr>
            <w:r>
              <w:rPr>
                <w:rFonts w:ascii="Calibri" w:eastAsia="Calibri" w:hAnsi="Calibri" w:cs="Calibri"/>
                <w:color w:val="222222"/>
                <w:sz w:val="20"/>
                <w:szCs w:val="20"/>
              </w:rPr>
              <w:t>4. Recovery</w:t>
            </w:r>
          </w:p>
        </w:tc>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20DF935F" w14:textId="77777777" w:rsidR="00B06F25" w:rsidRPr="00B06F25" w:rsidRDefault="00B06F25" w:rsidP="00AD3C29">
            <w:pPr>
              <w:jc w:val="center"/>
              <w:rPr>
                <w:lang w:val="en-GB"/>
              </w:rPr>
            </w:pPr>
            <w:r w:rsidRPr="00B06F25">
              <w:rPr>
                <w:rFonts w:ascii="Calibri" w:eastAsia="Calibri" w:hAnsi="Calibri" w:cs="Calibri"/>
                <w:color w:val="222222"/>
                <w:sz w:val="20"/>
                <w:szCs w:val="20"/>
                <w:lang w:val="en-GB"/>
              </w:rPr>
              <w:t>Restore from validated backups; confirm system integrity; phased service restoration; user communication</w:t>
            </w:r>
          </w:p>
        </w:tc>
        <w:tc>
          <w:tcPr>
            <w:tcW w:w="2257"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3C25648D" w14:textId="77777777" w:rsidR="00B06F25" w:rsidRDefault="00B06F25" w:rsidP="00AD3C29">
            <w:pPr>
              <w:jc w:val="center"/>
            </w:pPr>
            <w:r>
              <w:rPr>
                <w:rFonts w:ascii="Calibri" w:eastAsia="Calibri" w:hAnsi="Calibri" w:cs="Calibri"/>
                <w:color w:val="222222"/>
                <w:sz w:val="20"/>
                <w:szCs w:val="20"/>
              </w:rPr>
              <w:t>IT Ops / DPO</w:t>
            </w:r>
          </w:p>
        </w:tc>
        <w:tc>
          <w:tcPr>
            <w:tcW w:w="2257"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018F422E" w14:textId="77777777" w:rsidR="00B06F25" w:rsidRDefault="00B06F25" w:rsidP="00AD3C29">
            <w:pPr>
              <w:jc w:val="center"/>
            </w:pPr>
            <w:r>
              <w:rPr>
                <w:rFonts w:ascii="Calibri" w:eastAsia="Calibri" w:hAnsi="Calibri" w:cs="Calibri"/>
                <w:color w:val="222222"/>
                <w:sz w:val="20"/>
                <w:szCs w:val="20"/>
              </w:rPr>
              <w:t>24–72 hours</w:t>
            </w:r>
          </w:p>
        </w:tc>
      </w:tr>
      <w:tr w:rsidR="00B06F25" w14:paraId="63A235AB" w14:textId="77777777" w:rsidTr="004570D7">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12594B3F" w14:textId="77777777" w:rsidR="00B06F25" w:rsidRDefault="00B06F25" w:rsidP="00AD3C29">
            <w:pPr>
              <w:jc w:val="center"/>
            </w:pPr>
            <w:r>
              <w:rPr>
                <w:rFonts w:ascii="Calibri" w:eastAsia="Calibri" w:hAnsi="Calibri" w:cs="Calibri"/>
                <w:color w:val="222222"/>
                <w:sz w:val="20"/>
                <w:szCs w:val="20"/>
              </w:rPr>
              <w:t>5. Lessons Learned</w:t>
            </w:r>
          </w:p>
        </w:tc>
        <w:tc>
          <w:tcPr>
            <w:tcW w:w="2256"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06A86FA8" w14:textId="77777777" w:rsidR="00B06F25" w:rsidRPr="00B06F25" w:rsidRDefault="00B06F25" w:rsidP="00AD3C29">
            <w:pPr>
              <w:jc w:val="center"/>
              <w:rPr>
                <w:lang w:val="en-GB"/>
              </w:rPr>
            </w:pPr>
            <w:r w:rsidRPr="00B06F25">
              <w:rPr>
                <w:rFonts w:ascii="Calibri" w:eastAsia="Calibri" w:hAnsi="Calibri" w:cs="Calibri"/>
                <w:color w:val="222222"/>
                <w:sz w:val="20"/>
                <w:szCs w:val="20"/>
                <w:lang w:val="en-GB"/>
              </w:rPr>
              <w:t>Root cause analysis; post-incident report; policy/control updates; regulator communication</w:t>
            </w:r>
          </w:p>
        </w:tc>
        <w:tc>
          <w:tcPr>
            <w:tcW w:w="2257"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06D02340" w14:textId="77777777" w:rsidR="00B06F25" w:rsidRDefault="00B06F25" w:rsidP="00AD3C29">
            <w:pPr>
              <w:jc w:val="center"/>
            </w:pPr>
            <w:r>
              <w:rPr>
                <w:rFonts w:ascii="Calibri" w:eastAsia="Calibri" w:hAnsi="Calibri" w:cs="Calibri"/>
                <w:color w:val="222222"/>
                <w:sz w:val="20"/>
                <w:szCs w:val="20"/>
              </w:rPr>
              <w:t>CISO / DPO</w:t>
            </w:r>
          </w:p>
        </w:tc>
        <w:tc>
          <w:tcPr>
            <w:tcW w:w="2257" w:type="dxa"/>
            <w:tcBorders>
              <w:top w:val="single" w:sz="1" w:space="0" w:color="CCCCCC"/>
              <w:left w:val="single" w:sz="1" w:space="0" w:color="CCCCCC"/>
              <w:bottom w:val="single" w:sz="1" w:space="0" w:color="CCCCCC"/>
              <w:right w:val="single" w:sz="1" w:space="0" w:color="CCCCCC"/>
            </w:tcBorders>
            <w:shd w:val="clear" w:color="auto" w:fill="F0F6FB"/>
            <w:tcMar>
              <w:top w:w="100" w:type="dxa"/>
              <w:left w:w="120" w:type="dxa"/>
              <w:bottom w:w="100" w:type="dxa"/>
              <w:right w:w="120" w:type="dxa"/>
            </w:tcMar>
            <w:vAlign w:val="center"/>
          </w:tcPr>
          <w:p w14:paraId="79E50FF5" w14:textId="77777777" w:rsidR="00B06F25" w:rsidRDefault="00B06F25" w:rsidP="00AD3C29">
            <w:pPr>
              <w:jc w:val="center"/>
            </w:pPr>
            <w:r>
              <w:rPr>
                <w:rFonts w:ascii="Calibri" w:eastAsia="Calibri" w:hAnsi="Calibri" w:cs="Calibri"/>
                <w:color w:val="222222"/>
                <w:sz w:val="20"/>
                <w:szCs w:val="20"/>
              </w:rPr>
              <w:t>Within 10 days</w:t>
            </w:r>
          </w:p>
        </w:tc>
      </w:tr>
    </w:tbl>
    <w:p w14:paraId="3ED8F006" w14:textId="035286B6" w:rsidR="004570D7" w:rsidRPr="00B06F25" w:rsidRDefault="004570D7" w:rsidP="00B06F25">
      <w:pPr>
        <w:rPr>
          <w:lang w:val="en-GB"/>
        </w:rPr>
      </w:pPr>
      <w:r w:rsidRPr="004570D7">
        <w:rPr>
          <w:lang w:val="en-GB"/>
        </w:rPr>
        <w:t xml:space="preserve">For personal data breaches the DPO will ensure that any required notification to the ICO under UK GDPR Article 33 (where relevant) is carried out within 72 </w:t>
      </w:r>
      <w:r w:rsidR="007A1B60">
        <w:rPr>
          <w:lang w:val="en-GB"/>
        </w:rPr>
        <w:t>hours</w:t>
      </w:r>
      <w:r w:rsidRPr="004570D7">
        <w:rPr>
          <w:lang w:val="en-GB"/>
        </w:rPr>
        <w:t>. Any necessary notification to affected individuals under Article 34 will also be carried out as appropriate. All breaches and resulting actions will be documented and stored securely on a secure, tamper-evident case management system for future reference in any investigations.</w:t>
      </w:r>
    </w:p>
    <w:p w14:paraId="238F40E3" w14:textId="38D7C30E" w:rsidR="00416014" w:rsidRDefault="00416014" w:rsidP="001D1AE1">
      <w:pPr>
        <w:pStyle w:val="Heading1"/>
        <w:numPr>
          <w:ilvl w:val="0"/>
          <w:numId w:val="20"/>
        </w:numPr>
        <w:rPr>
          <w:rFonts w:ascii="Times New Roman" w:hAnsi="Times New Roman" w:cs="Times New Roman"/>
          <w:b/>
          <w:bCs/>
          <w:color w:val="000000" w:themeColor="text1"/>
          <w:sz w:val="32"/>
          <w:szCs w:val="32"/>
          <w:lang w:val="en-GB"/>
        </w:rPr>
      </w:pPr>
      <w:bookmarkStart w:id="19" w:name="_Toc228443722"/>
      <w:r w:rsidRPr="00C12622">
        <w:rPr>
          <w:rFonts w:ascii="Times New Roman" w:hAnsi="Times New Roman" w:cs="Times New Roman"/>
          <w:b/>
          <w:bCs/>
          <w:color w:val="000000" w:themeColor="text1"/>
          <w:sz w:val="32"/>
          <w:szCs w:val="32"/>
        </w:rPr>
        <w:lastRenderedPageBreak/>
        <w:t xml:space="preserve">Monitoring and </w:t>
      </w:r>
      <w:bookmarkEnd w:id="19"/>
      <w:r w:rsidR="00C47DB7">
        <w:rPr>
          <w:rFonts w:ascii="Times New Roman" w:hAnsi="Times New Roman" w:cs="Times New Roman"/>
          <w:b/>
          <w:bCs/>
          <w:color w:val="000000" w:themeColor="text1"/>
          <w:sz w:val="32"/>
          <w:szCs w:val="32"/>
          <w:lang w:val="en-GB"/>
        </w:rPr>
        <w:t>Training</w:t>
      </w:r>
    </w:p>
    <w:p w14:paraId="58CBFC60" w14:textId="221AAAA2" w:rsidR="00C12622" w:rsidRDefault="001D1AE1" w:rsidP="001D1AE1">
      <w:pPr>
        <w:pStyle w:val="Heading2"/>
        <w:numPr>
          <w:ilvl w:val="1"/>
          <w:numId w:val="20"/>
        </w:numPr>
        <w:rPr>
          <w:bCs/>
          <w:lang w:val="en-GB"/>
        </w:rPr>
      </w:pPr>
      <w:r>
        <w:rPr>
          <w:bCs/>
          <w:lang w:val="en-GB"/>
        </w:rPr>
        <w:t xml:space="preserve"> </w:t>
      </w:r>
      <w:bookmarkStart w:id="20" w:name="_Toc228443723"/>
      <w:r w:rsidR="00C12622" w:rsidRPr="004131CD">
        <w:rPr>
          <w:bCs/>
          <w:lang w:val="en-GB"/>
        </w:rPr>
        <w:t>Continuous Monitoring Strategy</w:t>
      </w:r>
      <w:bookmarkEnd w:id="20"/>
    </w:p>
    <w:p w14:paraId="249DC81E" w14:textId="25DD560B" w:rsidR="00C12622" w:rsidRPr="00C47DB7" w:rsidRDefault="004570D7" w:rsidP="00C47DB7">
      <w:pPr>
        <w:rPr>
          <w:lang w:val="en-GB"/>
        </w:rPr>
      </w:pPr>
      <w:r w:rsidRPr="004570D7">
        <w:rPr>
          <w:lang w:val="en-GB"/>
        </w:rPr>
        <w:t>New employees to be inducted into the security procedures and processes as new employees, within the first week of employment. The new mandatory security induction programme will inform employees of the HPA security policies and procedures and the appropriate use of HPA’s equipment and systems. It will also provide information on the UK GDPR legislation and the potential impact of a data breach, as well as details on recognising and reporting potential phishing emails and other social engineering attempts. Employees will also learn how to securely manage patient data in a hybrid environment. Completion of the programme will be captured through the organisations Learning Management System (LMS) and is a mandatory process for all employees.</w:t>
      </w:r>
    </w:p>
    <w:p w14:paraId="7D8BE210" w14:textId="2A02827A" w:rsidR="00C12622" w:rsidRDefault="001D1AE1" w:rsidP="001D1AE1">
      <w:pPr>
        <w:pStyle w:val="Heading2"/>
        <w:numPr>
          <w:ilvl w:val="1"/>
          <w:numId w:val="20"/>
        </w:numPr>
        <w:rPr>
          <w:bCs/>
          <w:lang w:val="en-GB"/>
        </w:rPr>
      </w:pPr>
      <w:bookmarkStart w:id="21" w:name="_Toc228443725"/>
      <w:r w:rsidRPr="001D1AE1">
        <w:rPr>
          <w:bCs/>
          <w:lang w:val="en-GB"/>
        </w:rPr>
        <w:t>Role-Based Training</w:t>
      </w:r>
      <w:bookmarkEnd w:id="21"/>
    </w:p>
    <w:p w14:paraId="5A7E4BCD" w14:textId="77777777" w:rsidR="004570D7" w:rsidRPr="004570D7" w:rsidRDefault="004570D7" w:rsidP="004570D7">
      <w:pPr>
        <w:rPr>
          <w:lang w:val="en-GB"/>
        </w:rPr>
      </w:pPr>
      <w:r w:rsidRPr="004570D7">
        <w:rPr>
          <w:lang w:val="en-GB"/>
        </w:rPr>
        <w:t>HPA security training options recognise that different areas of HPA face different risks and have different responsibilities. We therefore offer a range of training options to suit everyone's needs.</w:t>
      </w:r>
    </w:p>
    <w:p w14:paraId="3A2EEA1E" w14:textId="7ED16635" w:rsidR="004570D7" w:rsidRPr="004570D7" w:rsidRDefault="004570D7" w:rsidP="004570D7">
      <w:pPr>
        <w:rPr>
          <w:lang w:val="en-GB"/>
        </w:rPr>
      </w:pPr>
      <w:r w:rsidRPr="004570D7">
        <w:rPr>
          <w:lang w:val="en-GB"/>
        </w:rPr>
        <w:t>•</w:t>
      </w:r>
      <w:r w:rsidRPr="004570D7">
        <w:rPr>
          <w:lang w:val="en-GB"/>
        </w:rPr>
        <w:tab/>
        <w:t>Non-technical staff (managers, sales, marketing etc.): Annual training on simulated phishing campaigns, general data protection concepts, proper sharing of information with others, and other information security related topics.</w:t>
      </w:r>
    </w:p>
    <w:p w14:paraId="34D847EE" w14:textId="77777777" w:rsidR="004570D7" w:rsidRPr="004570D7" w:rsidRDefault="004570D7" w:rsidP="004570D7">
      <w:pPr>
        <w:rPr>
          <w:lang w:val="en-GB"/>
        </w:rPr>
      </w:pPr>
      <w:r w:rsidRPr="004570D7">
        <w:rPr>
          <w:lang w:val="en-GB"/>
        </w:rPr>
        <w:t>• Clinical/data analysts- training on data handling under UK GDPR legislation, appropriate use of tools for data analysis, identifying any unusual system behaviour and associated reporting requirements.</w:t>
      </w:r>
    </w:p>
    <w:p w14:paraId="17242380" w14:textId="684C56CA" w:rsidR="004570D7" w:rsidRPr="004570D7" w:rsidRDefault="004570D7" w:rsidP="004570D7">
      <w:pPr>
        <w:rPr>
          <w:lang w:val="en-GB"/>
        </w:rPr>
      </w:pPr>
      <w:r w:rsidRPr="004570D7">
        <w:rPr>
          <w:lang w:val="en-GB"/>
        </w:rPr>
        <w:t>•</w:t>
      </w:r>
      <w:r w:rsidRPr="004570D7">
        <w:rPr>
          <w:lang w:val="en-GB"/>
        </w:rPr>
        <w:tab/>
        <w:t>Senior management and board members – Annual executive briefings on governance obligations, the latest regulatory developments, reputational risk and strategic security investment decisions explained in straightforward language.</w:t>
      </w:r>
    </w:p>
    <w:p w14:paraId="3DB16066" w14:textId="167DA542" w:rsidR="00C12622" w:rsidRPr="004A770B" w:rsidRDefault="004A770B" w:rsidP="004A770B">
      <w:pPr>
        <w:pStyle w:val="Heading1"/>
        <w:numPr>
          <w:ilvl w:val="0"/>
          <w:numId w:val="20"/>
        </w:numPr>
        <w:rPr>
          <w:rFonts w:ascii="Times New Roman" w:hAnsi="Times New Roman" w:cs="Times New Roman"/>
          <w:b/>
          <w:bCs/>
          <w:color w:val="000000" w:themeColor="text1"/>
          <w:sz w:val="32"/>
          <w:szCs w:val="32"/>
          <w:lang w:val="en-GB"/>
        </w:rPr>
      </w:pPr>
      <w:bookmarkStart w:id="22" w:name="_Toc228443727"/>
      <w:r w:rsidRPr="004A770B">
        <w:rPr>
          <w:rFonts w:ascii="Times New Roman" w:hAnsi="Times New Roman" w:cs="Times New Roman"/>
          <w:b/>
          <w:bCs/>
          <w:color w:val="000000" w:themeColor="text1"/>
          <w:sz w:val="32"/>
          <w:szCs w:val="32"/>
          <w:lang w:val="en-GB"/>
        </w:rPr>
        <w:t>Conclusion</w:t>
      </w:r>
      <w:bookmarkEnd w:id="22"/>
    </w:p>
    <w:p w14:paraId="3407D4E0" w14:textId="77777777" w:rsidR="004570D7" w:rsidRPr="004570D7" w:rsidRDefault="004570D7" w:rsidP="004570D7">
      <w:pPr>
        <w:rPr>
          <w:lang w:val="en-GB"/>
        </w:rPr>
      </w:pPr>
      <w:r w:rsidRPr="004570D7">
        <w:rPr>
          <w:lang w:val="en-GB"/>
        </w:rPr>
        <w:t>Although HealthPlus Analytics has had some bad luck recently, it is not something that should be dealt with in a luck-based manner. In addition to addressing the ransomware incident with all due haste, a multi-layered, defence-in-depth approach needs to be implemented to protect the organisation through a combination of technical, governance, social and organisational (people) means. The following strategic recommendations outline the overarching approach to support a comprehensive cybersecurity strategy for HealthPlus Analytics.</w:t>
      </w:r>
    </w:p>
    <w:p w14:paraId="2B7E65B3" w14:textId="77777777" w:rsidR="004570D7" w:rsidRPr="004570D7" w:rsidRDefault="004570D7" w:rsidP="004570D7">
      <w:pPr>
        <w:rPr>
          <w:lang w:val="en-GB"/>
        </w:rPr>
      </w:pPr>
      <w:r w:rsidRPr="004570D7">
        <w:rPr>
          <w:lang w:val="en-GB"/>
        </w:rPr>
        <w:t>•</w:t>
      </w:r>
      <w:r w:rsidRPr="004570D7">
        <w:rPr>
          <w:lang w:val="en-GB"/>
        </w:rPr>
        <w:tab/>
        <w:t>Zero Trust Architecture and phishing resistant MFA to prevent credential-based attacks and contain the spread of attackers within the network.</w:t>
      </w:r>
    </w:p>
    <w:p w14:paraId="2B105314" w14:textId="65AC40BF" w:rsidR="004570D7" w:rsidRPr="004570D7" w:rsidRDefault="004570D7" w:rsidP="004570D7">
      <w:pPr>
        <w:rPr>
          <w:lang w:val="en-GB"/>
        </w:rPr>
      </w:pPr>
      <w:r w:rsidRPr="004570D7">
        <w:rPr>
          <w:lang w:val="en-GB"/>
        </w:rPr>
        <w:lastRenderedPageBreak/>
        <w:t>•</w:t>
      </w:r>
      <w:r w:rsidRPr="004570D7">
        <w:rPr>
          <w:lang w:val="en-GB"/>
        </w:rPr>
        <w:tab/>
        <w:t>The installation and deployment of an enterprise grade SIEM solution incorporating UEBA capabilities to provide HPA with enhanced behavioural visibility across their on-premises, cloud and legacy environments to underpin ongoing monitoring activities undertaken by the HPA Security team.</w:t>
      </w:r>
    </w:p>
    <w:p w14:paraId="2C4FF1F2" w14:textId="7E41EDDE" w:rsidR="004570D7" w:rsidRPr="004570D7" w:rsidRDefault="004570D7" w:rsidP="004570D7">
      <w:pPr>
        <w:rPr>
          <w:lang w:val="en-GB"/>
        </w:rPr>
      </w:pPr>
      <w:r w:rsidRPr="004570D7">
        <w:rPr>
          <w:lang w:val="en-GB"/>
        </w:rPr>
        <w:t>•</w:t>
      </w:r>
      <w:r w:rsidRPr="004570D7">
        <w:rPr>
          <w:lang w:val="en-GB"/>
        </w:rPr>
        <w:tab/>
        <w:t>Ensure that both data-at-rest and data-in-transit are encrypted and all patients’ data is secured in line with UK GDPR Article 32 and NHS Digital’s Security Processing Transparency Publication (DSPT).</w:t>
      </w:r>
    </w:p>
    <w:p w14:paraId="120195ED" w14:textId="77777777" w:rsidR="004570D7" w:rsidRPr="004570D7" w:rsidRDefault="004570D7" w:rsidP="004570D7">
      <w:pPr>
        <w:rPr>
          <w:lang w:val="en-GB"/>
        </w:rPr>
      </w:pPr>
      <w:r w:rsidRPr="004570D7">
        <w:rPr>
          <w:lang w:val="en-GB"/>
        </w:rPr>
        <w:t>•</w:t>
      </w:r>
      <w:r w:rsidRPr="004570D7">
        <w:rPr>
          <w:lang w:val="en-GB"/>
        </w:rPr>
        <w:tab/>
        <w:t>Establish, and test, incident response and business continuity processes to mitigate impact and comply with notification requirements.</w:t>
      </w:r>
    </w:p>
    <w:p w14:paraId="61E163BC" w14:textId="77777777" w:rsidR="004570D7" w:rsidRPr="004570D7" w:rsidRDefault="004570D7" w:rsidP="004570D7">
      <w:pPr>
        <w:rPr>
          <w:lang w:val="en-GB"/>
        </w:rPr>
      </w:pPr>
      <w:r w:rsidRPr="004570D7">
        <w:rPr>
          <w:lang w:val="en-GB"/>
        </w:rPr>
        <w:t>•</w:t>
      </w:r>
      <w:r w:rsidRPr="004570D7">
        <w:rPr>
          <w:lang w:val="en-GB"/>
        </w:rPr>
        <w:tab/>
        <w:t>Treat employees with role-specific training to combat security threats that are perpetuated through human error.</w:t>
      </w:r>
    </w:p>
    <w:p w14:paraId="1EBC1DCF" w14:textId="77777777" w:rsidR="004570D7" w:rsidRPr="004570D7" w:rsidRDefault="004570D7" w:rsidP="004570D7">
      <w:pPr>
        <w:rPr>
          <w:lang w:val="en-GB"/>
        </w:rPr>
      </w:pPr>
    </w:p>
    <w:p w14:paraId="59881926" w14:textId="4862B2B2" w:rsidR="00416014" w:rsidRPr="00416014" w:rsidRDefault="004570D7" w:rsidP="004570D7">
      <w:pPr>
        <w:rPr>
          <w:lang w:val="en-GB"/>
        </w:rPr>
      </w:pPr>
      <w:r w:rsidRPr="004570D7">
        <w:rPr>
          <w:lang w:val="en-GB"/>
        </w:rPr>
        <w:t xml:space="preserve">Cybersecurity should be seen in positive terms as an investment to allow business to thrive, rather than a cost. </w:t>
      </w:r>
    </w:p>
    <w:p w14:paraId="3D0B0E70" w14:textId="419DF058" w:rsidR="00C70314" w:rsidRDefault="002159B1" w:rsidP="009052AC">
      <w:pPr>
        <w:pStyle w:val="Heading1"/>
        <w:numPr>
          <w:ilvl w:val="0"/>
          <w:numId w:val="20"/>
        </w:numPr>
        <w:rPr>
          <w:rFonts w:ascii="Times New Roman" w:hAnsi="Times New Roman" w:cs="Times New Roman"/>
          <w:b/>
          <w:bCs/>
          <w:color w:val="auto"/>
          <w:sz w:val="32"/>
          <w:szCs w:val="32"/>
          <w:lang w:val="en-GB"/>
        </w:rPr>
      </w:pPr>
      <w:r w:rsidRPr="002159B1">
        <w:rPr>
          <w:rFonts w:ascii="Times New Roman" w:hAnsi="Times New Roman" w:cs="Times New Roman"/>
          <w:b/>
          <w:bCs/>
          <w:color w:val="auto"/>
          <w:sz w:val="32"/>
          <w:szCs w:val="32"/>
          <w:lang w:val="en-GB"/>
        </w:rPr>
        <w:lastRenderedPageBreak/>
        <w:t>Presentation</w:t>
      </w:r>
    </w:p>
    <w:p w14:paraId="38C226D2" w14:textId="292249B6" w:rsidR="002159B1" w:rsidRPr="002159B1" w:rsidRDefault="002159B1" w:rsidP="002159B1">
      <w:pPr>
        <w:rPr>
          <w:lang w:val="en-GB"/>
        </w:rPr>
      </w:pPr>
      <w:r w:rsidRPr="002159B1">
        <w:rPr>
          <w:lang w:val="en-GB"/>
        </w:rPr>
        <w:drawing>
          <wp:inline distT="0" distB="0" distL="0" distR="0" wp14:anchorId="6F781CAC" wp14:editId="29C3F900">
            <wp:extent cx="5731510" cy="3215005"/>
            <wp:effectExtent l="0" t="0" r="2540" b="4445"/>
            <wp:docPr id="183276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76023" name=""/>
                    <pic:cNvPicPr/>
                  </pic:nvPicPr>
                  <pic:blipFill>
                    <a:blip r:embed="rId10"/>
                    <a:stretch>
                      <a:fillRect/>
                    </a:stretch>
                  </pic:blipFill>
                  <pic:spPr>
                    <a:xfrm>
                      <a:off x="0" y="0"/>
                      <a:ext cx="5731510" cy="3215005"/>
                    </a:xfrm>
                    <a:prstGeom prst="rect">
                      <a:avLst/>
                    </a:prstGeom>
                  </pic:spPr>
                </pic:pic>
              </a:graphicData>
            </a:graphic>
          </wp:inline>
        </w:drawing>
      </w:r>
      <w:r w:rsidRPr="002159B1">
        <w:rPr>
          <w:lang w:val="en-GB"/>
        </w:rPr>
        <w:drawing>
          <wp:inline distT="0" distB="0" distL="0" distR="0" wp14:anchorId="3BA7147D" wp14:editId="54F787F2">
            <wp:extent cx="5731510" cy="3196590"/>
            <wp:effectExtent l="0" t="0" r="2540" b="3810"/>
            <wp:docPr id="1326642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642507" name=""/>
                    <pic:cNvPicPr/>
                  </pic:nvPicPr>
                  <pic:blipFill>
                    <a:blip r:embed="rId11"/>
                    <a:stretch>
                      <a:fillRect/>
                    </a:stretch>
                  </pic:blipFill>
                  <pic:spPr>
                    <a:xfrm>
                      <a:off x="0" y="0"/>
                      <a:ext cx="5731510" cy="3196590"/>
                    </a:xfrm>
                    <a:prstGeom prst="rect">
                      <a:avLst/>
                    </a:prstGeom>
                  </pic:spPr>
                </pic:pic>
              </a:graphicData>
            </a:graphic>
          </wp:inline>
        </w:drawing>
      </w:r>
      <w:r w:rsidRPr="002159B1">
        <w:rPr>
          <w:lang w:val="en-GB"/>
        </w:rPr>
        <w:lastRenderedPageBreak/>
        <w:drawing>
          <wp:inline distT="0" distB="0" distL="0" distR="0" wp14:anchorId="7FF47530" wp14:editId="28452355">
            <wp:extent cx="5731510" cy="3206750"/>
            <wp:effectExtent l="0" t="0" r="2540" b="0"/>
            <wp:docPr id="825826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826972" name=""/>
                    <pic:cNvPicPr/>
                  </pic:nvPicPr>
                  <pic:blipFill>
                    <a:blip r:embed="rId12"/>
                    <a:stretch>
                      <a:fillRect/>
                    </a:stretch>
                  </pic:blipFill>
                  <pic:spPr>
                    <a:xfrm>
                      <a:off x="0" y="0"/>
                      <a:ext cx="5731510" cy="3206750"/>
                    </a:xfrm>
                    <a:prstGeom prst="rect">
                      <a:avLst/>
                    </a:prstGeom>
                  </pic:spPr>
                </pic:pic>
              </a:graphicData>
            </a:graphic>
          </wp:inline>
        </w:drawing>
      </w:r>
      <w:r w:rsidRPr="002159B1">
        <w:rPr>
          <w:lang w:val="en-GB"/>
        </w:rPr>
        <w:drawing>
          <wp:inline distT="0" distB="0" distL="0" distR="0" wp14:anchorId="58719020" wp14:editId="4A6D212E">
            <wp:extent cx="5731510" cy="3200400"/>
            <wp:effectExtent l="0" t="0" r="2540" b="0"/>
            <wp:docPr id="597222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222127" name=""/>
                    <pic:cNvPicPr/>
                  </pic:nvPicPr>
                  <pic:blipFill>
                    <a:blip r:embed="rId13"/>
                    <a:stretch>
                      <a:fillRect/>
                    </a:stretch>
                  </pic:blipFill>
                  <pic:spPr>
                    <a:xfrm>
                      <a:off x="0" y="0"/>
                      <a:ext cx="5731510" cy="3200400"/>
                    </a:xfrm>
                    <a:prstGeom prst="rect">
                      <a:avLst/>
                    </a:prstGeom>
                  </pic:spPr>
                </pic:pic>
              </a:graphicData>
            </a:graphic>
          </wp:inline>
        </w:drawing>
      </w:r>
      <w:r w:rsidRPr="002159B1">
        <w:rPr>
          <w:lang w:val="en-GB"/>
        </w:rPr>
        <w:lastRenderedPageBreak/>
        <w:drawing>
          <wp:inline distT="0" distB="0" distL="0" distR="0" wp14:anchorId="1A6F9FF0" wp14:editId="0D25EAE0">
            <wp:extent cx="5731510" cy="3202305"/>
            <wp:effectExtent l="0" t="0" r="2540" b="0"/>
            <wp:docPr id="550110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110536" name=""/>
                    <pic:cNvPicPr/>
                  </pic:nvPicPr>
                  <pic:blipFill>
                    <a:blip r:embed="rId14"/>
                    <a:stretch>
                      <a:fillRect/>
                    </a:stretch>
                  </pic:blipFill>
                  <pic:spPr>
                    <a:xfrm>
                      <a:off x="0" y="0"/>
                      <a:ext cx="5731510" cy="3202305"/>
                    </a:xfrm>
                    <a:prstGeom prst="rect">
                      <a:avLst/>
                    </a:prstGeom>
                  </pic:spPr>
                </pic:pic>
              </a:graphicData>
            </a:graphic>
          </wp:inline>
        </w:drawing>
      </w:r>
      <w:r w:rsidRPr="002159B1">
        <w:rPr>
          <w:lang w:val="en-GB"/>
        </w:rPr>
        <w:drawing>
          <wp:inline distT="0" distB="0" distL="0" distR="0" wp14:anchorId="678421BC" wp14:editId="61412D17">
            <wp:extent cx="5731510" cy="3208655"/>
            <wp:effectExtent l="0" t="0" r="2540" b="0"/>
            <wp:docPr id="816861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861820" name=""/>
                    <pic:cNvPicPr/>
                  </pic:nvPicPr>
                  <pic:blipFill>
                    <a:blip r:embed="rId15"/>
                    <a:stretch>
                      <a:fillRect/>
                    </a:stretch>
                  </pic:blipFill>
                  <pic:spPr>
                    <a:xfrm>
                      <a:off x="0" y="0"/>
                      <a:ext cx="5731510" cy="3208655"/>
                    </a:xfrm>
                    <a:prstGeom prst="rect">
                      <a:avLst/>
                    </a:prstGeom>
                  </pic:spPr>
                </pic:pic>
              </a:graphicData>
            </a:graphic>
          </wp:inline>
        </w:drawing>
      </w:r>
      <w:r w:rsidRPr="002159B1">
        <w:rPr>
          <w:lang w:val="en-GB"/>
        </w:rPr>
        <w:lastRenderedPageBreak/>
        <w:drawing>
          <wp:inline distT="0" distB="0" distL="0" distR="0" wp14:anchorId="11F31B38" wp14:editId="4954A35A">
            <wp:extent cx="5731510" cy="3212465"/>
            <wp:effectExtent l="0" t="0" r="2540" b="6985"/>
            <wp:docPr id="1654642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642822" name=""/>
                    <pic:cNvPicPr/>
                  </pic:nvPicPr>
                  <pic:blipFill>
                    <a:blip r:embed="rId16"/>
                    <a:stretch>
                      <a:fillRect/>
                    </a:stretch>
                  </pic:blipFill>
                  <pic:spPr>
                    <a:xfrm>
                      <a:off x="0" y="0"/>
                      <a:ext cx="5731510" cy="3212465"/>
                    </a:xfrm>
                    <a:prstGeom prst="rect">
                      <a:avLst/>
                    </a:prstGeom>
                  </pic:spPr>
                </pic:pic>
              </a:graphicData>
            </a:graphic>
          </wp:inline>
        </w:drawing>
      </w:r>
      <w:r w:rsidRPr="002159B1">
        <w:rPr>
          <w:lang w:val="en-GB"/>
        </w:rPr>
        <w:drawing>
          <wp:inline distT="0" distB="0" distL="0" distR="0" wp14:anchorId="7DE23812" wp14:editId="7030F73C">
            <wp:extent cx="5731510" cy="3213735"/>
            <wp:effectExtent l="0" t="0" r="2540" b="5715"/>
            <wp:docPr id="242669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669163" name=""/>
                    <pic:cNvPicPr/>
                  </pic:nvPicPr>
                  <pic:blipFill>
                    <a:blip r:embed="rId17"/>
                    <a:stretch>
                      <a:fillRect/>
                    </a:stretch>
                  </pic:blipFill>
                  <pic:spPr>
                    <a:xfrm>
                      <a:off x="0" y="0"/>
                      <a:ext cx="5731510" cy="3213735"/>
                    </a:xfrm>
                    <a:prstGeom prst="rect">
                      <a:avLst/>
                    </a:prstGeom>
                  </pic:spPr>
                </pic:pic>
              </a:graphicData>
            </a:graphic>
          </wp:inline>
        </w:drawing>
      </w:r>
      <w:r w:rsidRPr="002159B1">
        <w:rPr>
          <w:lang w:val="en-GB"/>
        </w:rPr>
        <w:lastRenderedPageBreak/>
        <w:drawing>
          <wp:inline distT="0" distB="0" distL="0" distR="0" wp14:anchorId="7882C97C" wp14:editId="5795C033">
            <wp:extent cx="5731510" cy="3208655"/>
            <wp:effectExtent l="0" t="0" r="2540" b="0"/>
            <wp:docPr id="1043654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654547" name=""/>
                    <pic:cNvPicPr/>
                  </pic:nvPicPr>
                  <pic:blipFill>
                    <a:blip r:embed="rId18"/>
                    <a:stretch>
                      <a:fillRect/>
                    </a:stretch>
                  </pic:blipFill>
                  <pic:spPr>
                    <a:xfrm>
                      <a:off x="0" y="0"/>
                      <a:ext cx="5731510" cy="3208655"/>
                    </a:xfrm>
                    <a:prstGeom prst="rect">
                      <a:avLst/>
                    </a:prstGeom>
                  </pic:spPr>
                </pic:pic>
              </a:graphicData>
            </a:graphic>
          </wp:inline>
        </w:drawing>
      </w:r>
      <w:r w:rsidRPr="002159B1">
        <w:rPr>
          <w:lang w:val="en-GB"/>
        </w:rPr>
        <w:drawing>
          <wp:inline distT="0" distB="0" distL="0" distR="0" wp14:anchorId="23729BBE" wp14:editId="46934643">
            <wp:extent cx="5731510" cy="3228975"/>
            <wp:effectExtent l="0" t="0" r="2540" b="9525"/>
            <wp:docPr id="666360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360610" name=""/>
                    <pic:cNvPicPr/>
                  </pic:nvPicPr>
                  <pic:blipFill>
                    <a:blip r:embed="rId19"/>
                    <a:stretch>
                      <a:fillRect/>
                    </a:stretch>
                  </pic:blipFill>
                  <pic:spPr>
                    <a:xfrm>
                      <a:off x="0" y="0"/>
                      <a:ext cx="5731510" cy="3228975"/>
                    </a:xfrm>
                    <a:prstGeom prst="rect">
                      <a:avLst/>
                    </a:prstGeom>
                  </pic:spPr>
                </pic:pic>
              </a:graphicData>
            </a:graphic>
          </wp:inline>
        </w:drawing>
      </w:r>
    </w:p>
    <w:sectPr w:rsidR="002159B1" w:rsidRPr="002159B1" w:rsidSect="00EA3F67">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B21E1D" w14:textId="77777777" w:rsidR="006E3CC8" w:rsidRDefault="006E3CC8" w:rsidP="00237AAC">
      <w:pPr>
        <w:spacing w:after="0" w:line="240" w:lineRule="auto"/>
      </w:pPr>
      <w:r>
        <w:separator/>
      </w:r>
    </w:p>
  </w:endnote>
  <w:endnote w:type="continuationSeparator" w:id="0">
    <w:p w14:paraId="3B163D6B" w14:textId="77777777" w:rsidR="006E3CC8" w:rsidRDefault="006E3CC8"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6C322D" w14:textId="77777777" w:rsidR="006E3CC8" w:rsidRDefault="006E3CC8" w:rsidP="00237AAC">
      <w:pPr>
        <w:spacing w:after="0" w:line="240" w:lineRule="auto"/>
      </w:pPr>
      <w:r>
        <w:separator/>
      </w:r>
    </w:p>
  </w:footnote>
  <w:footnote w:type="continuationSeparator" w:id="0">
    <w:p w14:paraId="07962F76" w14:textId="77777777" w:rsidR="006E3CC8" w:rsidRDefault="006E3CC8"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5E94475"/>
    <w:multiLevelType w:val="hybridMultilevel"/>
    <w:tmpl w:val="181A21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AF5521"/>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F912697"/>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194B6A"/>
    <w:multiLevelType w:val="multilevel"/>
    <w:tmpl w:val="4844B920"/>
    <w:lvl w:ilvl="0">
      <w:start w:val="1"/>
      <w:numFmt w:val="decimal"/>
      <w:lvlText w:val="%1."/>
      <w:lvlJc w:val="left"/>
      <w:pPr>
        <w:ind w:left="720" w:hanging="360"/>
      </w:pPr>
      <w:rPr>
        <w:rFonts w:ascii="Times New Roman" w:hAnsi="Times New Roman" w:cs="Times New Roman" w:hint="default"/>
        <w:color w:val="000000" w:themeColor="text1"/>
        <w:sz w:val="32"/>
        <w:szCs w:val="32"/>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2A9B3EE5"/>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083134"/>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2D0FEF"/>
    <w:multiLevelType w:val="multilevel"/>
    <w:tmpl w:val="B7B67044"/>
    <w:lvl w:ilvl="0">
      <w:start w:val="5"/>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72BC6FFF"/>
    <w:multiLevelType w:val="hybridMultilevel"/>
    <w:tmpl w:val="C7848D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B85269"/>
    <w:multiLevelType w:val="multilevel"/>
    <w:tmpl w:val="4844B920"/>
    <w:lvl w:ilvl="0">
      <w:start w:val="1"/>
      <w:numFmt w:val="decimal"/>
      <w:lvlText w:val="%1."/>
      <w:lvlJc w:val="left"/>
      <w:pPr>
        <w:ind w:left="720" w:hanging="360"/>
      </w:pPr>
      <w:rPr>
        <w:rFonts w:ascii="Times New Roman" w:hAnsi="Times New Roman" w:cs="Times New Roman" w:hint="default"/>
        <w:color w:val="000000" w:themeColor="text1"/>
        <w:sz w:val="32"/>
        <w:szCs w:val="32"/>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8"/>
  </w:num>
  <w:num w:numId="2" w16cid:durableId="986477931">
    <w:abstractNumId w:val="16"/>
  </w:num>
  <w:num w:numId="3" w16cid:durableId="109668438">
    <w:abstractNumId w:val="19"/>
  </w:num>
  <w:num w:numId="4" w16cid:durableId="816528024">
    <w:abstractNumId w:val="25"/>
  </w:num>
  <w:num w:numId="5" w16cid:durableId="1430393383">
    <w:abstractNumId w:val="22"/>
  </w:num>
  <w:num w:numId="6" w16cid:durableId="1824466593">
    <w:abstractNumId w:val="4"/>
  </w:num>
  <w:num w:numId="7" w16cid:durableId="872423946">
    <w:abstractNumId w:val="2"/>
  </w:num>
  <w:num w:numId="8" w16cid:durableId="1204249372">
    <w:abstractNumId w:val="14"/>
  </w:num>
  <w:num w:numId="9" w16cid:durableId="1108542330">
    <w:abstractNumId w:val="21"/>
  </w:num>
  <w:num w:numId="10" w16cid:durableId="139662970">
    <w:abstractNumId w:val="0"/>
  </w:num>
  <w:num w:numId="11" w16cid:durableId="2117362102">
    <w:abstractNumId w:val="13"/>
  </w:num>
  <w:num w:numId="12" w16cid:durableId="1886486162">
    <w:abstractNumId w:val="27"/>
  </w:num>
  <w:num w:numId="13" w16cid:durableId="2076928035">
    <w:abstractNumId w:val="1"/>
  </w:num>
  <w:num w:numId="14" w16cid:durableId="2081126105">
    <w:abstractNumId w:val="5"/>
  </w:num>
  <w:num w:numId="15" w16cid:durableId="171723733">
    <w:abstractNumId w:val="20"/>
  </w:num>
  <w:num w:numId="16" w16cid:durableId="593322404">
    <w:abstractNumId w:val="17"/>
  </w:num>
  <w:num w:numId="17" w16cid:durableId="1686251031">
    <w:abstractNumId w:val="8"/>
  </w:num>
  <w:num w:numId="18" w16cid:durableId="1498418867">
    <w:abstractNumId w:val="3"/>
  </w:num>
  <w:num w:numId="19" w16cid:durableId="1468358145">
    <w:abstractNumId w:val="10"/>
  </w:num>
  <w:num w:numId="20" w16cid:durableId="1249584957">
    <w:abstractNumId w:val="26"/>
  </w:num>
  <w:num w:numId="21" w16cid:durableId="638456324">
    <w:abstractNumId w:val="9"/>
  </w:num>
  <w:num w:numId="22" w16cid:durableId="301931375">
    <w:abstractNumId w:val="7"/>
  </w:num>
  <w:num w:numId="23" w16cid:durableId="370542987">
    <w:abstractNumId w:val="12"/>
  </w:num>
  <w:num w:numId="24" w16cid:durableId="1437023026">
    <w:abstractNumId w:val="15"/>
  </w:num>
  <w:num w:numId="25" w16cid:durableId="718477713">
    <w:abstractNumId w:val="23"/>
  </w:num>
  <w:num w:numId="26" w16cid:durableId="658073460">
    <w:abstractNumId w:val="11"/>
  </w:num>
  <w:num w:numId="27" w16cid:durableId="1836529991">
    <w:abstractNumId w:val="6"/>
  </w:num>
  <w:num w:numId="28" w16cid:durableId="134512850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3188"/>
    <w:rsid w:val="00007B1F"/>
    <w:rsid w:val="00014757"/>
    <w:rsid w:val="00030750"/>
    <w:rsid w:val="00031E83"/>
    <w:rsid w:val="00034390"/>
    <w:rsid w:val="00035DC8"/>
    <w:rsid w:val="00037E46"/>
    <w:rsid w:val="000417A6"/>
    <w:rsid w:val="000450BC"/>
    <w:rsid w:val="000552AB"/>
    <w:rsid w:val="00062E69"/>
    <w:rsid w:val="00064C75"/>
    <w:rsid w:val="00081F11"/>
    <w:rsid w:val="00087C0F"/>
    <w:rsid w:val="00094078"/>
    <w:rsid w:val="0009539A"/>
    <w:rsid w:val="000A299B"/>
    <w:rsid w:val="000A58B4"/>
    <w:rsid w:val="000A782C"/>
    <w:rsid w:val="000A7A8E"/>
    <w:rsid w:val="000B56B7"/>
    <w:rsid w:val="000B6CDC"/>
    <w:rsid w:val="000C410C"/>
    <w:rsid w:val="000C72D5"/>
    <w:rsid w:val="000D2480"/>
    <w:rsid w:val="000D2539"/>
    <w:rsid w:val="000D63C7"/>
    <w:rsid w:val="000E05C2"/>
    <w:rsid w:val="000E3BEA"/>
    <w:rsid w:val="000E3DF9"/>
    <w:rsid w:val="000E3F2C"/>
    <w:rsid w:val="000E6002"/>
    <w:rsid w:val="000F5F5E"/>
    <w:rsid w:val="000F7CA5"/>
    <w:rsid w:val="00101A54"/>
    <w:rsid w:val="00104D88"/>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3B8A"/>
    <w:rsid w:val="0015505F"/>
    <w:rsid w:val="001564EC"/>
    <w:rsid w:val="00162CFE"/>
    <w:rsid w:val="001702C1"/>
    <w:rsid w:val="00174879"/>
    <w:rsid w:val="0018271B"/>
    <w:rsid w:val="001835DA"/>
    <w:rsid w:val="00190F08"/>
    <w:rsid w:val="00195F28"/>
    <w:rsid w:val="001974D8"/>
    <w:rsid w:val="00197824"/>
    <w:rsid w:val="001A4C82"/>
    <w:rsid w:val="001A6A1C"/>
    <w:rsid w:val="001A7558"/>
    <w:rsid w:val="001B0A67"/>
    <w:rsid w:val="001B3B94"/>
    <w:rsid w:val="001B6DC8"/>
    <w:rsid w:val="001C14E9"/>
    <w:rsid w:val="001C3963"/>
    <w:rsid w:val="001C693E"/>
    <w:rsid w:val="001C6E44"/>
    <w:rsid w:val="001D1AE1"/>
    <w:rsid w:val="001D2E1A"/>
    <w:rsid w:val="001D6D28"/>
    <w:rsid w:val="001E7AEF"/>
    <w:rsid w:val="002015D5"/>
    <w:rsid w:val="0020318C"/>
    <w:rsid w:val="00210515"/>
    <w:rsid w:val="00210971"/>
    <w:rsid w:val="002159B1"/>
    <w:rsid w:val="00215A8B"/>
    <w:rsid w:val="00220889"/>
    <w:rsid w:val="0022467B"/>
    <w:rsid w:val="002324C8"/>
    <w:rsid w:val="00236F4E"/>
    <w:rsid w:val="00237AAC"/>
    <w:rsid w:val="00237E3D"/>
    <w:rsid w:val="002409D2"/>
    <w:rsid w:val="00245F1D"/>
    <w:rsid w:val="00247576"/>
    <w:rsid w:val="00247772"/>
    <w:rsid w:val="00250AEC"/>
    <w:rsid w:val="0025194D"/>
    <w:rsid w:val="002559FD"/>
    <w:rsid w:val="00255DB3"/>
    <w:rsid w:val="0025729B"/>
    <w:rsid w:val="002575E6"/>
    <w:rsid w:val="0026013D"/>
    <w:rsid w:val="002636D2"/>
    <w:rsid w:val="00272F33"/>
    <w:rsid w:val="0027373A"/>
    <w:rsid w:val="002751EC"/>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7C59"/>
    <w:rsid w:val="002C43C8"/>
    <w:rsid w:val="002C47E8"/>
    <w:rsid w:val="002C4DE5"/>
    <w:rsid w:val="002C720F"/>
    <w:rsid w:val="002D0DF0"/>
    <w:rsid w:val="002D165F"/>
    <w:rsid w:val="002D7D62"/>
    <w:rsid w:val="002E0416"/>
    <w:rsid w:val="002E4922"/>
    <w:rsid w:val="00307FC1"/>
    <w:rsid w:val="00313079"/>
    <w:rsid w:val="00320393"/>
    <w:rsid w:val="0032529D"/>
    <w:rsid w:val="00331833"/>
    <w:rsid w:val="003334E5"/>
    <w:rsid w:val="00340B85"/>
    <w:rsid w:val="00345C81"/>
    <w:rsid w:val="00345EEF"/>
    <w:rsid w:val="00347479"/>
    <w:rsid w:val="00350507"/>
    <w:rsid w:val="0035543C"/>
    <w:rsid w:val="003671A8"/>
    <w:rsid w:val="00367B31"/>
    <w:rsid w:val="003703BA"/>
    <w:rsid w:val="00371E8F"/>
    <w:rsid w:val="00377E85"/>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C0434"/>
    <w:rsid w:val="003C2ACD"/>
    <w:rsid w:val="003C4AC1"/>
    <w:rsid w:val="003D50CF"/>
    <w:rsid w:val="003E0EFC"/>
    <w:rsid w:val="003E6506"/>
    <w:rsid w:val="003E6726"/>
    <w:rsid w:val="003F3185"/>
    <w:rsid w:val="003F7DE2"/>
    <w:rsid w:val="00400BE5"/>
    <w:rsid w:val="004011D0"/>
    <w:rsid w:val="004131CD"/>
    <w:rsid w:val="004135C8"/>
    <w:rsid w:val="004141DA"/>
    <w:rsid w:val="0041430E"/>
    <w:rsid w:val="00416014"/>
    <w:rsid w:val="004161BF"/>
    <w:rsid w:val="004200C5"/>
    <w:rsid w:val="0042374D"/>
    <w:rsid w:val="00424EFB"/>
    <w:rsid w:val="00426842"/>
    <w:rsid w:val="00427BC4"/>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0D7"/>
    <w:rsid w:val="00457801"/>
    <w:rsid w:val="004619CE"/>
    <w:rsid w:val="00461E4B"/>
    <w:rsid w:val="004625B1"/>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A770B"/>
    <w:rsid w:val="004B1672"/>
    <w:rsid w:val="004B3EF7"/>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260D4"/>
    <w:rsid w:val="0053181B"/>
    <w:rsid w:val="0054351C"/>
    <w:rsid w:val="005438B4"/>
    <w:rsid w:val="005521F9"/>
    <w:rsid w:val="005522EB"/>
    <w:rsid w:val="00554D61"/>
    <w:rsid w:val="0056320E"/>
    <w:rsid w:val="0056667B"/>
    <w:rsid w:val="00571BE5"/>
    <w:rsid w:val="00573119"/>
    <w:rsid w:val="005738E3"/>
    <w:rsid w:val="005766BB"/>
    <w:rsid w:val="00582B05"/>
    <w:rsid w:val="00590BBC"/>
    <w:rsid w:val="005A0A7F"/>
    <w:rsid w:val="005A0C91"/>
    <w:rsid w:val="005A49BB"/>
    <w:rsid w:val="005A5393"/>
    <w:rsid w:val="005B2616"/>
    <w:rsid w:val="005B2763"/>
    <w:rsid w:val="005B2CD1"/>
    <w:rsid w:val="005B469D"/>
    <w:rsid w:val="005C7738"/>
    <w:rsid w:val="005D43DC"/>
    <w:rsid w:val="005D5071"/>
    <w:rsid w:val="005D52D2"/>
    <w:rsid w:val="0060600B"/>
    <w:rsid w:val="00610933"/>
    <w:rsid w:val="00611821"/>
    <w:rsid w:val="00615E47"/>
    <w:rsid w:val="006164A0"/>
    <w:rsid w:val="006219E0"/>
    <w:rsid w:val="0062489E"/>
    <w:rsid w:val="00625F4F"/>
    <w:rsid w:val="00633EAF"/>
    <w:rsid w:val="0063492C"/>
    <w:rsid w:val="00636577"/>
    <w:rsid w:val="0064334D"/>
    <w:rsid w:val="006515BE"/>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B20BF"/>
    <w:rsid w:val="006B662B"/>
    <w:rsid w:val="006C1DC2"/>
    <w:rsid w:val="006C2710"/>
    <w:rsid w:val="006C2E82"/>
    <w:rsid w:val="006C3859"/>
    <w:rsid w:val="006C7AA6"/>
    <w:rsid w:val="006D2CAA"/>
    <w:rsid w:val="006D48EF"/>
    <w:rsid w:val="006D5AC7"/>
    <w:rsid w:val="006D6B23"/>
    <w:rsid w:val="006E3CC8"/>
    <w:rsid w:val="006F13E3"/>
    <w:rsid w:val="006F4F4E"/>
    <w:rsid w:val="00701CCA"/>
    <w:rsid w:val="0070723F"/>
    <w:rsid w:val="007105D6"/>
    <w:rsid w:val="00715D98"/>
    <w:rsid w:val="0071782A"/>
    <w:rsid w:val="00724C68"/>
    <w:rsid w:val="00730C8A"/>
    <w:rsid w:val="00733A9D"/>
    <w:rsid w:val="00734B22"/>
    <w:rsid w:val="00735945"/>
    <w:rsid w:val="00737A12"/>
    <w:rsid w:val="0074170A"/>
    <w:rsid w:val="00746611"/>
    <w:rsid w:val="00752EC0"/>
    <w:rsid w:val="00754606"/>
    <w:rsid w:val="00755A28"/>
    <w:rsid w:val="00756BAA"/>
    <w:rsid w:val="007630D4"/>
    <w:rsid w:val="00766945"/>
    <w:rsid w:val="00777643"/>
    <w:rsid w:val="00786CEC"/>
    <w:rsid w:val="00791CE9"/>
    <w:rsid w:val="00797274"/>
    <w:rsid w:val="007A1B60"/>
    <w:rsid w:val="007A331E"/>
    <w:rsid w:val="007A5649"/>
    <w:rsid w:val="007A7E10"/>
    <w:rsid w:val="007C222F"/>
    <w:rsid w:val="007C2756"/>
    <w:rsid w:val="007C5DCE"/>
    <w:rsid w:val="007D294B"/>
    <w:rsid w:val="007E0468"/>
    <w:rsid w:val="007E115E"/>
    <w:rsid w:val="007E2F0C"/>
    <w:rsid w:val="007E4723"/>
    <w:rsid w:val="007E582C"/>
    <w:rsid w:val="007F279E"/>
    <w:rsid w:val="007F3CAB"/>
    <w:rsid w:val="007F513D"/>
    <w:rsid w:val="0080147D"/>
    <w:rsid w:val="00803170"/>
    <w:rsid w:val="00806882"/>
    <w:rsid w:val="008112F7"/>
    <w:rsid w:val="00811659"/>
    <w:rsid w:val="00830DBB"/>
    <w:rsid w:val="00835E4A"/>
    <w:rsid w:val="00836A1A"/>
    <w:rsid w:val="00836F03"/>
    <w:rsid w:val="0083716A"/>
    <w:rsid w:val="0083782B"/>
    <w:rsid w:val="0084065F"/>
    <w:rsid w:val="00841403"/>
    <w:rsid w:val="00847273"/>
    <w:rsid w:val="008505DB"/>
    <w:rsid w:val="00851286"/>
    <w:rsid w:val="0085681F"/>
    <w:rsid w:val="00866C18"/>
    <w:rsid w:val="00871E87"/>
    <w:rsid w:val="008767F9"/>
    <w:rsid w:val="00881688"/>
    <w:rsid w:val="00885228"/>
    <w:rsid w:val="00891AC9"/>
    <w:rsid w:val="00892B46"/>
    <w:rsid w:val="008934F9"/>
    <w:rsid w:val="00894F49"/>
    <w:rsid w:val="00897CCD"/>
    <w:rsid w:val="008A268A"/>
    <w:rsid w:val="008A2C73"/>
    <w:rsid w:val="008A37E4"/>
    <w:rsid w:val="008A45AC"/>
    <w:rsid w:val="008A5809"/>
    <w:rsid w:val="008B044C"/>
    <w:rsid w:val="008B1684"/>
    <w:rsid w:val="008B3B99"/>
    <w:rsid w:val="008B56C4"/>
    <w:rsid w:val="008C12FA"/>
    <w:rsid w:val="008D0396"/>
    <w:rsid w:val="008D0FF2"/>
    <w:rsid w:val="008D44E6"/>
    <w:rsid w:val="008E0686"/>
    <w:rsid w:val="008E1385"/>
    <w:rsid w:val="008E1920"/>
    <w:rsid w:val="008E203F"/>
    <w:rsid w:val="008E3959"/>
    <w:rsid w:val="008E6B30"/>
    <w:rsid w:val="008F3A06"/>
    <w:rsid w:val="008F551C"/>
    <w:rsid w:val="00900246"/>
    <w:rsid w:val="00902C8C"/>
    <w:rsid w:val="009052AC"/>
    <w:rsid w:val="009066CD"/>
    <w:rsid w:val="00907D59"/>
    <w:rsid w:val="00907EAE"/>
    <w:rsid w:val="009133C6"/>
    <w:rsid w:val="0091386F"/>
    <w:rsid w:val="00914D7F"/>
    <w:rsid w:val="00915072"/>
    <w:rsid w:val="009164EE"/>
    <w:rsid w:val="00917B66"/>
    <w:rsid w:val="00921099"/>
    <w:rsid w:val="00921CF2"/>
    <w:rsid w:val="00922086"/>
    <w:rsid w:val="0092518F"/>
    <w:rsid w:val="00933236"/>
    <w:rsid w:val="009361A9"/>
    <w:rsid w:val="00936385"/>
    <w:rsid w:val="009428E4"/>
    <w:rsid w:val="009439B1"/>
    <w:rsid w:val="009458EB"/>
    <w:rsid w:val="00947569"/>
    <w:rsid w:val="0095062C"/>
    <w:rsid w:val="00960E08"/>
    <w:rsid w:val="009615EE"/>
    <w:rsid w:val="009619D2"/>
    <w:rsid w:val="00966711"/>
    <w:rsid w:val="009708E8"/>
    <w:rsid w:val="00983E56"/>
    <w:rsid w:val="0098612F"/>
    <w:rsid w:val="00994CBE"/>
    <w:rsid w:val="0099637D"/>
    <w:rsid w:val="009A002E"/>
    <w:rsid w:val="009A1984"/>
    <w:rsid w:val="009A1C12"/>
    <w:rsid w:val="009A3D77"/>
    <w:rsid w:val="009A56DD"/>
    <w:rsid w:val="009A709D"/>
    <w:rsid w:val="009A78CE"/>
    <w:rsid w:val="009B41EC"/>
    <w:rsid w:val="009B4312"/>
    <w:rsid w:val="009C2321"/>
    <w:rsid w:val="009C6112"/>
    <w:rsid w:val="009D231A"/>
    <w:rsid w:val="009D4C68"/>
    <w:rsid w:val="009D5405"/>
    <w:rsid w:val="009D601A"/>
    <w:rsid w:val="009D6D80"/>
    <w:rsid w:val="009E0311"/>
    <w:rsid w:val="009E4FCC"/>
    <w:rsid w:val="009E6F7E"/>
    <w:rsid w:val="009F208E"/>
    <w:rsid w:val="009F24B6"/>
    <w:rsid w:val="00A0314F"/>
    <w:rsid w:val="00A0453A"/>
    <w:rsid w:val="00A07AA5"/>
    <w:rsid w:val="00A10EDC"/>
    <w:rsid w:val="00A152F8"/>
    <w:rsid w:val="00A16EF6"/>
    <w:rsid w:val="00A17CEE"/>
    <w:rsid w:val="00A20BB3"/>
    <w:rsid w:val="00A21BEF"/>
    <w:rsid w:val="00A23A96"/>
    <w:rsid w:val="00A2441E"/>
    <w:rsid w:val="00A27EB6"/>
    <w:rsid w:val="00A31F36"/>
    <w:rsid w:val="00A419E2"/>
    <w:rsid w:val="00A41C89"/>
    <w:rsid w:val="00A43EF6"/>
    <w:rsid w:val="00A458EB"/>
    <w:rsid w:val="00A5158D"/>
    <w:rsid w:val="00A628B5"/>
    <w:rsid w:val="00A65B3A"/>
    <w:rsid w:val="00A676AC"/>
    <w:rsid w:val="00A75636"/>
    <w:rsid w:val="00A81307"/>
    <w:rsid w:val="00A849D9"/>
    <w:rsid w:val="00A90BC0"/>
    <w:rsid w:val="00AB075C"/>
    <w:rsid w:val="00AB1E49"/>
    <w:rsid w:val="00AB35DB"/>
    <w:rsid w:val="00AC003C"/>
    <w:rsid w:val="00AC3903"/>
    <w:rsid w:val="00AC6776"/>
    <w:rsid w:val="00AC6C7C"/>
    <w:rsid w:val="00AC6FBE"/>
    <w:rsid w:val="00AD719D"/>
    <w:rsid w:val="00AD7263"/>
    <w:rsid w:val="00AE466A"/>
    <w:rsid w:val="00AF0ED6"/>
    <w:rsid w:val="00AF23AF"/>
    <w:rsid w:val="00AF4541"/>
    <w:rsid w:val="00AF72C1"/>
    <w:rsid w:val="00B02840"/>
    <w:rsid w:val="00B03D32"/>
    <w:rsid w:val="00B04B87"/>
    <w:rsid w:val="00B050E7"/>
    <w:rsid w:val="00B06F25"/>
    <w:rsid w:val="00B13B8D"/>
    <w:rsid w:val="00B22BD0"/>
    <w:rsid w:val="00B3205A"/>
    <w:rsid w:val="00B32CE2"/>
    <w:rsid w:val="00B34338"/>
    <w:rsid w:val="00B427A0"/>
    <w:rsid w:val="00B475F9"/>
    <w:rsid w:val="00B52065"/>
    <w:rsid w:val="00B600DA"/>
    <w:rsid w:val="00B6196C"/>
    <w:rsid w:val="00B62A0F"/>
    <w:rsid w:val="00B669DB"/>
    <w:rsid w:val="00B67A66"/>
    <w:rsid w:val="00B70913"/>
    <w:rsid w:val="00B7112B"/>
    <w:rsid w:val="00B716F9"/>
    <w:rsid w:val="00B75AF5"/>
    <w:rsid w:val="00B80A53"/>
    <w:rsid w:val="00B930CA"/>
    <w:rsid w:val="00BA231A"/>
    <w:rsid w:val="00BA4F9C"/>
    <w:rsid w:val="00BA77FC"/>
    <w:rsid w:val="00BB1FDC"/>
    <w:rsid w:val="00BB2583"/>
    <w:rsid w:val="00BB6C83"/>
    <w:rsid w:val="00BC7110"/>
    <w:rsid w:val="00BD0F0C"/>
    <w:rsid w:val="00BD1FC8"/>
    <w:rsid w:val="00BD4B41"/>
    <w:rsid w:val="00BF4E08"/>
    <w:rsid w:val="00BF5A22"/>
    <w:rsid w:val="00C03A50"/>
    <w:rsid w:val="00C06DED"/>
    <w:rsid w:val="00C11373"/>
    <w:rsid w:val="00C12622"/>
    <w:rsid w:val="00C202F7"/>
    <w:rsid w:val="00C30DA4"/>
    <w:rsid w:val="00C32984"/>
    <w:rsid w:val="00C3553A"/>
    <w:rsid w:val="00C36BE2"/>
    <w:rsid w:val="00C410BE"/>
    <w:rsid w:val="00C42832"/>
    <w:rsid w:val="00C47DB7"/>
    <w:rsid w:val="00C5278F"/>
    <w:rsid w:val="00C53058"/>
    <w:rsid w:val="00C53342"/>
    <w:rsid w:val="00C53A9D"/>
    <w:rsid w:val="00C673E3"/>
    <w:rsid w:val="00C70314"/>
    <w:rsid w:val="00C704BE"/>
    <w:rsid w:val="00C733F0"/>
    <w:rsid w:val="00C774B9"/>
    <w:rsid w:val="00C81EF6"/>
    <w:rsid w:val="00C85167"/>
    <w:rsid w:val="00C85A07"/>
    <w:rsid w:val="00C86AF0"/>
    <w:rsid w:val="00C870E2"/>
    <w:rsid w:val="00C873B0"/>
    <w:rsid w:val="00C90581"/>
    <w:rsid w:val="00C91F85"/>
    <w:rsid w:val="00C93457"/>
    <w:rsid w:val="00CA667E"/>
    <w:rsid w:val="00CB3B38"/>
    <w:rsid w:val="00CB66C6"/>
    <w:rsid w:val="00CC1EB6"/>
    <w:rsid w:val="00CD1F31"/>
    <w:rsid w:val="00CD4EAC"/>
    <w:rsid w:val="00CD7A8A"/>
    <w:rsid w:val="00CD7DFE"/>
    <w:rsid w:val="00CE0A0B"/>
    <w:rsid w:val="00CE1217"/>
    <w:rsid w:val="00CE16C6"/>
    <w:rsid w:val="00CE22DD"/>
    <w:rsid w:val="00CE371B"/>
    <w:rsid w:val="00CF47B8"/>
    <w:rsid w:val="00CF58B7"/>
    <w:rsid w:val="00D003FD"/>
    <w:rsid w:val="00D12D0F"/>
    <w:rsid w:val="00D1654F"/>
    <w:rsid w:val="00D17CF8"/>
    <w:rsid w:val="00D24E7F"/>
    <w:rsid w:val="00D30556"/>
    <w:rsid w:val="00D3639C"/>
    <w:rsid w:val="00D36FAD"/>
    <w:rsid w:val="00D405E2"/>
    <w:rsid w:val="00D40D80"/>
    <w:rsid w:val="00D4219C"/>
    <w:rsid w:val="00D44F0F"/>
    <w:rsid w:val="00D54E8D"/>
    <w:rsid w:val="00D640B8"/>
    <w:rsid w:val="00D6508B"/>
    <w:rsid w:val="00D661CB"/>
    <w:rsid w:val="00D67E41"/>
    <w:rsid w:val="00D73441"/>
    <w:rsid w:val="00D76872"/>
    <w:rsid w:val="00D807C6"/>
    <w:rsid w:val="00D90140"/>
    <w:rsid w:val="00D93115"/>
    <w:rsid w:val="00DA1412"/>
    <w:rsid w:val="00DA62E7"/>
    <w:rsid w:val="00DA6A9C"/>
    <w:rsid w:val="00DA7A2B"/>
    <w:rsid w:val="00DB22FB"/>
    <w:rsid w:val="00DB2609"/>
    <w:rsid w:val="00DB50C3"/>
    <w:rsid w:val="00DB51D1"/>
    <w:rsid w:val="00DB57E9"/>
    <w:rsid w:val="00DB728B"/>
    <w:rsid w:val="00DC5282"/>
    <w:rsid w:val="00DC5A98"/>
    <w:rsid w:val="00DC6F39"/>
    <w:rsid w:val="00DD0126"/>
    <w:rsid w:val="00DD0B67"/>
    <w:rsid w:val="00DD31B0"/>
    <w:rsid w:val="00DD6310"/>
    <w:rsid w:val="00DE02F2"/>
    <w:rsid w:val="00DE0F6D"/>
    <w:rsid w:val="00DE463C"/>
    <w:rsid w:val="00DF4BC5"/>
    <w:rsid w:val="00DF5E25"/>
    <w:rsid w:val="00DF6600"/>
    <w:rsid w:val="00E01985"/>
    <w:rsid w:val="00E04DAE"/>
    <w:rsid w:val="00E07A05"/>
    <w:rsid w:val="00E13C67"/>
    <w:rsid w:val="00E1616B"/>
    <w:rsid w:val="00E346FF"/>
    <w:rsid w:val="00E42B14"/>
    <w:rsid w:val="00E45BF7"/>
    <w:rsid w:val="00E55CEA"/>
    <w:rsid w:val="00E56F77"/>
    <w:rsid w:val="00E63014"/>
    <w:rsid w:val="00E66CDF"/>
    <w:rsid w:val="00E70477"/>
    <w:rsid w:val="00E707E6"/>
    <w:rsid w:val="00E73895"/>
    <w:rsid w:val="00E738AF"/>
    <w:rsid w:val="00E766A6"/>
    <w:rsid w:val="00E7739A"/>
    <w:rsid w:val="00E80EF3"/>
    <w:rsid w:val="00E87BC2"/>
    <w:rsid w:val="00E87BD4"/>
    <w:rsid w:val="00E91592"/>
    <w:rsid w:val="00E94A13"/>
    <w:rsid w:val="00E94BA2"/>
    <w:rsid w:val="00E94F6A"/>
    <w:rsid w:val="00E959C0"/>
    <w:rsid w:val="00E97C72"/>
    <w:rsid w:val="00EA1603"/>
    <w:rsid w:val="00EA1838"/>
    <w:rsid w:val="00EA2CC9"/>
    <w:rsid w:val="00EA3A28"/>
    <w:rsid w:val="00EA3F67"/>
    <w:rsid w:val="00EA49BC"/>
    <w:rsid w:val="00EB4654"/>
    <w:rsid w:val="00EC3D9A"/>
    <w:rsid w:val="00EC4E11"/>
    <w:rsid w:val="00EC62ED"/>
    <w:rsid w:val="00EC7EF5"/>
    <w:rsid w:val="00ED3612"/>
    <w:rsid w:val="00ED5E81"/>
    <w:rsid w:val="00ED7161"/>
    <w:rsid w:val="00ED7FCE"/>
    <w:rsid w:val="00EE02E2"/>
    <w:rsid w:val="00EE32FE"/>
    <w:rsid w:val="00EE3AAD"/>
    <w:rsid w:val="00EE40E1"/>
    <w:rsid w:val="00EE618A"/>
    <w:rsid w:val="00EE750F"/>
    <w:rsid w:val="00EE755B"/>
    <w:rsid w:val="00EF12A6"/>
    <w:rsid w:val="00EF3E9E"/>
    <w:rsid w:val="00EF72F4"/>
    <w:rsid w:val="00EF7850"/>
    <w:rsid w:val="00F038D9"/>
    <w:rsid w:val="00F06976"/>
    <w:rsid w:val="00F10D8E"/>
    <w:rsid w:val="00F1170E"/>
    <w:rsid w:val="00F13CB7"/>
    <w:rsid w:val="00F14476"/>
    <w:rsid w:val="00F15B0C"/>
    <w:rsid w:val="00F1698E"/>
    <w:rsid w:val="00F175DF"/>
    <w:rsid w:val="00F24C7B"/>
    <w:rsid w:val="00F264A0"/>
    <w:rsid w:val="00F274F3"/>
    <w:rsid w:val="00F307DA"/>
    <w:rsid w:val="00F3304A"/>
    <w:rsid w:val="00F34E7E"/>
    <w:rsid w:val="00F41AFF"/>
    <w:rsid w:val="00F4716B"/>
    <w:rsid w:val="00F538B2"/>
    <w:rsid w:val="00F543C6"/>
    <w:rsid w:val="00F62291"/>
    <w:rsid w:val="00F65D1C"/>
    <w:rsid w:val="00F66384"/>
    <w:rsid w:val="00F7721D"/>
    <w:rsid w:val="00F82F81"/>
    <w:rsid w:val="00F834EC"/>
    <w:rsid w:val="00F85C05"/>
    <w:rsid w:val="00F90023"/>
    <w:rsid w:val="00F96655"/>
    <w:rsid w:val="00FA122D"/>
    <w:rsid w:val="00FA37FD"/>
    <w:rsid w:val="00FA6153"/>
    <w:rsid w:val="00FA7F67"/>
    <w:rsid w:val="00FB18DF"/>
    <w:rsid w:val="00FC1BA5"/>
    <w:rsid w:val="00FC76DE"/>
    <w:rsid w:val="00FD0362"/>
    <w:rsid w:val="00FD3AEA"/>
    <w:rsid w:val="00FE0DD6"/>
    <w:rsid w:val="00FE16F7"/>
    <w:rsid w:val="00FE38E5"/>
    <w:rsid w:val="00FE4524"/>
    <w:rsid w:val="00FE5D72"/>
    <w:rsid w:val="00FF0A94"/>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1886</TotalTime>
  <Pages>16</Pages>
  <Words>3039</Words>
  <Characters>17325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Network and Cybersecurity Essentials</vt:lpstr>
    </vt:vector>
  </TitlesOfParts>
  <Company/>
  <LinksUpToDate>false</LinksUpToDate>
  <CharactersWithSpaces>20324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Cybersecurity Essentials</dc:title>
  <dc:subject/>
  <dc:creator>Maria Golovko</dc:creator>
  <cp:keywords/>
  <dc:description/>
  <cp:lastModifiedBy>Крайний Максим</cp:lastModifiedBy>
  <cp:revision>23</cp:revision>
  <dcterms:created xsi:type="dcterms:W3CDTF">2026-03-10T14:23:00Z</dcterms:created>
  <dcterms:modified xsi:type="dcterms:W3CDTF">2026-04-30T13:37:00Z</dcterms:modified>
</cp:coreProperties>
</file>