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51DFBC" w14:textId="2C89D569" w:rsidR="007B5CEA" w:rsidRPr="007B5CEA" w:rsidRDefault="007B5CEA" w:rsidP="007B5CEA">
      <w:pPr>
        <w:spacing w:before="240" w:after="80"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2009939 – Amy Drewett – ECIE6004</w:t>
      </w:r>
    </w:p>
    <w:p w14:paraId="6D011A4B" w14:textId="77777777" w:rsidR="007B5CEA" w:rsidRPr="007B5CEA" w:rsidRDefault="007B5CEA" w:rsidP="000B2A93">
      <w:pPr>
        <w:spacing w:before="240"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Education is a fundamental human right that every person should have the opportunity to access. The United Nations outline in the Declaration of Human Rights (1948) in Article 26,</w:t>
      </w:r>
    </w:p>
    <w:p w14:paraId="5E5AA34F" w14:textId="77777777" w:rsidR="007B5CEA" w:rsidRPr="007B5CEA" w:rsidRDefault="007B5CEA" w:rsidP="000B2A93">
      <w:pPr>
        <w:spacing w:afterLines="30" w:after="72" w:line="240" w:lineRule="auto"/>
        <w:ind w:left="1440"/>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‘Everyone has the right to education. Education shall be free, at least in the elementary and fundamental stages. Elementary education shall be compulsory. Technical and professional education shall be made generally available and higher education shall be equally accessible to all </w:t>
      </w:r>
      <w:proofErr w:type="gramStart"/>
      <w:r w:rsidRPr="007B5CEA">
        <w:rPr>
          <w:rFonts w:ascii="Times New Roman" w:eastAsia="Times New Roman" w:hAnsi="Times New Roman" w:cs="Times New Roman"/>
          <w:color w:val="000000"/>
          <w:kern w:val="0"/>
          <w:sz w:val="24"/>
          <w:szCs w:val="24"/>
          <w:lang w:eastAsia="en-GB"/>
          <w14:ligatures w14:val="none"/>
        </w:rPr>
        <w:t>on the basis of</w:t>
      </w:r>
      <w:proofErr w:type="gramEnd"/>
      <w:r w:rsidRPr="007B5CEA">
        <w:rPr>
          <w:rFonts w:ascii="Times New Roman" w:eastAsia="Times New Roman" w:hAnsi="Times New Roman" w:cs="Times New Roman"/>
          <w:color w:val="000000"/>
          <w:kern w:val="0"/>
          <w:sz w:val="24"/>
          <w:szCs w:val="24"/>
          <w:lang w:eastAsia="en-GB"/>
          <w14:ligatures w14:val="none"/>
        </w:rPr>
        <w:t xml:space="preserve"> merit’ (United Nations 1948).</w:t>
      </w:r>
    </w:p>
    <w:p w14:paraId="7F8A9F07" w14:textId="2CF6FFB9" w:rsidR="000B2A93" w:rsidRPr="007B5CEA" w:rsidRDefault="007B5CEA" w:rsidP="000B2A93">
      <w:pPr>
        <w:spacing w:before="240" w:afterLines="30" w:after="72" w:line="240" w:lineRule="auto"/>
        <w:jc w:val="both"/>
        <w:rPr>
          <w:rFonts w:ascii="Times New Roman" w:eastAsia="Times New Roman" w:hAnsi="Times New Roman" w:cs="Times New Roman"/>
          <w:color w:val="000000"/>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Education plays a pivotal role for sustainable progress. Education is paramount in allowing people to feel empowered, promoting economic growth, improving health outcomes, and building cohesive communities. Investing in education enables individuals to become empowered and help people achieve societal progress, individual well-being, and global development goals. The investment in education holds significance in attaining personal </w:t>
      </w:r>
      <w:r w:rsidR="000B2A93" w:rsidRPr="007B5CEA">
        <w:rPr>
          <w:rFonts w:ascii="Times New Roman" w:eastAsia="Times New Roman" w:hAnsi="Times New Roman" w:cs="Times New Roman"/>
          <w:color w:val="000000"/>
          <w:kern w:val="0"/>
          <w:sz w:val="24"/>
          <w:szCs w:val="24"/>
          <w:lang w:eastAsia="en-GB"/>
          <w14:ligatures w14:val="none"/>
        </w:rPr>
        <w:t>fulfilment</w:t>
      </w:r>
      <w:r w:rsidRPr="007B5CEA">
        <w:rPr>
          <w:rFonts w:ascii="Times New Roman" w:eastAsia="Times New Roman" w:hAnsi="Times New Roman" w:cs="Times New Roman"/>
          <w:color w:val="000000"/>
          <w:kern w:val="0"/>
          <w:sz w:val="24"/>
          <w:szCs w:val="24"/>
          <w:lang w:eastAsia="en-GB"/>
          <w14:ligatures w14:val="none"/>
        </w:rPr>
        <w:t>, social advancement, and the attainment of global developmental objectives (Leicht et al. 2018a, p.15). Globalisation is vital in the development of education across the world and in creating a more equal sustainable education. Globalisation is the process by which economies, societies, cultures, and governance systems around the world become more interconnected, interdependent, and integrated. It is primarily fuelled by advancements in technology, communication, transportation, and trade, which have made it easier to exchange goods, services, information, ideas, and even people across national boundaries. Globalisation has significantly altered the global landscape, creating a more interconnected and interdependent global community. This transformation has had far-reaching effects on various aspects of life, including the economy, society, culture, politics, environment, and education (Steger 2017, p.5).</w:t>
      </w:r>
    </w:p>
    <w:p w14:paraId="5EC929E3" w14:textId="77777777" w:rsidR="007B5CEA" w:rsidRPr="007B5CEA" w:rsidRDefault="007B5CEA" w:rsidP="000B2A93">
      <w:pPr>
        <w:spacing w:before="240"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Governments face multiple and complex challenges to overcome barriers for universal education. These include financial, infrastructure, socio-economic and cultural barriers, teacher shortages and the quality of teaching, policy, and governance challenges (Bruns et al. 2019). </w:t>
      </w: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A sustainable global education community holds power in addressing the challenges and barriers to education worldwide while allowing collaboration, innovation, and shared learning promoting collaboration, equity, innovation, and resilience, it contributes to advancing the fundamental right to quality education for all learners, while supporting the achievement of broader sustainable development goals </w:t>
      </w:r>
      <w:r w:rsidRPr="007B5CEA">
        <w:rPr>
          <w:rFonts w:ascii="Times New Roman" w:eastAsia="Times New Roman" w:hAnsi="Times New Roman" w:cs="Times New Roman"/>
          <w:color w:val="000000"/>
          <w:kern w:val="0"/>
          <w:sz w:val="24"/>
          <w:szCs w:val="24"/>
          <w:lang w:eastAsia="en-GB"/>
          <w14:ligatures w14:val="none"/>
        </w:rPr>
        <w:t>(Kioupi and Voulvoulis 2019)</w:t>
      </w: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 </w:t>
      </w:r>
      <w:r w:rsidRPr="007B5CEA">
        <w:rPr>
          <w:rFonts w:ascii="Times New Roman" w:eastAsia="Times New Roman" w:hAnsi="Times New Roman" w:cs="Times New Roman"/>
          <w:color w:val="000000"/>
          <w:kern w:val="0"/>
          <w:sz w:val="24"/>
          <w:szCs w:val="24"/>
          <w:lang w:eastAsia="en-GB"/>
          <w14:ligatures w14:val="none"/>
        </w:rPr>
        <w:t>The United Nations Educational, Scientific, and Cultural Organizational (UNESCO) has outlined in its Education for Sustainable Development (ESD), (2015) the following goal,</w:t>
      </w:r>
    </w:p>
    <w:p w14:paraId="6658D702" w14:textId="77777777" w:rsidR="007B5CEA" w:rsidRPr="007B5CEA" w:rsidRDefault="007B5CEA" w:rsidP="000B2A93">
      <w:pPr>
        <w:spacing w:afterLines="30" w:after="72" w:line="240" w:lineRule="auto"/>
        <w:ind w:left="1440"/>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‘By 2030, ensure that all learners acquire the knowledge and skills needed to promote sustainable development, including, among others, through Education for Sustainable Development and sustainable lifestyles, human rights, gender equality, promotion of a culture of peace and non-violence, global citizenship and appreciation of cultural diversity and of cultures contribution to sustainable development.’ (Leicht et al. 2018b, p.25)</w:t>
      </w:r>
    </w:p>
    <w:p w14:paraId="332E6174" w14:textId="4ACCABD1" w:rsidR="007B5CEA" w:rsidRPr="007B5CEA" w:rsidRDefault="007B5CEA" w:rsidP="000B2A93">
      <w:pPr>
        <w:spacing w:before="240"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This statement is progressive and wants education to have a clear purpose for all, it is also ambitious considering that education in developing countries is continuing to advance with globalisation disparities between countries such as the western world and Africa having gaps in terms of equality and opportunities. Uganda is a landlocked country located on the Eastern side of Africa. In the late 19th century, Uganda underwent colonisation by the British. The </w:t>
      </w:r>
      <w:r w:rsidRPr="007B5CEA">
        <w:rPr>
          <w:rFonts w:ascii="Times New Roman" w:eastAsia="Times New Roman" w:hAnsi="Times New Roman" w:cs="Times New Roman"/>
          <w:color w:val="000000"/>
          <w:kern w:val="0"/>
          <w:sz w:val="24"/>
          <w:szCs w:val="24"/>
          <w:lang w:eastAsia="en-GB"/>
          <w14:ligatures w14:val="none"/>
        </w:rPr>
        <w:lastRenderedPageBreak/>
        <w:t xml:space="preserve">process commenced when British explorers and missionaries arrived in the 1860s, paving the way for the establishment of British protectorates in the late 19th and early 20th centuries (Rashid 2014). In 2022 Uganda had a population of 47,249,585 (The World Bank 2022). Disparities and barriers to learning are prevalent in education in many places throughout the world. </w:t>
      </w:r>
      <w:r w:rsidRPr="007B5CEA">
        <w:rPr>
          <w:rFonts w:ascii="Times New Roman" w:eastAsia="Times New Roman" w:hAnsi="Times New Roman" w:cs="Times New Roman"/>
          <w:color w:val="000000"/>
          <w:kern w:val="0"/>
          <w:sz w:val="24"/>
          <w:szCs w:val="24"/>
          <w:shd w:val="clear" w:color="auto" w:fill="FFFFFF"/>
          <w:lang w:eastAsia="en-GB"/>
          <w14:ligatures w14:val="none"/>
        </w:rPr>
        <w:t>Uganda faces multiple barriers to education, particularly in more rural areas and more underdeveloped parts of the country. Some of the barriers to learning in Uganda are poverty, inadequate infrastructure, teacher shortages, gender disparities, travel infrastructure, language barriers, conflict and displacement and inadequate funding and resources.</w:t>
      </w:r>
      <w:r w:rsidR="00413E5D">
        <w:rPr>
          <w:rFonts w:ascii="Times New Roman" w:eastAsia="Times New Roman" w:hAnsi="Times New Roman" w:cs="Times New Roman"/>
          <w:kern w:val="0"/>
          <w:sz w:val="24"/>
          <w:szCs w:val="24"/>
          <w:lang w:eastAsia="en-GB"/>
          <w14:ligatures w14:val="none"/>
        </w:rPr>
        <w:t xml:space="preserve"> </w:t>
      </w:r>
      <w:r w:rsidRPr="007B5CEA">
        <w:rPr>
          <w:rFonts w:ascii="Times New Roman" w:eastAsia="Times New Roman" w:hAnsi="Times New Roman" w:cs="Times New Roman"/>
          <w:color w:val="000000"/>
          <w:kern w:val="0"/>
          <w:sz w:val="24"/>
          <w:szCs w:val="24"/>
          <w:lang w:eastAsia="en-GB"/>
          <w14:ligatures w14:val="none"/>
        </w:rPr>
        <w:t xml:space="preserve">During the early 1990s, Uganda experienced substantial economic changes designed to rejuvenate its economy, which had suffered due to prolonged political turmoil and poor governance. These changes, known as the Economic Recovery Programs (ERP), were carried out with the support and direction of global financial organisations like the World Bank and the International Monetary Fund (IMF). The main goals of these reforms were to stabilise the economy, foster economic development, and reduce poverty (Tumusiime-Mutebile 2003). Poverty and deprivation within Uganda vary greatly between regions, statistics show this with the central and western regions having similar poverty rates at 12.7% and 11.4% respectively and Eastern and Northern regions at 35.7% and 32.5% respectively These figures are for the year 2016/2017. Prior to 1997 and the implementation of the Poverty Reduction Programme, Uganda had a poverty rate of 56% at that time Uganda had a population of 18,801,996 (Owori 2020). To put that in perspective the number of people in poverty in 1997 in Uganda was three times more than Wales current population. There is a direct correlation between poverty and access to education. According to Maslow’s Hierarchy of Needs Theory (1954) it is essential for a child or young person to have their fundamental needs fulfilled to progress up the pyramid hierarchy of needs. These basic needs include food, shelter, air, clothing, sleep, and reproduction and they must be realised for a child or young person to experience feelings of love, security and belonging (McLeod 2018). For children and young people to receive successful education they need to have their basic needs met. Poverty will have significant challenges for children and young people in achieving these needs. As poverty indicators are situated at the bottom of the pyramid, children and young people living in poverty are unable to have their basic needs met and consequently struggle to progress through the hierarchy and progress successfully through education. </w:t>
      </w:r>
      <w:r w:rsidRPr="007B5CEA">
        <w:rPr>
          <w:rFonts w:ascii="Times New Roman" w:eastAsia="Times New Roman" w:hAnsi="Times New Roman" w:cs="Times New Roman"/>
          <w:color w:val="000000"/>
          <w:kern w:val="0"/>
          <w:sz w:val="24"/>
          <w:szCs w:val="24"/>
          <w:shd w:val="clear" w:color="auto" w:fill="FFFFFF"/>
          <w:lang w:eastAsia="en-GB"/>
          <w14:ligatures w14:val="none"/>
        </w:rPr>
        <w:t>Uganda has been influential in overcoming barriers to learning such as poverty, in 1997 Uganda Government introduced the Poverty Eradication Action Plan (PEAP). Since the implementation in 1997 the plan has evolved and seen further progression and evolution. The plan outlined four major pillars that included the following,  </w:t>
      </w:r>
    </w:p>
    <w:p w14:paraId="155D656D" w14:textId="77777777" w:rsidR="007B5CEA" w:rsidRPr="007B5CEA" w:rsidRDefault="007B5CEA" w:rsidP="000B2A93">
      <w:pPr>
        <w:spacing w:afterLines="30" w:after="72" w:line="240" w:lineRule="auto"/>
        <w:ind w:left="1440" w:firstLine="60"/>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shd w:val="clear" w:color="auto" w:fill="FFFFFF"/>
          <w:lang w:eastAsia="en-GB"/>
          <w14:ligatures w14:val="none"/>
        </w:rPr>
        <w:t>‘</w:t>
      </w:r>
      <w:proofErr w:type="gramStart"/>
      <w:r w:rsidRPr="007B5CEA">
        <w:rPr>
          <w:rFonts w:ascii="Times New Roman" w:eastAsia="Times New Roman" w:hAnsi="Times New Roman" w:cs="Times New Roman"/>
          <w:color w:val="000000"/>
          <w:kern w:val="0"/>
          <w:sz w:val="24"/>
          <w:szCs w:val="24"/>
          <w:shd w:val="clear" w:color="auto" w:fill="FFFFFF"/>
          <w:lang w:eastAsia="en-GB"/>
          <w14:ligatures w14:val="none"/>
        </w:rPr>
        <w:t>framework</w:t>
      </w:r>
      <w:proofErr w:type="gramEnd"/>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 for economic growth and transformation, ensuring good governance and security directly increasing the ability of the poor to raise their incomes, directly increasing the quality of life for the poor’ </w:t>
      </w:r>
      <w:r w:rsidRPr="007B5CEA">
        <w:rPr>
          <w:rFonts w:ascii="Times New Roman" w:eastAsia="Times New Roman" w:hAnsi="Times New Roman" w:cs="Times New Roman"/>
          <w:color w:val="000000"/>
          <w:kern w:val="0"/>
          <w:sz w:val="24"/>
          <w:szCs w:val="24"/>
          <w:lang w:eastAsia="en-GB"/>
          <w14:ligatures w14:val="none"/>
        </w:rPr>
        <w:t>(International Monetary Fund 2003)</w:t>
      </w:r>
      <w:r w:rsidRPr="007B5CEA">
        <w:rPr>
          <w:rFonts w:ascii="Times New Roman" w:eastAsia="Times New Roman" w:hAnsi="Times New Roman" w:cs="Times New Roman"/>
          <w:color w:val="000000"/>
          <w:kern w:val="0"/>
          <w:sz w:val="24"/>
          <w:szCs w:val="24"/>
          <w:shd w:val="clear" w:color="auto" w:fill="FFFFFF"/>
          <w:lang w:eastAsia="en-GB"/>
          <w14:ligatures w14:val="none"/>
        </w:rPr>
        <w:t>  </w:t>
      </w:r>
    </w:p>
    <w:p w14:paraId="3B08C89C" w14:textId="77777777" w:rsidR="007B5CEA" w:rsidRPr="007B5CEA" w:rsidRDefault="007B5CEA" w:rsidP="000B2A93">
      <w:pPr>
        <w:spacing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The success of the strategy was profound and has been reviewed and adopted by other countries. The eradication of poverty also aligns with the United Nations sustainable development goals that outlines in goal one, ‘eradicating extreme poverty for all everywhere by 2030 is a pivotal goal of the 2030 Agenda for Sustainable Development. Extreme poverty’ </w:t>
      </w:r>
      <w:r w:rsidRPr="007B5CEA">
        <w:rPr>
          <w:rFonts w:ascii="Times New Roman" w:eastAsia="Times New Roman" w:hAnsi="Times New Roman" w:cs="Times New Roman"/>
          <w:color w:val="000000"/>
          <w:kern w:val="0"/>
          <w:sz w:val="24"/>
          <w:szCs w:val="24"/>
          <w:lang w:eastAsia="en-GB"/>
          <w14:ligatures w14:val="none"/>
        </w:rPr>
        <w:t>(United Nations 2023b).</w:t>
      </w: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 Up until Covid 19 in 2019, extreme poverty was being reduced in Uganda, unfortunately since Covid 19, 70 million people worldwide have been projected back into poverty, it is estimated that in 2030 there could be up to 7% of the global population in extreme poverty with a substantial proportion in sub-Saharan Africa </w:t>
      </w:r>
      <w:r w:rsidRPr="007B5CEA">
        <w:rPr>
          <w:rFonts w:ascii="Times New Roman" w:eastAsia="Times New Roman" w:hAnsi="Times New Roman" w:cs="Times New Roman"/>
          <w:color w:val="000000"/>
          <w:kern w:val="0"/>
          <w:sz w:val="24"/>
          <w:szCs w:val="24"/>
          <w:lang w:eastAsia="en-GB"/>
          <w14:ligatures w14:val="none"/>
        </w:rPr>
        <w:t>(United Nations 2015)</w:t>
      </w:r>
      <w:r w:rsidRPr="007B5CEA">
        <w:rPr>
          <w:rFonts w:ascii="Times New Roman" w:eastAsia="Times New Roman" w:hAnsi="Times New Roman" w:cs="Times New Roman"/>
          <w:color w:val="000000"/>
          <w:kern w:val="0"/>
          <w:sz w:val="24"/>
          <w:szCs w:val="24"/>
          <w:shd w:val="clear" w:color="auto" w:fill="FFFFFF"/>
          <w:lang w:eastAsia="en-GB"/>
          <w14:ligatures w14:val="none"/>
        </w:rPr>
        <w:t>.</w:t>
      </w:r>
    </w:p>
    <w:p w14:paraId="5B04E37C" w14:textId="77777777" w:rsidR="007B5CEA" w:rsidRPr="007B5CEA" w:rsidRDefault="007B5CEA" w:rsidP="000B2A93">
      <w:pPr>
        <w:spacing w:before="240"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shd w:val="clear" w:color="auto" w:fill="FFFFFF"/>
          <w:lang w:eastAsia="en-GB"/>
          <w14:ligatures w14:val="none"/>
        </w:rPr>
        <w:t> </w:t>
      </w:r>
    </w:p>
    <w:p w14:paraId="6597EB94" w14:textId="304F56D0" w:rsidR="007B5CEA" w:rsidRPr="007B5CEA" w:rsidRDefault="007B5CEA" w:rsidP="000B2A93">
      <w:pPr>
        <w:spacing w:before="240"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lastRenderedPageBreak/>
        <w:t xml:space="preserve">Poverty often acts as a barrier to accessing education, particularly in low-income countries such as Uganda. Families living in poverty may struggle to afford school fees, uniforms, textbooks, and other educational expenses, leading to lower enrolment rates and higher dropout rates among children from disadvantaged backgrounds. Poverty-related factors, such as inadequate infrastructure, poor quality of education, and limited access to schools, further exacerbate educational inequalities and increase the cycle of poverty (Drajea and O’Sullivan 2014). With the progression and </w:t>
      </w:r>
      <w:r w:rsidR="000B2A93" w:rsidRPr="007B5CEA">
        <w:rPr>
          <w:rFonts w:ascii="Times New Roman" w:eastAsia="Times New Roman" w:hAnsi="Times New Roman" w:cs="Times New Roman"/>
          <w:color w:val="000000"/>
          <w:kern w:val="0"/>
          <w:sz w:val="24"/>
          <w:szCs w:val="24"/>
          <w:lang w:eastAsia="en-GB"/>
          <w14:ligatures w14:val="none"/>
        </w:rPr>
        <w:t>fulfilment</w:t>
      </w:r>
      <w:r w:rsidRPr="007B5CEA">
        <w:rPr>
          <w:rFonts w:ascii="Times New Roman" w:eastAsia="Times New Roman" w:hAnsi="Times New Roman" w:cs="Times New Roman"/>
          <w:color w:val="000000"/>
          <w:kern w:val="0"/>
          <w:sz w:val="24"/>
          <w:szCs w:val="24"/>
          <w:lang w:eastAsia="en-GB"/>
          <w14:ligatures w14:val="none"/>
        </w:rPr>
        <w:t xml:space="preserve"> of the outlined United Nations Poverty Eradication Plan and Uganda’s Poverty Eradication Plan, Uganda can keep lowering the number of people in extreme poverty and eradicate poverty as a barrier to learning in Uganda (Kuteesa and Al 2010, p.158). Children and young people in the most deprived, poverty-stricken parts of Uganda, such as Eastern Uganda and that were outlined in the beginning of this piece were in large parts driven back into extreme poverty due to Covid 19. ‘The loss of instructional time due to lockdowns will hurt the poorest communities the most because education is a key player in reducing poverty’ (Fanelli et al. 2020). This outlines the importance of education for future sustainable development.</w:t>
      </w:r>
    </w:p>
    <w:p w14:paraId="10357D50" w14:textId="77777777" w:rsidR="007B5CEA" w:rsidRPr="007B5CEA" w:rsidRDefault="007B5CEA" w:rsidP="000B2A93">
      <w:pPr>
        <w:spacing w:before="240"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Incomplete education is influenced by various factors, including economic challenges such as expenses for books, uniforms, and travel costs. These factors contribute to the inability of children and young people to complete their education. Uganda has been proactive in the development of education for children and young people. The Uganda Government introduced Universal Primary Education in 1997, with the aim of increasing access to primary education by eliminating school fees for primary schools that are government aided. The implementation of the policy increased enrolment rates across Uganda. The implementation of Universal Primary Education (UPE) increased the number of learners accessing primary education vastly. Girls who had been a minority accessing primary education prior to the implementation of the Universal Primary Education in Uganda rose significantly (Byamugisha et al. 2015). According to UNICEF (2002),</w:t>
      </w:r>
    </w:p>
    <w:p w14:paraId="6F1512CB" w14:textId="77777777" w:rsidR="007B5CEA" w:rsidRPr="007B5CEA" w:rsidRDefault="007B5CEA" w:rsidP="000B2A93">
      <w:pPr>
        <w:spacing w:afterLines="30" w:after="72" w:line="240" w:lineRule="auto"/>
        <w:ind w:left="1440"/>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All girls and boys must have access to and complete primary education that is free, compulsory and of good quality as a cornerstone of an inclusive basic. Gender disparities in primary and secondary education must be eliminated’ (UNICEF 2002).</w:t>
      </w:r>
    </w:p>
    <w:p w14:paraId="167EE072" w14:textId="2C1A1D19" w:rsidR="007B5CEA" w:rsidRPr="007B5CEA" w:rsidRDefault="007B5CEA" w:rsidP="000B2A93">
      <w:pPr>
        <w:spacing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Unfortunately, data suggests that although the uptake in primary education grew after the implementation of Universal Primary Education (UPE) the number of children that completed primary education was still low. Deprived regions face the challenge of poor learning outcomes, which result in high drop-out rates and delayed completion. Even though 80% of primary-aged children in sub-Saharan Africa are enrolled in school, only 62% manage to graduate on time (United Nations 2023b). Girls accessing education was still seen as an anomaly and although the numbers of girls accessing education rapidly improved the numbers of children and young people that completed primary ages education was still low. There are multifaceted reasons for the number of children not completing primary education. Gender disparities between boys and girls still prevailing within Uganda, as well the application of a programme for a secondary education programme not being initiated in Uganda until </w:t>
      </w:r>
      <w:r w:rsidR="00FE76F0">
        <w:rPr>
          <w:rFonts w:ascii="Times New Roman" w:eastAsia="Times New Roman" w:hAnsi="Times New Roman" w:cs="Times New Roman"/>
          <w:color w:val="000000"/>
          <w:kern w:val="0"/>
          <w:sz w:val="24"/>
          <w:szCs w:val="24"/>
          <w:lang w:eastAsia="en-GB"/>
          <w14:ligatures w14:val="none"/>
        </w:rPr>
        <w:t>ten</w:t>
      </w:r>
      <w:r w:rsidRPr="007B5CEA">
        <w:rPr>
          <w:rFonts w:ascii="Times New Roman" w:eastAsia="Times New Roman" w:hAnsi="Times New Roman" w:cs="Times New Roman"/>
          <w:color w:val="000000"/>
          <w:kern w:val="0"/>
          <w:sz w:val="24"/>
          <w:szCs w:val="24"/>
          <w:lang w:eastAsia="en-GB"/>
          <w14:ligatures w14:val="none"/>
        </w:rPr>
        <w:t xml:space="preserve"> years after Universal Primary Education was initiated. During the Covid 19 pandemic it has been reported that there was a rise in some regions</w:t>
      </w:r>
      <w:r w:rsidR="004D4262">
        <w:rPr>
          <w:rFonts w:ascii="Times New Roman" w:eastAsia="Times New Roman" w:hAnsi="Times New Roman" w:cs="Times New Roman"/>
          <w:color w:val="000000"/>
          <w:kern w:val="0"/>
          <w:sz w:val="24"/>
          <w:szCs w:val="24"/>
          <w:lang w:eastAsia="en-GB"/>
          <w14:ligatures w14:val="none"/>
        </w:rPr>
        <w:t xml:space="preserve"> in Uganda</w:t>
      </w:r>
      <w:r w:rsidRPr="007B5CEA">
        <w:rPr>
          <w:rFonts w:ascii="Times New Roman" w:eastAsia="Times New Roman" w:hAnsi="Times New Roman" w:cs="Times New Roman"/>
          <w:color w:val="000000"/>
          <w:kern w:val="0"/>
          <w:sz w:val="24"/>
          <w:szCs w:val="24"/>
          <w:lang w:eastAsia="en-GB"/>
          <w14:ligatures w14:val="none"/>
        </w:rPr>
        <w:t xml:space="preserve"> of between 30 – 50 % </w:t>
      </w:r>
      <w:r w:rsidR="004D4262">
        <w:rPr>
          <w:rFonts w:ascii="Times New Roman" w:eastAsia="Times New Roman" w:hAnsi="Times New Roman" w:cs="Times New Roman"/>
          <w:color w:val="000000"/>
          <w:kern w:val="0"/>
          <w:sz w:val="24"/>
          <w:szCs w:val="24"/>
          <w:lang w:eastAsia="en-GB"/>
          <w14:ligatures w14:val="none"/>
        </w:rPr>
        <w:t xml:space="preserve">increase </w:t>
      </w:r>
      <w:r w:rsidRPr="007B5CEA">
        <w:rPr>
          <w:rFonts w:ascii="Times New Roman" w:eastAsia="Times New Roman" w:hAnsi="Times New Roman" w:cs="Times New Roman"/>
          <w:color w:val="000000"/>
          <w:kern w:val="0"/>
          <w:sz w:val="24"/>
          <w:szCs w:val="24"/>
          <w:lang w:eastAsia="en-GB"/>
          <w14:ligatures w14:val="none"/>
        </w:rPr>
        <w:t>in teenage pregnancies among girls resulting in further barriers to education for these children and young people.</w:t>
      </w:r>
    </w:p>
    <w:p w14:paraId="1C754211" w14:textId="1D1256E9" w:rsidR="007B5CEA" w:rsidRPr="007B5CEA" w:rsidRDefault="007B5CEA" w:rsidP="000B2A93">
      <w:pPr>
        <w:spacing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The Ugandan Government did not relinquish fees for secondary education until 2007 which had consequential effects on the dropout rates at primary level (Deininger 2003). Universal Secondary Education (USE) policy was introduced in 2007 to extend free education to the </w:t>
      </w:r>
      <w:r w:rsidRPr="007B5CEA">
        <w:rPr>
          <w:rFonts w:ascii="Times New Roman" w:eastAsia="Times New Roman" w:hAnsi="Times New Roman" w:cs="Times New Roman"/>
          <w:color w:val="000000"/>
          <w:kern w:val="0"/>
          <w:sz w:val="24"/>
          <w:szCs w:val="24"/>
          <w:lang w:eastAsia="en-GB"/>
          <w14:ligatures w14:val="none"/>
        </w:rPr>
        <w:lastRenderedPageBreak/>
        <w:t xml:space="preserve">secondary level children and young people in Uganda. The aim was to increase access to secondary education, particularly for children from low-income families, by eliminating tuition fees in government-aided secondary schools. The government implemented the programme to enable children to progress their education on completion of primary school. Uganda was the first African country to introduce free secondary education to allow children and young people from all socioeconomic backgrounds access to education, helping alleviate barriers to education in place in Uganda. The implementation of Universal Secondary Education saw a rise of children and young people attending secondary school from 161,396 in 2007 to 251,040 in 2013 (M. Verpoorten et al. 2014, pp.349–372). In 2016 Uganda still had low enrolment overall in secondary education, with an estimated 24% of children and young people of relevant age accessing the provisions (O’Donoghue et al. 2018a). This is partly due to children and young people having to obtain </w:t>
      </w:r>
      <w:r w:rsidR="00AF07E1">
        <w:rPr>
          <w:rFonts w:ascii="Times New Roman" w:eastAsia="Times New Roman" w:hAnsi="Times New Roman" w:cs="Times New Roman"/>
          <w:color w:val="000000"/>
          <w:kern w:val="0"/>
          <w:sz w:val="24"/>
          <w:szCs w:val="24"/>
          <w:lang w:eastAsia="en-GB"/>
          <w14:ligatures w14:val="none"/>
        </w:rPr>
        <w:t>twenty-eight</w:t>
      </w:r>
      <w:r w:rsidRPr="007B5CEA">
        <w:rPr>
          <w:rFonts w:ascii="Times New Roman" w:eastAsia="Times New Roman" w:hAnsi="Times New Roman" w:cs="Times New Roman"/>
          <w:color w:val="000000"/>
          <w:kern w:val="0"/>
          <w:sz w:val="24"/>
          <w:szCs w:val="24"/>
          <w:lang w:eastAsia="en-GB"/>
          <w14:ligatures w14:val="none"/>
        </w:rPr>
        <w:t xml:space="preserve"> or better on their Primary Leaving Exam (PPP). If learners did not achieve the minimum expected grade, they would not be eligible for a government funded secondary place (O’Donoghue et al. 2018b). This does not lend itself to an inclusive education for all as the United Nations outlines,</w:t>
      </w:r>
    </w:p>
    <w:p w14:paraId="5974590C" w14:textId="77777777" w:rsidR="007B5CEA" w:rsidRPr="007B5CEA" w:rsidRDefault="007B5CEA" w:rsidP="000B2A93">
      <w:pPr>
        <w:spacing w:afterLines="30" w:after="72" w:line="240" w:lineRule="auto"/>
        <w:ind w:left="1440"/>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shd w:val="clear" w:color="auto" w:fill="FFFFFF"/>
          <w:lang w:eastAsia="en-GB"/>
          <w14:ligatures w14:val="none"/>
        </w:rPr>
        <w:t>Truly transformative education must be inclusive. The education we need in the 21st century should enable people of all genders, abilities, ethnicities, socioeconomic backgrounds, and ages to develop the knowledge, skills and attitudes required for resilient and caring communities</w:t>
      </w:r>
      <w:r w:rsidRPr="007B5CEA">
        <w:rPr>
          <w:rFonts w:ascii="Arial" w:eastAsia="Times New Roman" w:hAnsi="Arial" w:cs="Arial"/>
          <w:color w:val="000000"/>
          <w:kern w:val="0"/>
          <w:lang w:eastAsia="en-GB"/>
          <w14:ligatures w14:val="none"/>
        </w:rPr>
        <w:t xml:space="preserve"> </w:t>
      </w:r>
      <w:r w:rsidRPr="007B5CEA">
        <w:rPr>
          <w:rFonts w:ascii="Times New Roman" w:eastAsia="Times New Roman" w:hAnsi="Times New Roman" w:cs="Times New Roman"/>
          <w:color w:val="000000"/>
          <w:kern w:val="0"/>
          <w:sz w:val="24"/>
          <w:szCs w:val="24"/>
          <w:lang w:eastAsia="en-GB"/>
          <w14:ligatures w14:val="none"/>
        </w:rPr>
        <w:t>(Gardner 2022).</w:t>
      </w:r>
    </w:p>
    <w:p w14:paraId="5F88F727" w14:textId="17E9E911" w:rsidR="007B5CEA" w:rsidRPr="007B5CEA" w:rsidRDefault="007B5CEA" w:rsidP="000B2A93">
      <w:pPr>
        <w:spacing w:afterLines="30" w:after="72" w:line="240" w:lineRule="auto"/>
        <w:jc w:val="both"/>
        <w:rPr>
          <w:rFonts w:ascii="Times New Roman" w:eastAsia="Times New Roman" w:hAnsi="Times New Roman" w:cs="Times New Roman"/>
          <w:kern w:val="0"/>
          <w:sz w:val="24"/>
          <w:szCs w:val="24"/>
          <w:lang w:eastAsia="en-GB"/>
          <w14:ligatures w14:val="none"/>
        </w:rPr>
      </w:pP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This is only going to create further barriers to learning for the children and young people of Uganda who </w:t>
      </w:r>
      <w:r w:rsidR="000B2A93" w:rsidRPr="007B5CEA">
        <w:rPr>
          <w:rFonts w:ascii="Times New Roman" w:eastAsia="Times New Roman" w:hAnsi="Times New Roman" w:cs="Times New Roman"/>
          <w:color w:val="000000"/>
          <w:kern w:val="0"/>
          <w:sz w:val="24"/>
          <w:szCs w:val="24"/>
          <w:shd w:val="clear" w:color="auto" w:fill="FFFFFF"/>
          <w:lang w:eastAsia="en-GB"/>
          <w14:ligatures w14:val="none"/>
        </w:rPr>
        <w:t>cannot</w:t>
      </w: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 afford education if they do not meet the minimum expectations.</w:t>
      </w:r>
      <w:r w:rsidR="00AF07E1">
        <w:rPr>
          <w:rFonts w:ascii="Times New Roman" w:eastAsia="Times New Roman" w:hAnsi="Times New Roman" w:cs="Times New Roman"/>
          <w:color w:val="000000"/>
          <w:kern w:val="0"/>
          <w:sz w:val="24"/>
          <w:szCs w:val="24"/>
          <w:shd w:val="clear" w:color="auto" w:fill="FFFFFF"/>
          <w:lang w:eastAsia="en-GB"/>
          <w14:ligatures w14:val="none"/>
        </w:rPr>
        <w:t xml:space="preserve"> This</w:t>
      </w:r>
      <w:r w:rsidR="0021700C">
        <w:rPr>
          <w:rFonts w:ascii="Times New Roman" w:eastAsia="Times New Roman" w:hAnsi="Times New Roman" w:cs="Times New Roman"/>
          <w:color w:val="000000"/>
          <w:kern w:val="0"/>
          <w:sz w:val="24"/>
          <w:szCs w:val="24"/>
          <w:shd w:val="clear" w:color="auto" w:fill="FFFFFF"/>
          <w:lang w:eastAsia="en-GB"/>
          <w14:ligatures w14:val="none"/>
        </w:rPr>
        <w:t xml:space="preserve"> does also not align itself with th</w:t>
      </w:r>
      <w:r w:rsidR="003666DF">
        <w:rPr>
          <w:rFonts w:ascii="Times New Roman" w:eastAsia="Times New Roman" w:hAnsi="Times New Roman" w:cs="Times New Roman"/>
          <w:color w:val="000000"/>
          <w:kern w:val="0"/>
          <w:sz w:val="24"/>
          <w:szCs w:val="24"/>
          <w:shd w:val="clear" w:color="auto" w:fill="FFFFFF"/>
          <w:lang w:eastAsia="en-GB"/>
          <w14:ligatures w14:val="none"/>
        </w:rPr>
        <w:t xml:space="preserve">e outlined Article 26 of the United Nations </w:t>
      </w:r>
      <w:r w:rsidR="004C054A">
        <w:rPr>
          <w:rFonts w:ascii="Times New Roman" w:eastAsia="Times New Roman" w:hAnsi="Times New Roman" w:cs="Times New Roman"/>
          <w:color w:val="000000"/>
          <w:kern w:val="0"/>
          <w:sz w:val="24"/>
          <w:szCs w:val="24"/>
          <w:shd w:val="clear" w:color="auto" w:fill="FFFFFF"/>
          <w:lang w:eastAsia="en-GB"/>
          <w14:ligatures w14:val="none"/>
        </w:rPr>
        <w:t>Declaration</w:t>
      </w:r>
      <w:r w:rsidR="003666DF">
        <w:rPr>
          <w:rFonts w:ascii="Times New Roman" w:eastAsia="Times New Roman" w:hAnsi="Times New Roman" w:cs="Times New Roman"/>
          <w:color w:val="000000"/>
          <w:kern w:val="0"/>
          <w:sz w:val="24"/>
          <w:szCs w:val="24"/>
          <w:shd w:val="clear" w:color="auto" w:fill="FFFFFF"/>
          <w:lang w:eastAsia="en-GB"/>
          <w14:ligatures w14:val="none"/>
        </w:rPr>
        <w:t xml:space="preserve"> of Human Rights (1948) </w:t>
      </w:r>
      <w:r w:rsidR="004C054A">
        <w:rPr>
          <w:rFonts w:ascii="Times New Roman" w:eastAsia="Times New Roman" w:hAnsi="Times New Roman" w:cs="Times New Roman"/>
          <w:color w:val="000000"/>
          <w:kern w:val="0"/>
          <w:sz w:val="24"/>
          <w:szCs w:val="24"/>
          <w:shd w:val="clear" w:color="auto" w:fill="FFFFFF"/>
          <w:lang w:eastAsia="en-GB"/>
          <w14:ligatures w14:val="none"/>
        </w:rPr>
        <w:t>identified at the beginning of this piece.</w:t>
      </w:r>
    </w:p>
    <w:p w14:paraId="37DF39FC" w14:textId="19348B89" w:rsidR="000B2A93" w:rsidRPr="007B5CEA" w:rsidRDefault="007B5CEA" w:rsidP="000B2A93">
      <w:pPr>
        <w:spacing w:before="240" w:afterLines="30" w:after="72" w:line="240" w:lineRule="auto"/>
        <w:jc w:val="both"/>
        <w:rPr>
          <w:rFonts w:ascii="Times New Roman" w:eastAsia="Times New Roman" w:hAnsi="Times New Roman" w:cs="Times New Roman"/>
          <w:color w:val="000000"/>
          <w:kern w:val="0"/>
          <w:sz w:val="24"/>
          <w:szCs w:val="24"/>
          <w:lang w:eastAsia="en-GB"/>
          <w14:ligatures w14:val="none"/>
        </w:rPr>
      </w:pPr>
      <w:r w:rsidRPr="007B5CEA">
        <w:rPr>
          <w:rFonts w:ascii="Times New Roman" w:eastAsia="Times New Roman" w:hAnsi="Times New Roman" w:cs="Times New Roman"/>
          <w:color w:val="000000"/>
          <w:kern w:val="0"/>
          <w:sz w:val="24"/>
          <w:szCs w:val="24"/>
          <w:lang w:eastAsia="en-GB"/>
          <w14:ligatures w14:val="none"/>
        </w:rPr>
        <w:t xml:space="preserve">Barriers to learning due to poor infrastructure are prevalent in Uganda. Not all countries have equal access to the internet or have the financial means to afford it. Access to the internet and digital technologies in education in Uganda can affect the quality of teaching and learning, the progression of children and young people as well as the adaptation of the modern world that surrounds them, not necessarily in the immediate vicinity but nationally and globally. Remote and rural areas are affected to further degrees as the infrastructure has not reached these areas as well as them being more deprived areas (Newby et al. 2012). Schools are without reliable electricity and internet access as well as slow and poor-quality internet (Kakumba 2022a). According to research, ‘Only one in four Ugandans (26%) live in households that are connected to the national power grid’ (Kakumba 2022b). If schools are not connected to the power grid, then digital access is going to be non-sequential. This leads to children and young people not being able to learn the digital competency skills needed to progress. Funding within schools is limited with access to what is considered necessities in the Western World such as textbooks being limited to sharing between children and young people in Ugandan schools. With basics being difficult to purchase, equipment such as computers, tablets and the ongoing cost involved in the running costs of internet infrastructure become unobtainable. Schools that are in urban areas and where there are wealthier communities can have better access to the internet and digital technologies in comparison to rural areas, and areas of more extreme poverty and deprivation. The same children are also more likely to have poorer digital competence skills due to lacking the same knowledge and understanding needed to comprehend it. This can lead to larger disparities between the poorer communities and the wealthier communities. This became predominant during the Covid 19 pandemic with research showing that only a small number of households in Uganda possess televisions, internet-enabled phones, and computers. Disadvantaged households, especially those in rural areas and outside the Central Region, lack the necessary tools for e-learning. The restricted coverage of the national electric grid and low Internet usage are expected to further impede e-learning (Kakumba 2022c). These findings </w:t>
      </w:r>
      <w:r w:rsidRPr="007B5CEA">
        <w:rPr>
          <w:rFonts w:ascii="Times New Roman" w:eastAsia="Times New Roman" w:hAnsi="Times New Roman" w:cs="Times New Roman"/>
          <w:color w:val="000000"/>
          <w:kern w:val="0"/>
          <w:sz w:val="24"/>
          <w:szCs w:val="24"/>
          <w:lang w:eastAsia="en-GB"/>
          <w14:ligatures w14:val="none"/>
        </w:rPr>
        <w:lastRenderedPageBreak/>
        <w:t>highlight the necessity for significant government funding to enhance digital infrastructure and digital access in Uganda to improve internet infrastructure, reduce costs, provide digital literacy training, develop localised educational content, and promote equitable access to technology are essential for harnessing the potential of digital education to improve learning outcomes in Uganda.</w:t>
      </w:r>
    </w:p>
    <w:p w14:paraId="34A6286C" w14:textId="210918D3" w:rsidR="00C56C67" w:rsidRDefault="007B5CEA" w:rsidP="000B2A93">
      <w:pPr>
        <w:spacing w:afterLines="30" w:after="72"/>
        <w:jc w:val="both"/>
        <w:rPr>
          <w:rFonts w:ascii="Times New Roman" w:eastAsia="Times New Roman" w:hAnsi="Times New Roman" w:cs="Times New Roman"/>
          <w:color w:val="000000"/>
          <w:kern w:val="0"/>
          <w:sz w:val="24"/>
          <w:szCs w:val="24"/>
          <w:lang w:eastAsia="en-GB"/>
          <w14:ligatures w14:val="none"/>
        </w:rPr>
      </w:pPr>
      <w:r w:rsidRPr="007B5CEA">
        <w:rPr>
          <w:rFonts w:ascii="Times New Roman" w:eastAsia="Times New Roman" w:hAnsi="Times New Roman" w:cs="Times New Roman"/>
          <w:color w:val="000000"/>
          <w:kern w:val="0"/>
          <w:sz w:val="24"/>
          <w:szCs w:val="24"/>
          <w:shd w:val="clear" w:color="auto" w:fill="FFFFFF"/>
          <w:lang w:eastAsia="en-GB"/>
          <w14:ligatures w14:val="none"/>
        </w:rPr>
        <w:t>The Sustainable Development Agenda provides a framework for aligning Uganda's development priorities with global sustainability objectives and for guiding efforts to address key challenges facing the country. By integrating the Sustainable Development Goals into national development plans and policies, Uganda can work towards building a more inclusive, equitable, and sustainable future for its people.</w:t>
      </w:r>
      <w:r w:rsidRPr="007B5CEA">
        <w:rPr>
          <w:rFonts w:ascii="Times New Roman" w:eastAsia="Times New Roman" w:hAnsi="Times New Roman" w:cs="Times New Roman"/>
          <w:color w:val="000000"/>
          <w:kern w:val="0"/>
          <w:sz w:val="24"/>
          <w:szCs w:val="24"/>
          <w:lang w:eastAsia="en-GB"/>
          <w14:ligatures w14:val="none"/>
        </w:rPr>
        <w:t xml:space="preserve"> Uganda's development plans prioritise investments in health and education, which are also key areas of focus under the Sustainable Development Agenda. </w:t>
      </w: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The United Nations Convention on the Rights of the Child is an international human rights treaty that sets out the civil, political, economic, social, and cultural rights of children. Uganda backed the United Nations Convention Rights of the Child (UNCRC) in 1990, demonstrating its commitment to protecting and promoting the rights of children and in 1996 enacted a law for all children in Uganda </w:t>
      </w:r>
      <w:r w:rsidRPr="007B5CEA">
        <w:rPr>
          <w:rFonts w:ascii="Times New Roman" w:eastAsia="Times New Roman" w:hAnsi="Times New Roman" w:cs="Times New Roman"/>
          <w:color w:val="000000"/>
          <w:kern w:val="0"/>
          <w:sz w:val="24"/>
          <w:szCs w:val="24"/>
          <w:lang w:eastAsia="en-GB"/>
          <w14:ligatures w14:val="none"/>
        </w:rPr>
        <w:t xml:space="preserve">(Gardner 2022). Uganda has implemented various education policies aimed at improving access to quality education, enhancing educational outcomes, and promoting inclusive and equitable education for all children such as the ones outlined in this piece. With there still being many investment and infrastructure issues within Uganda the policies outlined are not able to meet the needs of all children and young people in accessing education. The education policies and initiatives that have been implemented in the last thirty years, reflect Uganda's commitment to promoting inclusive and quality education for all children and young people. Challenges remain in the implementation, including resource constraints, infrastructure limitations, teacher shortages, and socio-cultural barriers. As well as the effect of Covid 19 which slowed and prevented the growth of education in Uganda. For wider success, it is paramount that Uganda receives continued investment, coordination, and monitoring to help achieve the goals of Uganda's education policies and the wider goals of Sustainable Development Goals, and the United Nations to help </w:t>
      </w:r>
      <w:r w:rsidRPr="007B5CEA">
        <w:rPr>
          <w:rFonts w:ascii="Times New Roman" w:eastAsia="Times New Roman" w:hAnsi="Times New Roman" w:cs="Times New Roman"/>
          <w:color w:val="000000"/>
          <w:kern w:val="0"/>
          <w:sz w:val="24"/>
          <w:szCs w:val="24"/>
          <w:shd w:val="clear" w:color="auto" w:fill="FFFFFF"/>
          <w:lang w:eastAsia="en-GB"/>
          <w14:ligatures w14:val="none"/>
        </w:rPr>
        <w:t xml:space="preserve">ensure inclusive education for all children and young people, particularly those from marginalised and disadvantaged backgrounds, particularly in the regions where poverty is still at its highest rates. Commitment and collaboration from the government, civil society, communities, and international partners are essential to overcoming these challenges and achieving the goal of providing every child in Uganda with a quality education and to reach the goal set out by the government for 2030 </w:t>
      </w:r>
      <w:r w:rsidRPr="007B5CEA">
        <w:rPr>
          <w:rFonts w:ascii="Times New Roman" w:eastAsia="Times New Roman" w:hAnsi="Times New Roman" w:cs="Times New Roman"/>
          <w:color w:val="000000"/>
          <w:kern w:val="0"/>
          <w:sz w:val="24"/>
          <w:szCs w:val="24"/>
          <w:lang w:eastAsia="en-GB"/>
          <w14:ligatures w14:val="none"/>
        </w:rPr>
        <w:t>(United Nations Uganda 2021).</w:t>
      </w:r>
    </w:p>
    <w:p w14:paraId="0C12D502"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2A2B35D0"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0F2AD780"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235FB66F"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0C6AA951"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37ED250F"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421E34F9"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71EFFC89"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15679A47"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1C883697"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64E6A335"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75254BEA" w14:textId="77777777" w:rsidR="00C16CAB" w:rsidRDefault="00C16CAB" w:rsidP="000B2A93">
      <w:pPr>
        <w:spacing w:afterLines="30" w:after="72"/>
        <w:jc w:val="both"/>
        <w:rPr>
          <w:rFonts w:ascii="Times New Roman" w:eastAsia="Times New Roman" w:hAnsi="Times New Roman" w:cs="Times New Roman"/>
          <w:color w:val="000000"/>
          <w:kern w:val="0"/>
          <w:sz w:val="24"/>
          <w:szCs w:val="24"/>
          <w:lang w:eastAsia="en-GB"/>
          <w14:ligatures w14:val="none"/>
        </w:rPr>
      </w:pPr>
    </w:p>
    <w:p w14:paraId="38B14850" w14:textId="77777777" w:rsidR="00C16CAB" w:rsidRPr="00C16CAB" w:rsidRDefault="00C16CAB" w:rsidP="00C16CAB">
      <w:pPr>
        <w:spacing w:after="30" w:line="360" w:lineRule="auto"/>
        <w:outlineLvl w:val="0"/>
        <w:rPr>
          <w:rFonts w:ascii="Times New Roman" w:eastAsia="Times New Roman" w:hAnsi="Times New Roman" w:cs="Times New Roman"/>
          <w:b/>
          <w:bCs/>
          <w:kern w:val="36"/>
          <w:sz w:val="36"/>
          <w:szCs w:val="36"/>
          <w:lang w:eastAsia="en-GB"/>
          <w14:ligatures w14:val="none"/>
        </w:rPr>
      </w:pPr>
      <w:r w:rsidRPr="00C16CAB">
        <w:rPr>
          <w:rFonts w:ascii="Times New Roman" w:eastAsia="Times New Roman" w:hAnsi="Times New Roman" w:cs="Times New Roman"/>
          <w:b/>
          <w:bCs/>
          <w:kern w:val="36"/>
          <w:sz w:val="36"/>
          <w:szCs w:val="36"/>
          <w:lang w:eastAsia="en-GB"/>
          <w14:ligatures w14:val="none"/>
        </w:rPr>
        <w:t>Reference list</w:t>
      </w:r>
    </w:p>
    <w:p w14:paraId="0430099F" w14:textId="10EECD68"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Bruns,</w:t>
      </w:r>
      <w:r w:rsidRPr="00C16CAB">
        <w:rPr>
          <w:rFonts w:ascii="Times New Roman" w:eastAsia="Times New Roman" w:hAnsi="Times New Roman" w:cs="Times New Roman"/>
          <w:kern w:val="0"/>
          <w:sz w:val="24"/>
          <w:szCs w:val="24"/>
          <w:lang w:eastAsia="en-GB"/>
          <w14:ligatures w14:val="none"/>
        </w:rPr>
        <w:t xml:space="preserve"> B., Harbaugh Macdonald, </w:t>
      </w:r>
      <w:proofErr w:type="gramStart"/>
      <w:r w:rsidRPr="00C16CAB">
        <w:rPr>
          <w:rFonts w:ascii="Times New Roman" w:eastAsia="Times New Roman" w:hAnsi="Times New Roman" w:cs="Times New Roman"/>
          <w:kern w:val="0"/>
          <w:sz w:val="24"/>
          <w:szCs w:val="24"/>
          <w:lang w:eastAsia="en-GB"/>
          <w14:ligatures w14:val="none"/>
        </w:rPr>
        <w:t>I.</w:t>
      </w:r>
      <w:proofErr w:type="gramEnd"/>
      <w:r w:rsidRPr="00C16CAB">
        <w:rPr>
          <w:rFonts w:ascii="Times New Roman" w:eastAsia="Times New Roman" w:hAnsi="Times New Roman" w:cs="Times New Roman"/>
          <w:kern w:val="0"/>
          <w:sz w:val="24"/>
          <w:szCs w:val="24"/>
          <w:lang w:eastAsia="en-GB"/>
          <w14:ligatures w14:val="none"/>
        </w:rPr>
        <w:t xml:space="preserve"> and Schneider, B.R. 2019. The Politics of Quality Reforms and the Challenges for SDGs in Education. </w:t>
      </w:r>
      <w:r w:rsidRPr="00C16CAB">
        <w:rPr>
          <w:rFonts w:ascii="Times New Roman" w:eastAsia="Times New Roman" w:hAnsi="Times New Roman" w:cs="Times New Roman"/>
          <w:i/>
          <w:iCs/>
          <w:kern w:val="0"/>
          <w:sz w:val="24"/>
          <w:szCs w:val="24"/>
          <w:lang w:eastAsia="en-GB"/>
          <w14:ligatures w14:val="none"/>
        </w:rPr>
        <w:t>World Development</w:t>
      </w:r>
      <w:r w:rsidRPr="00C16CAB">
        <w:rPr>
          <w:rFonts w:ascii="Times New Roman" w:eastAsia="Times New Roman" w:hAnsi="Times New Roman" w:cs="Times New Roman"/>
          <w:kern w:val="0"/>
          <w:sz w:val="24"/>
          <w:szCs w:val="24"/>
          <w:lang w:eastAsia="en-GB"/>
          <w14:ligatures w14:val="none"/>
        </w:rPr>
        <w:t xml:space="preserve"> 118, pp. 27–38. </w:t>
      </w:r>
      <w:proofErr w:type="spellStart"/>
      <w:proofErr w:type="gramStart"/>
      <w:r w:rsidRPr="00C16CAB">
        <w:rPr>
          <w:rFonts w:ascii="Times New Roman" w:eastAsia="Times New Roman" w:hAnsi="Times New Roman" w:cs="Times New Roman"/>
          <w:kern w:val="0"/>
          <w:sz w:val="24"/>
          <w:szCs w:val="24"/>
          <w:lang w:eastAsia="en-GB"/>
          <w14:ligatures w14:val="none"/>
        </w:rPr>
        <w:t>doi:https</w:t>
      </w:r>
      <w:proofErr w:type="spellEnd"/>
      <w:r w:rsidRPr="00C16CAB">
        <w:rPr>
          <w:rFonts w:ascii="Times New Roman" w:eastAsia="Times New Roman" w:hAnsi="Times New Roman" w:cs="Times New Roman"/>
          <w:kern w:val="0"/>
          <w:sz w:val="24"/>
          <w:szCs w:val="24"/>
          <w:lang w:eastAsia="en-GB"/>
          <w14:ligatures w14:val="none"/>
        </w:rPr>
        <w:t>://doi.org/10.1016/j.worlddev.2019.02.008</w:t>
      </w:r>
      <w:proofErr w:type="gramEnd"/>
      <w:r w:rsidRPr="00C16CAB">
        <w:rPr>
          <w:rFonts w:ascii="Times New Roman" w:eastAsia="Times New Roman" w:hAnsi="Times New Roman" w:cs="Times New Roman"/>
          <w:kern w:val="0"/>
          <w:sz w:val="24"/>
          <w:szCs w:val="24"/>
          <w:lang w:eastAsia="en-GB"/>
          <w14:ligatures w14:val="none"/>
        </w:rPr>
        <w:t>.</w:t>
      </w:r>
    </w:p>
    <w:p w14:paraId="41EDC319" w14:textId="31C93E22"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Byamugisha, A., Ogawa, K. and Nishimura, M. 2015. UPE Policy and Quality of Education in Uganda. </w:t>
      </w:r>
      <w:r w:rsidRPr="00C16CAB">
        <w:rPr>
          <w:rFonts w:ascii="Times New Roman" w:eastAsia="Times New Roman" w:hAnsi="Times New Roman" w:cs="Times New Roman"/>
          <w:i/>
          <w:iCs/>
          <w:kern w:val="0"/>
          <w:sz w:val="24"/>
          <w:szCs w:val="24"/>
          <w:lang w:eastAsia="en-GB"/>
          <w14:ligatures w14:val="none"/>
        </w:rPr>
        <w:t>BRILL eBooks</w:t>
      </w:r>
      <w:r w:rsidRPr="00C16CAB">
        <w:rPr>
          <w:rFonts w:ascii="Times New Roman" w:eastAsia="Times New Roman" w:hAnsi="Times New Roman" w:cs="Times New Roman"/>
          <w:kern w:val="0"/>
          <w:sz w:val="24"/>
          <w:szCs w:val="24"/>
          <w:lang w:eastAsia="en-GB"/>
          <w14:ligatures w14:val="none"/>
        </w:rPr>
        <w:t xml:space="preserve"> 4, pp. 173–192. </w:t>
      </w:r>
      <w:proofErr w:type="spellStart"/>
      <w:proofErr w:type="gramStart"/>
      <w:r>
        <w:rPr>
          <w:rFonts w:ascii="Times New Roman" w:eastAsia="Times New Roman" w:hAnsi="Times New Roman" w:cs="Times New Roman"/>
          <w:kern w:val="0"/>
          <w:sz w:val="24"/>
          <w:szCs w:val="24"/>
          <w:lang w:eastAsia="en-GB"/>
          <w14:ligatures w14:val="none"/>
        </w:rPr>
        <w:t>d</w:t>
      </w:r>
      <w:r w:rsidRPr="00C16CAB">
        <w:rPr>
          <w:rFonts w:ascii="Times New Roman" w:eastAsia="Times New Roman" w:hAnsi="Times New Roman" w:cs="Times New Roman"/>
          <w:kern w:val="0"/>
          <w:sz w:val="24"/>
          <w:szCs w:val="24"/>
          <w:lang w:eastAsia="en-GB"/>
          <w14:ligatures w14:val="none"/>
        </w:rPr>
        <w:t>oi</w:t>
      </w:r>
      <w:r>
        <w:rPr>
          <w:rFonts w:ascii="Times New Roman" w:eastAsia="Times New Roman" w:hAnsi="Times New Roman" w:cs="Times New Roman"/>
          <w:kern w:val="0"/>
          <w:sz w:val="24"/>
          <w:szCs w:val="24"/>
          <w:lang w:eastAsia="en-GB"/>
          <w14:ligatures w14:val="none"/>
        </w:rPr>
        <w:t>:</w:t>
      </w:r>
      <w:r w:rsidRPr="00C16CAB">
        <w:rPr>
          <w:rFonts w:ascii="Times New Roman" w:eastAsia="Times New Roman" w:hAnsi="Times New Roman" w:cs="Times New Roman"/>
          <w:kern w:val="0"/>
          <w:sz w:val="24"/>
          <w:szCs w:val="24"/>
          <w:lang w:eastAsia="en-GB"/>
          <w14:ligatures w14:val="none"/>
        </w:rPr>
        <w:t>https</w:t>
      </w:r>
      <w:proofErr w:type="spellEnd"/>
      <w:r w:rsidRPr="00C16CAB">
        <w:rPr>
          <w:rFonts w:ascii="Times New Roman" w:eastAsia="Times New Roman" w:hAnsi="Times New Roman" w:cs="Times New Roman"/>
          <w:kern w:val="0"/>
          <w:sz w:val="24"/>
          <w:szCs w:val="24"/>
          <w:lang w:eastAsia="en-GB"/>
          <w14:ligatures w14:val="none"/>
        </w:rPr>
        <w:t>://doi.org/10.1163/9789463000253_011</w:t>
      </w:r>
      <w:proofErr w:type="gramEnd"/>
      <w:r w:rsidRPr="00C16CAB">
        <w:rPr>
          <w:rFonts w:ascii="Times New Roman" w:eastAsia="Times New Roman" w:hAnsi="Times New Roman" w:cs="Times New Roman"/>
          <w:kern w:val="0"/>
          <w:sz w:val="24"/>
          <w:szCs w:val="24"/>
          <w:lang w:eastAsia="en-GB"/>
          <w14:ligatures w14:val="none"/>
        </w:rPr>
        <w:t>.</w:t>
      </w:r>
    </w:p>
    <w:p w14:paraId="5962619C" w14:textId="4FEE6F92"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Deininger, K. 2003. Does Cost of Schooling Affect </w:t>
      </w:r>
      <w:r w:rsidRPr="00C16CAB">
        <w:rPr>
          <w:rFonts w:ascii="Times New Roman" w:eastAsia="Times New Roman" w:hAnsi="Times New Roman" w:cs="Times New Roman"/>
          <w:kern w:val="0"/>
          <w:sz w:val="24"/>
          <w:szCs w:val="24"/>
          <w:lang w:eastAsia="en-GB"/>
          <w14:ligatures w14:val="none"/>
        </w:rPr>
        <w:t>Enrolment</w:t>
      </w:r>
      <w:r w:rsidRPr="00C16CAB">
        <w:rPr>
          <w:rFonts w:ascii="Times New Roman" w:eastAsia="Times New Roman" w:hAnsi="Times New Roman" w:cs="Times New Roman"/>
          <w:kern w:val="0"/>
          <w:sz w:val="24"/>
          <w:szCs w:val="24"/>
          <w:lang w:eastAsia="en-GB"/>
          <w14:ligatures w14:val="none"/>
        </w:rPr>
        <w:t xml:space="preserve"> by the poor? Universal Primary Education in Uganda. </w:t>
      </w:r>
      <w:r w:rsidRPr="00C16CAB">
        <w:rPr>
          <w:rFonts w:ascii="Times New Roman" w:eastAsia="Times New Roman" w:hAnsi="Times New Roman" w:cs="Times New Roman"/>
          <w:i/>
          <w:iCs/>
          <w:kern w:val="0"/>
          <w:sz w:val="24"/>
          <w:szCs w:val="24"/>
          <w:lang w:eastAsia="en-GB"/>
          <w14:ligatures w14:val="none"/>
        </w:rPr>
        <w:t>Economics of Education Review</w:t>
      </w:r>
      <w:r w:rsidRPr="00C16CAB">
        <w:rPr>
          <w:rFonts w:ascii="Times New Roman" w:eastAsia="Times New Roman" w:hAnsi="Times New Roman" w:cs="Times New Roman"/>
          <w:kern w:val="0"/>
          <w:sz w:val="24"/>
          <w:szCs w:val="24"/>
          <w:lang w:eastAsia="en-GB"/>
          <w14:ligatures w14:val="none"/>
        </w:rPr>
        <w:t xml:space="preserve"> 22(3), pp. 291–305. </w:t>
      </w:r>
      <w:proofErr w:type="spellStart"/>
      <w:proofErr w:type="gramStart"/>
      <w:r w:rsidRPr="00C16CAB">
        <w:rPr>
          <w:rFonts w:ascii="Times New Roman" w:eastAsia="Times New Roman" w:hAnsi="Times New Roman" w:cs="Times New Roman"/>
          <w:kern w:val="0"/>
          <w:sz w:val="24"/>
          <w:szCs w:val="24"/>
          <w:lang w:eastAsia="en-GB"/>
          <w14:ligatures w14:val="none"/>
        </w:rPr>
        <w:t>doi:https</w:t>
      </w:r>
      <w:proofErr w:type="spellEnd"/>
      <w:r w:rsidRPr="00C16CAB">
        <w:rPr>
          <w:rFonts w:ascii="Times New Roman" w:eastAsia="Times New Roman" w:hAnsi="Times New Roman" w:cs="Times New Roman"/>
          <w:kern w:val="0"/>
          <w:sz w:val="24"/>
          <w:szCs w:val="24"/>
          <w:lang w:eastAsia="en-GB"/>
          <w14:ligatures w14:val="none"/>
        </w:rPr>
        <w:t>://doi.org/10.1016/s0272-7757(02)00053-5</w:t>
      </w:r>
      <w:proofErr w:type="gramEnd"/>
      <w:r w:rsidRPr="00C16CAB">
        <w:rPr>
          <w:rFonts w:ascii="Times New Roman" w:eastAsia="Times New Roman" w:hAnsi="Times New Roman" w:cs="Times New Roman"/>
          <w:kern w:val="0"/>
          <w:sz w:val="24"/>
          <w:szCs w:val="24"/>
          <w:lang w:eastAsia="en-GB"/>
          <w14:ligatures w14:val="none"/>
        </w:rPr>
        <w:t>.</w:t>
      </w:r>
    </w:p>
    <w:p w14:paraId="2E477B1C"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Drajea, A.J.D. and O’Sullivan, C.O. 2014. Influence of Parental Education and Family Income on Children’s Education in Rural Uganda. </w:t>
      </w:r>
      <w:r w:rsidRPr="00C16CAB">
        <w:rPr>
          <w:rFonts w:ascii="Times New Roman" w:eastAsia="Times New Roman" w:hAnsi="Times New Roman" w:cs="Times New Roman"/>
          <w:i/>
          <w:iCs/>
          <w:kern w:val="0"/>
          <w:sz w:val="24"/>
          <w:szCs w:val="24"/>
          <w:lang w:eastAsia="en-GB"/>
          <w14:ligatures w14:val="none"/>
        </w:rPr>
        <w:t>Global Education Review</w:t>
      </w:r>
      <w:r w:rsidRPr="00C16CAB">
        <w:rPr>
          <w:rFonts w:ascii="Times New Roman" w:eastAsia="Times New Roman" w:hAnsi="Times New Roman" w:cs="Times New Roman"/>
          <w:kern w:val="0"/>
          <w:sz w:val="24"/>
          <w:szCs w:val="24"/>
          <w:lang w:eastAsia="en-GB"/>
          <w14:ligatures w14:val="none"/>
        </w:rPr>
        <w:t xml:space="preserve"> 1(3), pp. 147–166.</w:t>
      </w:r>
    </w:p>
    <w:p w14:paraId="074AA80F"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Fanelli, D., Cajuste, F., Cetta, D. and Emmanuel, A. 2020. </w:t>
      </w:r>
      <w:r w:rsidRPr="00C16CAB">
        <w:rPr>
          <w:rFonts w:ascii="Times New Roman" w:eastAsia="Times New Roman" w:hAnsi="Times New Roman" w:cs="Times New Roman"/>
          <w:i/>
          <w:iCs/>
          <w:kern w:val="0"/>
          <w:sz w:val="24"/>
          <w:szCs w:val="24"/>
          <w:lang w:eastAsia="en-GB"/>
          <w14:ligatures w14:val="none"/>
        </w:rPr>
        <w:t>Effect of COVID-19 on the Educational Sector in Uganda</w:t>
      </w:r>
      <w:r w:rsidRPr="00C16CAB">
        <w:rPr>
          <w:rFonts w:ascii="Times New Roman" w:eastAsia="Times New Roman" w:hAnsi="Times New Roman" w:cs="Times New Roman"/>
          <w:kern w:val="0"/>
          <w:sz w:val="24"/>
          <w:szCs w:val="24"/>
          <w:lang w:eastAsia="en-GB"/>
          <w14:ligatures w14:val="none"/>
        </w:rPr>
        <w:t>.</w:t>
      </w:r>
    </w:p>
    <w:p w14:paraId="561DF47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Gardner, P. 2022. Why Inclusive Education Is Important for All Students. 14 September. Available at: https://www.un.org/en/transforming-education-summit/why-inclusive-education-important-all-students [Accessed: 3 March 2024].</w:t>
      </w:r>
    </w:p>
    <w:p w14:paraId="5638F2E4"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International Monetary Fund. 2000. </w:t>
      </w:r>
      <w:r w:rsidRPr="00C16CAB">
        <w:rPr>
          <w:rFonts w:ascii="Times New Roman" w:eastAsia="Times New Roman" w:hAnsi="Times New Roman" w:cs="Times New Roman"/>
          <w:i/>
          <w:iCs/>
          <w:kern w:val="0"/>
          <w:sz w:val="24"/>
          <w:szCs w:val="24"/>
          <w:lang w:eastAsia="en-GB"/>
          <w14:ligatures w14:val="none"/>
        </w:rPr>
        <w:t>Uganda: Poverty Reduction Strategy Paper Annual Progress Report</w:t>
      </w:r>
      <w:r w:rsidRPr="00C16CAB">
        <w:rPr>
          <w:rFonts w:ascii="Times New Roman" w:eastAsia="Times New Roman" w:hAnsi="Times New Roman" w:cs="Times New Roman"/>
          <w:kern w:val="0"/>
          <w:sz w:val="24"/>
          <w:szCs w:val="24"/>
          <w:lang w:eastAsia="en-GB"/>
          <w14:ligatures w14:val="none"/>
        </w:rPr>
        <w:t>. Ministry of Finance, Planning and Economic Development Kampala, Uganda.</w:t>
      </w:r>
    </w:p>
    <w:p w14:paraId="61CAF75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International Monetary Fund. 2003. </w:t>
      </w:r>
      <w:r w:rsidRPr="00C16CAB">
        <w:rPr>
          <w:rFonts w:ascii="Times New Roman" w:eastAsia="Times New Roman" w:hAnsi="Times New Roman" w:cs="Times New Roman"/>
          <w:i/>
          <w:iCs/>
          <w:kern w:val="0"/>
          <w:sz w:val="24"/>
          <w:szCs w:val="24"/>
          <w:lang w:eastAsia="en-GB"/>
          <w14:ligatures w14:val="none"/>
        </w:rPr>
        <w:t>Uganda: Poverty Reduction Strategy Paper Annual Progress Report</w:t>
      </w:r>
      <w:r w:rsidRPr="00C16CAB">
        <w:rPr>
          <w:rFonts w:ascii="Times New Roman" w:eastAsia="Times New Roman" w:hAnsi="Times New Roman" w:cs="Times New Roman"/>
          <w:kern w:val="0"/>
          <w:sz w:val="24"/>
          <w:szCs w:val="24"/>
          <w:lang w:eastAsia="en-GB"/>
          <w14:ligatures w14:val="none"/>
        </w:rPr>
        <w:t>. Ministry of Finance, Planning and Economic Development Kampala, Uganda.</w:t>
      </w:r>
    </w:p>
    <w:p w14:paraId="428058C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Kakumba, M.R. 2022a. </w:t>
      </w:r>
      <w:r w:rsidRPr="00C16CAB">
        <w:rPr>
          <w:rFonts w:ascii="Times New Roman" w:eastAsia="Times New Roman" w:hAnsi="Times New Roman" w:cs="Times New Roman"/>
          <w:i/>
          <w:iCs/>
          <w:kern w:val="0"/>
          <w:sz w:val="24"/>
          <w:szCs w:val="24"/>
          <w:lang w:eastAsia="en-GB"/>
          <w14:ligatures w14:val="none"/>
        </w:rPr>
        <w:t>Limited Access to Electricity and Digital Technologies a Barrier to e-learning in Uganda</w:t>
      </w:r>
      <w:r w:rsidRPr="00C16CAB">
        <w:rPr>
          <w:rFonts w:ascii="Times New Roman" w:eastAsia="Times New Roman" w:hAnsi="Times New Roman" w:cs="Times New Roman"/>
          <w:kern w:val="0"/>
          <w:sz w:val="24"/>
          <w:szCs w:val="24"/>
          <w:lang w:eastAsia="en-GB"/>
          <w14:ligatures w14:val="none"/>
        </w:rPr>
        <w:t>. Afrobarometer.</w:t>
      </w:r>
    </w:p>
    <w:p w14:paraId="50DB2B74"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Kakumba, M.R. 2022b. </w:t>
      </w:r>
      <w:r w:rsidRPr="00C16CAB">
        <w:rPr>
          <w:rFonts w:ascii="Times New Roman" w:eastAsia="Times New Roman" w:hAnsi="Times New Roman" w:cs="Times New Roman"/>
          <w:i/>
          <w:iCs/>
          <w:kern w:val="0"/>
          <w:sz w:val="24"/>
          <w:szCs w:val="24"/>
          <w:lang w:eastAsia="en-GB"/>
          <w14:ligatures w14:val="none"/>
        </w:rPr>
        <w:t>Limited Access to Electricity and Digital Technologies a Barrier to e-learning in Uganda</w:t>
      </w:r>
      <w:r w:rsidRPr="00C16CAB">
        <w:rPr>
          <w:rFonts w:ascii="Times New Roman" w:eastAsia="Times New Roman" w:hAnsi="Times New Roman" w:cs="Times New Roman"/>
          <w:kern w:val="0"/>
          <w:sz w:val="24"/>
          <w:szCs w:val="24"/>
          <w:lang w:eastAsia="en-GB"/>
          <w14:ligatures w14:val="none"/>
        </w:rPr>
        <w:t>. Afrobarometer.</w:t>
      </w:r>
    </w:p>
    <w:p w14:paraId="031ED477"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Kakumba, M.R. 2022c. </w:t>
      </w:r>
      <w:r w:rsidRPr="00C16CAB">
        <w:rPr>
          <w:rFonts w:ascii="Times New Roman" w:eastAsia="Times New Roman" w:hAnsi="Times New Roman" w:cs="Times New Roman"/>
          <w:i/>
          <w:iCs/>
          <w:kern w:val="0"/>
          <w:sz w:val="24"/>
          <w:szCs w:val="24"/>
          <w:lang w:eastAsia="en-GB"/>
          <w14:ligatures w14:val="none"/>
        </w:rPr>
        <w:t>Limited Access to Electricity and Digital Technologies a Barrier to e-learning in Uganda</w:t>
      </w:r>
      <w:r w:rsidRPr="00C16CAB">
        <w:rPr>
          <w:rFonts w:ascii="Times New Roman" w:eastAsia="Times New Roman" w:hAnsi="Times New Roman" w:cs="Times New Roman"/>
          <w:kern w:val="0"/>
          <w:sz w:val="24"/>
          <w:szCs w:val="24"/>
          <w:lang w:eastAsia="en-GB"/>
          <w14:ligatures w14:val="none"/>
        </w:rPr>
        <w:t>. Afrobarometer.</w:t>
      </w:r>
    </w:p>
    <w:p w14:paraId="50C98C1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lastRenderedPageBreak/>
        <w:t xml:space="preserve">Kioupi, V. and Voulvoulis, N. 2019. Education for Sustainable Development: a Systemic Framework for Connecting the SDGs to Educational Outcomes. </w:t>
      </w:r>
      <w:r w:rsidRPr="00C16CAB">
        <w:rPr>
          <w:rFonts w:ascii="Times New Roman" w:eastAsia="Times New Roman" w:hAnsi="Times New Roman" w:cs="Times New Roman"/>
          <w:i/>
          <w:iCs/>
          <w:kern w:val="0"/>
          <w:sz w:val="24"/>
          <w:szCs w:val="24"/>
          <w:lang w:eastAsia="en-GB"/>
          <w14:ligatures w14:val="none"/>
        </w:rPr>
        <w:t>Sustainability</w:t>
      </w:r>
      <w:r w:rsidRPr="00C16CAB">
        <w:rPr>
          <w:rFonts w:ascii="Times New Roman" w:eastAsia="Times New Roman" w:hAnsi="Times New Roman" w:cs="Times New Roman"/>
          <w:kern w:val="0"/>
          <w:sz w:val="24"/>
          <w:szCs w:val="24"/>
          <w:lang w:eastAsia="en-GB"/>
          <w14:ligatures w14:val="none"/>
        </w:rPr>
        <w:t xml:space="preserve"> 11(21), p. 6104. Available at: https://www.mdpi.com/2071-1050/11/21/6104.</w:t>
      </w:r>
    </w:p>
    <w:p w14:paraId="5F10CE76" w14:textId="106178F1"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Kuteesa, F. and Al, E. 2010. </w:t>
      </w:r>
      <w:r w:rsidRPr="00C16CAB">
        <w:rPr>
          <w:rFonts w:ascii="Times New Roman" w:eastAsia="Times New Roman" w:hAnsi="Times New Roman" w:cs="Times New Roman"/>
          <w:i/>
          <w:iCs/>
          <w:kern w:val="0"/>
          <w:sz w:val="24"/>
          <w:szCs w:val="24"/>
          <w:lang w:eastAsia="en-GB"/>
          <w14:ligatures w14:val="none"/>
        </w:rPr>
        <w:t>Uganda’s Economic Reforms: Insider Accounts</w:t>
      </w:r>
      <w:r w:rsidRPr="00C16CAB">
        <w:rPr>
          <w:rFonts w:ascii="Times New Roman" w:eastAsia="Times New Roman" w:hAnsi="Times New Roman" w:cs="Times New Roman"/>
          <w:kern w:val="0"/>
          <w:sz w:val="24"/>
          <w:szCs w:val="24"/>
          <w:lang w:eastAsia="en-GB"/>
          <w14:ligatures w14:val="none"/>
        </w:rPr>
        <w:t>. Oxford: Oxford University Press. p. 158.</w:t>
      </w:r>
    </w:p>
    <w:p w14:paraId="22CD6FDE"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Leicht, A., Heiss, J. and Byun, W.J. 2018a. </w:t>
      </w:r>
      <w:r w:rsidRPr="00C16CAB">
        <w:rPr>
          <w:rFonts w:ascii="Times New Roman" w:eastAsia="Times New Roman" w:hAnsi="Times New Roman" w:cs="Times New Roman"/>
          <w:i/>
          <w:iCs/>
          <w:kern w:val="0"/>
          <w:sz w:val="24"/>
          <w:szCs w:val="24"/>
          <w:lang w:eastAsia="en-GB"/>
          <w14:ligatures w14:val="none"/>
        </w:rPr>
        <w:t>Issues and Trends in Education for Sustainable Development</w:t>
      </w:r>
      <w:r w:rsidRPr="00C16CAB">
        <w:rPr>
          <w:rFonts w:ascii="Times New Roman" w:eastAsia="Times New Roman" w:hAnsi="Times New Roman" w:cs="Times New Roman"/>
          <w:kern w:val="0"/>
          <w:sz w:val="24"/>
          <w:szCs w:val="24"/>
          <w:lang w:eastAsia="en-GB"/>
          <w14:ligatures w14:val="none"/>
        </w:rPr>
        <w:t>. UNESCO Publishing. p. 15.</w:t>
      </w:r>
    </w:p>
    <w:p w14:paraId="3E4959D0"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Leicht, A., Heiss, J. and Byun, W.J. 2018b. </w:t>
      </w:r>
      <w:r w:rsidRPr="00C16CAB">
        <w:rPr>
          <w:rFonts w:ascii="Times New Roman" w:eastAsia="Times New Roman" w:hAnsi="Times New Roman" w:cs="Times New Roman"/>
          <w:i/>
          <w:iCs/>
          <w:kern w:val="0"/>
          <w:sz w:val="24"/>
          <w:szCs w:val="24"/>
          <w:lang w:eastAsia="en-GB"/>
          <w14:ligatures w14:val="none"/>
        </w:rPr>
        <w:t>Issues and Trends in Education for Sustainable Development</w:t>
      </w:r>
      <w:r w:rsidRPr="00C16CAB">
        <w:rPr>
          <w:rFonts w:ascii="Times New Roman" w:eastAsia="Times New Roman" w:hAnsi="Times New Roman" w:cs="Times New Roman"/>
          <w:kern w:val="0"/>
          <w:sz w:val="24"/>
          <w:szCs w:val="24"/>
          <w:lang w:eastAsia="en-GB"/>
          <w14:ligatures w14:val="none"/>
        </w:rPr>
        <w:t>. UNESCO Publishing. p. 25.</w:t>
      </w:r>
    </w:p>
    <w:p w14:paraId="1F0742F4"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M. Verpoorten, S. </w:t>
      </w:r>
      <w:proofErr w:type="spellStart"/>
      <w:r w:rsidRPr="00C16CAB">
        <w:rPr>
          <w:rFonts w:ascii="Times New Roman" w:eastAsia="Times New Roman" w:hAnsi="Times New Roman" w:cs="Times New Roman"/>
          <w:kern w:val="0"/>
          <w:sz w:val="24"/>
          <w:szCs w:val="24"/>
          <w:lang w:eastAsia="en-GB"/>
          <w14:ligatures w14:val="none"/>
        </w:rPr>
        <w:t>Vandeginste</w:t>
      </w:r>
      <w:proofErr w:type="spellEnd"/>
      <w:r w:rsidRPr="00C16CAB">
        <w:rPr>
          <w:rFonts w:ascii="Times New Roman" w:eastAsia="Times New Roman" w:hAnsi="Times New Roman" w:cs="Times New Roman"/>
          <w:kern w:val="0"/>
          <w:sz w:val="24"/>
          <w:szCs w:val="24"/>
          <w:lang w:eastAsia="en-GB"/>
          <w14:ligatures w14:val="none"/>
        </w:rPr>
        <w:t xml:space="preserve"> and Filip </w:t>
      </w:r>
      <w:proofErr w:type="spellStart"/>
      <w:r w:rsidRPr="00C16CAB">
        <w:rPr>
          <w:rFonts w:ascii="Times New Roman" w:eastAsia="Times New Roman" w:hAnsi="Times New Roman" w:cs="Times New Roman"/>
          <w:kern w:val="0"/>
          <w:sz w:val="24"/>
          <w:szCs w:val="24"/>
          <w:lang w:eastAsia="en-GB"/>
          <w14:ligatures w14:val="none"/>
        </w:rPr>
        <w:t>Reyntjens</w:t>
      </w:r>
      <w:proofErr w:type="spellEnd"/>
      <w:r w:rsidRPr="00C16CAB">
        <w:rPr>
          <w:rFonts w:ascii="Times New Roman" w:eastAsia="Times New Roman" w:hAnsi="Times New Roman" w:cs="Times New Roman"/>
          <w:kern w:val="0"/>
          <w:sz w:val="24"/>
          <w:szCs w:val="24"/>
          <w:lang w:eastAsia="en-GB"/>
          <w14:ligatures w14:val="none"/>
        </w:rPr>
        <w:t xml:space="preserve">. 2014. </w:t>
      </w:r>
      <w:proofErr w:type="spellStart"/>
      <w:r w:rsidRPr="00C16CAB">
        <w:rPr>
          <w:rFonts w:ascii="Times New Roman" w:eastAsia="Times New Roman" w:hAnsi="Times New Roman" w:cs="Times New Roman"/>
          <w:i/>
          <w:iCs/>
          <w:kern w:val="0"/>
          <w:sz w:val="24"/>
          <w:szCs w:val="24"/>
          <w:lang w:eastAsia="en-GB"/>
          <w14:ligatures w14:val="none"/>
        </w:rPr>
        <w:t>L’Afrique</w:t>
      </w:r>
      <w:proofErr w:type="spellEnd"/>
      <w:r w:rsidRPr="00C16CAB">
        <w:rPr>
          <w:rFonts w:ascii="Times New Roman" w:eastAsia="Times New Roman" w:hAnsi="Times New Roman" w:cs="Times New Roman"/>
          <w:i/>
          <w:iCs/>
          <w:kern w:val="0"/>
          <w:sz w:val="24"/>
          <w:szCs w:val="24"/>
          <w:lang w:eastAsia="en-GB"/>
          <w14:ligatures w14:val="none"/>
        </w:rPr>
        <w:t xml:space="preserve"> Des Grands Lacs - Universal Secondary Education (USE) in Uganda: blessing or curse?</w:t>
      </w:r>
      <w:r w:rsidRPr="00C16CAB">
        <w:rPr>
          <w:rFonts w:ascii="Times New Roman" w:eastAsia="Times New Roman" w:hAnsi="Times New Roman" w:cs="Times New Roman"/>
          <w:kern w:val="0"/>
          <w:sz w:val="24"/>
          <w:szCs w:val="24"/>
          <w:lang w:eastAsia="en-GB"/>
          <w14:ligatures w14:val="none"/>
        </w:rPr>
        <w:t xml:space="preserve"> Antwerp University Press. pp. 349–372.</w:t>
      </w:r>
    </w:p>
    <w:p w14:paraId="74A03B91"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McLeod, S. 2018. </w:t>
      </w:r>
      <w:r w:rsidRPr="00C16CAB">
        <w:rPr>
          <w:rFonts w:ascii="Times New Roman" w:eastAsia="Times New Roman" w:hAnsi="Times New Roman" w:cs="Times New Roman"/>
          <w:i/>
          <w:iCs/>
          <w:kern w:val="0"/>
          <w:sz w:val="24"/>
          <w:szCs w:val="24"/>
          <w:lang w:eastAsia="en-GB"/>
          <w14:ligatures w14:val="none"/>
        </w:rPr>
        <w:t>Maslow’s Hierarchy of Needs</w:t>
      </w:r>
      <w:r w:rsidRPr="00C16CAB">
        <w:rPr>
          <w:rFonts w:ascii="Times New Roman" w:eastAsia="Times New Roman" w:hAnsi="Times New Roman" w:cs="Times New Roman"/>
          <w:kern w:val="0"/>
          <w:sz w:val="24"/>
          <w:szCs w:val="24"/>
          <w:lang w:eastAsia="en-GB"/>
          <w14:ligatures w14:val="none"/>
        </w:rPr>
        <w:t>. Simply Psychology. p. 1. Available at: https://canadacollege.edu/dreamers/docs/Maslows-Hierarchy-of-Needs.pdf [Accessed: 2 March 2023].</w:t>
      </w:r>
    </w:p>
    <w:p w14:paraId="421A1AF8" w14:textId="0C3383CE"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Namukasa, S. 2021. </w:t>
      </w:r>
      <w:r w:rsidRPr="00C16CAB">
        <w:rPr>
          <w:rFonts w:ascii="Times New Roman" w:eastAsia="Times New Roman" w:hAnsi="Times New Roman" w:cs="Times New Roman"/>
          <w:i/>
          <w:iCs/>
          <w:kern w:val="0"/>
          <w:sz w:val="24"/>
          <w:szCs w:val="24"/>
          <w:lang w:eastAsia="en-GB"/>
          <w14:ligatures w14:val="none"/>
        </w:rPr>
        <w:t xml:space="preserve">Factors That Contribute to Teenage Pregnancy during covid-19 in Uganda: </w:t>
      </w:r>
      <w:r w:rsidR="00CD3AB2">
        <w:rPr>
          <w:rFonts w:ascii="Times New Roman" w:eastAsia="Times New Roman" w:hAnsi="Times New Roman" w:cs="Times New Roman"/>
          <w:i/>
          <w:iCs/>
          <w:kern w:val="0"/>
          <w:sz w:val="24"/>
          <w:szCs w:val="24"/>
          <w:lang w:eastAsia="en-GB"/>
          <w14:ligatures w14:val="none"/>
        </w:rPr>
        <w:t>A</w:t>
      </w:r>
      <w:r w:rsidRPr="00C16CAB">
        <w:rPr>
          <w:rFonts w:ascii="Times New Roman" w:eastAsia="Times New Roman" w:hAnsi="Times New Roman" w:cs="Times New Roman"/>
          <w:i/>
          <w:iCs/>
          <w:kern w:val="0"/>
          <w:sz w:val="24"/>
          <w:szCs w:val="24"/>
          <w:lang w:eastAsia="en-GB"/>
          <w14:ligatures w14:val="none"/>
        </w:rPr>
        <w:t xml:space="preserve"> Study of </w:t>
      </w:r>
      <w:proofErr w:type="spellStart"/>
      <w:r w:rsidRPr="00C16CAB">
        <w:rPr>
          <w:rFonts w:ascii="Times New Roman" w:eastAsia="Times New Roman" w:hAnsi="Times New Roman" w:cs="Times New Roman"/>
          <w:i/>
          <w:iCs/>
          <w:kern w:val="0"/>
          <w:sz w:val="24"/>
          <w:szCs w:val="24"/>
          <w:lang w:eastAsia="en-GB"/>
          <w14:ligatures w14:val="none"/>
        </w:rPr>
        <w:t>Bugiri</w:t>
      </w:r>
      <w:proofErr w:type="spellEnd"/>
      <w:r w:rsidRPr="00C16CAB">
        <w:rPr>
          <w:rFonts w:ascii="Times New Roman" w:eastAsia="Times New Roman" w:hAnsi="Times New Roman" w:cs="Times New Roman"/>
          <w:i/>
          <w:iCs/>
          <w:kern w:val="0"/>
          <w:sz w:val="24"/>
          <w:szCs w:val="24"/>
          <w:lang w:eastAsia="en-GB"/>
          <w14:ligatures w14:val="none"/>
        </w:rPr>
        <w:t xml:space="preserve"> Municipal Council in </w:t>
      </w:r>
      <w:proofErr w:type="spellStart"/>
      <w:r w:rsidRPr="00C16CAB">
        <w:rPr>
          <w:rFonts w:ascii="Times New Roman" w:eastAsia="Times New Roman" w:hAnsi="Times New Roman" w:cs="Times New Roman"/>
          <w:i/>
          <w:iCs/>
          <w:kern w:val="0"/>
          <w:sz w:val="24"/>
          <w:szCs w:val="24"/>
          <w:lang w:eastAsia="en-GB"/>
          <w14:ligatures w14:val="none"/>
        </w:rPr>
        <w:t>Bugiri</w:t>
      </w:r>
      <w:proofErr w:type="spellEnd"/>
      <w:r w:rsidRPr="00C16CAB">
        <w:rPr>
          <w:rFonts w:ascii="Times New Roman" w:eastAsia="Times New Roman" w:hAnsi="Times New Roman" w:cs="Times New Roman"/>
          <w:i/>
          <w:iCs/>
          <w:kern w:val="0"/>
          <w:sz w:val="24"/>
          <w:szCs w:val="24"/>
          <w:lang w:eastAsia="en-GB"/>
          <w14:ligatures w14:val="none"/>
        </w:rPr>
        <w:t xml:space="preserve"> District.</w:t>
      </w:r>
      <w:r w:rsidRPr="00C16CAB">
        <w:rPr>
          <w:rFonts w:ascii="Times New Roman" w:eastAsia="Times New Roman" w:hAnsi="Times New Roman" w:cs="Times New Roman"/>
          <w:kern w:val="0"/>
          <w:sz w:val="24"/>
          <w:szCs w:val="24"/>
          <w:lang w:eastAsia="en-GB"/>
          <w14:ligatures w14:val="none"/>
        </w:rPr>
        <w:t xml:space="preserve"> Available at: http://dissertations.mak.ac.ug/handle/20.500.12281/9492 [Accessed: 3 March 2024].</w:t>
      </w:r>
    </w:p>
    <w:p w14:paraId="7E896824" w14:textId="2F544064"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Newby, L.S., Hite, J.M., Hite, S.J. and </w:t>
      </w:r>
      <w:proofErr w:type="spellStart"/>
      <w:r w:rsidRPr="00C16CAB">
        <w:rPr>
          <w:rFonts w:ascii="Times New Roman" w:eastAsia="Times New Roman" w:hAnsi="Times New Roman" w:cs="Times New Roman"/>
          <w:kern w:val="0"/>
          <w:sz w:val="24"/>
          <w:szCs w:val="24"/>
          <w:lang w:eastAsia="en-GB"/>
          <w14:ligatures w14:val="none"/>
        </w:rPr>
        <w:t>Mugimu</w:t>
      </w:r>
      <w:proofErr w:type="spellEnd"/>
      <w:r w:rsidRPr="00C16CAB">
        <w:rPr>
          <w:rFonts w:ascii="Times New Roman" w:eastAsia="Times New Roman" w:hAnsi="Times New Roman" w:cs="Times New Roman"/>
          <w:kern w:val="0"/>
          <w:sz w:val="24"/>
          <w:szCs w:val="24"/>
          <w:lang w:eastAsia="en-GB"/>
          <w14:ligatures w14:val="none"/>
        </w:rPr>
        <w:t xml:space="preserve">, C.B. 2012. Technology and education: ICT in Ugandan Secondary Schools. </w:t>
      </w:r>
      <w:r w:rsidRPr="00C16CAB">
        <w:rPr>
          <w:rFonts w:ascii="Times New Roman" w:eastAsia="Times New Roman" w:hAnsi="Times New Roman" w:cs="Times New Roman"/>
          <w:i/>
          <w:iCs/>
          <w:kern w:val="0"/>
          <w:sz w:val="24"/>
          <w:szCs w:val="24"/>
          <w:lang w:eastAsia="en-GB"/>
          <w14:ligatures w14:val="none"/>
        </w:rPr>
        <w:t>Education and Information Technologies</w:t>
      </w:r>
      <w:r w:rsidRPr="00C16CAB">
        <w:rPr>
          <w:rFonts w:ascii="Times New Roman" w:eastAsia="Times New Roman" w:hAnsi="Times New Roman" w:cs="Times New Roman"/>
          <w:kern w:val="0"/>
          <w:sz w:val="24"/>
          <w:szCs w:val="24"/>
          <w:lang w:eastAsia="en-GB"/>
          <w14:ligatures w14:val="none"/>
        </w:rPr>
        <w:t xml:space="preserve"> 18(3), pp. 515–530. </w:t>
      </w:r>
      <w:proofErr w:type="spellStart"/>
      <w:proofErr w:type="gramStart"/>
      <w:r w:rsidRPr="00C16CAB">
        <w:rPr>
          <w:rFonts w:ascii="Times New Roman" w:eastAsia="Times New Roman" w:hAnsi="Times New Roman" w:cs="Times New Roman"/>
          <w:kern w:val="0"/>
          <w:sz w:val="24"/>
          <w:szCs w:val="24"/>
          <w:lang w:eastAsia="en-GB"/>
          <w14:ligatures w14:val="none"/>
        </w:rPr>
        <w:t>doi:https</w:t>
      </w:r>
      <w:proofErr w:type="spellEnd"/>
      <w:r w:rsidRPr="00C16CAB">
        <w:rPr>
          <w:rFonts w:ascii="Times New Roman" w:eastAsia="Times New Roman" w:hAnsi="Times New Roman" w:cs="Times New Roman"/>
          <w:kern w:val="0"/>
          <w:sz w:val="24"/>
          <w:szCs w:val="24"/>
          <w:lang w:eastAsia="en-GB"/>
          <w14:ligatures w14:val="none"/>
        </w:rPr>
        <w:t>://doi.org/10.1007/s10639-011-9180-x</w:t>
      </w:r>
      <w:proofErr w:type="gramEnd"/>
      <w:r w:rsidRPr="00C16CAB">
        <w:rPr>
          <w:rFonts w:ascii="Times New Roman" w:eastAsia="Times New Roman" w:hAnsi="Times New Roman" w:cs="Times New Roman"/>
          <w:kern w:val="0"/>
          <w:sz w:val="24"/>
          <w:szCs w:val="24"/>
          <w:lang w:eastAsia="en-GB"/>
          <w14:ligatures w14:val="none"/>
        </w:rPr>
        <w:t>.</w:t>
      </w:r>
    </w:p>
    <w:p w14:paraId="786D3B4A"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proofErr w:type="spellStart"/>
      <w:r w:rsidRPr="00C16CAB">
        <w:rPr>
          <w:rFonts w:ascii="Times New Roman" w:eastAsia="Times New Roman" w:hAnsi="Times New Roman" w:cs="Times New Roman"/>
          <w:kern w:val="0"/>
          <w:sz w:val="24"/>
          <w:szCs w:val="24"/>
          <w:lang w:eastAsia="en-GB"/>
          <w14:ligatures w14:val="none"/>
        </w:rPr>
        <w:t>O'donoghue</w:t>
      </w:r>
      <w:proofErr w:type="spellEnd"/>
      <w:r w:rsidRPr="00C16CAB">
        <w:rPr>
          <w:rFonts w:ascii="Times New Roman" w:eastAsia="Times New Roman" w:hAnsi="Times New Roman" w:cs="Times New Roman"/>
          <w:kern w:val="0"/>
          <w:sz w:val="24"/>
          <w:szCs w:val="24"/>
          <w:lang w:eastAsia="en-GB"/>
          <w14:ligatures w14:val="none"/>
        </w:rPr>
        <w:t xml:space="preserve">, J., Crawfurd, L., </w:t>
      </w:r>
      <w:proofErr w:type="spellStart"/>
      <w:r w:rsidRPr="00C16CAB">
        <w:rPr>
          <w:rFonts w:ascii="Times New Roman" w:eastAsia="Times New Roman" w:hAnsi="Times New Roman" w:cs="Times New Roman"/>
          <w:kern w:val="0"/>
          <w:sz w:val="24"/>
          <w:szCs w:val="24"/>
          <w:lang w:eastAsia="en-GB"/>
          <w14:ligatures w14:val="none"/>
        </w:rPr>
        <w:t>Makaaru</w:t>
      </w:r>
      <w:proofErr w:type="spellEnd"/>
      <w:r w:rsidRPr="00C16CAB">
        <w:rPr>
          <w:rFonts w:ascii="Times New Roman" w:eastAsia="Times New Roman" w:hAnsi="Times New Roman" w:cs="Times New Roman"/>
          <w:kern w:val="0"/>
          <w:sz w:val="24"/>
          <w:szCs w:val="24"/>
          <w:lang w:eastAsia="en-GB"/>
          <w14:ligatures w14:val="none"/>
        </w:rPr>
        <w:t xml:space="preserve">, J., Otieno, P. and Perakis, R. 2018a. </w:t>
      </w:r>
      <w:r w:rsidRPr="00C16CAB">
        <w:rPr>
          <w:rFonts w:ascii="Times New Roman" w:eastAsia="Times New Roman" w:hAnsi="Times New Roman" w:cs="Times New Roman"/>
          <w:i/>
          <w:iCs/>
          <w:kern w:val="0"/>
          <w:sz w:val="24"/>
          <w:szCs w:val="24"/>
          <w:lang w:eastAsia="en-GB"/>
          <w14:ligatures w14:val="none"/>
        </w:rPr>
        <w:t>A Review of Uganda’s Universal Secondary Education Public Private Partnership Programme</w:t>
      </w:r>
      <w:r w:rsidRPr="00C16CAB">
        <w:rPr>
          <w:rFonts w:ascii="Times New Roman" w:eastAsia="Times New Roman" w:hAnsi="Times New Roman" w:cs="Times New Roman"/>
          <w:kern w:val="0"/>
          <w:sz w:val="24"/>
          <w:szCs w:val="24"/>
          <w:lang w:eastAsia="en-GB"/>
          <w14:ligatures w14:val="none"/>
        </w:rPr>
        <w:t>. Education Partnership Group. Available at: https://epg.org.uk/wp-content/uploads/2019/05/Uganda-PPP-Review_2018_Final.pdf.</w:t>
      </w:r>
    </w:p>
    <w:p w14:paraId="11887CCC"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proofErr w:type="spellStart"/>
      <w:r w:rsidRPr="00C16CAB">
        <w:rPr>
          <w:rFonts w:ascii="Times New Roman" w:eastAsia="Times New Roman" w:hAnsi="Times New Roman" w:cs="Times New Roman"/>
          <w:kern w:val="0"/>
          <w:sz w:val="24"/>
          <w:szCs w:val="24"/>
          <w:lang w:eastAsia="en-GB"/>
          <w14:ligatures w14:val="none"/>
        </w:rPr>
        <w:t>O'donoghue</w:t>
      </w:r>
      <w:proofErr w:type="spellEnd"/>
      <w:r w:rsidRPr="00C16CAB">
        <w:rPr>
          <w:rFonts w:ascii="Times New Roman" w:eastAsia="Times New Roman" w:hAnsi="Times New Roman" w:cs="Times New Roman"/>
          <w:kern w:val="0"/>
          <w:sz w:val="24"/>
          <w:szCs w:val="24"/>
          <w:lang w:eastAsia="en-GB"/>
          <w14:ligatures w14:val="none"/>
        </w:rPr>
        <w:t xml:space="preserve">, J., Crawfurd, L., </w:t>
      </w:r>
      <w:proofErr w:type="spellStart"/>
      <w:r w:rsidRPr="00C16CAB">
        <w:rPr>
          <w:rFonts w:ascii="Times New Roman" w:eastAsia="Times New Roman" w:hAnsi="Times New Roman" w:cs="Times New Roman"/>
          <w:kern w:val="0"/>
          <w:sz w:val="24"/>
          <w:szCs w:val="24"/>
          <w:lang w:eastAsia="en-GB"/>
          <w14:ligatures w14:val="none"/>
        </w:rPr>
        <w:t>Makaaru</w:t>
      </w:r>
      <w:proofErr w:type="spellEnd"/>
      <w:r w:rsidRPr="00C16CAB">
        <w:rPr>
          <w:rFonts w:ascii="Times New Roman" w:eastAsia="Times New Roman" w:hAnsi="Times New Roman" w:cs="Times New Roman"/>
          <w:kern w:val="0"/>
          <w:sz w:val="24"/>
          <w:szCs w:val="24"/>
          <w:lang w:eastAsia="en-GB"/>
          <w14:ligatures w14:val="none"/>
        </w:rPr>
        <w:t xml:space="preserve">, J., Otieno, P. and Perakis, R. 2018b. </w:t>
      </w:r>
      <w:r w:rsidRPr="00C16CAB">
        <w:rPr>
          <w:rFonts w:ascii="Times New Roman" w:eastAsia="Times New Roman" w:hAnsi="Times New Roman" w:cs="Times New Roman"/>
          <w:i/>
          <w:iCs/>
          <w:kern w:val="0"/>
          <w:sz w:val="24"/>
          <w:szCs w:val="24"/>
          <w:lang w:eastAsia="en-GB"/>
          <w14:ligatures w14:val="none"/>
        </w:rPr>
        <w:t>A Review of Uganda’s Universal Secondary Education Public Private Partnership Programme</w:t>
      </w:r>
      <w:r w:rsidRPr="00C16CAB">
        <w:rPr>
          <w:rFonts w:ascii="Times New Roman" w:eastAsia="Times New Roman" w:hAnsi="Times New Roman" w:cs="Times New Roman"/>
          <w:kern w:val="0"/>
          <w:sz w:val="24"/>
          <w:szCs w:val="24"/>
          <w:lang w:eastAsia="en-GB"/>
          <w14:ligatures w14:val="none"/>
        </w:rPr>
        <w:t>. Education Partnership Group. Available at: https://epg.org.uk/wp-content/uploads/2019/05/Uganda-PPP-Review_2018_Final.pdf.</w:t>
      </w:r>
    </w:p>
    <w:p w14:paraId="3C285BC7" w14:textId="4E370BE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Ogawa, K. and Nishimura, M. 2015. </w:t>
      </w:r>
      <w:r w:rsidRPr="00C16CAB">
        <w:rPr>
          <w:rFonts w:ascii="Times New Roman" w:eastAsia="Times New Roman" w:hAnsi="Times New Roman" w:cs="Times New Roman"/>
          <w:i/>
          <w:iCs/>
          <w:kern w:val="0"/>
          <w:sz w:val="24"/>
          <w:szCs w:val="24"/>
          <w:lang w:eastAsia="en-GB"/>
          <w14:ligatures w14:val="none"/>
        </w:rPr>
        <w:t xml:space="preserve">Comparative Analysis on Universal Primary Education Policy and practice in Sub-Saharan Africa: the cases of Ghana, Kenya, </w:t>
      </w:r>
      <w:proofErr w:type="gramStart"/>
      <w:r w:rsidRPr="00C16CAB">
        <w:rPr>
          <w:rFonts w:ascii="Times New Roman" w:eastAsia="Times New Roman" w:hAnsi="Times New Roman" w:cs="Times New Roman"/>
          <w:i/>
          <w:iCs/>
          <w:kern w:val="0"/>
          <w:sz w:val="24"/>
          <w:szCs w:val="24"/>
          <w:lang w:eastAsia="en-GB"/>
          <w14:ligatures w14:val="none"/>
        </w:rPr>
        <w:t>Malawi</w:t>
      </w:r>
      <w:proofErr w:type="gramEnd"/>
      <w:r w:rsidRPr="00C16CAB">
        <w:rPr>
          <w:rFonts w:ascii="Times New Roman" w:eastAsia="Times New Roman" w:hAnsi="Times New Roman" w:cs="Times New Roman"/>
          <w:i/>
          <w:iCs/>
          <w:kern w:val="0"/>
          <w:sz w:val="24"/>
          <w:szCs w:val="24"/>
          <w:lang w:eastAsia="en-GB"/>
          <w14:ligatures w14:val="none"/>
        </w:rPr>
        <w:t xml:space="preserve"> and Uganda</w:t>
      </w:r>
      <w:r w:rsidRPr="00C16CAB">
        <w:rPr>
          <w:rFonts w:ascii="Times New Roman" w:eastAsia="Times New Roman" w:hAnsi="Times New Roman" w:cs="Times New Roman"/>
          <w:kern w:val="0"/>
          <w:sz w:val="24"/>
          <w:szCs w:val="24"/>
          <w:lang w:eastAsia="en-GB"/>
          <w14:ligatures w14:val="none"/>
        </w:rPr>
        <w:t>. Rotterdam: Sense Publishers.</w:t>
      </w:r>
    </w:p>
    <w:p w14:paraId="7355A793"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lastRenderedPageBreak/>
        <w:t xml:space="preserve">Owori, M. 2020. </w:t>
      </w:r>
      <w:r w:rsidRPr="00C16CAB">
        <w:rPr>
          <w:rFonts w:ascii="Times New Roman" w:eastAsia="Times New Roman" w:hAnsi="Times New Roman" w:cs="Times New Roman"/>
          <w:i/>
          <w:iCs/>
          <w:kern w:val="0"/>
          <w:sz w:val="24"/>
          <w:szCs w:val="24"/>
          <w:lang w:eastAsia="en-GB"/>
          <w14:ligatures w14:val="none"/>
        </w:rPr>
        <w:t>Poverty in Uganda: National and Regional Data and Trends</w:t>
      </w:r>
      <w:r w:rsidRPr="00C16CAB">
        <w:rPr>
          <w:rFonts w:ascii="Times New Roman" w:eastAsia="Times New Roman" w:hAnsi="Times New Roman" w:cs="Times New Roman"/>
          <w:kern w:val="0"/>
          <w:sz w:val="24"/>
          <w:szCs w:val="24"/>
          <w:lang w:eastAsia="en-GB"/>
          <w14:ligatures w14:val="none"/>
        </w:rPr>
        <w:t>. Available at: https://devinit.org/24c527 [Accessed: 9 February 2024].</w:t>
      </w:r>
    </w:p>
    <w:p w14:paraId="380A9AC7"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Rashid, N. 2014. British colonialism in East-Africa during nineteenth century. </w:t>
      </w:r>
      <w:r w:rsidRPr="00C16CAB">
        <w:rPr>
          <w:rFonts w:ascii="Times New Roman" w:eastAsia="Times New Roman" w:hAnsi="Times New Roman" w:cs="Times New Roman"/>
          <w:i/>
          <w:iCs/>
          <w:kern w:val="0"/>
          <w:sz w:val="24"/>
          <w:szCs w:val="24"/>
          <w:lang w:eastAsia="en-GB"/>
          <w14:ligatures w14:val="none"/>
        </w:rPr>
        <w:t>Journal of Humanities and Social Science</w:t>
      </w:r>
      <w:r w:rsidRPr="00C16CAB">
        <w:rPr>
          <w:rFonts w:ascii="Times New Roman" w:eastAsia="Times New Roman" w:hAnsi="Times New Roman" w:cs="Times New Roman"/>
          <w:kern w:val="0"/>
          <w:sz w:val="24"/>
          <w:szCs w:val="24"/>
          <w:lang w:eastAsia="en-GB"/>
          <w14:ligatures w14:val="none"/>
        </w:rPr>
        <w:t xml:space="preserve"> 19(3), pp. 8–11.</w:t>
      </w:r>
    </w:p>
    <w:p w14:paraId="09E09F2F" w14:textId="30D07303"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Steger, M.B. 2017. </w:t>
      </w:r>
      <w:r w:rsidRPr="00C16CAB">
        <w:rPr>
          <w:rFonts w:ascii="Times New Roman" w:eastAsia="Times New Roman" w:hAnsi="Times New Roman" w:cs="Times New Roman"/>
          <w:i/>
          <w:iCs/>
          <w:kern w:val="0"/>
          <w:sz w:val="24"/>
          <w:szCs w:val="24"/>
          <w:lang w:eastAsia="en-GB"/>
          <w14:ligatures w14:val="none"/>
        </w:rPr>
        <w:t>Globalization: a very short introduction</w:t>
      </w:r>
      <w:r w:rsidRPr="00C16CAB">
        <w:rPr>
          <w:rFonts w:ascii="Times New Roman" w:eastAsia="Times New Roman" w:hAnsi="Times New Roman" w:cs="Times New Roman"/>
          <w:kern w:val="0"/>
          <w:sz w:val="24"/>
          <w:szCs w:val="24"/>
          <w:lang w:eastAsia="en-GB"/>
          <w14:ligatures w14:val="none"/>
        </w:rPr>
        <w:t>. Oxford: Oxford University Press. p. 5.</w:t>
      </w:r>
    </w:p>
    <w:p w14:paraId="09478E37"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The World Bank. 2022. </w:t>
      </w:r>
      <w:r w:rsidRPr="00C16CAB">
        <w:rPr>
          <w:rFonts w:ascii="Times New Roman" w:eastAsia="Times New Roman" w:hAnsi="Times New Roman" w:cs="Times New Roman"/>
          <w:i/>
          <w:iCs/>
          <w:kern w:val="0"/>
          <w:sz w:val="24"/>
          <w:szCs w:val="24"/>
          <w:lang w:eastAsia="en-GB"/>
          <w14:ligatures w14:val="none"/>
        </w:rPr>
        <w:t>World Bank Open Data</w:t>
      </w:r>
      <w:r w:rsidRPr="00C16CAB">
        <w:rPr>
          <w:rFonts w:ascii="Times New Roman" w:eastAsia="Times New Roman" w:hAnsi="Times New Roman" w:cs="Times New Roman"/>
          <w:kern w:val="0"/>
          <w:sz w:val="24"/>
          <w:szCs w:val="24"/>
          <w:lang w:eastAsia="en-GB"/>
          <w14:ligatures w14:val="none"/>
        </w:rPr>
        <w:t>. Available at: https://data.worldbank.org/indicator/SP.POP.TOTL.FE.ZS?locations=UG [Accessed: 13 February 2024].</w:t>
      </w:r>
    </w:p>
    <w:p w14:paraId="19279A0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Tumusiime-Mutebile, E. 2003. </w:t>
      </w:r>
      <w:r w:rsidRPr="00C16CAB">
        <w:rPr>
          <w:rFonts w:ascii="Times New Roman" w:eastAsia="Times New Roman" w:hAnsi="Times New Roman" w:cs="Times New Roman"/>
          <w:i/>
          <w:iCs/>
          <w:kern w:val="0"/>
          <w:sz w:val="24"/>
          <w:szCs w:val="24"/>
          <w:lang w:eastAsia="en-GB"/>
          <w14:ligatures w14:val="none"/>
        </w:rPr>
        <w:t>Uganda’s Experience with Economic Reform: Implications for Poverty Reduction</w:t>
      </w:r>
      <w:r w:rsidRPr="00C16CAB">
        <w:rPr>
          <w:rFonts w:ascii="Times New Roman" w:eastAsia="Times New Roman" w:hAnsi="Times New Roman" w:cs="Times New Roman"/>
          <w:kern w:val="0"/>
          <w:sz w:val="24"/>
          <w:szCs w:val="24"/>
          <w:lang w:eastAsia="en-GB"/>
          <w14:ligatures w14:val="none"/>
        </w:rPr>
        <w:t>. African Economic Research Consortium. p. 22.</w:t>
      </w:r>
    </w:p>
    <w:p w14:paraId="1F4D451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UNICEF. 2002. </w:t>
      </w:r>
      <w:r w:rsidRPr="00C16CAB">
        <w:rPr>
          <w:rFonts w:ascii="Times New Roman" w:eastAsia="Times New Roman" w:hAnsi="Times New Roman" w:cs="Times New Roman"/>
          <w:i/>
          <w:iCs/>
          <w:kern w:val="0"/>
          <w:sz w:val="24"/>
          <w:szCs w:val="24"/>
          <w:lang w:eastAsia="en-GB"/>
          <w14:ligatures w14:val="none"/>
        </w:rPr>
        <w:t>A World Fit for Children</w:t>
      </w:r>
      <w:r w:rsidRPr="00C16CAB">
        <w:rPr>
          <w:rFonts w:ascii="Times New Roman" w:eastAsia="Times New Roman" w:hAnsi="Times New Roman" w:cs="Times New Roman"/>
          <w:kern w:val="0"/>
          <w:sz w:val="24"/>
          <w:szCs w:val="24"/>
          <w:lang w:eastAsia="en-GB"/>
          <w14:ligatures w14:val="none"/>
        </w:rPr>
        <w:t>. New York: The United Nations Children Fund. p. 68.</w:t>
      </w:r>
    </w:p>
    <w:p w14:paraId="7260DD9E" w14:textId="25B8D2D3"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U</w:t>
      </w:r>
      <w:r w:rsidR="00CD3AB2">
        <w:rPr>
          <w:rFonts w:ascii="Times New Roman" w:eastAsia="Times New Roman" w:hAnsi="Times New Roman" w:cs="Times New Roman"/>
          <w:kern w:val="0"/>
          <w:sz w:val="24"/>
          <w:szCs w:val="24"/>
          <w:lang w:eastAsia="en-GB"/>
          <w14:ligatures w14:val="none"/>
        </w:rPr>
        <w:t>NICEF</w:t>
      </w:r>
      <w:r w:rsidRPr="00C16CAB">
        <w:rPr>
          <w:rFonts w:ascii="Times New Roman" w:eastAsia="Times New Roman" w:hAnsi="Times New Roman" w:cs="Times New Roman"/>
          <w:kern w:val="0"/>
          <w:sz w:val="24"/>
          <w:szCs w:val="24"/>
          <w:lang w:eastAsia="en-GB"/>
          <w14:ligatures w14:val="none"/>
        </w:rPr>
        <w:t xml:space="preserve">. 2010. </w:t>
      </w:r>
      <w:r w:rsidRPr="00C16CAB">
        <w:rPr>
          <w:rFonts w:ascii="Times New Roman" w:eastAsia="Times New Roman" w:hAnsi="Times New Roman" w:cs="Times New Roman"/>
          <w:i/>
          <w:iCs/>
          <w:kern w:val="0"/>
          <w:sz w:val="24"/>
          <w:szCs w:val="24"/>
          <w:lang w:eastAsia="en-GB"/>
          <w14:ligatures w14:val="none"/>
        </w:rPr>
        <w:t>Education</w:t>
      </w:r>
      <w:r w:rsidRPr="00C16CAB">
        <w:rPr>
          <w:rFonts w:ascii="Times New Roman" w:eastAsia="Times New Roman" w:hAnsi="Times New Roman" w:cs="Times New Roman"/>
          <w:kern w:val="0"/>
          <w:sz w:val="24"/>
          <w:szCs w:val="24"/>
          <w:lang w:eastAsia="en-GB"/>
          <w14:ligatures w14:val="none"/>
        </w:rPr>
        <w:t>. Available at: https://www.unicef.org/uganda/what-we-do/education [Accessed: 3 March 2024].</w:t>
      </w:r>
    </w:p>
    <w:p w14:paraId="0922FB2D"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United Nations. 1948. </w:t>
      </w:r>
      <w:r w:rsidRPr="00C16CAB">
        <w:rPr>
          <w:rFonts w:ascii="Times New Roman" w:eastAsia="Times New Roman" w:hAnsi="Times New Roman" w:cs="Times New Roman"/>
          <w:i/>
          <w:iCs/>
          <w:kern w:val="0"/>
          <w:sz w:val="24"/>
          <w:szCs w:val="24"/>
          <w:lang w:eastAsia="en-GB"/>
          <w14:ligatures w14:val="none"/>
        </w:rPr>
        <w:t>Universal Declaration of Human Rights</w:t>
      </w:r>
      <w:r w:rsidRPr="00C16CAB">
        <w:rPr>
          <w:rFonts w:ascii="Times New Roman" w:eastAsia="Times New Roman" w:hAnsi="Times New Roman" w:cs="Times New Roman"/>
          <w:kern w:val="0"/>
          <w:sz w:val="24"/>
          <w:szCs w:val="24"/>
          <w:lang w:eastAsia="en-GB"/>
          <w14:ligatures w14:val="none"/>
        </w:rPr>
        <w:t>.</w:t>
      </w:r>
    </w:p>
    <w:p w14:paraId="1E0A9BB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United Nations. 2015. </w:t>
      </w:r>
      <w:r w:rsidRPr="00C16CAB">
        <w:rPr>
          <w:rFonts w:ascii="Times New Roman" w:eastAsia="Times New Roman" w:hAnsi="Times New Roman" w:cs="Times New Roman"/>
          <w:i/>
          <w:iCs/>
          <w:kern w:val="0"/>
          <w:sz w:val="24"/>
          <w:szCs w:val="24"/>
          <w:lang w:eastAsia="en-GB"/>
          <w14:ligatures w14:val="none"/>
        </w:rPr>
        <w:t>Goal 1: End Poverty in All Its Forms Everywhere</w:t>
      </w:r>
      <w:r w:rsidRPr="00C16CAB">
        <w:rPr>
          <w:rFonts w:ascii="Times New Roman" w:eastAsia="Times New Roman" w:hAnsi="Times New Roman" w:cs="Times New Roman"/>
          <w:kern w:val="0"/>
          <w:sz w:val="24"/>
          <w:szCs w:val="24"/>
          <w:lang w:eastAsia="en-GB"/>
          <w14:ligatures w14:val="none"/>
        </w:rPr>
        <w:t>. Available at: https://www.un.org/sustainabledevelopment/poverty/ [Accessed: 25 February 2024].</w:t>
      </w:r>
    </w:p>
    <w:p w14:paraId="1805191F"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United Nations. 2023a. </w:t>
      </w:r>
      <w:r w:rsidRPr="00C16CAB">
        <w:rPr>
          <w:rFonts w:ascii="Times New Roman" w:eastAsia="Times New Roman" w:hAnsi="Times New Roman" w:cs="Times New Roman"/>
          <w:i/>
          <w:iCs/>
          <w:kern w:val="0"/>
          <w:sz w:val="24"/>
          <w:szCs w:val="24"/>
          <w:lang w:eastAsia="en-GB"/>
          <w14:ligatures w14:val="none"/>
        </w:rPr>
        <w:t>— SDG Indicators</w:t>
      </w:r>
      <w:r w:rsidRPr="00C16CAB">
        <w:rPr>
          <w:rFonts w:ascii="Times New Roman" w:eastAsia="Times New Roman" w:hAnsi="Times New Roman" w:cs="Times New Roman"/>
          <w:kern w:val="0"/>
          <w:sz w:val="24"/>
          <w:szCs w:val="24"/>
          <w:lang w:eastAsia="en-GB"/>
          <w14:ligatures w14:val="none"/>
        </w:rPr>
        <w:t>. Available at: https://unstats.un.org/sdgs/report/2023/Goal-01/.</w:t>
      </w:r>
    </w:p>
    <w:p w14:paraId="16A178FB"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United Nations. 2023b. </w:t>
      </w:r>
      <w:r w:rsidRPr="00C16CAB">
        <w:rPr>
          <w:rFonts w:ascii="Times New Roman" w:eastAsia="Times New Roman" w:hAnsi="Times New Roman" w:cs="Times New Roman"/>
          <w:i/>
          <w:iCs/>
          <w:kern w:val="0"/>
          <w:sz w:val="24"/>
          <w:szCs w:val="24"/>
          <w:lang w:eastAsia="en-GB"/>
          <w14:ligatures w14:val="none"/>
        </w:rPr>
        <w:t>— SDG Indicators - Goal 4</w:t>
      </w:r>
      <w:r w:rsidRPr="00C16CAB">
        <w:rPr>
          <w:rFonts w:ascii="Times New Roman" w:eastAsia="Times New Roman" w:hAnsi="Times New Roman" w:cs="Times New Roman"/>
          <w:kern w:val="0"/>
          <w:sz w:val="24"/>
          <w:szCs w:val="24"/>
          <w:lang w:eastAsia="en-GB"/>
          <w14:ligatures w14:val="none"/>
        </w:rPr>
        <w:t>. Available at: https://unstats.un.org/sdgs/report/2023/Goal-04/.</w:t>
      </w:r>
    </w:p>
    <w:p w14:paraId="4BAAE9EF" w14:textId="77777777" w:rsidR="00C16CAB" w:rsidRPr="00C16CAB" w:rsidRDefault="00C16CAB" w:rsidP="00C16CAB">
      <w:pPr>
        <w:spacing w:after="30" w:line="360" w:lineRule="auto"/>
        <w:rPr>
          <w:rFonts w:ascii="Times New Roman" w:eastAsia="Times New Roman" w:hAnsi="Times New Roman" w:cs="Times New Roman"/>
          <w:kern w:val="0"/>
          <w:sz w:val="24"/>
          <w:szCs w:val="24"/>
          <w:lang w:eastAsia="en-GB"/>
          <w14:ligatures w14:val="none"/>
        </w:rPr>
      </w:pPr>
      <w:r w:rsidRPr="00C16CAB">
        <w:rPr>
          <w:rFonts w:ascii="Times New Roman" w:eastAsia="Times New Roman" w:hAnsi="Times New Roman" w:cs="Times New Roman"/>
          <w:kern w:val="0"/>
          <w:sz w:val="24"/>
          <w:szCs w:val="24"/>
          <w:lang w:eastAsia="en-GB"/>
          <w14:ligatures w14:val="none"/>
        </w:rPr>
        <w:t xml:space="preserve">United Nations Uganda. 2021. </w:t>
      </w:r>
      <w:r w:rsidRPr="00C16CAB">
        <w:rPr>
          <w:rFonts w:ascii="Times New Roman" w:eastAsia="Times New Roman" w:hAnsi="Times New Roman" w:cs="Times New Roman"/>
          <w:i/>
          <w:iCs/>
          <w:kern w:val="0"/>
          <w:sz w:val="24"/>
          <w:szCs w:val="24"/>
          <w:lang w:eastAsia="en-GB"/>
          <w14:ligatures w14:val="none"/>
        </w:rPr>
        <w:t>Sustainable Development Goal 4: Quality Education | United Nations in Uganda</w:t>
      </w:r>
      <w:r w:rsidRPr="00C16CAB">
        <w:rPr>
          <w:rFonts w:ascii="Times New Roman" w:eastAsia="Times New Roman" w:hAnsi="Times New Roman" w:cs="Times New Roman"/>
          <w:kern w:val="0"/>
          <w:sz w:val="24"/>
          <w:szCs w:val="24"/>
          <w:lang w:eastAsia="en-GB"/>
          <w14:ligatures w14:val="none"/>
        </w:rPr>
        <w:t>. Available at: https://uganda.un.org/en/sdgs/4 [Accessed: 3 March 2024].</w:t>
      </w:r>
    </w:p>
    <w:p w14:paraId="1644D2F4" w14:textId="77777777" w:rsidR="00C16CAB" w:rsidRPr="0073116C" w:rsidRDefault="00C16CAB" w:rsidP="000B2A93">
      <w:pPr>
        <w:spacing w:afterLines="30" w:after="72"/>
        <w:jc w:val="both"/>
        <w:rPr>
          <w:rFonts w:ascii="Times New Roman" w:hAnsi="Times New Roman" w:cs="Times New Roman"/>
          <w:sz w:val="24"/>
          <w:szCs w:val="24"/>
          <w:shd w:val="clear" w:color="auto" w:fill="FFFFFF"/>
        </w:rPr>
      </w:pPr>
    </w:p>
    <w:sectPr w:rsidR="00C16CAB" w:rsidRPr="00731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5062A4"/>
    <w:multiLevelType w:val="multilevel"/>
    <w:tmpl w:val="D71E4B8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15:restartNumberingAfterBreak="0">
    <w:nsid w:val="204C436F"/>
    <w:multiLevelType w:val="multilevel"/>
    <w:tmpl w:val="75D61D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4AB794D"/>
    <w:multiLevelType w:val="multilevel"/>
    <w:tmpl w:val="92E006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8498023">
    <w:abstractNumId w:val="2"/>
  </w:num>
  <w:num w:numId="2" w16cid:durableId="984623405">
    <w:abstractNumId w:val="0"/>
  </w:num>
  <w:num w:numId="3" w16cid:durableId="15387383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593A"/>
    <w:rsid w:val="00001CC6"/>
    <w:rsid w:val="00011C7D"/>
    <w:rsid w:val="00014BEE"/>
    <w:rsid w:val="00014F15"/>
    <w:rsid w:val="000200C8"/>
    <w:rsid w:val="00027A90"/>
    <w:rsid w:val="00032E7F"/>
    <w:rsid w:val="00033677"/>
    <w:rsid w:val="000509C0"/>
    <w:rsid w:val="00052D8F"/>
    <w:rsid w:val="00053B8B"/>
    <w:rsid w:val="00057C45"/>
    <w:rsid w:val="00060CC6"/>
    <w:rsid w:val="00062873"/>
    <w:rsid w:val="0006309A"/>
    <w:rsid w:val="00071D26"/>
    <w:rsid w:val="00073702"/>
    <w:rsid w:val="00074036"/>
    <w:rsid w:val="0007714C"/>
    <w:rsid w:val="00086BC0"/>
    <w:rsid w:val="00087052"/>
    <w:rsid w:val="000A04C3"/>
    <w:rsid w:val="000A6D3A"/>
    <w:rsid w:val="000A71E4"/>
    <w:rsid w:val="000B2A93"/>
    <w:rsid w:val="000C2527"/>
    <w:rsid w:val="000C7CB6"/>
    <w:rsid w:val="000D3F88"/>
    <w:rsid w:val="000D72EB"/>
    <w:rsid w:val="000F5EDE"/>
    <w:rsid w:val="001028DE"/>
    <w:rsid w:val="00103FB3"/>
    <w:rsid w:val="00104CB3"/>
    <w:rsid w:val="0011008B"/>
    <w:rsid w:val="00112689"/>
    <w:rsid w:val="0011462A"/>
    <w:rsid w:val="0013065E"/>
    <w:rsid w:val="001378A1"/>
    <w:rsid w:val="00140C35"/>
    <w:rsid w:val="001429AF"/>
    <w:rsid w:val="001437B5"/>
    <w:rsid w:val="00145A60"/>
    <w:rsid w:val="00154543"/>
    <w:rsid w:val="00156C03"/>
    <w:rsid w:val="001640E6"/>
    <w:rsid w:val="001968EC"/>
    <w:rsid w:val="001A54D8"/>
    <w:rsid w:val="001A572B"/>
    <w:rsid w:val="001B0604"/>
    <w:rsid w:val="001B4E0C"/>
    <w:rsid w:val="001C659C"/>
    <w:rsid w:val="001D3B6C"/>
    <w:rsid w:val="001D4B72"/>
    <w:rsid w:val="001D6724"/>
    <w:rsid w:val="001F293A"/>
    <w:rsid w:val="002052FE"/>
    <w:rsid w:val="00211634"/>
    <w:rsid w:val="00212FD7"/>
    <w:rsid w:val="0021700C"/>
    <w:rsid w:val="00217C17"/>
    <w:rsid w:val="00220898"/>
    <w:rsid w:val="0022155C"/>
    <w:rsid w:val="0023680A"/>
    <w:rsid w:val="00236E49"/>
    <w:rsid w:val="00240F2A"/>
    <w:rsid w:val="00242B63"/>
    <w:rsid w:val="00245398"/>
    <w:rsid w:val="00250065"/>
    <w:rsid w:val="002512A7"/>
    <w:rsid w:val="002615DA"/>
    <w:rsid w:val="002625C2"/>
    <w:rsid w:val="00262EBE"/>
    <w:rsid w:val="00267E7C"/>
    <w:rsid w:val="002800C5"/>
    <w:rsid w:val="002807B8"/>
    <w:rsid w:val="00280B0C"/>
    <w:rsid w:val="0028197C"/>
    <w:rsid w:val="00284774"/>
    <w:rsid w:val="00292644"/>
    <w:rsid w:val="002A01DB"/>
    <w:rsid w:val="002A4BBC"/>
    <w:rsid w:val="002A5684"/>
    <w:rsid w:val="002B0DCA"/>
    <w:rsid w:val="002C1FAB"/>
    <w:rsid w:val="002C2D44"/>
    <w:rsid w:val="002D285D"/>
    <w:rsid w:val="002E0CA2"/>
    <w:rsid w:val="002F225B"/>
    <w:rsid w:val="002F696A"/>
    <w:rsid w:val="00310447"/>
    <w:rsid w:val="00321F36"/>
    <w:rsid w:val="00322F1E"/>
    <w:rsid w:val="00323A5B"/>
    <w:rsid w:val="0033018B"/>
    <w:rsid w:val="0033090B"/>
    <w:rsid w:val="00333484"/>
    <w:rsid w:val="00336627"/>
    <w:rsid w:val="003400F9"/>
    <w:rsid w:val="003414A9"/>
    <w:rsid w:val="0035633B"/>
    <w:rsid w:val="00357033"/>
    <w:rsid w:val="003666DF"/>
    <w:rsid w:val="00380073"/>
    <w:rsid w:val="00391E40"/>
    <w:rsid w:val="003A25B1"/>
    <w:rsid w:val="003A33D9"/>
    <w:rsid w:val="003A639E"/>
    <w:rsid w:val="003B099D"/>
    <w:rsid w:val="003B15C9"/>
    <w:rsid w:val="003C2003"/>
    <w:rsid w:val="003C498C"/>
    <w:rsid w:val="003D0D79"/>
    <w:rsid w:val="003D4131"/>
    <w:rsid w:val="003E33E4"/>
    <w:rsid w:val="003E63D2"/>
    <w:rsid w:val="003E7C22"/>
    <w:rsid w:val="003F400D"/>
    <w:rsid w:val="003F54A8"/>
    <w:rsid w:val="00400139"/>
    <w:rsid w:val="00401E07"/>
    <w:rsid w:val="00403664"/>
    <w:rsid w:val="00411B5D"/>
    <w:rsid w:val="00413E5D"/>
    <w:rsid w:val="004254EF"/>
    <w:rsid w:val="00425F4E"/>
    <w:rsid w:val="00426989"/>
    <w:rsid w:val="0043350C"/>
    <w:rsid w:val="004376E8"/>
    <w:rsid w:val="00437A39"/>
    <w:rsid w:val="00440659"/>
    <w:rsid w:val="00440A86"/>
    <w:rsid w:val="00440D27"/>
    <w:rsid w:val="00444A90"/>
    <w:rsid w:val="00447D6D"/>
    <w:rsid w:val="00450857"/>
    <w:rsid w:val="00456EFF"/>
    <w:rsid w:val="00460CF0"/>
    <w:rsid w:val="004618A2"/>
    <w:rsid w:val="00463A56"/>
    <w:rsid w:val="00463F2B"/>
    <w:rsid w:val="00466E8F"/>
    <w:rsid w:val="004672AF"/>
    <w:rsid w:val="00474035"/>
    <w:rsid w:val="00475080"/>
    <w:rsid w:val="00483261"/>
    <w:rsid w:val="00486D50"/>
    <w:rsid w:val="0049583E"/>
    <w:rsid w:val="004A0928"/>
    <w:rsid w:val="004A0FE2"/>
    <w:rsid w:val="004A5E89"/>
    <w:rsid w:val="004B1481"/>
    <w:rsid w:val="004B2756"/>
    <w:rsid w:val="004B4586"/>
    <w:rsid w:val="004C054A"/>
    <w:rsid w:val="004C1874"/>
    <w:rsid w:val="004C76A9"/>
    <w:rsid w:val="004D150D"/>
    <w:rsid w:val="004D4262"/>
    <w:rsid w:val="004D65AC"/>
    <w:rsid w:val="004D6C7C"/>
    <w:rsid w:val="004D6FCA"/>
    <w:rsid w:val="004E15E0"/>
    <w:rsid w:val="004E46CC"/>
    <w:rsid w:val="004E6779"/>
    <w:rsid w:val="004E68CC"/>
    <w:rsid w:val="004E7C45"/>
    <w:rsid w:val="005029A2"/>
    <w:rsid w:val="00503D48"/>
    <w:rsid w:val="00504873"/>
    <w:rsid w:val="005147FE"/>
    <w:rsid w:val="0051560D"/>
    <w:rsid w:val="0052479D"/>
    <w:rsid w:val="00530128"/>
    <w:rsid w:val="00530BF8"/>
    <w:rsid w:val="00532A77"/>
    <w:rsid w:val="0054089C"/>
    <w:rsid w:val="00541307"/>
    <w:rsid w:val="00542437"/>
    <w:rsid w:val="00550A64"/>
    <w:rsid w:val="00553FF8"/>
    <w:rsid w:val="0055621F"/>
    <w:rsid w:val="00556DC7"/>
    <w:rsid w:val="00557505"/>
    <w:rsid w:val="005614A5"/>
    <w:rsid w:val="0056155F"/>
    <w:rsid w:val="00564170"/>
    <w:rsid w:val="0056450E"/>
    <w:rsid w:val="00565873"/>
    <w:rsid w:val="005836AF"/>
    <w:rsid w:val="005860DC"/>
    <w:rsid w:val="005904FC"/>
    <w:rsid w:val="005949DA"/>
    <w:rsid w:val="005950ED"/>
    <w:rsid w:val="00597CC0"/>
    <w:rsid w:val="005A7370"/>
    <w:rsid w:val="005B15EF"/>
    <w:rsid w:val="005B2311"/>
    <w:rsid w:val="005B3456"/>
    <w:rsid w:val="005D70F2"/>
    <w:rsid w:val="005E5AEB"/>
    <w:rsid w:val="005F1350"/>
    <w:rsid w:val="005F26F8"/>
    <w:rsid w:val="005F57A9"/>
    <w:rsid w:val="00603E12"/>
    <w:rsid w:val="00606E23"/>
    <w:rsid w:val="006256ED"/>
    <w:rsid w:val="006275AF"/>
    <w:rsid w:val="0063113D"/>
    <w:rsid w:val="006321B8"/>
    <w:rsid w:val="00633E22"/>
    <w:rsid w:val="00635FD6"/>
    <w:rsid w:val="00656916"/>
    <w:rsid w:val="00660AB6"/>
    <w:rsid w:val="00663A1A"/>
    <w:rsid w:val="0066484E"/>
    <w:rsid w:val="00664BFE"/>
    <w:rsid w:val="0066593A"/>
    <w:rsid w:val="00667D67"/>
    <w:rsid w:val="00671A7B"/>
    <w:rsid w:val="006831BA"/>
    <w:rsid w:val="00684C77"/>
    <w:rsid w:val="00685567"/>
    <w:rsid w:val="00685BB9"/>
    <w:rsid w:val="006914EA"/>
    <w:rsid w:val="00697576"/>
    <w:rsid w:val="006A0F55"/>
    <w:rsid w:val="006A3E20"/>
    <w:rsid w:val="006A6384"/>
    <w:rsid w:val="006A787C"/>
    <w:rsid w:val="006B1AEE"/>
    <w:rsid w:val="006B6E5C"/>
    <w:rsid w:val="006C0652"/>
    <w:rsid w:val="006C1796"/>
    <w:rsid w:val="006C32A9"/>
    <w:rsid w:val="006C6D93"/>
    <w:rsid w:val="006E5530"/>
    <w:rsid w:val="006E5BBC"/>
    <w:rsid w:val="006E612A"/>
    <w:rsid w:val="006F738C"/>
    <w:rsid w:val="00701257"/>
    <w:rsid w:val="00701B1D"/>
    <w:rsid w:val="0070695F"/>
    <w:rsid w:val="00707351"/>
    <w:rsid w:val="00710BF1"/>
    <w:rsid w:val="00715204"/>
    <w:rsid w:val="00721E21"/>
    <w:rsid w:val="007234E9"/>
    <w:rsid w:val="00730ECA"/>
    <w:rsid w:val="0073116C"/>
    <w:rsid w:val="007332EC"/>
    <w:rsid w:val="00740512"/>
    <w:rsid w:val="0074052F"/>
    <w:rsid w:val="0074429E"/>
    <w:rsid w:val="0075063C"/>
    <w:rsid w:val="00751DD2"/>
    <w:rsid w:val="00760A23"/>
    <w:rsid w:val="007610B1"/>
    <w:rsid w:val="00763095"/>
    <w:rsid w:val="00771BF9"/>
    <w:rsid w:val="0077736F"/>
    <w:rsid w:val="007825BD"/>
    <w:rsid w:val="00790664"/>
    <w:rsid w:val="00793866"/>
    <w:rsid w:val="007A6840"/>
    <w:rsid w:val="007B05CA"/>
    <w:rsid w:val="007B0D92"/>
    <w:rsid w:val="007B24A0"/>
    <w:rsid w:val="007B44E2"/>
    <w:rsid w:val="007B5CEA"/>
    <w:rsid w:val="007C2F55"/>
    <w:rsid w:val="007D57B7"/>
    <w:rsid w:val="007D70EA"/>
    <w:rsid w:val="007E45DE"/>
    <w:rsid w:val="007E7D0D"/>
    <w:rsid w:val="007F2F51"/>
    <w:rsid w:val="0080272F"/>
    <w:rsid w:val="00812D9F"/>
    <w:rsid w:val="00813595"/>
    <w:rsid w:val="00815364"/>
    <w:rsid w:val="0081674F"/>
    <w:rsid w:val="008213C2"/>
    <w:rsid w:val="00823537"/>
    <w:rsid w:val="0082404C"/>
    <w:rsid w:val="00833B2A"/>
    <w:rsid w:val="008372F6"/>
    <w:rsid w:val="0084090B"/>
    <w:rsid w:val="0084588F"/>
    <w:rsid w:val="008518F9"/>
    <w:rsid w:val="00853205"/>
    <w:rsid w:val="0086263B"/>
    <w:rsid w:val="00862DF0"/>
    <w:rsid w:val="00864AED"/>
    <w:rsid w:val="0086553E"/>
    <w:rsid w:val="0086734B"/>
    <w:rsid w:val="00870BFE"/>
    <w:rsid w:val="00875A7E"/>
    <w:rsid w:val="00881C3C"/>
    <w:rsid w:val="0088294A"/>
    <w:rsid w:val="008903F1"/>
    <w:rsid w:val="00891B76"/>
    <w:rsid w:val="00893280"/>
    <w:rsid w:val="008938B1"/>
    <w:rsid w:val="008A564C"/>
    <w:rsid w:val="008A77DE"/>
    <w:rsid w:val="008B0D36"/>
    <w:rsid w:val="008B24DF"/>
    <w:rsid w:val="008B31CB"/>
    <w:rsid w:val="008B5C4E"/>
    <w:rsid w:val="008C1ACD"/>
    <w:rsid w:val="008C5697"/>
    <w:rsid w:val="008D097E"/>
    <w:rsid w:val="008E0449"/>
    <w:rsid w:val="008E4FA9"/>
    <w:rsid w:val="008F3A79"/>
    <w:rsid w:val="008F7019"/>
    <w:rsid w:val="008F7E7C"/>
    <w:rsid w:val="00906826"/>
    <w:rsid w:val="00925B10"/>
    <w:rsid w:val="00926EB4"/>
    <w:rsid w:val="009275D2"/>
    <w:rsid w:val="00933824"/>
    <w:rsid w:val="0093730C"/>
    <w:rsid w:val="00937776"/>
    <w:rsid w:val="009460DC"/>
    <w:rsid w:val="0094684A"/>
    <w:rsid w:val="009522EA"/>
    <w:rsid w:val="00961385"/>
    <w:rsid w:val="009753EB"/>
    <w:rsid w:val="0097738C"/>
    <w:rsid w:val="009777A1"/>
    <w:rsid w:val="00980391"/>
    <w:rsid w:val="0098282E"/>
    <w:rsid w:val="00983F1F"/>
    <w:rsid w:val="00987ACF"/>
    <w:rsid w:val="00993F0F"/>
    <w:rsid w:val="009A2493"/>
    <w:rsid w:val="009A5F5E"/>
    <w:rsid w:val="009A7636"/>
    <w:rsid w:val="009A7E45"/>
    <w:rsid w:val="009B0A61"/>
    <w:rsid w:val="009B3052"/>
    <w:rsid w:val="009B3ECB"/>
    <w:rsid w:val="009D20B4"/>
    <w:rsid w:val="009D670A"/>
    <w:rsid w:val="009D675F"/>
    <w:rsid w:val="009E544B"/>
    <w:rsid w:val="00A01F06"/>
    <w:rsid w:val="00A027A1"/>
    <w:rsid w:val="00A049A0"/>
    <w:rsid w:val="00A14C98"/>
    <w:rsid w:val="00A16BD1"/>
    <w:rsid w:val="00A20259"/>
    <w:rsid w:val="00A229B3"/>
    <w:rsid w:val="00A408C2"/>
    <w:rsid w:val="00A47254"/>
    <w:rsid w:val="00A53FDC"/>
    <w:rsid w:val="00A635DE"/>
    <w:rsid w:val="00A713E4"/>
    <w:rsid w:val="00A71433"/>
    <w:rsid w:val="00A74848"/>
    <w:rsid w:val="00A74F9A"/>
    <w:rsid w:val="00A7560C"/>
    <w:rsid w:val="00A8288A"/>
    <w:rsid w:val="00A930A5"/>
    <w:rsid w:val="00A9489D"/>
    <w:rsid w:val="00A95374"/>
    <w:rsid w:val="00AA2715"/>
    <w:rsid w:val="00AA52E8"/>
    <w:rsid w:val="00AA5E1A"/>
    <w:rsid w:val="00AA5FEB"/>
    <w:rsid w:val="00AB0214"/>
    <w:rsid w:val="00AB5AB2"/>
    <w:rsid w:val="00AC0849"/>
    <w:rsid w:val="00AC0EDE"/>
    <w:rsid w:val="00AC6E82"/>
    <w:rsid w:val="00AD491A"/>
    <w:rsid w:val="00AE6567"/>
    <w:rsid w:val="00AE7262"/>
    <w:rsid w:val="00AF07E1"/>
    <w:rsid w:val="00AF46DE"/>
    <w:rsid w:val="00B009EF"/>
    <w:rsid w:val="00B023AD"/>
    <w:rsid w:val="00B13401"/>
    <w:rsid w:val="00B1691E"/>
    <w:rsid w:val="00B206A1"/>
    <w:rsid w:val="00B22B9D"/>
    <w:rsid w:val="00B33355"/>
    <w:rsid w:val="00B43437"/>
    <w:rsid w:val="00B46253"/>
    <w:rsid w:val="00B46B0E"/>
    <w:rsid w:val="00B61C56"/>
    <w:rsid w:val="00B70D34"/>
    <w:rsid w:val="00B777CC"/>
    <w:rsid w:val="00B814FB"/>
    <w:rsid w:val="00B9064D"/>
    <w:rsid w:val="00B92C90"/>
    <w:rsid w:val="00BA3186"/>
    <w:rsid w:val="00BA76E7"/>
    <w:rsid w:val="00BC2AA3"/>
    <w:rsid w:val="00BC523F"/>
    <w:rsid w:val="00BC5DFE"/>
    <w:rsid w:val="00BD65DA"/>
    <w:rsid w:val="00BD6D81"/>
    <w:rsid w:val="00BD75B1"/>
    <w:rsid w:val="00BD7704"/>
    <w:rsid w:val="00BF1BBA"/>
    <w:rsid w:val="00BF1FE2"/>
    <w:rsid w:val="00BF2CB0"/>
    <w:rsid w:val="00BF681C"/>
    <w:rsid w:val="00C11B57"/>
    <w:rsid w:val="00C16CAB"/>
    <w:rsid w:val="00C17E9B"/>
    <w:rsid w:val="00C25056"/>
    <w:rsid w:val="00C259B1"/>
    <w:rsid w:val="00C34140"/>
    <w:rsid w:val="00C35AAF"/>
    <w:rsid w:val="00C4026B"/>
    <w:rsid w:val="00C41093"/>
    <w:rsid w:val="00C4268D"/>
    <w:rsid w:val="00C43D98"/>
    <w:rsid w:val="00C54DBE"/>
    <w:rsid w:val="00C556D5"/>
    <w:rsid w:val="00C55EA2"/>
    <w:rsid w:val="00C56C67"/>
    <w:rsid w:val="00C6356F"/>
    <w:rsid w:val="00C76D5B"/>
    <w:rsid w:val="00C84FDE"/>
    <w:rsid w:val="00C86DBF"/>
    <w:rsid w:val="00C9305B"/>
    <w:rsid w:val="00C94590"/>
    <w:rsid w:val="00C959DC"/>
    <w:rsid w:val="00CA035E"/>
    <w:rsid w:val="00CA1E14"/>
    <w:rsid w:val="00CA4D0C"/>
    <w:rsid w:val="00CB134C"/>
    <w:rsid w:val="00CB4040"/>
    <w:rsid w:val="00CB6A54"/>
    <w:rsid w:val="00CC5BC1"/>
    <w:rsid w:val="00CC7ACD"/>
    <w:rsid w:val="00CD0795"/>
    <w:rsid w:val="00CD0C29"/>
    <w:rsid w:val="00CD370E"/>
    <w:rsid w:val="00CD3AB2"/>
    <w:rsid w:val="00CD3CCE"/>
    <w:rsid w:val="00CD58CD"/>
    <w:rsid w:val="00CD6BF4"/>
    <w:rsid w:val="00CD7216"/>
    <w:rsid w:val="00CE1CC7"/>
    <w:rsid w:val="00CE5FA1"/>
    <w:rsid w:val="00CF0113"/>
    <w:rsid w:val="00D00490"/>
    <w:rsid w:val="00D10B87"/>
    <w:rsid w:val="00D119BF"/>
    <w:rsid w:val="00D12D7C"/>
    <w:rsid w:val="00D1393E"/>
    <w:rsid w:val="00D14146"/>
    <w:rsid w:val="00D16ADB"/>
    <w:rsid w:val="00D21B4C"/>
    <w:rsid w:val="00D27A52"/>
    <w:rsid w:val="00D315E0"/>
    <w:rsid w:val="00D3179F"/>
    <w:rsid w:val="00D32970"/>
    <w:rsid w:val="00D32C32"/>
    <w:rsid w:val="00D353F5"/>
    <w:rsid w:val="00D42DA2"/>
    <w:rsid w:val="00D531F2"/>
    <w:rsid w:val="00D55A5A"/>
    <w:rsid w:val="00D70820"/>
    <w:rsid w:val="00D73ED1"/>
    <w:rsid w:val="00D83682"/>
    <w:rsid w:val="00D859D0"/>
    <w:rsid w:val="00D86094"/>
    <w:rsid w:val="00D91EED"/>
    <w:rsid w:val="00D934C9"/>
    <w:rsid w:val="00DA1190"/>
    <w:rsid w:val="00DB2386"/>
    <w:rsid w:val="00DB2F96"/>
    <w:rsid w:val="00DB4444"/>
    <w:rsid w:val="00DB526E"/>
    <w:rsid w:val="00DD26D5"/>
    <w:rsid w:val="00DE1369"/>
    <w:rsid w:val="00DE2827"/>
    <w:rsid w:val="00DE4207"/>
    <w:rsid w:val="00DE6138"/>
    <w:rsid w:val="00DF53EE"/>
    <w:rsid w:val="00E0481C"/>
    <w:rsid w:val="00E14148"/>
    <w:rsid w:val="00E30F8D"/>
    <w:rsid w:val="00E441CB"/>
    <w:rsid w:val="00E57AB4"/>
    <w:rsid w:val="00E80720"/>
    <w:rsid w:val="00E81AE0"/>
    <w:rsid w:val="00E84920"/>
    <w:rsid w:val="00E866C1"/>
    <w:rsid w:val="00E97DEE"/>
    <w:rsid w:val="00EA18EE"/>
    <w:rsid w:val="00EA581B"/>
    <w:rsid w:val="00EA5C96"/>
    <w:rsid w:val="00EB27BF"/>
    <w:rsid w:val="00EB3018"/>
    <w:rsid w:val="00EC71DD"/>
    <w:rsid w:val="00ED732C"/>
    <w:rsid w:val="00EE623E"/>
    <w:rsid w:val="00EE745A"/>
    <w:rsid w:val="00F00D82"/>
    <w:rsid w:val="00F05B2C"/>
    <w:rsid w:val="00F31CA7"/>
    <w:rsid w:val="00F36CAA"/>
    <w:rsid w:val="00F36F4C"/>
    <w:rsid w:val="00F40AC8"/>
    <w:rsid w:val="00F41DAA"/>
    <w:rsid w:val="00F46D9D"/>
    <w:rsid w:val="00F54C92"/>
    <w:rsid w:val="00F55624"/>
    <w:rsid w:val="00F57CD4"/>
    <w:rsid w:val="00F672F1"/>
    <w:rsid w:val="00F71C5F"/>
    <w:rsid w:val="00F72008"/>
    <w:rsid w:val="00F73EF7"/>
    <w:rsid w:val="00F76FAD"/>
    <w:rsid w:val="00F81946"/>
    <w:rsid w:val="00F85342"/>
    <w:rsid w:val="00F912DF"/>
    <w:rsid w:val="00FA0EE8"/>
    <w:rsid w:val="00FA3E98"/>
    <w:rsid w:val="00FA4147"/>
    <w:rsid w:val="00FB09CC"/>
    <w:rsid w:val="00FB1641"/>
    <w:rsid w:val="00FB2101"/>
    <w:rsid w:val="00FB6BAB"/>
    <w:rsid w:val="00FC1A95"/>
    <w:rsid w:val="00FC5618"/>
    <w:rsid w:val="00FC5D90"/>
    <w:rsid w:val="00FC7C14"/>
    <w:rsid w:val="00FE76F0"/>
    <w:rsid w:val="00FF4650"/>
    <w:rsid w:val="00FF528A"/>
    <w:rsid w:val="00FF6552"/>
    <w:rsid w:val="00FF72F2"/>
    <w:rsid w:val="00FF7D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11E2F"/>
  <w15:chartTrackingRefBased/>
  <w15:docId w15:val="{AC829540-9DD8-4D04-8098-AFE45583F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6ADB"/>
  </w:style>
  <w:style w:type="paragraph" w:styleId="Heading1">
    <w:name w:val="heading 1"/>
    <w:basedOn w:val="Normal"/>
    <w:link w:val="Heading1Char"/>
    <w:uiPriority w:val="9"/>
    <w:qFormat/>
    <w:rsid w:val="00C16CA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56C6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C56C67"/>
    <w:rPr>
      <w:b/>
      <w:bCs/>
    </w:rPr>
  </w:style>
  <w:style w:type="character" w:customStyle="1" w:styleId="Heading1Char">
    <w:name w:val="Heading 1 Char"/>
    <w:basedOn w:val="DefaultParagraphFont"/>
    <w:link w:val="Heading1"/>
    <w:uiPriority w:val="9"/>
    <w:rsid w:val="00C16CAB"/>
    <w:rPr>
      <w:rFonts w:ascii="Times New Roman" w:eastAsia="Times New Roman" w:hAnsi="Times New Roman" w:cs="Times New Roman"/>
      <w:b/>
      <w:bCs/>
      <w:kern w:val="36"/>
      <w:sz w:val="48"/>
      <w:szCs w:val="48"/>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712110">
      <w:bodyDiv w:val="1"/>
      <w:marLeft w:val="0"/>
      <w:marRight w:val="0"/>
      <w:marTop w:val="0"/>
      <w:marBottom w:val="0"/>
      <w:divBdr>
        <w:top w:val="none" w:sz="0" w:space="0" w:color="auto"/>
        <w:left w:val="none" w:sz="0" w:space="0" w:color="auto"/>
        <w:bottom w:val="none" w:sz="0" w:space="0" w:color="auto"/>
        <w:right w:val="none" w:sz="0" w:space="0" w:color="auto"/>
      </w:divBdr>
      <w:divsChild>
        <w:div w:id="279072347">
          <w:marLeft w:val="0"/>
          <w:marRight w:val="0"/>
          <w:marTop w:val="0"/>
          <w:marBottom w:val="0"/>
          <w:divBdr>
            <w:top w:val="none" w:sz="0" w:space="0" w:color="auto"/>
            <w:left w:val="none" w:sz="0" w:space="0" w:color="auto"/>
            <w:bottom w:val="none" w:sz="0" w:space="0" w:color="auto"/>
            <w:right w:val="none" w:sz="0" w:space="0" w:color="auto"/>
          </w:divBdr>
        </w:div>
      </w:divsChild>
    </w:div>
    <w:div w:id="561260747">
      <w:bodyDiv w:val="1"/>
      <w:marLeft w:val="0"/>
      <w:marRight w:val="0"/>
      <w:marTop w:val="0"/>
      <w:marBottom w:val="0"/>
      <w:divBdr>
        <w:top w:val="none" w:sz="0" w:space="0" w:color="auto"/>
        <w:left w:val="none" w:sz="0" w:space="0" w:color="auto"/>
        <w:bottom w:val="none" w:sz="0" w:space="0" w:color="auto"/>
        <w:right w:val="none" w:sz="0" w:space="0" w:color="auto"/>
      </w:divBdr>
    </w:div>
    <w:div w:id="580716407">
      <w:bodyDiv w:val="1"/>
      <w:marLeft w:val="0"/>
      <w:marRight w:val="0"/>
      <w:marTop w:val="0"/>
      <w:marBottom w:val="0"/>
      <w:divBdr>
        <w:top w:val="none" w:sz="0" w:space="0" w:color="auto"/>
        <w:left w:val="none" w:sz="0" w:space="0" w:color="auto"/>
        <w:bottom w:val="none" w:sz="0" w:space="0" w:color="auto"/>
        <w:right w:val="none" w:sz="0" w:space="0" w:color="auto"/>
      </w:divBdr>
    </w:div>
    <w:div w:id="802693181">
      <w:bodyDiv w:val="1"/>
      <w:marLeft w:val="0"/>
      <w:marRight w:val="0"/>
      <w:marTop w:val="0"/>
      <w:marBottom w:val="0"/>
      <w:divBdr>
        <w:top w:val="none" w:sz="0" w:space="0" w:color="auto"/>
        <w:left w:val="none" w:sz="0" w:space="0" w:color="auto"/>
        <w:bottom w:val="none" w:sz="0" w:space="0" w:color="auto"/>
        <w:right w:val="none" w:sz="0" w:space="0" w:color="auto"/>
      </w:divBdr>
    </w:div>
    <w:div w:id="1501769799">
      <w:bodyDiv w:val="1"/>
      <w:marLeft w:val="0"/>
      <w:marRight w:val="0"/>
      <w:marTop w:val="0"/>
      <w:marBottom w:val="0"/>
      <w:divBdr>
        <w:top w:val="none" w:sz="0" w:space="0" w:color="auto"/>
        <w:left w:val="none" w:sz="0" w:space="0" w:color="auto"/>
        <w:bottom w:val="none" w:sz="0" w:space="0" w:color="auto"/>
        <w:right w:val="none" w:sz="0" w:space="0" w:color="auto"/>
      </w:divBdr>
    </w:div>
    <w:div w:id="1506676510">
      <w:bodyDiv w:val="1"/>
      <w:marLeft w:val="0"/>
      <w:marRight w:val="0"/>
      <w:marTop w:val="0"/>
      <w:marBottom w:val="0"/>
      <w:divBdr>
        <w:top w:val="none" w:sz="0" w:space="0" w:color="auto"/>
        <w:left w:val="none" w:sz="0" w:space="0" w:color="auto"/>
        <w:bottom w:val="none" w:sz="0" w:space="0" w:color="auto"/>
        <w:right w:val="none" w:sz="0" w:space="0" w:color="auto"/>
      </w:divBdr>
    </w:div>
    <w:div w:id="1614900802">
      <w:bodyDiv w:val="1"/>
      <w:marLeft w:val="0"/>
      <w:marRight w:val="0"/>
      <w:marTop w:val="0"/>
      <w:marBottom w:val="0"/>
      <w:divBdr>
        <w:top w:val="none" w:sz="0" w:space="0" w:color="auto"/>
        <w:left w:val="none" w:sz="0" w:space="0" w:color="auto"/>
        <w:bottom w:val="none" w:sz="0" w:space="0" w:color="auto"/>
        <w:right w:val="none" w:sz="0" w:space="0" w:color="auto"/>
      </w:divBdr>
    </w:div>
    <w:div w:id="1783332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18787</TotalTime>
  <Pages>8</Pages>
  <Words>3702</Words>
  <Characters>21108</Characters>
  <Application>Microsoft Office Word</Application>
  <DocSecurity>0</DocSecurity>
  <Lines>175</Lines>
  <Paragraphs>49</Paragraphs>
  <ScaleCrop>false</ScaleCrop>
  <Company/>
  <LinksUpToDate>false</LinksUpToDate>
  <CharactersWithSpaces>24761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Amy Drewett</dc:creator>
  <cp:keywords/>
  <dc:description/>
  <cp:lastModifiedBy>Amy Drewett</cp:lastModifiedBy>
  <cp:revision>540</cp:revision>
  <dcterms:created xsi:type="dcterms:W3CDTF">2024-02-06T15:37:00Z</dcterms:created>
  <dcterms:modified xsi:type="dcterms:W3CDTF">2024-03-03T19:43:00Z</dcterms:modified>
</cp:coreProperties>
</file>