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1531135"/>
        <w:docPartObj>
          <w:docPartGallery w:val="Cover Pages"/>
          <w:docPartUnique/>
        </w:docPartObj>
      </w:sdtPr>
      <w:sdtEndPr/>
      <w:sdtContent>
        <w:p w14:paraId="09B0F7C1" w14:textId="69711A12" w:rsidR="00280E98" w:rsidRDefault="00280E98"/>
        <w:p w14:paraId="1914C95E" w14:textId="68B0D931" w:rsidR="00280E98" w:rsidRDefault="00280E98">
          <w:pPr>
            <w:spacing w:after="160" w:line="259" w:lineRule="auto"/>
          </w:pPr>
          <w:r>
            <w:rPr>
              <w:noProof/>
            </w:rPr>
            <mc:AlternateContent>
              <mc:Choice Requires="wps">
                <w:drawing>
                  <wp:anchor distT="45720" distB="45720" distL="114300" distR="114300" simplePos="0" relativeHeight="251662336" behindDoc="0" locked="0" layoutInCell="1" allowOverlap="1" wp14:anchorId="537FAAF3" wp14:editId="3C86378F">
                    <wp:simplePos x="0" y="0"/>
                    <wp:positionH relativeFrom="column">
                      <wp:posOffset>361950</wp:posOffset>
                    </wp:positionH>
                    <wp:positionV relativeFrom="paragraph">
                      <wp:posOffset>6679565</wp:posOffset>
                    </wp:positionV>
                    <wp:extent cx="3028950" cy="332105"/>
                    <wp:effectExtent l="0" t="0" r="1905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332105"/>
                            </a:xfrm>
                            <a:prstGeom prst="rect">
                              <a:avLst/>
                            </a:prstGeom>
                            <a:solidFill>
                              <a:srgbClr val="FFFFFF"/>
                            </a:solidFill>
                            <a:ln w="9525">
                              <a:solidFill>
                                <a:srgbClr val="000000"/>
                              </a:solidFill>
                              <a:miter lim="800000"/>
                              <a:headEnd/>
                              <a:tailEnd/>
                            </a:ln>
                          </wps:spPr>
                          <wps:txbx>
                            <w:txbxContent>
                              <w:p w14:paraId="491B2285" w14:textId="1DA7FE41" w:rsidR="00280E98" w:rsidRDefault="00280E98">
                                <w:r>
                                  <w:t xml:space="preserve">Student Name: </w:t>
                                </w:r>
                                <w:r w:rsidR="002E6BD8">
                                  <w:t>DIANA VELIKOVA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7FAAF3" id="_x0000_t202" coordsize="21600,21600" o:spt="202" path="m,l,21600r21600,l21600,xe">
                    <v:stroke joinstyle="miter"/>
                    <v:path gradientshapeok="t" o:connecttype="rect"/>
                  </v:shapetype>
                  <v:shape id="Text Box 2" o:spid="_x0000_s1026" type="#_x0000_t202" style="position:absolute;margin-left:28.5pt;margin-top:525.95pt;width:238.5pt;height:26.1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">
                    <v:textbox>
                      <w:txbxContent>
                        <w:p w14:paraId="491B2285" w14:textId="1DA7FE41" w:rsidR="00280E98" w:rsidRDefault="00280E98">
                          <w:r>
                            <w:t xml:space="preserve">Student Name: </w:t>
                          </w:r>
                          <w:r w:rsidR="002E6BD8">
                            <w:t>DIANA VELIKOVA</w:t>
                          </w:r>
                        </w:p>
                      </w:txbxContent>
                    </v:textbox>
                    <w10:wrap type="square"/>
                  </v:shape>
                </w:pict>
              </mc:Fallback>
            </mc:AlternateContent>
          </w:r>
          <w:r>
            <w:rPr>
              <w:noProof/>
            </w:rPr>
            <mc:AlternateContent>
              <mc:Choice Requires="wps">
                <w:drawing>
                  <wp:anchor distT="0" distB="0" distL="182880" distR="182880" simplePos="0" relativeHeight="251660288" behindDoc="0" locked="0" layoutInCell="1" allowOverlap="1" wp14:anchorId="31C768ED" wp14:editId="701F8C0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700571" w14:textId="5B4A143F" w:rsidR="00280E98" w:rsidRDefault="0065653F">
                                <w:pPr>
                                  <w:pStyle w:val="a7"/>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25D8D" w:rsidRPr="00E25D8D">
                                      <w:rPr>
                                        <w:color w:val="4472C4" w:themeColor="accent1"/>
                                        <w:sz w:val="72"/>
                                        <w:szCs w:val="72"/>
                                      </w:rPr>
                                      <w:t>LCBB4003</w:t>
                                    </w:r>
                                    <w:r w:rsidR="00E25D8D">
                                      <w:rPr>
                                        <w:color w:val="4472C4" w:themeColor="accent1"/>
                                        <w:sz w:val="72"/>
                                        <w:szCs w:val="72"/>
                                      </w:rPr>
                                      <w:t xml:space="preserve"> </w:t>
                                    </w:r>
                                    <w:r w:rsidR="00E25D8D" w:rsidRPr="00E25D8D">
                                      <w:rPr>
                                        <w:color w:val="4472C4" w:themeColor="accent1"/>
                                        <w:sz w:val="72"/>
                                        <w:szCs w:val="72"/>
                                      </w:rPr>
                                      <w:t>Assessment 1 – Structure and Culture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28D7E3F" w14:textId="2C85FD46" w:rsidR="00280E98" w:rsidRDefault="00280E98">
                                    <w:pPr>
                                      <w:pStyle w:val="a7"/>
                                      <w:spacing w:before="40" w:after="40"/>
                                      <w:rPr>
                                        <w:caps/>
                                        <w:color w:val="1F4E79" w:themeColor="accent5" w:themeShade="80"/>
                                        <w:sz w:val="28"/>
                                        <w:szCs w:val="28"/>
                                      </w:rPr>
                                    </w:pPr>
                                    <w:r>
                                      <w:rPr>
                                        <w:caps/>
                                        <w:color w:val="1F4E79" w:themeColor="accent5" w:themeShade="80"/>
                                        <w:sz w:val="28"/>
                                        <w:szCs w:val="28"/>
                                      </w:rPr>
                                      <w:t>Student id:</w:t>
                                    </w:r>
                                    <w:r w:rsidR="002E6BD8">
                                      <w:rPr>
                                        <w:caps/>
                                        <w:color w:val="1F4E79" w:themeColor="accent5" w:themeShade="80"/>
                                        <w:sz w:val="28"/>
                                        <w:szCs w:val="28"/>
                                      </w:rPr>
                                      <w:t xml:space="preserve"> 1916908</w:t>
                                    </w:r>
                                  </w:p>
                                </w:sdtContent>
                              </w:sdt>
                              <w:p w14:paraId="0930E13A" w14:textId="376C3919" w:rsidR="00280E98" w:rsidRDefault="00280E98" w:rsidP="00280E98">
                                <w:pPr>
                                  <w:pStyle w:val="a7"/>
                                  <w:spacing w:before="80" w:after="40"/>
                                  <w:rPr>
                                    <w:caps/>
                                    <w:color w:val="5B9BD5" w:themeColor="accent5"/>
                                    <w:sz w:val="24"/>
                                    <w:szCs w:val="24"/>
                                  </w:rPr>
                                </w:pPr>
                                <w:r w:rsidRPr="00280E98">
                                  <w:rPr>
                                    <w:caps/>
                                    <w:color w:val="5B9BD5" w:themeColor="accent5"/>
                                    <w:sz w:val="24"/>
                                    <w:szCs w:val="24"/>
                                  </w:rPr>
                                  <w:t>Lecturer: Gregory Cowan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31C768ED"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14:paraId="36700571" w14:textId="5B4A143F" w:rsidR="00280E98" w:rsidRDefault="0065653F">
                          <w:pPr>
                            <w:pStyle w:val="a7"/>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25D8D" w:rsidRPr="00E25D8D">
                                <w:rPr>
                                  <w:color w:val="4472C4" w:themeColor="accent1"/>
                                  <w:sz w:val="72"/>
                                  <w:szCs w:val="72"/>
                                </w:rPr>
                                <w:t>LCBB4003</w:t>
                              </w:r>
                              <w:r w:rsidR="00E25D8D">
                                <w:rPr>
                                  <w:color w:val="4472C4" w:themeColor="accent1"/>
                                  <w:sz w:val="72"/>
                                  <w:szCs w:val="72"/>
                                </w:rPr>
                                <w:t xml:space="preserve"> </w:t>
                              </w:r>
                              <w:r w:rsidR="00E25D8D" w:rsidRPr="00E25D8D">
                                <w:rPr>
                                  <w:color w:val="4472C4" w:themeColor="accent1"/>
                                  <w:sz w:val="72"/>
                                  <w:szCs w:val="72"/>
                                </w:rPr>
                                <w:t>Assessment 1 – Structure and Culture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28D7E3F" w14:textId="2C85FD46" w:rsidR="00280E98" w:rsidRDefault="00280E98">
                              <w:pPr>
                                <w:pStyle w:val="a7"/>
                                <w:spacing w:before="40" w:after="40"/>
                                <w:rPr>
                                  <w:caps/>
                                  <w:color w:val="1F4E79" w:themeColor="accent5" w:themeShade="80"/>
                                  <w:sz w:val="28"/>
                                  <w:szCs w:val="28"/>
                                </w:rPr>
                              </w:pPr>
                              <w:r>
                                <w:rPr>
                                  <w:caps/>
                                  <w:color w:val="1F4E79" w:themeColor="accent5" w:themeShade="80"/>
                                  <w:sz w:val="28"/>
                                  <w:szCs w:val="28"/>
                                </w:rPr>
                                <w:t>Student id:</w:t>
                              </w:r>
                              <w:r w:rsidR="002E6BD8">
                                <w:rPr>
                                  <w:caps/>
                                  <w:color w:val="1F4E79" w:themeColor="accent5" w:themeShade="80"/>
                                  <w:sz w:val="28"/>
                                  <w:szCs w:val="28"/>
                                </w:rPr>
                                <w:t xml:space="preserve"> 1916908</w:t>
                              </w:r>
                            </w:p>
                          </w:sdtContent>
                        </w:sdt>
                        <w:p w14:paraId="0930E13A" w14:textId="376C3919" w:rsidR="00280E98" w:rsidRDefault="00280E98" w:rsidP="00280E98">
                          <w:pPr>
                            <w:pStyle w:val="a7"/>
                            <w:spacing w:before="80" w:after="40"/>
                            <w:rPr>
                              <w:caps/>
                              <w:color w:val="5B9BD5" w:themeColor="accent5"/>
                              <w:sz w:val="24"/>
                              <w:szCs w:val="24"/>
                            </w:rPr>
                          </w:pPr>
                          <w:r w:rsidRPr="00280E98">
                            <w:rPr>
                              <w:caps/>
                              <w:color w:val="5B9BD5" w:themeColor="accent5"/>
                              <w:sz w:val="24"/>
                              <w:szCs w:val="24"/>
                            </w:rPr>
                            <w:t>Lecturer: Gregory Cowan</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CD851A9" wp14:editId="61C16A6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917D93A" w14:textId="4E672DC0" w:rsidR="00280E98" w:rsidRDefault="00280E98">
                                    <w:pPr>
                                      <w:pStyle w:val="a7"/>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http://schemas.microsoft.com/office/word/2018/wordml" xmlns:w16cex="http://schemas.microsoft.com/office/word/2018/wordml/cex">
                <w:pict>
                  <v:rect w14:anchorId="0CD851A9" id="Rectangle 132" o:spid="_x0000_s1028"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vOi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kj&#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ADW86K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4917D93A" w14:textId="4E672DC0" w:rsidR="00280E98" w:rsidRDefault="00280E98">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bookmarkStart w:id="0" w:name="_GoBack" w:displacedByCustomXml="next"/>
        <w:bookmarkEnd w:id="0" w:displacedByCustomXml="next"/>
      </w:sdtContent>
    </w:sdt>
    <w:sdt>
      <w:sdtPr>
        <w:rPr>
          <w:rFonts w:ascii="Arial" w:eastAsiaTheme="minorHAnsi" w:hAnsi="Arial" w:cstheme="minorBidi"/>
          <w:color w:val="auto"/>
          <w:sz w:val="22"/>
          <w:szCs w:val="22"/>
          <w:lang w:val="en-GB"/>
        </w:rPr>
        <w:id w:val="1813286510"/>
        <w:docPartObj>
          <w:docPartGallery w:val="Table of Contents"/>
          <w:docPartUnique/>
        </w:docPartObj>
      </w:sdtPr>
      <w:sdtEndPr>
        <w:rPr>
          <w:b/>
          <w:bCs/>
          <w:noProof/>
        </w:rPr>
      </w:sdtEndPr>
      <w:sdtContent>
        <w:p w14:paraId="1DC04947" w14:textId="1F35A969" w:rsidR="00280E98" w:rsidRDefault="00280E98">
          <w:pPr>
            <w:pStyle w:val="a9"/>
          </w:pPr>
          <w:r>
            <w:t>Table of Contents</w:t>
          </w:r>
        </w:p>
        <w:p w14:paraId="2B3C5261" w14:textId="1FA5B1AB" w:rsidR="00C55803" w:rsidRDefault="00280E98">
          <w:pPr>
            <w:pStyle w:val="1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9006018" w:history="1">
            <w:r w:rsidR="00C55803" w:rsidRPr="00E90BC3">
              <w:rPr>
                <w:rStyle w:val="a5"/>
                <w:noProof/>
              </w:rPr>
              <w:t>Introduction</w:t>
            </w:r>
            <w:r w:rsidR="00C55803">
              <w:rPr>
                <w:noProof/>
                <w:webHidden/>
              </w:rPr>
              <w:tab/>
            </w:r>
            <w:r w:rsidR="00C55803">
              <w:rPr>
                <w:noProof/>
                <w:webHidden/>
              </w:rPr>
              <w:fldChar w:fldCharType="begin"/>
            </w:r>
            <w:r w:rsidR="00C55803">
              <w:rPr>
                <w:noProof/>
                <w:webHidden/>
              </w:rPr>
              <w:instrText xml:space="preserve"> PAGEREF _Toc49006018 \h </w:instrText>
            </w:r>
            <w:r w:rsidR="00C55803">
              <w:rPr>
                <w:noProof/>
                <w:webHidden/>
              </w:rPr>
            </w:r>
            <w:r w:rsidR="00C55803">
              <w:rPr>
                <w:noProof/>
                <w:webHidden/>
              </w:rPr>
              <w:fldChar w:fldCharType="separate"/>
            </w:r>
            <w:r w:rsidR="00C55803">
              <w:rPr>
                <w:noProof/>
                <w:webHidden/>
              </w:rPr>
              <w:t>2</w:t>
            </w:r>
            <w:r w:rsidR="00C55803">
              <w:rPr>
                <w:noProof/>
                <w:webHidden/>
              </w:rPr>
              <w:fldChar w:fldCharType="end"/>
            </w:r>
          </w:hyperlink>
        </w:p>
        <w:p w14:paraId="44312117" w14:textId="78F0F75B" w:rsidR="00C55803" w:rsidRDefault="0065653F">
          <w:pPr>
            <w:pStyle w:val="11"/>
            <w:tabs>
              <w:tab w:val="right" w:leader="dot" w:pos="9016"/>
            </w:tabs>
            <w:rPr>
              <w:rFonts w:asciiTheme="minorHAnsi" w:eastAsiaTheme="minorEastAsia" w:hAnsiTheme="minorHAnsi"/>
              <w:noProof/>
              <w:lang w:eastAsia="en-GB"/>
            </w:rPr>
          </w:pPr>
          <w:hyperlink w:anchor="_Toc49006019" w:history="1">
            <w:r w:rsidR="00C55803" w:rsidRPr="00E90BC3">
              <w:rPr>
                <w:rStyle w:val="a5"/>
                <w:noProof/>
              </w:rPr>
              <w:t>Modern Workplace - Overview</w:t>
            </w:r>
            <w:r w:rsidR="00C55803">
              <w:rPr>
                <w:noProof/>
                <w:webHidden/>
              </w:rPr>
              <w:tab/>
            </w:r>
            <w:r w:rsidR="00C55803">
              <w:rPr>
                <w:noProof/>
                <w:webHidden/>
              </w:rPr>
              <w:fldChar w:fldCharType="begin"/>
            </w:r>
            <w:r w:rsidR="00C55803">
              <w:rPr>
                <w:noProof/>
                <w:webHidden/>
              </w:rPr>
              <w:instrText xml:space="preserve"> PAGEREF _Toc49006019 \h </w:instrText>
            </w:r>
            <w:r w:rsidR="00C55803">
              <w:rPr>
                <w:noProof/>
                <w:webHidden/>
              </w:rPr>
            </w:r>
            <w:r w:rsidR="00C55803">
              <w:rPr>
                <w:noProof/>
                <w:webHidden/>
              </w:rPr>
              <w:fldChar w:fldCharType="separate"/>
            </w:r>
            <w:r w:rsidR="00C55803">
              <w:rPr>
                <w:noProof/>
                <w:webHidden/>
              </w:rPr>
              <w:t>2</w:t>
            </w:r>
            <w:r w:rsidR="00C55803">
              <w:rPr>
                <w:noProof/>
                <w:webHidden/>
              </w:rPr>
              <w:fldChar w:fldCharType="end"/>
            </w:r>
          </w:hyperlink>
        </w:p>
        <w:p w14:paraId="2BCF3EA2" w14:textId="0FF25AC0" w:rsidR="00C55803" w:rsidRDefault="0065653F">
          <w:pPr>
            <w:pStyle w:val="11"/>
            <w:tabs>
              <w:tab w:val="right" w:leader="dot" w:pos="9016"/>
            </w:tabs>
            <w:rPr>
              <w:rFonts w:asciiTheme="minorHAnsi" w:eastAsiaTheme="minorEastAsia" w:hAnsiTheme="minorHAnsi"/>
              <w:noProof/>
              <w:lang w:eastAsia="en-GB"/>
            </w:rPr>
          </w:pPr>
          <w:hyperlink w:anchor="_Toc49006020" w:history="1">
            <w:r w:rsidR="00C55803" w:rsidRPr="00E90BC3">
              <w:rPr>
                <w:rStyle w:val="a5"/>
                <w:noProof/>
              </w:rPr>
              <w:t>Organisational Structure and Culture</w:t>
            </w:r>
            <w:r w:rsidR="00C55803">
              <w:rPr>
                <w:noProof/>
                <w:webHidden/>
              </w:rPr>
              <w:tab/>
            </w:r>
            <w:r w:rsidR="00C55803">
              <w:rPr>
                <w:noProof/>
                <w:webHidden/>
              </w:rPr>
              <w:fldChar w:fldCharType="begin"/>
            </w:r>
            <w:r w:rsidR="00C55803">
              <w:rPr>
                <w:noProof/>
                <w:webHidden/>
              </w:rPr>
              <w:instrText xml:space="preserve"> PAGEREF _Toc49006020 \h </w:instrText>
            </w:r>
            <w:r w:rsidR="00C55803">
              <w:rPr>
                <w:noProof/>
                <w:webHidden/>
              </w:rPr>
            </w:r>
            <w:r w:rsidR="00C55803">
              <w:rPr>
                <w:noProof/>
                <w:webHidden/>
              </w:rPr>
              <w:fldChar w:fldCharType="separate"/>
            </w:r>
            <w:r w:rsidR="00C55803">
              <w:rPr>
                <w:noProof/>
                <w:webHidden/>
              </w:rPr>
              <w:t>3</w:t>
            </w:r>
            <w:r w:rsidR="00C55803">
              <w:rPr>
                <w:noProof/>
                <w:webHidden/>
              </w:rPr>
              <w:fldChar w:fldCharType="end"/>
            </w:r>
          </w:hyperlink>
        </w:p>
        <w:p w14:paraId="48A28712" w14:textId="54677266" w:rsidR="00C55803" w:rsidRDefault="0065653F">
          <w:pPr>
            <w:pStyle w:val="11"/>
            <w:tabs>
              <w:tab w:val="right" w:leader="dot" w:pos="9016"/>
            </w:tabs>
            <w:rPr>
              <w:rFonts w:asciiTheme="minorHAnsi" w:eastAsiaTheme="minorEastAsia" w:hAnsiTheme="minorHAnsi"/>
              <w:noProof/>
              <w:lang w:eastAsia="en-GB"/>
            </w:rPr>
          </w:pPr>
          <w:hyperlink w:anchor="_Toc49006021" w:history="1">
            <w:r w:rsidR="00C55803" w:rsidRPr="00E90BC3">
              <w:rPr>
                <w:rStyle w:val="a5"/>
                <w:noProof/>
              </w:rPr>
              <w:t>Evaluation of Organisational Culture and Structure</w:t>
            </w:r>
            <w:r w:rsidR="00C55803">
              <w:rPr>
                <w:noProof/>
                <w:webHidden/>
              </w:rPr>
              <w:tab/>
            </w:r>
            <w:r w:rsidR="00C55803">
              <w:rPr>
                <w:noProof/>
                <w:webHidden/>
              </w:rPr>
              <w:fldChar w:fldCharType="begin"/>
            </w:r>
            <w:r w:rsidR="00C55803">
              <w:rPr>
                <w:noProof/>
                <w:webHidden/>
              </w:rPr>
              <w:instrText xml:space="preserve"> PAGEREF _Toc49006021 \h </w:instrText>
            </w:r>
            <w:r w:rsidR="00C55803">
              <w:rPr>
                <w:noProof/>
                <w:webHidden/>
              </w:rPr>
            </w:r>
            <w:r w:rsidR="00C55803">
              <w:rPr>
                <w:noProof/>
                <w:webHidden/>
              </w:rPr>
              <w:fldChar w:fldCharType="separate"/>
            </w:r>
            <w:r w:rsidR="00C55803">
              <w:rPr>
                <w:noProof/>
                <w:webHidden/>
              </w:rPr>
              <w:t>4</w:t>
            </w:r>
            <w:r w:rsidR="00C55803">
              <w:rPr>
                <w:noProof/>
                <w:webHidden/>
              </w:rPr>
              <w:fldChar w:fldCharType="end"/>
            </w:r>
          </w:hyperlink>
        </w:p>
        <w:p w14:paraId="1E249C8D" w14:textId="56840C35" w:rsidR="00C55803" w:rsidRDefault="0065653F">
          <w:pPr>
            <w:pStyle w:val="11"/>
            <w:tabs>
              <w:tab w:val="right" w:leader="dot" w:pos="9016"/>
            </w:tabs>
            <w:rPr>
              <w:rFonts w:asciiTheme="minorHAnsi" w:eastAsiaTheme="minorEastAsia" w:hAnsiTheme="minorHAnsi"/>
              <w:noProof/>
              <w:lang w:eastAsia="en-GB"/>
            </w:rPr>
          </w:pPr>
          <w:hyperlink w:anchor="_Toc49006022" w:history="1">
            <w:r w:rsidR="00C55803" w:rsidRPr="00E90BC3">
              <w:rPr>
                <w:rStyle w:val="a5"/>
                <w:noProof/>
              </w:rPr>
              <w:t>Conclusion</w:t>
            </w:r>
            <w:r w:rsidR="00C55803">
              <w:rPr>
                <w:noProof/>
                <w:webHidden/>
              </w:rPr>
              <w:tab/>
            </w:r>
            <w:r w:rsidR="00C55803">
              <w:rPr>
                <w:noProof/>
                <w:webHidden/>
              </w:rPr>
              <w:fldChar w:fldCharType="begin"/>
            </w:r>
            <w:r w:rsidR="00C55803">
              <w:rPr>
                <w:noProof/>
                <w:webHidden/>
              </w:rPr>
              <w:instrText xml:space="preserve"> PAGEREF _Toc49006022 \h </w:instrText>
            </w:r>
            <w:r w:rsidR="00C55803">
              <w:rPr>
                <w:noProof/>
                <w:webHidden/>
              </w:rPr>
            </w:r>
            <w:r w:rsidR="00C55803">
              <w:rPr>
                <w:noProof/>
                <w:webHidden/>
              </w:rPr>
              <w:fldChar w:fldCharType="separate"/>
            </w:r>
            <w:r w:rsidR="00C55803">
              <w:rPr>
                <w:noProof/>
                <w:webHidden/>
              </w:rPr>
              <w:t>5</w:t>
            </w:r>
            <w:r w:rsidR="00C55803">
              <w:rPr>
                <w:noProof/>
                <w:webHidden/>
              </w:rPr>
              <w:fldChar w:fldCharType="end"/>
            </w:r>
          </w:hyperlink>
        </w:p>
        <w:p w14:paraId="7D968CFC" w14:textId="29FCE287" w:rsidR="00C55803" w:rsidRDefault="0065653F">
          <w:pPr>
            <w:pStyle w:val="11"/>
            <w:tabs>
              <w:tab w:val="right" w:leader="dot" w:pos="9016"/>
            </w:tabs>
            <w:rPr>
              <w:rFonts w:asciiTheme="minorHAnsi" w:eastAsiaTheme="minorEastAsia" w:hAnsiTheme="minorHAnsi"/>
              <w:noProof/>
              <w:lang w:eastAsia="en-GB"/>
            </w:rPr>
          </w:pPr>
          <w:hyperlink w:anchor="_Toc49006023" w:history="1">
            <w:r w:rsidR="00C55803" w:rsidRPr="00E90BC3">
              <w:rPr>
                <w:rStyle w:val="a5"/>
                <w:noProof/>
                <w:lang w:val="en-US"/>
              </w:rPr>
              <w:t>References</w:t>
            </w:r>
            <w:r w:rsidR="00C55803">
              <w:rPr>
                <w:noProof/>
                <w:webHidden/>
              </w:rPr>
              <w:tab/>
            </w:r>
            <w:r w:rsidR="00C55803">
              <w:rPr>
                <w:noProof/>
                <w:webHidden/>
              </w:rPr>
              <w:fldChar w:fldCharType="begin"/>
            </w:r>
            <w:r w:rsidR="00C55803">
              <w:rPr>
                <w:noProof/>
                <w:webHidden/>
              </w:rPr>
              <w:instrText xml:space="preserve"> PAGEREF _Toc49006023 \h </w:instrText>
            </w:r>
            <w:r w:rsidR="00C55803">
              <w:rPr>
                <w:noProof/>
                <w:webHidden/>
              </w:rPr>
            </w:r>
            <w:r w:rsidR="00C55803">
              <w:rPr>
                <w:noProof/>
                <w:webHidden/>
              </w:rPr>
              <w:fldChar w:fldCharType="separate"/>
            </w:r>
            <w:r w:rsidR="00C55803">
              <w:rPr>
                <w:noProof/>
                <w:webHidden/>
              </w:rPr>
              <w:t>7</w:t>
            </w:r>
            <w:r w:rsidR="00C55803">
              <w:rPr>
                <w:noProof/>
                <w:webHidden/>
              </w:rPr>
              <w:fldChar w:fldCharType="end"/>
            </w:r>
          </w:hyperlink>
        </w:p>
        <w:p w14:paraId="74C7F943" w14:textId="13AB8F7E" w:rsidR="00280E98" w:rsidRDefault="00280E98">
          <w:r>
            <w:rPr>
              <w:b/>
              <w:bCs/>
              <w:noProof/>
            </w:rPr>
            <w:fldChar w:fldCharType="end"/>
          </w:r>
        </w:p>
      </w:sdtContent>
    </w:sdt>
    <w:p w14:paraId="6BF976C3" w14:textId="77777777" w:rsidR="00844443" w:rsidRDefault="00844443"/>
    <w:p w14:paraId="0AD1194E" w14:textId="58354AFB" w:rsidR="00BE26C9" w:rsidRDefault="00BE26C9"/>
    <w:p w14:paraId="0F8A653D" w14:textId="4B5A97C5" w:rsidR="00BE26C9" w:rsidRDefault="00BE26C9"/>
    <w:p w14:paraId="6D7D4CC3" w14:textId="7AF6B9C4" w:rsidR="00BE26C9" w:rsidRDefault="00BE26C9"/>
    <w:p w14:paraId="664187D1" w14:textId="7B044140" w:rsidR="00BE26C9" w:rsidRDefault="00BE26C9"/>
    <w:p w14:paraId="6D483CC4" w14:textId="0750299C" w:rsidR="00BE26C9" w:rsidRDefault="00BE26C9"/>
    <w:p w14:paraId="295909A2" w14:textId="57D35C06" w:rsidR="00BE26C9" w:rsidRDefault="00BE26C9"/>
    <w:p w14:paraId="627E39A7" w14:textId="1F76B5F4" w:rsidR="00BE26C9" w:rsidRDefault="00BE26C9"/>
    <w:p w14:paraId="282F15E7" w14:textId="3168049A" w:rsidR="00BE26C9" w:rsidRDefault="00BE26C9"/>
    <w:p w14:paraId="7E855EEF" w14:textId="4B35E002" w:rsidR="00BE26C9" w:rsidRDefault="00C55803" w:rsidP="00C55803">
      <w:pPr>
        <w:tabs>
          <w:tab w:val="left" w:pos="3556"/>
        </w:tabs>
      </w:pPr>
      <w:r>
        <w:tab/>
      </w:r>
    </w:p>
    <w:p w14:paraId="294300D9" w14:textId="0A8444D3" w:rsidR="00BE26C9" w:rsidRDefault="00BE26C9"/>
    <w:p w14:paraId="0F510AC7" w14:textId="331729A5" w:rsidR="00BE26C9" w:rsidRDefault="00BE26C9"/>
    <w:p w14:paraId="1AA55F02" w14:textId="553A8ED1" w:rsidR="00BE26C9" w:rsidRDefault="00BE26C9"/>
    <w:p w14:paraId="4285BF84" w14:textId="201111C2" w:rsidR="00BE26C9" w:rsidRDefault="00BE26C9"/>
    <w:p w14:paraId="49E2FB0B" w14:textId="23C5BE59" w:rsidR="00BE26C9" w:rsidRDefault="00BE26C9"/>
    <w:p w14:paraId="74241EA4" w14:textId="28B87044" w:rsidR="00BE26C9" w:rsidRDefault="00BE26C9"/>
    <w:p w14:paraId="46B7AFC1" w14:textId="0FDE4ACB" w:rsidR="00BE26C9" w:rsidRDefault="00BE26C9"/>
    <w:p w14:paraId="5DE812C1" w14:textId="2B245B1E" w:rsidR="00BE26C9" w:rsidRDefault="00BE26C9"/>
    <w:p w14:paraId="2CC8620B" w14:textId="1E66192A" w:rsidR="00BE26C9" w:rsidRDefault="00BE26C9"/>
    <w:p w14:paraId="6122E0DE" w14:textId="12199232" w:rsidR="00BE26C9" w:rsidRDefault="00BE26C9"/>
    <w:p w14:paraId="7A0A5111" w14:textId="78D4EF42" w:rsidR="00BE26C9" w:rsidRDefault="00BE26C9"/>
    <w:p w14:paraId="62F1E263" w14:textId="4A019190" w:rsidR="00BE26C9" w:rsidRDefault="00BE26C9" w:rsidP="00BE26C9">
      <w:pPr>
        <w:pStyle w:val="1"/>
      </w:pPr>
      <w:bookmarkStart w:id="1" w:name="_Toc49006018"/>
      <w:r>
        <w:lastRenderedPageBreak/>
        <w:t>Introduction</w:t>
      </w:r>
      <w:bookmarkEnd w:id="1"/>
      <w:r>
        <w:t xml:space="preserve"> </w:t>
      </w:r>
    </w:p>
    <w:p w14:paraId="0582D619" w14:textId="0BD7DE90" w:rsidR="00BE26C9" w:rsidRDefault="00BE26C9" w:rsidP="00BE26C9">
      <w:r>
        <w:t xml:space="preserve">Asda Stores Ltd alternates as Asda, a British general store retailer based in Leeds, West Yorkshire. The organization was founded in 1949 when the grocery store, owned by the Asquith family, became close to the Yorkshire Associated Dairy Organization. It entered the south of England in the 1970s and 1980s and acquired Allied Carpets, 61 huge Gateway Supermarkets and various organizations such as MFI, at which point it auctioned </w:t>
      </w:r>
      <w:proofErr w:type="gramStart"/>
      <w:r>
        <w:t>its</w:t>
      </w:r>
      <w:proofErr w:type="gramEnd"/>
      <w:r>
        <w:t xml:space="preserve"> acquisitions in the 1990s. to focus on markets. It was listed on the London Stock Exchange until 1999 when it was received by the American goliath dealer Walmart for 6.7 billion pounds. Asda was the second largest chain of general-purpose stores in the UK somewhere in the range of 2003 and 2014 in terms of the number of the entire industry, so it overall came in third. From April 2019, he won his position in second place, behind Tesco and ahead of Sainsbury</w:t>
      </w:r>
      <w:r w:rsidR="00280E98">
        <w:t xml:space="preserve"> (ASDA, 2020)</w:t>
      </w:r>
      <w:r>
        <w:t>.</w:t>
      </w:r>
    </w:p>
    <w:p w14:paraId="075C4385" w14:textId="77777777" w:rsidR="00BE26C9" w:rsidRDefault="00BE26C9" w:rsidP="00BE26C9">
      <w:r>
        <w:t>In addition to the central markets, the organization also offers various administrations, including budget administrations and a mobile phone provider, that use the current organization for EE. Asda's advertising progress is usually based solely on costs, and since 2015, like Walmart's parent organization, Asda has moved forward under the motto "Set aside money. Live better. Since 1987, Asda has additionally had a tool to increase ownership, McLagan Investments Ltd, which is located on the main site of the headquarters in Leeds.</w:t>
      </w:r>
    </w:p>
    <w:p w14:paraId="7996EEE6" w14:textId="77777777" w:rsidR="00BE26C9" w:rsidRDefault="00BE26C9" w:rsidP="00BE26C9">
      <w:r>
        <w:t xml:space="preserve">As a full-fledged division of Walmart, Asda is not required to distribute profits on a quarterly, semi-annual, or annual basis, but numerous huge UK support agencies from U.S. organizations provide records to the U.S. </w:t>
      </w:r>
      <w:proofErr w:type="spellStart"/>
      <w:r>
        <w:t>Defense</w:t>
      </w:r>
      <w:proofErr w:type="spellEnd"/>
      <w:r>
        <w:t xml:space="preserve"> and Exchange Commission on a deliberate basis.</w:t>
      </w:r>
    </w:p>
    <w:p w14:paraId="2E57E67E" w14:textId="77777777" w:rsidR="00BE26C9" w:rsidRDefault="00BE26C9" w:rsidP="00BE26C9">
      <w:r>
        <w:t>In April 2018, Sainsbury's and Asda announced a merger plan that would provide consolidated common stores with an expected 30% share of the UK's main grocery store, which was hampered by the Competition and Markets Authority anyway.</w:t>
      </w:r>
    </w:p>
    <w:p w14:paraId="1E4E6B90" w14:textId="62D58117" w:rsidR="00BE26C9" w:rsidRDefault="00BE26C9" w:rsidP="00BE26C9">
      <w:pPr>
        <w:pStyle w:val="1"/>
      </w:pPr>
      <w:bookmarkStart w:id="2" w:name="_Toc49006019"/>
      <w:r>
        <w:t>Modern Workplace - Overview</w:t>
      </w:r>
      <w:bookmarkEnd w:id="2"/>
    </w:p>
    <w:p w14:paraId="7D3229D7" w14:textId="7F8EA49F" w:rsidR="00BE26C9" w:rsidRDefault="00BE26C9" w:rsidP="00BE26C9">
      <w:r>
        <w:t>The working environment of the avant-garde is evolving. The conventional style of top-down management initiative is gradually becoming a synergistic methodology that engages representatives and vaguely delineates the boundaries between chief and specialist. As more and more organizations acquire a culture of open development, a different style of administration emerges. Community-oriented pioneers adopt a more open strategy in the work environment. Group building and energy sharing are replacing the usual types of corporate chain of command. The work of the administration progresses in a broad-based approach to group building, which allows for an imaginary idea in the work environment. Internal "public support" opens new avenues for corporate development all this time, making another action plan that gives representatives more responsibility for work than ever in memory. What lies ahead is undoubtedly synergistic.</w:t>
      </w:r>
    </w:p>
    <w:p w14:paraId="1BEBC15F" w14:textId="4F0035D3" w:rsidR="00BE26C9" w:rsidRDefault="00BE26C9" w:rsidP="00BE26C9">
      <w:r>
        <w:t xml:space="preserve">Business associations in the 21st century </w:t>
      </w:r>
      <w:proofErr w:type="gramStart"/>
      <w:r>
        <w:t>are</w:t>
      </w:r>
      <w:proofErr w:type="gramEnd"/>
      <w:r>
        <w:t xml:space="preserve"> establishing themselves in a confusing way, as they have to deal with fierce rivalry in the mall. Working with these types of associations is a mind-boggling task for business association supervisors. Individuals or representatives are the most important resource of business associations, and the supervision of people in these </w:t>
      </w:r>
      <w:r>
        <w:lastRenderedPageBreak/>
        <w:t xml:space="preserve">associations is the most problematic activity. It is therefore essential to better understand hierarchical behaviour as it represents authoritative structures, societies, inspiration, administration, group behaviour and group building and group work. The structure and culture of the association have a critical effect on the employees of the association. Authoritative structures and culture can improve the performance of representatives, </w:t>
      </w:r>
      <w:proofErr w:type="gramStart"/>
      <w:r>
        <w:t>provided that</w:t>
      </w:r>
      <w:proofErr w:type="gramEnd"/>
      <w:r>
        <w:t xml:space="preserve"> they can ensure legal correspondence and promote progress and development. Inspiration and initiative and ways to deal with CEOs are also key to improving the work of business associations.</w:t>
      </w:r>
    </w:p>
    <w:p w14:paraId="57744ED0" w14:textId="0D961869" w:rsidR="00BE26C9" w:rsidRDefault="00BE26C9" w:rsidP="00BE26C9">
      <w:pPr>
        <w:pStyle w:val="1"/>
      </w:pPr>
      <w:bookmarkStart w:id="3" w:name="_Toc49006020"/>
      <w:r>
        <w:t>Organisational Structure and Culture</w:t>
      </w:r>
      <w:bookmarkEnd w:id="3"/>
    </w:p>
    <w:p w14:paraId="728D1BF2" w14:textId="11A28B00" w:rsidR="00BE26C9" w:rsidRDefault="00BE26C9" w:rsidP="00BE26C9">
      <w:r>
        <w:t>The authoritative structure is the most important component for building an association. The authoritative structure is essential for the association to specialize in work and departmentalization to ensure the duration of control and levels of leadership. There are different types of authoritative structures used by business associations. These are pre-bureaucratic structures, bureaucratic structure, practical structure, divisional structure, network structure, level structure, etc</w:t>
      </w:r>
      <w:r w:rsidR="00C55803">
        <w:t xml:space="preserve"> </w:t>
      </w:r>
      <w:r w:rsidR="00C55803" w:rsidRPr="00C55803">
        <w:t>(Elsmore, 2018)</w:t>
      </w:r>
      <w:r>
        <w:t>. Apart from this hierarchical culture, there can also be different types. These are a culture of power, a culture of work, a culture of tasks, an individual culture, and so on.</w:t>
      </w:r>
    </w:p>
    <w:p w14:paraId="2A75FF7D" w14:textId="73353399" w:rsidR="00BE26C9" w:rsidRDefault="00BE26C9" w:rsidP="00BE26C9">
      <w:r>
        <w:t>The hierarchical structure and societies do a great job of achieving the goal of the association. ASDA's hierarchical structure and culture have an incredible effect on its performance. ASDA's conventional progressive practice structure is useful for improving the order chain, duration of control, job specialization, departmentalization, and decentralization. The structure and culture of ASDA also have a remarkable effect on the employees of the association. Authoritative structures and culture can improve the performance of representatives with the exclusive chance that it can guarantee legal correspondence and encourage development and innovation. There are both positive and negative effects on the exposure of the association through the impact of the structure and culture of the ASDA association</w:t>
      </w:r>
      <w:r w:rsidR="00C55803">
        <w:t xml:space="preserve"> </w:t>
      </w:r>
      <w:r w:rsidR="00C55803" w:rsidRPr="00C55803">
        <w:t>(Elsmore, 2018)</w:t>
      </w:r>
      <w:r>
        <w:t>. The positive effect of the authoritative structure and culture of ASDA is that it limits the capacity and jobs of employees and further gives a sense of character to the representatives of the association. Then again, the negative effect is that the diverse capacity and jobs here and there clash among ASDA workers. This can make a terrible job for the association. Most importantly, despite the various negative effects of the culture and structure of ASDA, they are valuable to create a legitimate workplace for the association.</w:t>
      </w:r>
    </w:p>
    <w:p w14:paraId="0BD71988" w14:textId="77777777" w:rsidR="00BE26C9" w:rsidRDefault="00BE26C9" w:rsidP="00BE26C9">
      <w:r>
        <w:t xml:space="preserve">The behaviour of representatives in the work environment at ASDA relies for the most part on the reward of the organization, structure and culture and the overall workplace of the association. The prize organization of an association includes a cash prize and a non-fiscal prize. It is good for the intention behind the awards made by the workers in the business association. People work because they </w:t>
      </w:r>
      <w:proofErr w:type="gramStart"/>
      <w:r>
        <w:t>have to</w:t>
      </w:r>
      <w:proofErr w:type="gramEnd"/>
      <w:r>
        <w:t xml:space="preserve"> be paid. Thus, the practices of people in the work environment are greatly influenced by the reward of the organization.</w:t>
      </w:r>
    </w:p>
    <w:p w14:paraId="55FB35F2" w14:textId="77777777" w:rsidR="00BE26C9" w:rsidRDefault="00BE26C9" w:rsidP="00BE26C9">
      <w:r>
        <w:t xml:space="preserve">The structure of the association is also a key factor for people's practices on the grounds that the authoritative structure decides the degree of people's practices in the work environment. The structure of the association characterizes the authority and obligation of the representatives in the work environment. Shapes the idea of ​​relationships between </w:t>
      </w:r>
      <w:r>
        <w:lastRenderedPageBreak/>
        <w:t>individuals in an association. The practice of ASDA representatives is also influenced by its structure. ASDA employees are helpful and good-neighbourly at the expense of its adaptive authority structure.</w:t>
      </w:r>
    </w:p>
    <w:p w14:paraId="0FB1CE5E" w14:textId="0AB7A2BD" w:rsidR="00BE26C9" w:rsidRDefault="00BE26C9" w:rsidP="00BE26C9">
      <w:pPr>
        <w:pStyle w:val="1"/>
      </w:pPr>
      <w:bookmarkStart w:id="4" w:name="_Toc49006021"/>
      <w:r>
        <w:t>Evaluation of Organisational Culture and Structure</w:t>
      </w:r>
      <w:bookmarkEnd w:id="4"/>
    </w:p>
    <w:p w14:paraId="21515FF4" w14:textId="523328D1" w:rsidR="00BE26C9" w:rsidRDefault="00BE26C9" w:rsidP="00BE26C9">
      <w:r>
        <w:t>ASDA's hierarchical culture is also a compelling factor that influences the practices of the association's representatives. ASDA's authoritative culture consists of the association's fundamental faith and conviction. Therefore, the authoritative culture of the association is to increase the value and conviction of the association. Hierarchical value and beliefs are the directions of the representative's behaviour in the work environment.</w:t>
      </w:r>
    </w:p>
    <w:p w14:paraId="561DC8B3" w14:textId="630542F5" w:rsidR="00BE26C9" w:rsidRDefault="00BE26C9" w:rsidP="00BE26C9">
      <w:r>
        <w:t xml:space="preserve">Authority is the way to persuade, inspire, coordinate and control employees to perform their duties to achieve the goal of the association. In order to lead and control the workers and the leaders of the business associations, they follow a diverse style of the initiative. The style of the initiative can be legitimate, law-based, instructive, </w:t>
      </w:r>
      <w:r w:rsidR="00C55803">
        <w:t>paternalistic,</w:t>
      </w:r>
      <w:r>
        <w:t xml:space="preserve"> and reasonable. Totalitarian pioneers are more </w:t>
      </w:r>
      <w:proofErr w:type="gramStart"/>
      <w:r>
        <w:t>organized</w:t>
      </w:r>
      <w:proofErr w:type="gramEnd"/>
      <w:r>
        <w:t xml:space="preserve"> and correspondence is top-down and there are a formal order and control, and then just the pioneers are more with the collection as a whole (</w:t>
      </w:r>
      <w:proofErr w:type="spellStart"/>
      <w:r>
        <w:t>Whiteley</w:t>
      </w:r>
      <w:proofErr w:type="spellEnd"/>
      <w:r>
        <w:t xml:space="preserve">, 2002). The paternalistic initiative is a delicate style of administering tyrants. </w:t>
      </w:r>
      <w:proofErr w:type="spellStart"/>
      <w:r>
        <w:t>Laissez's</w:t>
      </w:r>
      <w:proofErr w:type="spellEnd"/>
      <w:r>
        <w:t xml:space="preserve"> prudent administration is a way to ensure that workers have a greater capacity to do whatever they think is best for the association. The instruction is more administratively oriented to the style of administration.</w:t>
      </w:r>
    </w:p>
    <w:p w14:paraId="7C8E1F29" w14:textId="207D3738" w:rsidR="00BE26C9" w:rsidRDefault="00BE26C9" w:rsidP="00BE26C9">
      <w:r w:rsidRPr="00BE26C9">
        <w:t xml:space="preserve">The pioneer, followed by the CEO of ASDA, is focused on more representatives. The executive director of this association is Andy Clark. He concentrates more on the imaginary intensity of the representative to understand the dangerous circumstance of the association. The saying of this individual is that pioneers are not perceived to be made, pioneers need a decent coach, pioneers need to be able to keep up with the change that is taking place in the business situation, and pioneers need to be people groups individually. Then </w:t>
      </w:r>
      <w:proofErr w:type="gramStart"/>
      <w:r w:rsidRPr="00BE26C9">
        <w:t>again</w:t>
      </w:r>
      <w:proofErr w:type="gramEnd"/>
      <w:r w:rsidRPr="00BE26C9">
        <w:t xml:space="preserve"> the CEO of British Airlines was Keith William. The wit of his initiative is to make the workers of the association take advantage of their own enthusiasm for the progress of the association and to comply with the goals of the association. The administration style of the CEO is more targeted and systematic. Then again, the authoritative style of the CEO of ASDA is aimed at more workers. </w:t>
      </w:r>
      <w:proofErr w:type="gramStart"/>
      <w:r w:rsidRPr="00BE26C9">
        <w:t>Both</w:t>
      </w:r>
      <w:proofErr w:type="gramEnd"/>
      <w:r w:rsidRPr="00BE26C9">
        <w:t xml:space="preserve"> administrative style is successful as a result of the idea of ​​</w:t>
      </w:r>
      <w:proofErr w:type="spellStart"/>
      <w:r w:rsidRPr="00BE26C9">
        <w:t>вЂ</w:t>
      </w:r>
      <w:proofErr w:type="spellEnd"/>
      <w:r w:rsidRPr="00BE26C9">
        <w:t xml:space="preserve"> ‹</w:t>
      </w:r>
      <w:proofErr w:type="spellStart"/>
      <w:r w:rsidRPr="00BE26C9">
        <w:t>вЂ</w:t>
      </w:r>
      <w:proofErr w:type="spellEnd"/>
      <w:r w:rsidRPr="00BE26C9">
        <w:t xml:space="preserve">‹ business activities of these associations. As a retail association, the success of ASDA generally relies on the exhibition of its employee. Then </w:t>
      </w:r>
      <w:proofErr w:type="gramStart"/>
      <w:r w:rsidRPr="00BE26C9">
        <w:t>again</w:t>
      </w:r>
      <w:proofErr w:type="gramEnd"/>
      <w:r w:rsidRPr="00BE26C9">
        <w:t xml:space="preserve"> the pioneers need to be arranged more activities than workers located</w:t>
      </w:r>
      <w:r w:rsidR="00C55803">
        <w:t xml:space="preserve"> </w:t>
      </w:r>
      <w:r w:rsidR="00C55803" w:rsidRPr="00C55803">
        <w:t>(Elsmore, 2018)</w:t>
      </w:r>
      <w:r w:rsidRPr="00BE26C9">
        <w:t>.</w:t>
      </w:r>
    </w:p>
    <w:p w14:paraId="734E5AE8" w14:textId="77777777" w:rsidR="00BE26C9" w:rsidRDefault="00BE26C9" w:rsidP="00BE26C9">
      <w:r>
        <w:t>Usual leaders: The conventional corporate way of dealing with power is pioneers. Conventional pioneers in the corporate world accept that their capacity comes from the situation of their strength. The old school corporate management chain regularly presents a life-dependent force with an optional supplier at earlier results. The longer you stay in your company, the farther you go, the more noticeable your capacity is.</w:t>
      </w:r>
    </w:p>
    <w:p w14:paraId="187FD0B2" w14:textId="59561AE2" w:rsidR="00BE26C9" w:rsidRDefault="00BE26C9" w:rsidP="00BE26C9">
      <w:r>
        <w:t>Synergistic leaders: The new methodology of the community administration considers that strength is most noticeable in an aggregate group. By giving equal interest at all levels, the pioneers of the community allow to create answers from the best thoughts of the meeting and to adopt a group strategy for critical thinking.</w:t>
      </w:r>
    </w:p>
    <w:p w14:paraId="7A75F229" w14:textId="77777777" w:rsidR="00BE26C9" w:rsidRDefault="00BE26C9" w:rsidP="00BE26C9">
      <w:r>
        <w:lastRenderedPageBreak/>
        <w:t>Data</w:t>
      </w:r>
    </w:p>
    <w:p w14:paraId="19D80343" w14:textId="77777777" w:rsidR="00BE26C9" w:rsidRDefault="00BE26C9" w:rsidP="00BE26C9">
      <w:r>
        <w:t>Overall: Maintaining responsibility is the hallmark of conventional pioneers. In terms of power, data is power. Providing data from the room to knowledge allows conventional pioneers to maintain power and control.</w:t>
      </w:r>
    </w:p>
    <w:p w14:paraId="54D261A6" w14:textId="1D3D7249" w:rsidR="00BE26C9" w:rsidRDefault="00BE26C9" w:rsidP="00BE26C9">
      <w:r>
        <w:t>Synergistically: Open data sharing is the foundation of community administration. Putting everyone in the same place in a task requires data sharing. The training also includes work. The more widely available education, the more imaginative ways to deal with critical thinking can create and implement.</w:t>
      </w:r>
    </w:p>
    <w:p w14:paraId="25F8F8F2" w14:textId="77777777" w:rsidR="00BE26C9" w:rsidRDefault="00BE26C9" w:rsidP="00BE26C9">
      <w:r>
        <w:t>Thought generation</w:t>
      </w:r>
    </w:p>
    <w:p w14:paraId="5B731502" w14:textId="77777777" w:rsidR="00BE26C9" w:rsidRDefault="00BE26C9" w:rsidP="00BE26C9">
      <w:r>
        <w:t>Conventional: Traditional supervisors are so often involved in proposals or will be available to the thoughts of their group. In top-down order, elections usually come from the heads of a developed lifestyle. Because the data is stable, the board can become familiar with the conditions that drive the dynamic procedure that can be supported by colleagues.</w:t>
      </w:r>
    </w:p>
    <w:p w14:paraId="53C57C30" w14:textId="7D220597" w:rsidR="00BE26C9" w:rsidRDefault="00BE26C9" w:rsidP="00BE26C9">
      <w:r>
        <w:t>Community-oriented: The speciality of cooperation gives a voice to everyone in the group. Pioneers are usually open to suggestions and thoughts from their group and perceive that conceptualization and alternative perspectives can bring remarkable pieces of knowledge.</w:t>
      </w:r>
    </w:p>
    <w:p w14:paraId="5A3A27C2" w14:textId="77777777" w:rsidR="00BE26C9" w:rsidRDefault="00BE26C9" w:rsidP="00BE26C9">
      <w:r>
        <w:t>Critical thinking</w:t>
      </w:r>
    </w:p>
    <w:p w14:paraId="04143404" w14:textId="77777777" w:rsidR="00BE26C9" w:rsidRDefault="00BE26C9" w:rsidP="00BE26C9">
      <w:r>
        <w:t>Conventional: In the usual corporate culture, agreements are usually passed on to colleagues. These elections are held in the meeting room or package of the hosts, approved and presented.</w:t>
      </w:r>
    </w:p>
    <w:p w14:paraId="38F48789" w14:textId="0FB7F5D8" w:rsidR="00BE26C9" w:rsidRDefault="00BE26C9" w:rsidP="00BE26C9">
      <w:r>
        <w:t>General: In a synergistic area, contracts are conceptualized among colleagues and encouraged by managers. Cooperative pioneers perceive the intensity of the way they come together to cope.</w:t>
      </w:r>
    </w:p>
    <w:p w14:paraId="2C350605" w14:textId="6EE73583" w:rsidR="00280E98" w:rsidRDefault="00280E98" w:rsidP="00280E98">
      <w:pPr>
        <w:pStyle w:val="1"/>
      </w:pPr>
      <w:bookmarkStart w:id="5" w:name="_Toc49006022"/>
      <w:r>
        <w:t>Conclusion</w:t>
      </w:r>
      <w:bookmarkEnd w:id="5"/>
    </w:p>
    <w:p w14:paraId="5708FDF1" w14:textId="0B00792A" w:rsidR="00BE26C9" w:rsidRDefault="00BE26C9" w:rsidP="00BE26C9">
      <w:r>
        <w:t xml:space="preserve">The usual authority has served the corporate culture well since the beginning of modern unrest. Conventional methodologies work in the assembly universe. They allow bosses to understand the market and come to terms with data-dependent choices, which is not </w:t>
      </w:r>
      <w:proofErr w:type="gramStart"/>
      <w:r>
        <w:t>really essential</w:t>
      </w:r>
      <w:proofErr w:type="gramEnd"/>
      <w:r>
        <w:t xml:space="preserve"> to bring together representatives at a level that has a clear capacity with the association. With the age of data and rivalry become a miracle, new types of administration are beginning to grow and be affected. The community initiative is the destiny of the business. It is concerned at both the corporate and individual levels and proposes arrangements that can lead to business expansion, individual and expert representation of employees and progress to stimulate the development of the core corporate group.</w:t>
      </w:r>
    </w:p>
    <w:p w14:paraId="1F5F2528" w14:textId="0F02E543" w:rsidR="00BE26C9" w:rsidRDefault="00BE26C9" w:rsidP="00BE26C9">
      <w:r>
        <w:t xml:space="preserve">Administrators of business associations use various inspiring speculations to stimulate their employees. The value of inspirational hypotheses for bosses is based on several questions. Initially, the convenience of the inspirational hypothesis is usually based on determining the correct hypothesis for the correct setting. Although the inspiring hypothesis is more significant when supervisors unequivocally differentiate between representatives' issues and </w:t>
      </w:r>
      <w:proofErr w:type="gramStart"/>
      <w:r>
        <w:t>take action</w:t>
      </w:r>
      <w:proofErr w:type="gramEnd"/>
      <w:r>
        <w:t xml:space="preserve"> based on the circumstance. Herzberg's inspiration hypothesis includes that there </w:t>
      </w:r>
      <w:r>
        <w:lastRenderedPageBreak/>
        <w:t>are certain factors that cause dissatisfaction at work, while various variables cause work. Supervisors can use Herzberg's inspiration hypothesis when they clearly understand the variables that cause employee dissatisfaction and the components that cause workers to work. The usefulness of the hypothesis is based on distancing the administrator from the questions of the representatives and distinguishing evidence for the best possible answer to these questions.</w:t>
      </w:r>
    </w:p>
    <w:p w14:paraId="6EE176FD" w14:textId="064AF249" w:rsidR="00BE26C9" w:rsidRDefault="00BE26C9"/>
    <w:p w14:paraId="043D9C76" w14:textId="77777777" w:rsidR="00BE26C9" w:rsidRDefault="00BE26C9"/>
    <w:p w14:paraId="17F717B7" w14:textId="419AC098" w:rsidR="00BE26C9" w:rsidRDefault="00BE26C9"/>
    <w:p w14:paraId="68DB70CA" w14:textId="4582F2F6" w:rsidR="00280E98" w:rsidRDefault="00280E98"/>
    <w:p w14:paraId="4BAFB1B1" w14:textId="2E40A37A" w:rsidR="00280E98" w:rsidRDefault="00280E98"/>
    <w:p w14:paraId="00CC4070" w14:textId="36D0B63F" w:rsidR="00280E98" w:rsidRDefault="00280E98"/>
    <w:p w14:paraId="7FEC5325" w14:textId="283EA9F4" w:rsidR="00280E98" w:rsidRDefault="00280E98"/>
    <w:p w14:paraId="070AC4B2" w14:textId="432885FA" w:rsidR="00280E98" w:rsidRDefault="00280E98"/>
    <w:p w14:paraId="04A8B332" w14:textId="56EF43CE" w:rsidR="00280E98" w:rsidRDefault="00280E98"/>
    <w:p w14:paraId="340909FB" w14:textId="59D0BB59" w:rsidR="00280E98" w:rsidRDefault="00280E98"/>
    <w:p w14:paraId="37B02504" w14:textId="7B88E291" w:rsidR="00280E98" w:rsidRDefault="00280E98"/>
    <w:p w14:paraId="4D68C5E4" w14:textId="477CA75A" w:rsidR="00280E98" w:rsidRDefault="00280E98"/>
    <w:p w14:paraId="142CF446" w14:textId="1BA3ED56" w:rsidR="00280E98" w:rsidRDefault="00280E98"/>
    <w:p w14:paraId="7AD4AFCA" w14:textId="4C68D763" w:rsidR="00280E98" w:rsidRDefault="00280E98"/>
    <w:p w14:paraId="6D1BC64E" w14:textId="5D939A44" w:rsidR="00280E98" w:rsidRDefault="00280E98"/>
    <w:p w14:paraId="02920D55" w14:textId="38161533" w:rsidR="00280E98" w:rsidRDefault="00280E98"/>
    <w:p w14:paraId="42381C86" w14:textId="7DAB06BC" w:rsidR="00280E98" w:rsidRDefault="00280E98"/>
    <w:p w14:paraId="252E5422" w14:textId="7D5E5D50" w:rsidR="00280E98" w:rsidRDefault="00280E98"/>
    <w:p w14:paraId="282EB269" w14:textId="227F32CC" w:rsidR="00280E98" w:rsidRDefault="00280E98"/>
    <w:p w14:paraId="04CC8EFC" w14:textId="369608FA" w:rsidR="00280E98" w:rsidRDefault="00280E98"/>
    <w:p w14:paraId="34E337D6" w14:textId="0BE1DE7E" w:rsidR="00280E98" w:rsidRDefault="00280E98"/>
    <w:p w14:paraId="732141C4" w14:textId="5DE4ECAB" w:rsidR="00280E98" w:rsidRDefault="00280E98"/>
    <w:p w14:paraId="32584EB0" w14:textId="00CF855E" w:rsidR="00280E98" w:rsidRDefault="00280E98"/>
    <w:p w14:paraId="57460D8A" w14:textId="35825428" w:rsidR="00BE26C9" w:rsidRDefault="00BE26C9"/>
    <w:p w14:paraId="5D54F3F5" w14:textId="77777777" w:rsidR="00BE26C9" w:rsidRPr="00BE26C9" w:rsidRDefault="00BE26C9" w:rsidP="00280E98">
      <w:pPr>
        <w:pStyle w:val="1"/>
        <w:rPr>
          <w:lang w:val="en-US"/>
        </w:rPr>
      </w:pPr>
      <w:bookmarkStart w:id="6" w:name="_Toc49006023"/>
      <w:r w:rsidRPr="00BE26C9">
        <w:rPr>
          <w:lang w:val="en-US"/>
        </w:rPr>
        <w:lastRenderedPageBreak/>
        <w:t>References</w:t>
      </w:r>
      <w:bookmarkEnd w:id="6"/>
    </w:p>
    <w:p w14:paraId="1DC3E73B" w14:textId="77777777" w:rsidR="00280E98" w:rsidRPr="00BE26C9" w:rsidRDefault="00280E98" w:rsidP="00280E98">
      <w:pPr>
        <w:rPr>
          <w:lang w:val="en-US"/>
        </w:rPr>
      </w:pPr>
      <w:r w:rsidRPr="00BE26C9">
        <w:rPr>
          <w:lang w:val="en-US"/>
        </w:rPr>
        <w:t xml:space="preserve">8 Differences Between Traditional and Collaborative Leaders, (2012), Collaborative Lead Training Company, Retrieved from: </w:t>
      </w:r>
      <w:hyperlink r:id="rId8" w:tgtFrame="_blank" w:history="1">
        <w:r w:rsidRPr="00BE26C9">
          <w:rPr>
            <w:rStyle w:val="a5"/>
            <w:lang w:val="en-US"/>
          </w:rPr>
          <w:t>www.collborative.com</w:t>
        </w:r>
      </w:hyperlink>
      <w:r w:rsidRPr="00BE26C9">
        <w:rPr>
          <w:lang w:val="en-US"/>
        </w:rPr>
        <w:t>.</w:t>
      </w:r>
      <w:r>
        <w:rPr>
          <w:lang w:val="en-US"/>
        </w:rPr>
        <w:t xml:space="preserve"> [Accessed: 15/08/2020]. </w:t>
      </w:r>
    </w:p>
    <w:p w14:paraId="5AEB0BC9" w14:textId="42B4D225" w:rsidR="00280E98" w:rsidRPr="00280E98" w:rsidRDefault="00280E98" w:rsidP="00280E98">
      <w:pPr>
        <w:rPr>
          <w:lang w:val="en-US"/>
        </w:rPr>
      </w:pPr>
      <w:r>
        <w:rPr>
          <w:lang w:val="en-US"/>
        </w:rPr>
        <w:t xml:space="preserve">ASDA (2020). </w:t>
      </w:r>
      <w:r w:rsidRPr="00280E98">
        <w:rPr>
          <w:lang w:val="en-US"/>
        </w:rPr>
        <w:t>Company Facts</w:t>
      </w:r>
      <w:r>
        <w:rPr>
          <w:lang w:val="en-US"/>
        </w:rPr>
        <w:t xml:space="preserve">. </w:t>
      </w:r>
      <w:r>
        <w:rPr>
          <w:i/>
          <w:iCs/>
          <w:lang w:val="en-US"/>
        </w:rPr>
        <w:t xml:space="preserve">Corporate ASDA </w:t>
      </w:r>
      <w:r>
        <w:rPr>
          <w:lang w:val="en-US"/>
        </w:rPr>
        <w:t xml:space="preserve">[online]. Available from: </w:t>
      </w:r>
      <w:hyperlink r:id="rId9" w:history="1">
        <w:r w:rsidRPr="008A50F8">
          <w:rPr>
            <w:rStyle w:val="a5"/>
            <w:lang w:val="en-US"/>
          </w:rPr>
          <w:t>https://corporate.asda.com/our-story/company-facts</w:t>
        </w:r>
      </w:hyperlink>
      <w:r>
        <w:rPr>
          <w:lang w:val="en-US"/>
        </w:rPr>
        <w:t xml:space="preserve"> [Accessed: 15/08/2020].</w:t>
      </w:r>
    </w:p>
    <w:p w14:paraId="114C492F" w14:textId="77777777" w:rsidR="00280E98" w:rsidRPr="00BE26C9" w:rsidRDefault="00280E98" w:rsidP="00280E98">
      <w:pPr>
        <w:rPr>
          <w:lang w:val="en-US"/>
        </w:rPr>
      </w:pPr>
      <w:r w:rsidRPr="00BE26C9">
        <w:rPr>
          <w:lang w:val="en-US"/>
        </w:rPr>
        <w:t>Bateman, T. &amp; Snell, S., (2011). Retrieved from: Management: Leading &amp; Collaborating in a Competitive World, pp. 7-8, 9th edition, McGraw-Hill/Irwin.</w:t>
      </w:r>
    </w:p>
    <w:p w14:paraId="2FF72B0C" w14:textId="77777777" w:rsidR="00C55803" w:rsidRPr="00C55803" w:rsidRDefault="00C55803" w:rsidP="00C55803">
      <w:r w:rsidRPr="00C55803">
        <w:t xml:space="preserve">Elsmore, P. (2018). </w:t>
      </w:r>
      <w:r w:rsidRPr="00C55803">
        <w:rPr>
          <w:i/>
          <w:iCs/>
        </w:rPr>
        <w:t xml:space="preserve">Organisational </w:t>
      </w:r>
      <w:proofErr w:type="gramStart"/>
      <w:r w:rsidRPr="00C55803">
        <w:rPr>
          <w:i/>
          <w:iCs/>
        </w:rPr>
        <w:t>culture :</w:t>
      </w:r>
      <w:proofErr w:type="gramEnd"/>
      <w:r w:rsidRPr="00C55803">
        <w:rPr>
          <w:i/>
          <w:iCs/>
        </w:rPr>
        <w:t xml:space="preserve"> organisational change?</w:t>
      </w:r>
      <w:r w:rsidRPr="00C55803">
        <w:t xml:space="preserve"> London, [England] New York, New York Routledge.</w:t>
      </w:r>
    </w:p>
    <w:p w14:paraId="1F1FEDF3" w14:textId="7381F042" w:rsidR="00BE26C9" w:rsidRPr="00BE26C9" w:rsidRDefault="00BE26C9" w:rsidP="00BE26C9">
      <w:pPr>
        <w:rPr>
          <w:lang w:val="en-US"/>
        </w:rPr>
      </w:pPr>
      <w:r w:rsidRPr="00BE26C9">
        <w:rPr>
          <w:lang w:val="en-US"/>
        </w:rPr>
        <w:t xml:space="preserve">Rose Ngozi </w:t>
      </w:r>
      <w:proofErr w:type="spellStart"/>
      <w:proofErr w:type="gramStart"/>
      <w:r w:rsidRPr="00BE26C9">
        <w:rPr>
          <w:lang w:val="en-US"/>
        </w:rPr>
        <w:t>Amanchukwu</w:t>
      </w:r>
      <w:proofErr w:type="spellEnd"/>
      <w:r w:rsidRPr="00BE26C9">
        <w:rPr>
          <w:lang w:val="en-US"/>
        </w:rPr>
        <w:t xml:space="preserve"> ,</w:t>
      </w:r>
      <w:proofErr w:type="gramEnd"/>
      <w:r w:rsidRPr="00BE26C9">
        <w:rPr>
          <w:lang w:val="en-US"/>
        </w:rPr>
        <w:t xml:space="preserve"> Gloria Jones Stanley , Nwachukwu Prince </w:t>
      </w:r>
      <w:proofErr w:type="spellStart"/>
      <w:r w:rsidRPr="00BE26C9">
        <w:rPr>
          <w:lang w:val="en-US"/>
        </w:rPr>
        <w:t>Ololube</w:t>
      </w:r>
      <w:proofErr w:type="spellEnd"/>
      <w:r w:rsidRPr="00BE26C9">
        <w:rPr>
          <w:lang w:val="en-US"/>
        </w:rPr>
        <w:t xml:space="preserve"> , A Review of Leadership Theories, Principles and Styles and Their Relevance to Educational Management, Management, Vol. 5 No. 1, 2015, pp. 6-14. </w:t>
      </w:r>
    </w:p>
    <w:p w14:paraId="26659EA3" w14:textId="77777777" w:rsidR="00BE26C9" w:rsidRPr="00BE26C9" w:rsidRDefault="00BE26C9" w:rsidP="00BE26C9">
      <w:pPr>
        <w:rPr>
          <w:lang w:val="en-US"/>
        </w:rPr>
      </w:pPr>
      <w:proofErr w:type="spellStart"/>
      <w:r w:rsidRPr="00BE26C9">
        <w:rPr>
          <w:lang w:val="en-US"/>
        </w:rPr>
        <w:t>Whiteley</w:t>
      </w:r>
      <w:proofErr w:type="spellEnd"/>
      <w:r w:rsidRPr="00BE26C9">
        <w:rPr>
          <w:lang w:val="en-US"/>
        </w:rPr>
        <w:t xml:space="preserve">, P. (2002). </w:t>
      </w:r>
      <w:r w:rsidRPr="00BE26C9">
        <w:rPr>
          <w:i/>
          <w:iCs/>
          <w:lang w:val="en-US"/>
        </w:rPr>
        <w:t>Motivation</w:t>
      </w:r>
      <w:r w:rsidRPr="00BE26C9">
        <w:rPr>
          <w:lang w:val="en-US"/>
        </w:rPr>
        <w:t>. 1st ed. Oxford, U.K.: Capstone Pub.</w:t>
      </w:r>
    </w:p>
    <w:p w14:paraId="63E34105" w14:textId="20424964" w:rsidR="00BE26C9" w:rsidRDefault="00BE26C9"/>
    <w:p w14:paraId="2A063C60" w14:textId="4C46E772" w:rsidR="00BE26C9" w:rsidRDefault="00BE26C9"/>
    <w:p w14:paraId="5729DF92" w14:textId="7C72D81A" w:rsidR="00BE26C9" w:rsidRDefault="00BE26C9"/>
    <w:p w14:paraId="5CD94525" w14:textId="163E8545" w:rsidR="00BE26C9" w:rsidRDefault="00BE26C9"/>
    <w:p w14:paraId="778B5FF6" w14:textId="38ED4D8A" w:rsidR="00BE26C9" w:rsidRDefault="00BE26C9"/>
    <w:p w14:paraId="02C473A3" w14:textId="77777777" w:rsidR="00BE26C9" w:rsidRDefault="00BE26C9"/>
    <w:sectPr w:rsidR="00BE26C9" w:rsidSect="00280E98">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AC512D" w14:textId="77777777" w:rsidR="0065653F" w:rsidRDefault="0065653F" w:rsidP="00280E98">
      <w:pPr>
        <w:spacing w:after="0" w:line="240" w:lineRule="auto"/>
      </w:pPr>
      <w:r>
        <w:separator/>
      </w:r>
    </w:p>
  </w:endnote>
  <w:endnote w:type="continuationSeparator" w:id="0">
    <w:p w14:paraId="1FB8812C" w14:textId="77777777" w:rsidR="0065653F" w:rsidRDefault="0065653F" w:rsidP="00280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8007242"/>
      <w:docPartObj>
        <w:docPartGallery w:val="Page Numbers (Bottom of Page)"/>
        <w:docPartUnique/>
      </w:docPartObj>
    </w:sdtPr>
    <w:sdtEndPr>
      <w:rPr>
        <w:noProof/>
      </w:rPr>
    </w:sdtEndPr>
    <w:sdtContent>
      <w:p w14:paraId="49042213" w14:textId="02F52E75" w:rsidR="00280E98" w:rsidRDefault="00280E98">
        <w:pPr>
          <w:pStyle w:val="ac"/>
          <w:jc w:val="right"/>
        </w:pPr>
        <w:r>
          <w:fldChar w:fldCharType="begin"/>
        </w:r>
        <w:r>
          <w:instrText xml:space="preserve"> PAGE   \* MERGEFORMAT </w:instrText>
        </w:r>
        <w:r>
          <w:fldChar w:fldCharType="separate"/>
        </w:r>
        <w:r>
          <w:rPr>
            <w:noProof/>
          </w:rPr>
          <w:t>2</w:t>
        </w:r>
        <w:r>
          <w:rPr>
            <w:noProof/>
          </w:rPr>
          <w:fldChar w:fldCharType="end"/>
        </w:r>
      </w:p>
    </w:sdtContent>
  </w:sdt>
  <w:p w14:paraId="644213AB" w14:textId="77777777" w:rsidR="00280E98" w:rsidRDefault="00280E98">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399EAB" w14:textId="77777777" w:rsidR="0065653F" w:rsidRDefault="0065653F" w:rsidP="00280E98">
      <w:pPr>
        <w:spacing w:after="0" w:line="240" w:lineRule="auto"/>
      </w:pPr>
      <w:r>
        <w:separator/>
      </w:r>
    </w:p>
  </w:footnote>
  <w:footnote w:type="continuationSeparator" w:id="0">
    <w:p w14:paraId="61C49B55" w14:textId="77777777" w:rsidR="0065653F" w:rsidRDefault="0065653F" w:rsidP="00280E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1A7"/>
    <w:rsid w:val="00014C0D"/>
    <w:rsid w:val="000E3386"/>
    <w:rsid w:val="00106360"/>
    <w:rsid w:val="00280E98"/>
    <w:rsid w:val="002E6BD8"/>
    <w:rsid w:val="003A63CD"/>
    <w:rsid w:val="0065653F"/>
    <w:rsid w:val="007D71A7"/>
    <w:rsid w:val="00844443"/>
    <w:rsid w:val="0097139E"/>
    <w:rsid w:val="00A37F01"/>
    <w:rsid w:val="00BE26C9"/>
    <w:rsid w:val="00C55803"/>
    <w:rsid w:val="00CC3506"/>
    <w:rsid w:val="00DE5333"/>
    <w:rsid w:val="00E026CD"/>
    <w:rsid w:val="00E25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2B28F"/>
  <w15:chartTrackingRefBased/>
  <w15:docId w15:val="{900681EB-AA0F-44E7-A302-86736DC66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semiHidden/>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character" w:styleId="a5">
    <w:name w:val="Hyperlink"/>
    <w:basedOn w:val="a0"/>
    <w:uiPriority w:val="99"/>
    <w:unhideWhenUsed/>
    <w:rsid w:val="00BE26C9"/>
    <w:rPr>
      <w:color w:val="0563C1" w:themeColor="hyperlink"/>
      <w:u w:val="single"/>
    </w:rPr>
  </w:style>
  <w:style w:type="character" w:styleId="a6">
    <w:name w:val="Unresolved Mention"/>
    <w:basedOn w:val="a0"/>
    <w:uiPriority w:val="99"/>
    <w:semiHidden/>
    <w:unhideWhenUsed/>
    <w:rsid w:val="00BE26C9"/>
    <w:rPr>
      <w:color w:val="605E5C"/>
      <w:shd w:val="clear" w:color="auto" w:fill="E1DFDD"/>
    </w:rPr>
  </w:style>
  <w:style w:type="paragraph" w:styleId="a7">
    <w:name w:val="No Spacing"/>
    <w:link w:val="a8"/>
    <w:uiPriority w:val="1"/>
    <w:qFormat/>
    <w:rsid w:val="00280E98"/>
    <w:pPr>
      <w:spacing w:after="0" w:line="240" w:lineRule="auto"/>
    </w:pPr>
    <w:rPr>
      <w:rFonts w:eastAsiaTheme="minorEastAsia"/>
      <w:lang w:val="en-US"/>
    </w:rPr>
  </w:style>
  <w:style w:type="character" w:customStyle="1" w:styleId="a8">
    <w:name w:val="Без разредка Знак"/>
    <w:basedOn w:val="a0"/>
    <w:link w:val="a7"/>
    <w:uiPriority w:val="1"/>
    <w:rsid w:val="00280E98"/>
    <w:rPr>
      <w:rFonts w:eastAsiaTheme="minorEastAsia"/>
      <w:lang w:val="en-US"/>
    </w:rPr>
  </w:style>
  <w:style w:type="paragraph" w:styleId="a9">
    <w:name w:val="TOC Heading"/>
    <w:basedOn w:val="1"/>
    <w:next w:val="a"/>
    <w:uiPriority w:val="39"/>
    <w:unhideWhenUsed/>
    <w:qFormat/>
    <w:rsid w:val="00280E98"/>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280E98"/>
    <w:pPr>
      <w:spacing w:after="100"/>
    </w:pPr>
  </w:style>
  <w:style w:type="paragraph" w:styleId="aa">
    <w:name w:val="header"/>
    <w:basedOn w:val="a"/>
    <w:link w:val="ab"/>
    <w:uiPriority w:val="99"/>
    <w:unhideWhenUsed/>
    <w:rsid w:val="00280E98"/>
    <w:pPr>
      <w:tabs>
        <w:tab w:val="center" w:pos="4513"/>
        <w:tab w:val="right" w:pos="9026"/>
      </w:tabs>
      <w:spacing w:after="0" w:line="240" w:lineRule="auto"/>
    </w:pPr>
  </w:style>
  <w:style w:type="character" w:customStyle="1" w:styleId="ab">
    <w:name w:val="Горен колонтитул Знак"/>
    <w:basedOn w:val="a0"/>
    <w:link w:val="aa"/>
    <w:uiPriority w:val="99"/>
    <w:rsid w:val="00280E98"/>
    <w:rPr>
      <w:rFonts w:ascii="Arial" w:hAnsi="Arial"/>
    </w:rPr>
  </w:style>
  <w:style w:type="paragraph" w:styleId="ac">
    <w:name w:val="footer"/>
    <w:basedOn w:val="a"/>
    <w:link w:val="ad"/>
    <w:uiPriority w:val="99"/>
    <w:unhideWhenUsed/>
    <w:rsid w:val="00280E98"/>
    <w:pPr>
      <w:tabs>
        <w:tab w:val="center" w:pos="4513"/>
        <w:tab w:val="right" w:pos="9026"/>
      </w:tabs>
      <w:spacing w:after="0" w:line="240" w:lineRule="auto"/>
    </w:pPr>
  </w:style>
  <w:style w:type="character" w:customStyle="1" w:styleId="ad">
    <w:name w:val="Долен колонтитул Знак"/>
    <w:basedOn w:val="a0"/>
    <w:link w:val="ac"/>
    <w:uiPriority w:val="99"/>
    <w:rsid w:val="00280E98"/>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1061299">
      <w:bodyDiv w:val="1"/>
      <w:marLeft w:val="0"/>
      <w:marRight w:val="0"/>
      <w:marTop w:val="0"/>
      <w:marBottom w:val="0"/>
      <w:divBdr>
        <w:top w:val="none" w:sz="0" w:space="0" w:color="auto"/>
        <w:left w:val="none" w:sz="0" w:space="0" w:color="auto"/>
        <w:bottom w:val="none" w:sz="0" w:space="0" w:color="auto"/>
        <w:right w:val="none" w:sz="0" w:space="0" w:color="auto"/>
      </w:divBdr>
      <w:divsChild>
        <w:div w:id="66807113">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borativ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orporate.asda.com/our-story/company-f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C167EC-EA22-45FE-A569-CE49EA8EA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2310</Words>
  <Characters>13170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LCBB4003 Assessment 1 – Structure and Culture</dc:title>
  <dc:subject>Student id: 1916908</dc:subject>
  <cp:keywords/>
  <dc:description/>
  <cp:revision>10</cp:revision>
  <dcterms:created xsi:type="dcterms:W3CDTF">2020-08-22T13:06:00Z</dcterms:created>
  <dcterms:modified xsi:type="dcterms:W3CDTF">2020-08-24T06:16:00Z</dcterms:modified>
</cp:coreProperties>
</file>