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A6D3B" w14:textId="77777777" w:rsidR="00E97880" w:rsidRPr="00C672E5" w:rsidRDefault="00E97880" w:rsidP="00E97880">
      <w:pPr>
        <w:jc w:val="center"/>
        <w:rPr>
          <w:rFonts w:cs="Arial"/>
        </w:rPr>
      </w:pPr>
      <w:r w:rsidRPr="00C672E5">
        <w:rPr>
          <w:rFonts w:cs="Arial"/>
        </w:rPr>
        <w:drawing>
          <wp:inline distT="0" distB="0" distL="0" distR="0" wp14:anchorId="6F42333B" wp14:editId="59B450C6">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p>
    <w:tbl>
      <w:tblPr>
        <w:tblStyle w:val="TableGrid"/>
        <w:tblpPr w:leftFromText="180" w:rightFromText="180" w:vertAnchor="text" w:horzAnchor="margin" w:tblpY="202"/>
        <w:tblW w:w="9182" w:type="dxa"/>
        <w:tblLook w:val="04A0" w:firstRow="1" w:lastRow="0" w:firstColumn="1" w:lastColumn="0" w:noHBand="0" w:noVBand="1"/>
      </w:tblPr>
      <w:tblGrid>
        <w:gridCol w:w="2276"/>
        <w:gridCol w:w="2422"/>
        <w:gridCol w:w="2269"/>
        <w:gridCol w:w="2215"/>
      </w:tblGrid>
      <w:tr w:rsidR="00E97880" w:rsidRPr="00C672E5" w14:paraId="165E9CFB" w14:textId="77777777" w:rsidTr="00637DB1">
        <w:trPr>
          <w:trHeight w:val="990"/>
        </w:trPr>
        <w:tc>
          <w:tcPr>
            <w:tcW w:w="2295" w:type="dxa"/>
          </w:tcPr>
          <w:p w14:paraId="2E1D390A" w14:textId="77777777" w:rsidR="00E97880" w:rsidRPr="00C672E5" w:rsidRDefault="00E97880" w:rsidP="00637DB1">
            <w:pPr>
              <w:rPr>
                <w:rFonts w:cs="Arial"/>
                <w:b/>
                <w:bCs/>
                <w:sz w:val="32"/>
                <w:szCs w:val="32"/>
              </w:rPr>
            </w:pPr>
            <w:r w:rsidRPr="00C672E5">
              <w:rPr>
                <w:rFonts w:cs="Arial"/>
                <w:b/>
                <w:bCs/>
                <w:sz w:val="32"/>
                <w:szCs w:val="32"/>
              </w:rPr>
              <w:t>Student Name:</w:t>
            </w:r>
          </w:p>
        </w:tc>
        <w:tc>
          <w:tcPr>
            <w:tcW w:w="2295" w:type="dxa"/>
          </w:tcPr>
          <w:p w14:paraId="32220ED9" w14:textId="240FDE91" w:rsidR="00E97880" w:rsidRPr="004F6837" w:rsidRDefault="00E97880" w:rsidP="00637DB1">
            <w:pPr>
              <w:spacing w:line="256" w:lineRule="auto"/>
              <w:rPr>
                <w:rFonts w:ascii="Calibri" w:eastAsia="Calibri" w:hAnsi="Calibri" w:cs="Calibri"/>
                <w:noProof w:val="0"/>
                <w:sz w:val="36"/>
                <w:szCs w:val="36"/>
                <w:lang w:val="en-US"/>
              </w:rPr>
            </w:pPr>
            <w:r>
              <w:rPr>
                <w:rFonts w:ascii="Calibri" w:eastAsia="Calibri" w:hAnsi="Calibri" w:cs="Calibri"/>
                <w:sz w:val="36"/>
                <w:szCs w:val="36"/>
                <w:lang w:val="en-US"/>
              </w:rPr>
              <w:t xml:space="preserve">Shubham </w:t>
            </w:r>
            <w:r w:rsidRPr="006449AC">
              <w:rPr>
                <w:rFonts w:cs="Arial"/>
                <w:sz w:val="32"/>
                <w:szCs w:val="32"/>
              </w:rPr>
              <w:t>Dudhat</w:t>
            </w:r>
          </w:p>
        </w:tc>
        <w:tc>
          <w:tcPr>
            <w:tcW w:w="2295" w:type="dxa"/>
          </w:tcPr>
          <w:p w14:paraId="5FA068FB" w14:textId="77777777" w:rsidR="00E97880" w:rsidRPr="00C672E5" w:rsidRDefault="00E97880" w:rsidP="00637DB1">
            <w:pPr>
              <w:rPr>
                <w:rFonts w:cs="Arial"/>
                <w:b/>
                <w:bCs/>
                <w:sz w:val="32"/>
                <w:szCs w:val="32"/>
              </w:rPr>
            </w:pPr>
            <w:r w:rsidRPr="00C672E5">
              <w:rPr>
                <w:rFonts w:cs="Arial"/>
                <w:b/>
                <w:bCs/>
                <w:sz w:val="32"/>
                <w:szCs w:val="32"/>
              </w:rPr>
              <w:t>Student ID:</w:t>
            </w:r>
          </w:p>
        </w:tc>
        <w:tc>
          <w:tcPr>
            <w:tcW w:w="2297" w:type="dxa"/>
          </w:tcPr>
          <w:p w14:paraId="27E85055" w14:textId="3A6096C2" w:rsidR="00E97880" w:rsidRPr="00C672E5" w:rsidRDefault="00E97880" w:rsidP="00637DB1">
            <w:pPr>
              <w:rPr>
                <w:rFonts w:cs="Arial"/>
                <w:sz w:val="32"/>
                <w:szCs w:val="32"/>
              </w:rPr>
            </w:pPr>
            <w:r>
              <w:rPr>
                <w:rFonts w:cs="Arial"/>
                <w:sz w:val="32"/>
                <w:szCs w:val="32"/>
              </w:rPr>
              <w:t>2526722</w:t>
            </w:r>
          </w:p>
        </w:tc>
      </w:tr>
      <w:tr w:rsidR="00E97880" w:rsidRPr="00C672E5" w14:paraId="152D82D6" w14:textId="77777777" w:rsidTr="00637DB1">
        <w:trPr>
          <w:trHeight w:val="928"/>
        </w:trPr>
        <w:tc>
          <w:tcPr>
            <w:tcW w:w="2295" w:type="dxa"/>
          </w:tcPr>
          <w:p w14:paraId="46B90354" w14:textId="77777777" w:rsidR="00E97880" w:rsidRPr="00C672E5" w:rsidRDefault="00E97880" w:rsidP="00637DB1">
            <w:pPr>
              <w:rPr>
                <w:rFonts w:cs="Arial"/>
                <w:b/>
                <w:bCs/>
                <w:sz w:val="32"/>
                <w:szCs w:val="32"/>
              </w:rPr>
            </w:pPr>
            <w:r w:rsidRPr="00C672E5">
              <w:rPr>
                <w:rFonts w:cs="Arial"/>
                <w:b/>
                <w:bCs/>
                <w:sz w:val="32"/>
                <w:szCs w:val="32"/>
              </w:rPr>
              <w:t>Programme:</w:t>
            </w:r>
          </w:p>
        </w:tc>
        <w:tc>
          <w:tcPr>
            <w:tcW w:w="6887" w:type="dxa"/>
            <w:gridSpan w:val="3"/>
          </w:tcPr>
          <w:p w14:paraId="42C1858E" w14:textId="77777777" w:rsidR="00E97880" w:rsidRPr="00C672E5" w:rsidRDefault="00E97880" w:rsidP="00637DB1">
            <w:pPr>
              <w:rPr>
                <w:rFonts w:cs="Arial"/>
                <w:sz w:val="32"/>
                <w:szCs w:val="32"/>
              </w:rPr>
            </w:pPr>
            <w:r w:rsidRPr="00C672E5">
              <w:rPr>
                <w:rFonts w:cs="Arial"/>
                <w:sz w:val="32"/>
                <w:szCs w:val="32"/>
              </w:rPr>
              <w:t>Master of Business Administration</w:t>
            </w:r>
          </w:p>
        </w:tc>
      </w:tr>
      <w:tr w:rsidR="00E97880" w:rsidRPr="00C672E5" w14:paraId="7F953C22" w14:textId="77777777" w:rsidTr="00637DB1">
        <w:trPr>
          <w:trHeight w:val="990"/>
        </w:trPr>
        <w:tc>
          <w:tcPr>
            <w:tcW w:w="2295" w:type="dxa"/>
          </w:tcPr>
          <w:p w14:paraId="0E0114F3" w14:textId="77777777" w:rsidR="00E97880" w:rsidRPr="00C672E5" w:rsidRDefault="00E97880" w:rsidP="00637DB1">
            <w:pPr>
              <w:rPr>
                <w:rFonts w:cs="Arial"/>
                <w:b/>
                <w:bCs/>
                <w:sz w:val="32"/>
                <w:szCs w:val="32"/>
              </w:rPr>
            </w:pPr>
            <w:r w:rsidRPr="00C672E5">
              <w:rPr>
                <w:rFonts w:cs="Arial"/>
                <w:b/>
                <w:bCs/>
                <w:sz w:val="32"/>
                <w:szCs w:val="32"/>
              </w:rPr>
              <w:t>Module:</w:t>
            </w:r>
          </w:p>
        </w:tc>
        <w:tc>
          <w:tcPr>
            <w:tcW w:w="6887" w:type="dxa"/>
            <w:gridSpan w:val="3"/>
          </w:tcPr>
          <w:p w14:paraId="5A8D7383" w14:textId="77777777" w:rsidR="00E97880" w:rsidRPr="00C672E5" w:rsidRDefault="00E97880" w:rsidP="00637DB1">
            <w:pPr>
              <w:rPr>
                <w:rFonts w:cs="Arial"/>
                <w:sz w:val="32"/>
                <w:szCs w:val="32"/>
              </w:rPr>
            </w:pPr>
            <w:r w:rsidRPr="006A747B">
              <w:rPr>
                <w:sz w:val="36"/>
                <w:szCs w:val="36"/>
              </w:rPr>
              <w:t>Financial Management</w:t>
            </w:r>
          </w:p>
        </w:tc>
      </w:tr>
      <w:tr w:rsidR="00E97880" w:rsidRPr="00C672E5" w14:paraId="43A2E675" w14:textId="77777777" w:rsidTr="00637DB1">
        <w:trPr>
          <w:trHeight w:val="990"/>
        </w:trPr>
        <w:tc>
          <w:tcPr>
            <w:tcW w:w="2295" w:type="dxa"/>
          </w:tcPr>
          <w:p w14:paraId="1B30D280" w14:textId="77777777" w:rsidR="00E97880" w:rsidRPr="00C672E5" w:rsidRDefault="00E97880" w:rsidP="00637DB1">
            <w:pPr>
              <w:rPr>
                <w:rFonts w:cs="Arial"/>
                <w:b/>
                <w:bCs/>
                <w:sz w:val="32"/>
                <w:szCs w:val="32"/>
              </w:rPr>
            </w:pPr>
            <w:r w:rsidRPr="00C672E5">
              <w:rPr>
                <w:rFonts w:cs="Arial"/>
                <w:b/>
                <w:bCs/>
                <w:sz w:val="32"/>
                <w:szCs w:val="32"/>
              </w:rPr>
              <w:t>Module Code:</w:t>
            </w:r>
          </w:p>
        </w:tc>
        <w:tc>
          <w:tcPr>
            <w:tcW w:w="6887" w:type="dxa"/>
            <w:gridSpan w:val="3"/>
          </w:tcPr>
          <w:p w14:paraId="3B082C93" w14:textId="77777777" w:rsidR="00E97880" w:rsidRPr="00C672E5" w:rsidRDefault="00E97880" w:rsidP="00637DB1">
            <w:pPr>
              <w:rPr>
                <w:rFonts w:cs="Arial"/>
                <w:sz w:val="32"/>
                <w:szCs w:val="32"/>
              </w:rPr>
            </w:pPr>
            <w:r w:rsidRPr="00C672E5">
              <w:rPr>
                <w:rFonts w:cs="Arial"/>
                <w:sz w:val="32"/>
                <w:szCs w:val="32"/>
              </w:rPr>
              <w:t>LCMB70</w:t>
            </w:r>
            <w:r>
              <w:rPr>
                <w:rFonts w:cs="Arial"/>
                <w:sz w:val="32"/>
                <w:szCs w:val="32"/>
              </w:rPr>
              <w:t>02</w:t>
            </w:r>
          </w:p>
        </w:tc>
      </w:tr>
      <w:tr w:rsidR="00E97880" w:rsidRPr="00C672E5" w14:paraId="3CF886C0" w14:textId="77777777" w:rsidTr="00637DB1">
        <w:trPr>
          <w:trHeight w:val="990"/>
        </w:trPr>
        <w:tc>
          <w:tcPr>
            <w:tcW w:w="2295" w:type="dxa"/>
          </w:tcPr>
          <w:p w14:paraId="5B6FF549" w14:textId="77777777" w:rsidR="00E97880" w:rsidRPr="00C672E5" w:rsidRDefault="00E97880" w:rsidP="00637DB1">
            <w:pPr>
              <w:rPr>
                <w:rFonts w:cs="Arial"/>
                <w:b/>
                <w:bCs/>
                <w:sz w:val="32"/>
                <w:szCs w:val="32"/>
              </w:rPr>
            </w:pPr>
            <w:r w:rsidRPr="00C672E5">
              <w:rPr>
                <w:rFonts w:cs="Arial"/>
                <w:b/>
                <w:bCs/>
                <w:sz w:val="32"/>
                <w:szCs w:val="32"/>
              </w:rPr>
              <w:t>Assignment Title:</w:t>
            </w:r>
          </w:p>
        </w:tc>
        <w:tc>
          <w:tcPr>
            <w:tcW w:w="6887" w:type="dxa"/>
            <w:gridSpan w:val="3"/>
          </w:tcPr>
          <w:p w14:paraId="7121E91A" w14:textId="77777777" w:rsidR="00E97880" w:rsidRPr="00C672E5" w:rsidRDefault="00E97880" w:rsidP="00637DB1">
            <w:pPr>
              <w:rPr>
                <w:rFonts w:cs="Arial"/>
                <w:sz w:val="32"/>
                <w:szCs w:val="32"/>
              </w:rPr>
            </w:pPr>
            <w:r w:rsidRPr="006A747B">
              <w:rPr>
                <w:sz w:val="36"/>
                <w:szCs w:val="36"/>
              </w:rPr>
              <w:t>Assessment component: Financial performance and management</w:t>
            </w:r>
          </w:p>
        </w:tc>
      </w:tr>
      <w:tr w:rsidR="00E97880" w:rsidRPr="00C672E5" w14:paraId="4966DB50" w14:textId="77777777" w:rsidTr="00637DB1">
        <w:trPr>
          <w:trHeight w:val="928"/>
        </w:trPr>
        <w:tc>
          <w:tcPr>
            <w:tcW w:w="2295" w:type="dxa"/>
          </w:tcPr>
          <w:p w14:paraId="25565AC7" w14:textId="77777777" w:rsidR="00E97880" w:rsidRPr="00C672E5" w:rsidRDefault="00E97880" w:rsidP="00637DB1">
            <w:pPr>
              <w:rPr>
                <w:rFonts w:cs="Arial"/>
                <w:b/>
                <w:bCs/>
                <w:sz w:val="32"/>
                <w:szCs w:val="32"/>
              </w:rPr>
            </w:pPr>
            <w:r w:rsidRPr="00C672E5">
              <w:rPr>
                <w:rFonts w:cs="Arial"/>
                <w:b/>
                <w:bCs/>
                <w:sz w:val="32"/>
                <w:szCs w:val="32"/>
              </w:rPr>
              <w:t>Lecturer Name:</w:t>
            </w:r>
          </w:p>
        </w:tc>
        <w:tc>
          <w:tcPr>
            <w:tcW w:w="6887" w:type="dxa"/>
            <w:gridSpan w:val="3"/>
          </w:tcPr>
          <w:p w14:paraId="7CE554C3" w14:textId="77777777" w:rsidR="00E97880" w:rsidRDefault="00E97880" w:rsidP="00637DB1">
            <w:pPr>
              <w:rPr>
                <w:rFonts w:cs="Arial"/>
                <w:sz w:val="32"/>
                <w:szCs w:val="32"/>
              </w:rPr>
            </w:pPr>
            <w:r w:rsidRPr="009F3AA7">
              <w:rPr>
                <w:rFonts w:cs="Arial"/>
                <w:sz w:val="32"/>
                <w:szCs w:val="32"/>
              </w:rPr>
              <w:t xml:space="preserve">Shengfeng Mei </w:t>
            </w:r>
          </w:p>
          <w:p w14:paraId="04F1C031" w14:textId="289975F4" w:rsidR="00E97880" w:rsidRPr="00C672E5" w:rsidRDefault="00E97880" w:rsidP="00637DB1">
            <w:pPr>
              <w:rPr>
                <w:rFonts w:cs="Arial"/>
                <w:sz w:val="32"/>
                <w:szCs w:val="32"/>
              </w:rPr>
            </w:pPr>
            <w:r w:rsidRPr="009F3AA7">
              <w:rPr>
                <w:rFonts w:cs="Arial"/>
                <w:sz w:val="32"/>
                <w:szCs w:val="32"/>
              </w:rPr>
              <w:t xml:space="preserve">Patrick Yeboah </w:t>
            </w:r>
            <w:r w:rsidR="007F281F">
              <w:rPr>
                <w:rFonts w:cs="Arial"/>
                <w:sz w:val="32"/>
                <w:szCs w:val="32"/>
              </w:rPr>
              <w:t xml:space="preserve"> , M.D Kalam</w:t>
            </w:r>
          </w:p>
        </w:tc>
      </w:tr>
      <w:tr w:rsidR="00E97880" w:rsidRPr="00C672E5" w14:paraId="058C37B8" w14:textId="77777777" w:rsidTr="00637DB1">
        <w:trPr>
          <w:trHeight w:val="990"/>
        </w:trPr>
        <w:tc>
          <w:tcPr>
            <w:tcW w:w="2295" w:type="dxa"/>
          </w:tcPr>
          <w:p w14:paraId="09F858CB" w14:textId="77777777" w:rsidR="00E97880" w:rsidRPr="00C672E5" w:rsidRDefault="00E97880" w:rsidP="00637DB1">
            <w:pPr>
              <w:rPr>
                <w:rFonts w:cs="Arial"/>
                <w:b/>
                <w:bCs/>
                <w:sz w:val="32"/>
                <w:szCs w:val="32"/>
              </w:rPr>
            </w:pPr>
            <w:r w:rsidRPr="00C672E5">
              <w:rPr>
                <w:rFonts w:cs="Arial"/>
                <w:b/>
                <w:bCs/>
                <w:sz w:val="32"/>
                <w:szCs w:val="32"/>
              </w:rPr>
              <w:t>Word Count:</w:t>
            </w:r>
          </w:p>
        </w:tc>
        <w:tc>
          <w:tcPr>
            <w:tcW w:w="2295" w:type="dxa"/>
          </w:tcPr>
          <w:p w14:paraId="1773173A" w14:textId="588B5331" w:rsidR="00E97880" w:rsidRPr="00C672E5" w:rsidRDefault="00E97880" w:rsidP="00637DB1">
            <w:pPr>
              <w:rPr>
                <w:rFonts w:cs="Arial"/>
                <w:sz w:val="32"/>
                <w:szCs w:val="32"/>
              </w:rPr>
            </w:pPr>
            <w:r>
              <w:rPr>
                <w:rFonts w:cs="Arial"/>
                <w:sz w:val="32"/>
                <w:szCs w:val="32"/>
              </w:rPr>
              <w:t>5</w:t>
            </w:r>
            <w:r w:rsidR="008801B5">
              <w:rPr>
                <w:rFonts w:cs="Arial"/>
                <w:sz w:val="32"/>
                <w:szCs w:val="32"/>
              </w:rPr>
              <w:t>438</w:t>
            </w:r>
            <w:r w:rsidRPr="00C672E5">
              <w:rPr>
                <w:rFonts w:cs="Arial"/>
                <w:sz w:val="32"/>
                <w:szCs w:val="32"/>
              </w:rPr>
              <w:t>(Excluding References, Tables</w:t>
            </w:r>
            <w:r w:rsidR="008801B5">
              <w:rPr>
                <w:rFonts w:cs="Arial"/>
                <w:sz w:val="32"/>
                <w:szCs w:val="32"/>
              </w:rPr>
              <w:t>, Appendix</w:t>
            </w:r>
            <w:r>
              <w:rPr>
                <w:rFonts w:cs="Arial"/>
                <w:sz w:val="32"/>
                <w:szCs w:val="32"/>
              </w:rPr>
              <w:t>)</w:t>
            </w:r>
          </w:p>
        </w:tc>
        <w:tc>
          <w:tcPr>
            <w:tcW w:w="2295" w:type="dxa"/>
          </w:tcPr>
          <w:p w14:paraId="354EB761" w14:textId="77777777" w:rsidR="00E97880" w:rsidRPr="00C672E5" w:rsidRDefault="00E97880" w:rsidP="00637DB1">
            <w:pPr>
              <w:rPr>
                <w:rFonts w:cs="Arial"/>
                <w:b/>
                <w:bCs/>
                <w:sz w:val="32"/>
                <w:szCs w:val="32"/>
              </w:rPr>
            </w:pPr>
            <w:r w:rsidRPr="00C672E5">
              <w:rPr>
                <w:rFonts w:cs="Arial"/>
                <w:b/>
                <w:bCs/>
                <w:sz w:val="32"/>
                <w:szCs w:val="32"/>
              </w:rPr>
              <w:t>Submission Date:</w:t>
            </w:r>
          </w:p>
        </w:tc>
        <w:tc>
          <w:tcPr>
            <w:tcW w:w="2297" w:type="dxa"/>
          </w:tcPr>
          <w:p w14:paraId="27DDDDA1" w14:textId="77777777" w:rsidR="00E97880" w:rsidRPr="00C672E5" w:rsidRDefault="00E97880" w:rsidP="00637DB1">
            <w:pPr>
              <w:rPr>
                <w:rFonts w:cs="Arial"/>
                <w:sz w:val="32"/>
                <w:szCs w:val="32"/>
              </w:rPr>
            </w:pPr>
            <w:r w:rsidRPr="00C672E5">
              <w:rPr>
                <w:rFonts w:cs="Arial"/>
                <w:sz w:val="32"/>
                <w:szCs w:val="32"/>
              </w:rPr>
              <w:t>2</w:t>
            </w:r>
            <w:r>
              <w:rPr>
                <w:rFonts w:cs="Arial"/>
                <w:sz w:val="32"/>
                <w:szCs w:val="32"/>
              </w:rPr>
              <w:t>4</w:t>
            </w:r>
            <w:r w:rsidRPr="00C672E5">
              <w:rPr>
                <w:rFonts w:cs="Arial"/>
                <w:sz w:val="32"/>
                <w:szCs w:val="32"/>
                <w:vertAlign w:val="superscript"/>
              </w:rPr>
              <w:t>th</w:t>
            </w:r>
            <w:r w:rsidRPr="00C672E5">
              <w:rPr>
                <w:rFonts w:cs="Arial"/>
                <w:sz w:val="32"/>
                <w:szCs w:val="32"/>
              </w:rPr>
              <w:t xml:space="preserve"> </w:t>
            </w:r>
            <w:r>
              <w:rPr>
                <w:rFonts w:cs="Arial"/>
                <w:sz w:val="32"/>
                <w:szCs w:val="32"/>
              </w:rPr>
              <w:t>April</w:t>
            </w:r>
            <w:r w:rsidRPr="00C672E5">
              <w:rPr>
                <w:rFonts w:cs="Arial"/>
                <w:sz w:val="32"/>
                <w:szCs w:val="32"/>
              </w:rPr>
              <w:t>, 2026</w:t>
            </w:r>
          </w:p>
        </w:tc>
      </w:tr>
    </w:tbl>
    <w:p w14:paraId="55E4F2E7" w14:textId="77777777" w:rsidR="000259EF" w:rsidRDefault="000259EF" w:rsidP="000259EF">
      <w:pPr>
        <w:rPr>
          <w:rFonts w:cs="Arial"/>
        </w:rPr>
      </w:pPr>
    </w:p>
    <w:p w14:paraId="1978BBA7" w14:textId="0C71EA23" w:rsidR="00E97880" w:rsidRDefault="00E97880">
      <w:pPr>
        <w:jc w:val="left"/>
        <w:rPr>
          <w:rFonts w:cs="Arial"/>
        </w:rPr>
      </w:pPr>
      <w:r>
        <w:rPr>
          <w:rFonts w:cs="Arial"/>
        </w:rPr>
        <w:br w:type="page"/>
      </w:r>
    </w:p>
    <w:sdt>
      <w:sdtPr>
        <w:rPr>
          <w:rFonts w:ascii="Arial" w:eastAsiaTheme="minorHAnsi" w:hAnsi="Arial" w:cstheme="minorBidi"/>
          <w:noProof/>
          <w:color w:val="auto"/>
          <w:kern w:val="2"/>
          <w:sz w:val="22"/>
          <w:szCs w:val="22"/>
          <w:lang w:val="en-IN"/>
          <w14:ligatures w14:val="standardContextual"/>
        </w:rPr>
        <w:id w:val="-1688439486"/>
        <w:docPartObj>
          <w:docPartGallery w:val="Table of Contents"/>
          <w:docPartUnique/>
        </w:docPartObj>
      </w:sdtPr>
      <w:sdtEndPr>
        <w:rPr>
          <w:b/>
          <w:bCs/>
        </w:rPr>
      </w:sdtEndPr>
      <w:sdtContent>
        <w:p w14:paraId="28B7D40C" w14:textId="274F0A04" w:rsidR="00E97880" w:rsidRDefault="00E97880">
          <w:pPr>
            <w:pStyle w:val="TOCHeading"/>
          </w:pPr>
          <w:r>
            <w:t>Table of Contents</w:t>
          </w:r>
        </w:p>
        <w:p w14:paraId="1C14BEA8" w14:textId="07C67276" w:rsidR="00E97880" w:rsidRDefault="00E97880">
          <w:pPr>
            <w:pStyle w:val="TOC1"/>
            <w:tabs>
              <w:tab w:val="right" w:leader="dot" w:pos="9016"/>
            </w:tabs>
            <w:rPr>
              <w:rFonts w:asciiTheme="minorHAnsi" w:eastAsiaTheme="minorEastAsia" w:hAnsiTheme="minorHAnsi"/>
              <w:sz w:val="24"/>
              <w:szCs w:val="24"/>
              <w:lang w:eastAsia="en-IN"/>
            </w:rPr>
          </w:pPr>
          <w:r>
            <w:fldChar w:fldCharType="begin"/>
          </w:r>
          <w:r>
            <w:instrText xml:space="preserve"> TOC \o "1-3" \h \z \u </w:instrText>
          </w:r>
          <w:r>
            <w:fldChar w:fldCharType="separate"/>
          </w:r>
          <w:hyperlink w:anchor="_Toc227273925" w:history="1">
            <w:r w:rsidRPr="00873DF4">
              <w:rPr>
                <w:rStyle w:val="Hyperlink"/>
              </w:rPr>
              <w:t>Executive Summary</w:t>
            </w:r>
            <w:r>
              <w:rPr>
                <w:webHidden/>
              </w:rPr>
              <w:tab/>
            </w:r>
            <w:r>
              <w:rPr>
                <w:webHidden/>
              </w:rPr>
              <w:fldChar w:fldCharType="begin"/>
            </w:r>
            <w:r>
              <w:rPr>
                <w:webHidden/>
              </w:rPr>
              <w:instrText xml:space="preserve"> PAGEREF _Toc227273925 \h </w:instrText>
            </w:r>
            <w:r>
              <w:rPr>
                <w:webHidden/>
              </w:rPr>
            </w:r>
            <w:r>
              <w:rPr>
                <w:webHidden/>
              </w:rPr>
              <w:fldChar w:fldCharType="separate"/>
            </w:r>
            <w:r>
              <w:rPr>
                <w:webHidden/>
              </w:rPr>
              <w:t>1</w:t>
            </w:r>
            <w:r>
              <w:rPr>
                <w:webHidden/>
              </w:rPr>
              <w:fldChar w:fldCharType="end"/>
            </w:r>
          </w:hyperlink>
        </w:p>
        <w:p w14:paraId="62E2F74A" w14:textId="24248C92" w:rsidR="00E97880" w:rsidRDefault="00E97880">
          <w:pPr>
            <w:pStyle w:val="TOC1"/>
            <w:tabs>
              <w:tab w:val="right" w:leader="dot" w:pos="9016"/>
            </w:tabs>
            <w:rPr>
              <w:rFonts w:asciiTheme="minorHAnsi" w:eastAsiaTheme="minorEastAsia" w:hAnsiTheme="minorHAnsi"/>
              <w:sz w:val="24"/>
              <w:szCs w:val="24"/>
              <w:lang w:eastAsia="en-IN"/>
            </w:rPr>
          </w:pPr>
          <w:hyperlink w:anchor="_Toc227273926" w:history="1">
            <w:r w:rsidRPr="00873DF4">
              <w:rPr>
                <w:rStyle w:val="Hyperlink"/>
              </w:rPr>
              <w:t>1. Introduction</w:t>
            </w:r>
            <w:r>
              <w:rPr>
                <w:webHidden/>
              </w:rPr>
              <w:tab/>
            </w:r>
            <w:r>
              <w:rPr>
                <w:webHidden/>
              </w:rPr>
              <w:fldChar w:fldCharType="begin"/>
            </w:r>
            <w:r>
              <w:rPr>
                <w:webHidden/>
              </w:rPr>
              <w:instrText xml:space="preserve"> PAGEREF _Toc227273926 \h </w:instrText>
            </w:r>
            <w:r>
              <w:rPr>
                <w:webHidden/>
              </w:rPr>
            </w:r>
            <w:r>
              <w:rPr>
                <w:webHidden/>
              </w:rPr>
              <w:fldChar w:fldCharType="separate"/>
            </w:r>
            <w:r>
              <w:rPr>
                <w:webHidden/>
              </w:rPr>
              <w:t>1</w:t>
            </w:r>
            <w:r>
              <w:rPr>
                <w:webHidden/>
              </w:rPr>
              <w:fldChar w:fldCharType="end"/>
            </w:r>
          </w:hyperlink>
        </w:p>
        <w:p w14:paraId="3835BDEE" w14:textId="6D5C5415" w:rsidR="00E97880" w:rsidRDefault="00E97880">
          <w:pPr>
            <w:pStyle w:val="TOC1"/>
            <w:tabs>
              <w:tab w:val="right" w:leader="dot" w:pos="9016"/>
            </w:tabs>
            <w:rPr>
              <w:rFonts w:asciiTheme="minorHAnsi" w:eastAsiaTheme="minorEastAsia" w:hAnsiTheme="minorHAnsi"/>
              <w:sz w:val="24"/>
              <w:szCs w:val="24"/>
              <w:lang w:eastAsia="en-IN"/>
            </w:rPr>
          </w:pPr>
          <w:hyperlink w:anchor="_Toc227273927" w:history="1">
            <w:r w:rsidRPr="00873DF4">
              <w:rPr>
                <w:rStyle w:val="Hyperlink"/>
              </w:rPr>
              <w:t>2. Financial Health Check</w:t>
            </w:r>
            <w:r>
              <w:rPr>
                <w:webHidden/>
              </w:rPr>
              <w:tab/>
            </w:r>
            <w:r>
              <w:rPr>
                <w:webHidden/>
              </w:rPr>
              <w:fldChar w:fldCharType="begin"/>
            </w:r>
            <w:r>
              <w:rPr>
                <w:webHidden/>
              </w:rPr>
              <w:instrText xml:space="preserve"> PAGEREF _Toc227273927 \h </w:instrText>
            </w:r>
            <w:r>
              <w:rPr>
                <w:webHidden/>
              </w:rPr>
            </w:r>
            <w:r>
              <w:rPr>
                <w:webHidden/>
              </w:rPr>
              <w:fldChar w:fldCharType="separate"/>
            </w:r>
            <w:r>
              <w:rPr>
                <w:webHidden/>
              </w:rPr>
              <w:t>2</w:t>
            </w:r>
            <w:r>
              <w:rPr>
                <w:webHidden/>
              </w:rPr>
              <w:fldChar w:fldCharType="end"/>
            </w:r>
          </w:hyperlink>
        </w:p>
        <w:p w14:paraId="00C42A75" w14:textId="06414234" w:rsidR="00E97880" w:rsidRDefault="00E97880">
          <w:pPr>
            <w:pStyle w:val="TOC2"/>
            <w:tabs>
              <w:tab w:val="right" w:leader="dot" w:pos="9016"/>
            </w:tabs>
            <w:rPr>
              <w:rFonts w:asciiTheme="minorHAnsi" w:eastAsiaTheme="minorEastAsia" w:hAnsiTheme="minorHAnsi"/>
              <w:sz w:val="24"/>
              <w:szCs w:val="24"/>
              <w:lang w:eastAsia="en-IN"/>
            </w:rPr>
          </w:pPr>
          <w:hyperlink w:anchor="_Toc227273928" w:history="1">
            <w:r w:rsidRPr="00873DF4">
              <w:rPr>
                <w:rStyle w:val="Hyperlink"/>
              </w:rPr>
              <w:t>2.1 Financial Statement Overview</w:t>
            </w:r>
            <w:r>
              <w:rPr>
                <w:webHidden/>
              </w:rPr>
              <w:tab/>
            </w:r>
            <w:r>
              <w:rPr>
                <w:webHidden/>
              </w:rPr>
              <w:fldChar w:fldCharType="begin"/>
            </w:r>
            <w:r>
              <w:rPr>
                <w:webHidden/>
              </w:rPr>
              <w:instrText xml:space="preserve"> PAGEREF _Toc227273928 \h </w:instrText>
            </w:r>
            <w:r>
              <w:rPr>
                <w:webHidden/>
              </w:rPr>
            </w:r>
            <w:r>
              <w:rPr>
                <w:webHidden/>
              </w:rPr>
              <w:fldChar w:fldCharType="separate"/>
            </w:r>
            <w:r>
              <w:rPr>
                <w:webHidden/>
              </w:rPr>
              <w:t>2</w:t>
            </w:r>
            <w:r>
              <w:rPr>
                <w:webHidden/>
              </w:rPr>
              <w:fldChar w:fldCharType="end"/>
            </w:r>
          </w:hyperlink>
        </w:p>
        <w:p w14:paraId="009D7990" w14:textId="47596E9E" w:rsidR="00E97880" w:rsidRDefault="00E97880">
          <w:pPr>
            <w:pStyle w:val="TOC2"/>
            <w:tabs>
              <w:tab w:val="right" w:leader="dot" w:pos="9016"/>
            </w:tabs>
            <w:rPr>
              <w:rFonts w:asciiTheme="minorHAnsi" w:eastAsiaTheme="minorEastAsia" w:hAnsiTheme="minorHAnsi"/>
              <w:sz w:val="24"/>
              <w:szCs w:val="24"/>
              <w:lang w:eastAsia="en-IN"/>
            </w:rPr>
          </w:pPr>
          <w:hyperlink w:anchor="_Toc227273929" w:history="1">
            <w:r w:rsidRPr="00873DF4">
              <w:rPr>
                <w:rStyle w:val="Hyperlink"/>
              </w:rPr>
              <w:t>2.2 Ratio Analysis</w:t>
            </w:r>
            <w:r>
              <w:rPr>
                <w:webHidden/>
              </w:rPr>
              <w:tab/>
            </w:r>
            <w:r>
              <w:rPr>
                <w:webHidden/>
              </w:rPr>
              <w:fldChar w:fldCharType="begin"/>
            </w:r>
            <w:r>
              <w:rPr>
                <w:webHidden/>
              </w:rPr>
              <w:instrText xml:space="preserve"> PAGEREF _Toc227273929 \h </w:instrText>
            </w:r>
            <w:r>
              <w:rPr>
                <w:webHidden/>
              </w:rPr>
            </w:r>
            <w:r>
              <w:rPr>
                <w:webHidden/>
              </w:rPr>
              <w:fldChar w:fldCharType="separate"/>
            </w:r>
            <w:r>
              <w:rPr>
                <w:webHidden/>
              </w:rPr>
              <w:t>3</w:t>
            </w:r>
            <w:r>
              <w:rPr>
                <w:webHidden/>
              </w:rPr>
              <w:fldChar w:fldCharType="end"/>
            </w:r>
          </w:hyperlink>
        </w:p>
        <w:p w14:paraId="344D3F7D" w14:textId="4CB1A1C4" w:rsidR="00E97880" w:rsidRDefault="00E97880">
          <w:pPr>
            <w:pStyle w:val="TOC2"/>
            <w:tabs>
              <w:tab w:val="right" w:leader="dot" w:pos="9016"/>
            </w:tabs>
            <w:rPr>
              <w:rFonts w:asciiTheme="minorHAnsi" w:eastAsiaTheme="minorEastAsia" w:hAnsiTheme="minorHAnsi"/>
              <w:sz w:val="24"/>
              <w:szCs w:val="24"/>
              <w:lang w:eastAsia="en-IN"/>
            </w:rPr>
          </w:pPr>
          <w:hyperlink w:anchor="_Toc227273930" w:history="1">
            <w:r w:rsidRPr="00873DF4">
              <w:rPr>
                <w:rStyle w:val="Hyperlink"/>
              </w:rPr>
              <w:t>2.3 Critical Evaluation</w:t>
            </w:r>
            <w:r>
              <w:rPr>
                <w:webHidden/>
              </w:rPr>
              <w:tab/>
            </w:r>
            <w:r>
              <w:rPr>
                <w:webHidden/>
              </w:rPr>
              <w:fldChar w:fldCharType="begin"/>
            </w:r>
            <w:r>
              <w:rPr>
                <w:webHidden/>
              </w:rPr>
              <w:instrText xml:space="preserve"> PAGEREF _Toc227273930 \h </w:instrText>
            </w:r>
            <w:r>
              <w:rPr>
                <w:webHidden/>
              </w:rPr>
            </w:r>
            <w:r>
              <w:rPr>
                <w:webHidden/>
              </w:rPr>
              <w:fldChar w:fldCharType="separate"/>
            </w:r>
            <w:r>
              <w:rPr>
                <w:webHidden/>
              </w:rPr>
              <w:t>6</w:t>
            </w:r>
            <w:r>
              <w:rPr>
                <w:webHidden/>
              </w:rPr>
              <w:fldChar w:fldCharType="end"/>
            </w:r>
          </w:hyperlink>
        </w:p>
        <w:p w14:paraId="128969E7" w14:textId="3B46121B" w:rsidR="00E97880" w:rsidRDefault="00E97880">
          <w:pPr>
            <w:pStyle w:val="TOC2"/>
            <w:tabs>
              <w:tab w:val="right" w:leader="dot" w:pos="9016"/>
            </w:tabs>
            <w:rPr>
              <w:rFonts w:asciiTheme="minorHAnsi" w:eastAsiaTheme="minorEastAsia" w:hAnsiTheme="minorHAnsi"/>
              <w:sz w:val="24"/>
              <w:szCs w:val="24"/>
              <w:lang w:eastAsia="en-IN"/>
            </w:rPr>
          </w:pPr>
          <w:hyperlink w:anchor="_Toc227273931" w:history="1">
            <w:r w:rsidRPr="00873DF4">
              <w:rPr>
                <w:rStyle w:val="Hyperlink"/>
              </w:rPr>
              <w:t>2.4 Conclusion of Section</w:t>
            </w:r>
            <w:r>
              <w:rPr>
                <w:webHidden/>
              </w:rPr>
              <w:tab/>
            </w:r>
            <w:r>
              <w:rPr>
                <w:webHidden/>
              </w:rPr>
              <w:fldChar w:fldCharType="begin"/>
            </w:r>
            <w:r>
              <w:rPr>
                <w:webHidden/>
              </w:rPr>
              <w:instrText xml:space="preserve"> PAGEREF _Toc227273931 \h </w:instrText>
            </w:r>
            <w:r>
              <w:rPr>
                <w:webHidden/>
              </w:rPr>
            </w:r>
            <w:r>
              <w:rPr>
                <w:webHidden/>
              </w:rPr>
              <w:fldChar w:fldCharType="separate"/>
            </w:r>
            <w:r>
              <w:rPr>
                <w:webHidden/>
              </w:rPr>
              <w:t>7</w:t>
            </w:r>
            <w:r>
              <w:rPr>
                <w:webHidden/>
              </w:rPr>
              <w:fldChar w:fldCharType="end"/>
            </w:r>
          </w:hyperlink>
        </w:p>
        <w:p w14:paraId="3CB072AF" w14:textId="22678994" w:rsidR="00E97880" w:rsidRDefault="00E97880">
          <w:pPr>
            <w:pStyle w:val="TOC1"/>
            <w:tabs>
              <w:tab w:val="right" w:leader="dot" w:pos="9016"/>
            </w:tabs>
            <w:rPr>
              <w:rFonts w:asciiTheme="minorHAnsi" w:eastAsiaTheme="minorEastAsia" w:hAnsiTheme="minorHAnsi"/>
              <w:sz w:val="24"/>
              <w:szCs w:val="24"/>
              <w:lang w:eastAsia="en-IN"/>
            </w:rPr>
          </w:pPr>
          <w:hyperlink w:anchor="_Toc227273932" w:history="1">
            <w:r w:rsidRPr="00873DF4">
              <w:rPr>
                <w:rStyle w:val="Hyperlink"/>
              </w:rPr>
              <w:t>3. Working Capital Management</w:t>
            </w:r>
            <w:r>
              <w:rPr>
                <w:webHidden/>
              </w:rPr>
              <w:tab/>
            </w:r>
            <w:r>
              <w:rPr>
                <w:webHidden/>
              </w:rPr>
              <w:fldChar w:fldCharType="begin"/>
            </w:r>
            <w:r>
              <w:rPr>
                <w:webHidden/>
              </w:rPr>
              <w:instrText xml:space="preserve"> PAGEREF _Toc227273932 \h </w:instrText>
            </w:r>
            <w:r>
              <w:rPr>
                <w:webHidden/>
              </w:rPr>
            </w:r>
            <w:r>
              <w:rPr>
                <w:webHidden/>
              </w:rPr>
              <w:fldChar w:fldCharType="separate"/>
            </w:r>
            <w:r>
              <w:rPr>
                <w:webHidden/>
              </w:rPr>
              <w:t>7</w:t>
            </w:r>
            <w:r>
              <w:rPr>
                <w:webHidden/>
              </w:rPr>
              <w:fldChar w:fldCharType="end"/>
            </w:r>
          </w:hyperlink>
        </w:p>
        <w:p w14:paraId="582C88C4" w14:textId="50D37075" w:rsidR="00E97880" w:rsidRDefault="00E97880">
          <w:pPr>
            <w:pStyle w:val="TOC2"/>
            <w:tabs>
              <w:tab w:val="right" w:leader="dot" w:pos="9016"/>
            </w:tabs>
            <w:rPr>
              <w:rFonts w:asciiTheme="minorHAnsi" w:eastAsiaTheme="minorEastAsia" w:hAnsiTheme="minorHAnsi"/>
              <w:sz w:val="24"/>
              <w:szCs w:val="24"/>
              <w:lang w:eastAsia="en-IN"/>
            </w:rPr>
          </w:pPr>
          <w:hyperlink w:anchor="_Toc227273933" w:history="1">
            <w:r w:rsidRPr="00873DF4">
              <w:rPr>
                <w:rStyle w:val="Hyperlink"/>
              </w:rPr>
              <w:t>3.1 Cash Operating Cycle</w:t>
            </w:r>
            <w:r>
              <w:rPr>
                <w:webHidden/>
              </w:rPr>
              <w:tab/>
            </w:r>
            <w:r>
              <w:rPr>
                <w:webHidden/>
              </w:rPr>
              <w:fldChar w:fldCharType="begin"/>
            </w:r>
            <w:r>
              <w:rPr>
                <w:webHidden/>
              </w:rPr>
              <w:instrText xml:space="preserve"> PAGEREF _Toc227273933 \h </w:instrText>
            </w:r>
            <w:r>
              <w:rPr>
                <w:webHidden/>
              </w:rPr>
            </w:r>
            <w:r>
              <w:rPr>
                <w:webHidden/>
              </w:rPr>
              <w:fldChar w:fldCharType="separate"/>
            </w:r>
            <w:r>
              <w:rPr>
                <w:webHidden/>
              </w:rPr>
              <w:t>7</w:t>
            </w:r>
            <w:r>
              <w:rPr>
                <w:webHidden/>
              </w:rPr>
              <w:fldChar w:fldCharType="end"/>
            </w:r>
          </w:hyperlink>
        </w:p>
        <w:p w14:paraId="3F8799A0" w14:textId="1AE92309" w:rsidR="00E97880" w:rsidRDefault="00E97880">
          <w:pPr>
            <w:pStyle w:val="TOC2"/>
            <w:tabs>
              <w:tab w:val="right" w:leader="dot" w:pos="9016"/>
            </w:tabs>
            <w:rPr>
              <w:rFonts w:asciiTheme="minorHAnsi" w:eastAsiaTheme="minorEastAsia" w:hAnsiTheme="minorHAnsi"/>
              <w:sz w:val="24"/>
              <w:szCs w:val="24"/>
              <w:lang w:eastAsia="en-IN"/>
            </w:rPr>
          </w:pPr>
          <w:hyperlink w:anchor="_Toc227273934" w:history="1">
            <w:r w:rsidRPr="00873DF4">
              <w:rPr>
                <w:rStyle w:val="Hyperlink"/>
              </w:rPr>
              <w:t>3.2 Problems Identified</w:t>
            </w:r>
            <w:r>
              <w:rPr>
                <w:webHidden/>
              </w:rPr>
              <w:tab/>
            </w:r>
            <w:r>
              <w:rPr>
                <w:webHidden/>
              </w:rPr>
              <w:fldChar w:fldCharType="begin"/>
            </w:r>
            <w:r>
              <w:rPr>
                <w:webHidden/>
              </w:rPr>
              <w:instrText xml:space="preserve"> PAGEREF _Toc227273934 \h </w:instrText>
            </w:r>
            <w:r>
              <w:rPr>
                <w:webHidden/>
              </w:rPr>
            </w:r>
            <w:r>
              <w:rPr>
                <w:webHidden/>
              </w:rPr>
              <w:fldChar w:fldCharType="separate"/>
            </w:r>
            <w:r>
              <w:rPr>
                <w:webHidden/>
              </w:rPr>
              <w:t>8</w:t>
            </w:r>
            <w:r>
              <w:rPr>
                <w:webHidden/>
              </w:rPr>
              <w:fldChar w:fldCharType="end"/>
            </w:r>
          </w:hyperlink>
        </w:p>
        <w:p w14:paraId="501D6178" w14:textId="636AB6FC" w:rsidR="00E97880" w:rsidRDefault="00E97880">
          <w:pPr>
            <w:pStyle w:val="TOC2"/>
            <w:tabs>
              <w:tab w:val="right" w:leader="dot" w:pos="9016"/>
            </w:tabs>
            <w:rPr>
              <w:rFonts w:asciiTheme="minorHAnsi" w:eastAsiaTheme="minorEastAsia" w:hAnsiTheme="minorHAnsi"/>
              <w:sz w:val="24"/>
              <w:szCs w:val="24"/>
              <w:lang w:eastAsia="en-IN"/>
            </w:rPr>
          </w:pPr>
          <w:hyperlink w:anchor="_Toc227273935" w:history="1">
            <w:r w:rsidRPr="00873DF4">
              <w:rPr>
                <w:rStyle w:val="Hyperlink"/>
              </w:rPr>
              <w:t>3.3 Strategic Improvements</w:t>
            </w:r>
            <w:r>
              <w:rPr>
                <w:webHidden/>
              </w:rPr>
              <w:tab/>
            </w:r>
            <w:r>
              <w:rPr>
                <w:webHidden/>
              </w:rPr>
              <w:fldChar w:fldCharType="begin"/>
            </w:r>
            <w:r>
              <w:rPr>
                <w:webHidden/>
              </w:rPr>
              <w:instrText xml:space="preserve"> PAGEREF _Toc227273935 \h </w:instrText>
            </w:r>
            <w:r>
              <w:rPr>
                <w:webHidden/>
              </w:rPr>
            </w:r>
            <w:r>
              <w:rPr>
                <w:webHidden/>
              </w:rPr>
              <w:fldChar w:fldCharType="separate"/>
            </w:r>
            <w:r>
              <w:rPr>
                <w:webHidden/>
              </w:rPr>
              <w:t>8</w:t>
            </w:r>
            <w:r>
              <w:rPr>
                <w:webHidden/>
              </w:rPr>
              <w:fldChar w:fldCharType="end"/>
            </w:r>
          </w:hyperlink>
        </w:p>
        <w:p w14:paraId="12312A57" w14:textId="259F60D7" w:rsidR="00E97880" w:rsidRDefault="00E97880">
          <w:pPr>
            <w:pStyle w:val="TOC2"/>
            <w:tabs>
              <w:tab w:val="right" w:leader="dot" w:pos="9016"/>
            </w:tabs>
            <w:rPr>
              <w:rFonts w:asciiTheme="minorHAnsi" w:eastAsiaTheme="minorEastAsia" w:hAnsiTheme="minorHAnsi"/>
              <w:sz w:val="24"/>
              <w:szCs w:val="24"/>
              <w:lang w:eastAsia="en-IN"/>
            </w:rPr>
          </w:pPr>
          <w:hyperlink w:anchor="_Toc227273936" w:history="1">
            <w:r w:rsidRPr="00873DF4">
              <w:rPr>
                <w:rStyle w:val="Hyperlink"/>
              </w:rPr>
              <w:t>3.4 Financing Decision</w:t>
            </w:r>
            <w:r>
              <w:rPr>
                <w:webHidden/>
              </w:rPr>
              <w:tab/>
            </w:r>
            <w:r>
              <w:rPr>
                <w:webHidden/>
              </w:rPr>
              <w:fldChar w:fldCharType="begin"/>
            </w:r>
            <w:r>
              <w:rPr>
                <w:webHidden/>
              </w:rPr>
              <w:instrText xml:space="preserve"> PAGEREF _Toc227273936 \h </w:instrText>
            </w:r>
            <w:r>
              <w:rPr>
                <w:webHidden/>
              </w:rPr>
            </w:r>
            <w:r>
              <w:rPr>
                <w:webHidden/>
              </w:rPr>
              <w:fldChar w:fldCharType="separate"/>
            </w:r>
            <w:r>
              <w:rPr>
                <w:webHidden/>
              </w:rPr>
              <w:t>9</w:t>
            </w:r>
            <w:r>
              <w:rPr>
                <w:webHidden/>
              </w:rPr>
              <w:fldChar w:fldCharType="end"/>
            </w:r>
          </w:hyperlink>
        </w:p>
        <w:p w14:paraId="0331F4BF" w14:textId="7B1390E2" w:rsidR="00E97880" w:rsidRDefault="00E97880">
          <w:pPr>
            <w:pStyle w:val="TOC2"/>
            <w:tabs>
              <w:tab w:val="right" w:leader="dot" w:pos="9016"/>
            </w:tabs>
            <w:rPr>
              <w:rFonts w:asciiTheme="minorHAnsi" w:eastAsiaTheme="minorEastAsia" w:hAnsiTheme="minorHAnsi"/>
              <w:sz w:val="24"/>
              <w:szCs w:val="24"/>
              <w:lang w:eastAsia="en-IN"/>
            </w:rPr>
          </w:pPr>
          <w:hyperlink w:anchor="_Toc227273937" w:history="1">
            <w:r w:rsidRPr="00873DF4">
              <w:rPr>
                <w:rStyle w:val="Hyperlink"/>
              </w:rPr>
              <w:t>3.5 Conclusion of Section</w:t>
            </w:r>
            <w:r>
              <w:rPr>
                <w:webHidden/>
              </w:rPr>
              <w:tab/>
            </w:r>
            <w:r>
              <w:rPr>
                <w:webHidden/>
              </w:rPr>
              <w:fldChar w:fldCharType="begin"/>
            </w:r>
            <w:r>
              <w:rPr>
                <w:webHidden/>
              </w:rPr>
              <w:instrText xml:space="preserve"> PAGEREF _Toc227273937 \h </w:instrText>
            </w:r>
            <w:r>
              <w:rPr>
                <w:webHidden/>
              </w:rPr>
            </w:r>
            <w:r>
              <w:rPr>
                <w:webHidden/>
              </w:rPr>
              <w:fldChar w:fldCharType="separate"/>
            </w:r>
            <w:r>
              <w:rPr>
                <w:webHidden/>
              </w:rPr>
              <w:t>9</w:t>
            </w:r>
            <w:r>
              <w:rPr>
                <w:webHidden/>
              </w:rPr>
              <w:fldChar w:fldCharType="end"/>
            </w:r>
          </w:hyperlink>
        </w:p>
        <w:p w14:paraId="2E86EC26" w14:textId="708EDCCF" w:rsidR="00E97880" w:rsidRDefault="00E97880">
          <w:pPr>
            <w:pStyle w:val="TOC1"/>
            <w:tabs>
              <w:tab w:val="right" w:leader="dot" w:pos="9016"/>
            </w:tabs>
            <w:rPr>
              <w:rFonts w:asciiTheme="minorHAnsi" w:eastAsiaTheme="minorEastAsia" w:hAnsiTheme="minorHAnsi"/>
              <w:sz w:val="24"/>
              <w:szCs w:val="24"/>
              <w:lang w:eastAsia="en-IN"/>
            </w:rPr>
          </w:pPr>
          <w:hyperlink w:anchor="_Toc227273938" w:history="1">
            <w:r w:rsidRPr="00873DF4">
              <w:rPr>
                <w:rStyle w:val="Hyperlink"/>
              </w:rPr>
              <w:t>4. Strategic Financial Restructuring</w:t>
            </w:r>
            <w:r>
              <w:rPr>
                <w:webHidden/>
              </w:rPr>
              <w:tab/>
            </w:r>
            <w:r>
              <w:rPr>
                <w:webHidden/>
              </w:rPr>
              <w:fldChar w:fldCharType="begin"/>
            </w:r>
            <w:r>
              <w:rPr>
                <w:webHidden/>
              </w:rPr>
              <w:instrText xml:space="preserve"> PAGEREF _Toc227273938 \h </w:instrText>
            </w:r>
            <w:r>
              <w:rPr>
                <w:webHidden/>
              </w:rPr>
            </w:r>
            <w:r>
              <w:rPr>
                <w:webHidden/>
              </w:rPr>
              <w:fldChar w:fldCharType="separate"/>
            </w:r>
            <w:r>
              <w:rPr>
                <w:webHidden/>
              </w:rPr>
              <w:t>10</w:t>
            </w:r>
            <w:r>
              <w:rPr>
                <w:webHidden/>
              </w:rPr>
              <w:fldChar w:fldCharType="end"/>
            </w:r>
          </w:hyperlink>
        </w:p>
        <w:p w14:paraId="091E4075" w14:textId="7D948393" w:rsidR="00E97880" w:rsidRDefault="00E97880">
          <w:pPr>
            <w:pStyle w:val="TOC2"/>
            <w:tabs>
              <w:tab w:val="right" w:leader="dot" w:pos="9016"/>
            </w:tabs>
            <w:rPr>
              <w:rFonts w:asciiTheme="minorHAnsi" w:eastAsiaTheme="minorEastAsia" w:hAnsiTheme="minorHAnsi"/>
              <w:sz w:val="24"/>
              <w:szCs w:val="24"/>
              <w:lang w:eastAsia="en-IN"/>
            </w:rPr>
          </w:pPr>
          <w:hyperlink w:anchor="_Toc227273939" w:history="1">
            <w:r w:rsidRPr="00873DF4">
              <w:rPr>
                <w:rStyle w:val="Hyperlink"/>
              </w:rPr>
              <w:t>4.1 Problem Diagnosis</w:t>
            </w:r>
            <w:r>
              <w:rPr>
                <w:webHidden/>
              </w:rPr>
              <w:tab/>
            </w:r>
            <w:r>
              <w:rPr>
                <w:webHidden/>
              </w:rPr>
              <w:fldChar w:fldCharType="begin"/>
            </w:r>
            <w:r>
              <w:rPr>
                <w:webHidden/>
              </w:rPr>
              <w:instrText xml:space="preserve"> PAGEREF _Toc227273939 \h </w:instrText>
            </w:r>
            <w:r>
              <w:rPr>
                <w:webHidden/>
              </w:rPr>
            </w:r>
            <w:r>
              <w:rPr>
                <w:webHidden/>
              </w:rPr>
              <w:fldChar w:fldCharType="separate"/>
            </w:r>
            <w:r>
              <w:rPr>
                <w:webHidden/>
              </w:rPr>
              <w:t>10</w:t>
            </w:r>
            <w:r>
              <w:rPr>
                <w:webHidden/>
              </w:rPr>
              <w:fldChar w:fldCharType="end"/>
            </w:r>
          </w:hyperlink>
        </w:p>
        <w:p w14:paraId="689B7A08" w14:textId="25A98D17" w:rsidR="00E97880" w:rsidRDefault="00E97880">
          <w:pPr>
            <w:pStyle w:val="TOC2"/>
            <w:tabs>
              <w:tab w:val="right" w:leader="dot" w:pos="9016"/>
            </w:tabs>
            <w:rPr>
              <w:rFonts w:asciiTheme="minorHAnsi" w:eastAsiaTheme="minorEastAsia" w:hAnsiTheme="minorHAnsi"/>
              <w:sz w:val="24"/>
              <w:szCs w:val="24"/>
              <w:lang w:eastAsia="en-IN"/>
            </w:rPr>
          </w:pPr>
          <w:hyperlink w:anchor="_Toc227273940" w:history="1">
            <w:r w:rsidRPr="00873DF4">
              <w:rPr>
                <w:rStyle w:val="Hyperlink"/>
              </w:rPr>
              <w:t>4.2 Strategic Options</w:t>
            </w:r>
            <w:r>
              <w:rPr>
                <w:webHidden/>
              </w:rPr>
              <w:tab/>
            </w:r>
            <w:r>
              <w:rPr>
                <w:webHidden/>
              </w:rPr>
              <w:fldChar w:fldCharType="begin"/>
            </w:r>
            <w:r>
              <w:rPr>
                <w:webHidden/>
              </w:rPr>
              <w:instrText xml:space="preserve"> PAGEREF _Toc227273940 \h </w:instrText>
            </w:r>
            <w:r>
              <w:rPr>
                <w:webHidden/>
              </w:rPr>
            </w:r>
            <w:r>
              <w:rPr>
                <w:webHidden/>
              </w:rPr>
              <w:fldChar w:fldCharType="separate"/>
            </w:r>
            <w:r>
              <w:rPr>
                <w:webHidden/>
              </w:rPr>
              <w:t>10</w:t>
            </w:r>
            <w:r>
              <w:rPr>
                <w:webHidden/>
              </w:rPr>
              <w:fldChar w:fldCharType="end"/>
            </w:r>
          </w:hyperlink>
        </w:p>
        <w:p w14:paraId="2FA56138" w14:textId="48AF7851" w:rsidR="00E97880" w:rsidRDefault="00E97880">
          <w:pPr>
            <w:pStyle w:val="TOC2"/>
            <w:tabs>
              <w:tab w:val="right" w:leader="dot" w:pos="9016"/>
            </w:tabs>
            <w:rPr>
              <w:rFonts w:asciiTheme="minorHAnsi" w:eastAsiaTheme="minorEastAsia" w:hAnsiTheme="minorHAnsi"/>
              <w:sz w:val="24"/>
              <w:szCs w:val="24"/>
              <w:lang w:eastAsia="en-IN"/>
            </w:rPr>
          </w:pPr>
          <w:hyperlink w:anchor="_Toc227273941" w:history="1">
            <w:r w:rsidRPr="00873DF4">
              <w:rPr>
                <w:rStyle w:val="Hyperlink"/>
              </w:rPr>
              <w:t>4.3 Evaluation of Strategic Options</w:t>
            </w:r>
            <w:r>
              <w:rPr>
                <w:webHidden/>
              </w:rPr>
              <w:tab/>
            </w:r>
            <w:r>
              <w:rPr>
                <w:webHidden/>
              </w:rPr>
              <w:fldChar w:fldCharType="begin"/>
            </w:r>
            <w:r>
              <w:rPr>
                <w:webHidden/>
              </w:rPr>
              <w:instrText xml:space="preserve"> PAGEREF _Toc227273941 \h </w:instrText>
            </w:r>
            <w:r>
              <w:rPr>
                <w:webHidden/>
              </w:rPr>
            </w:r>
            <w:r>
              <w:rPr>
                <w:webHidden/>
              </w:rPr>
              <w:fldChar w:fldCharType="separate"/>
            </w:r>
            <w:r>
              <w:rPr>
                <w:webHidden/>
              </w:rPr>
              <w:t>12</w:t>
            </w:r>
            <w:r>
              <w:rPr>
                <w:webHidden/>
              </w:rPr>
              <w:fldChar w:fldCharType="end"/>
            </w:r>
          </w:hyperlink>
        </w:p>
        <w:p w14:paraId="768F72CA" w14:textId="4E835E76" w:rsidR="00E97880" w:rsidRDefault="00E97880">
          <w:pPr>
            <w:pStyle w:val="TOC2"/>
            <w:tabs>
              <w:tab w:val="right" w:leader="dot" w:pos="9016"/>
            </w:tabs>
            <w:rPr>
              <w:rFonts w:asciiTheme="minorHAnsi" w:eastAsiaTheme="minorEastAsia" w:hAnsiTheme="minorHAnsi"/>
              <w:sz w:val="24"/>
              <w:szCs w:val="24"/>
              <w:lang w:eastAsia="en-IN"/>
            </w:rPr>
          </w:pPr>
          <w:hyperlink w:anchor="_Toc227273942" w:history="1">
            <w:r w:rsidRPr="00873DF4">
              <w:rPr>
                <w:rStyle w:val="Hyperlink"/>
              </w:rPr>
              <w:t>4.4 Global and Ethical considerations</w:t>
            </w:r>
            <w:r>
              <w:rPr>
                <w:webHidden/>
              </w:rPr>
              <w:tab/>
            </w:r>
            <w:r>
              <w:rPr>
                <w:webHidden/>
              </w:rPr>
              <w:fldChar w:fldCharType="begin"/>
            </w:r>
            <w:r>
              <w:rPr>
                <w:webHidden/>
              </w:rPr>
              <w:instrText xml:space="preserve"> PAGEREF _Toc227273942 \h </w:instrText>
            </w:r>
            <w:r>
              <w:rPr>
                <w:webHidden/>
              </w:rPr>
            </w:r>
            <w:r>
              <w:rPr>
                <w:webHidden/>
              </w:rPr>
              <w:fldChar w:fldCharType="separate"/>
            </w:r>
            <w:r>
              <w:rPr>
                <w:webHidden/>
              </w:rPr>
              <w:t>12</w:t>
            </w:r>
            <w:r>
              <w:rPr>
                <w:webHidden/>
              </w:rPr>
              <w:fldChar w:fldCharType="end"/>
            </w:r>
          </w:hyperlink>
        </w:p>
        <w:p w14:paraId="78339A3A" w14:textId="40702DA2" w:rsidR="00E97880" w:rsidRDefault="00E97880">
          <w:pPr>
            <w:pStyle w:val="TOC2"/>
            <w:tabs>
              <w:tab w:val="right" w:leader="dot" w:pos="9016"/>
            </w:tabs>
            <w:rPr>
              <w:rFonts w:asciiTheme="minorHAnsi" w:eastAsiaTheme="minorEastAsia" w:hAnsiTheme="minorHAnsi"/>
              <w:sz w:val="24"/>
              <w:szCs w:val="24"/>
              <w:lang w:eastAsia="en-IN"/>
            </w:rPr>
          </w:pPr>
          <w:hyperlink w:anchor="_Toc227273943" w:history="1">
            <w:r w:rsidRPr="00873DF4">
              <w:rPr>
                <w:rStyle w:val="Hyperlink"/>
              </w:rPr>
              <w:t>4.5 Conclusion of Section</w:t>
            </w:r>
            <w:r>
              <w:rPr>
                <w:webHidden/>
              </w:rPr>
              <w:tab/>
            </w:r>
            <w:r>
              <w:rPr>
                <w:webHidden/>
              </w:rPr>
              <w:fldChar w:fldCharType="begin"/>
            </w:r>
            <w:r>
              <w:rPr>
                <w:webHidden/>
              </w:rPr>
              <w:instrText xml:space="preserve"> PAGEREF _Toc227273943 \h </w:instrText>
            </w:r>
            <w:r>
              <w:rPr>
                <w:webHidden/>
              </w:rPr>
            </w:r>
            <w:r>
              <w:rPr>
                <w:webHidden/>
              </w:rPr>
              <w:fldChar w:fldCharType="separate"/>
            </w:r>
            <w:r>
              <w:rPr>
                <w:webHidden/>
              </w:rPr>
              <w:t>13</w:t>
            </w:r>
            <w:r>
              <w:rPr>
                <w:webHidden/>
              </w:rPr>
              <w:fldChar w:fldCharType="end"/>
            </w:r>
          </w:hyperlink>
        </w:p>
        <w:p w14:paraId="6EB0A42B" w14:textId="77850366" w:rsidR="00E97880" w:rsidRDefault="00E97880">
          <w:pPr>
            <w:pStyle w:val="TOC1"/>
            <w:tabs>
              <w:tab w:val="right" w:leader="dot" w:pos="9016"/>
            </w:tabs>
            <w:rPr>
              <w:rFonts w:asciiTheme="minorHAnsi" w:eastAsiaTheme="minorEastAsia" w:hAnsiTheme="minorHAnsi"/>
              <w:sz w:val="24"/>
              <w:szCs w:val="24"/>
              <w:lang w:eastAsia="en-IN"/>
            </w:rPr>
          </w:pPr>
          <w:hyperlink w:anchor="_Toc227273944" w:history="1">
            <w:r w:rsidRPr="00873DF4">
              <w:rPr>
                <w:rStyle w:val="Hyperlink"/>
              </w:rPr>
              <w:t>5. Investment Appraisal</w:t>
            </w:r>
            <w:r>
              <w:rPr>
                <w:webHidden/>
              </w:rPr>
              <w:tab/>
            </w:r>
            <w:r>
              <w:rPr>
                <w:webHidden/>
              </w:rPr>
              <w:fldChar w:fldCharType="begin"/>
            </w:r>
            <w:r>
              <w:rPr>
                <w:webHidden/>
              </w:rPr>
              <w:instrText xml:space="preserve"> PAGEREF _Toc227273944 \h </w:instrText>
            </w:r>
            <w:r>
              <w:rPr>
                <w:webHidden/>
              </w:rPr>
            </w:r>
            <w:r>
              <w:rPr>
                <w:webHidden/>
              </w:rPr>
              <w:fldChar w:fldCharType="separate"/>
            </w:r>
            <w:r>
              <w:rPr>
                <w:webHidden/>
              </w:rPr>
              <w:t>13</w:t>
            </w:r>
            <w:r>
              <w:rPr>
                <w:webHidden/>
              </w:rPr>
              <w:fldChar w:fldCharType="end"/>
            </w:r>
          </w:hyperlink>
        </w:p>
        <w:p w14:paraId="099704A1" w14:textId="6F131322" w:rsidR="00E97880" w:rsidRDefault="00E97880">
          <w:pPr>
            <w:pStyle w:val="TOC2"/>
            <w:tabs>
              <w:tab w:val="right" w:leader="dot" w:pos="9016"/>
            </w:tabs>
            <w:rPr>
              <w:rFonts w:asciiTheme="minorHAnsi" w:eastAsiaTheme="minorEastAsia" w:hAnsiTheme="minorHAnsi"/>
              <w:sz w:val="24"/>
              <w:szCs w:val="24"/>
              <w:lang w:eastAsia="en-IN"/>
            </w:rPr>
          </w:pPr>
          <w:hyperlink w:anchor="_Toc227273945" w:history="1">
            <w:r w:rsidRPr="00873DF4">
              <w:rPr>
                <w:rStyle w:val="Hyperlink"/>
              </w:rPr>
              <w:t>5.1 Techniques Applied</w:t>
            </w:r>
            <w:r>
              <w:rPr>
                <w:webHidden/>
              </w:rPr>
              <w:tab/>
            </w:r>
            <w:r>
              <w:rPr>
                <w:webHidden/>
              </w:rPr>
              <w:fldChar w:fldCharType="begin"/>
            </w:r>
            <w:r>
              <w:rPr>
                <w:webHidden/>
              </w:rPr>
              <w:instrText xml:space="preserve"> PAGEREF _Toc227273945 \h </w:instrText>
            </w:r>
            <w:r>
              <w:rPr>
                <w:webHidden/>
              </w:rPr>
            </w:r>
            <w:r>
              <w:rPr>
                <w:webHidden/>
              </w:rPr>
              <w:fldChar w:fldCharType="separate"/>
            </w:r>
            <w:r>
              <w:rPr>
                <w:webHidden/>
              </w:rPr>
              <w:t>13</w:t>
            </w:r>
            <w:r>
              <w:rPr>
                <w:webHidden/>
              </w:rPr>
              <w:fldChar w:fldCharType="end"/>
            </w:r>
          </w:hyperlink>
        </w:p>
        <w:p w14:paraId="01994379" w14:textId="18655AFD" w:rsidR="00E97880" w:rsidRDefault="00E97880">
          <w:pPr>
            <w:pStyle w:val="TOC2"/>
            <w:tabs>
              <w:tab w:val="right" w:leader="dot" w:pos="9016"/>
            </w:tabs>
            <w:rPr>
              <w:rFonts w:asciiTheme="minorHAnsi" w:eastAsiaTheme="minorEastAsia" w:hAnsiTheme="minorHAnsi"/>
              <w:sz w:val="24"/>
              <w:szCs w:val="24"/>
              <w:lang w:eastAsia="en-IN"/>
            </w:rPr>
          </w:pPr>
          <w:hyperlink w:anchor="_Toc227273946" w:history="1">
            <w:r w:rsidRPr="00873DF4">
              <w:rPr>
                <w:rStyle w:val="Hyperlink"/>
              </w:rPr>
              <w:t>5.2 Calculation Summary</w:t>
            </w:r>
            <w:r>
              <w:rPr>
                <w:webHidden/>
              </w:rPr>
              <w:tab/>
            </w:r>
            <w:r>
              <w:rPr>
                <w:webHidden/>
              </w:rPr>
              <w:fldChar w:fldCharType="begin"/>
            </w:r>
            <w:r>
              <w:rPr>
                <w:webHidden/>
              </w:rPr>
              <w:instrText xml:space="preserve"> PAGEREF _Toc227273946 \h </w:instrText>
            </w:r>
            <w:r>
              <w:rPr>
                <w:webHidden/>
              </w:rPr>
            </w:r>
            <w:r>
              <w:rPr>
                <w:webHidden/>
              </w:rPr>
              <w:fldChar w:fldCharType="separate"/>
            </w:r>
            <w:r>
              <w:rPr>
                <w:webHidden/>
              </w:rPr>
              <w:t>14</w:t>
            </w:r>
            <w:r>
              <w:rPr>
                <w:webHidden/>
              </w:rPr>
              <w:fldChar w:fldCharType="end"/>
            </w:r>
          </w:hyperlink>
        </w:p>
        <w:p w14:paraId="6FBE2829" w14:textId="21CC6F63" w:rsidR="00E97880" w:rsidRDefault="00E97880">
          <w:pPr>
            <w:pStyle w:val="TOC2"/>
            <w:tabs>
              <w:tab w:val="right" w:leader="dot" w:pos="9016"/>
            </w:tabs>
            <w:rPr>
              <w:rFonts w:asciiTheme="minorHAnsi" w:eastAsiaTheme="minorEastAsia" w:hAnsiTheme="minorHAnsi"/>
              <w:sz w:val="24"/>
              <w:szCs w:val="24"/>
              <w:lang w:eastAsia="en-IN"/>
            </w:rPr>
          </w:pPr>
          <w:hyperlink w:anchor="_Toc227273947" w:history="1">
            <w:r w:rsidRPr="00873DF4">
              <w:rPr>
                <w:rStyle w:val="Hyperlink"/>
              </w:rPr>
              <w:t>5.3 Interpretation of Results</w:t>
            </w:r>
            <w:r>
              <w:rPr>
                <w:webHidden/>
              </w:rPr>
              <w:tab/>
            </w:r>
            <w:r>
              <w:rPr>
                <w:webHidden/>
              </w:rPr>
              <w:fldChar w:fldCharType="begin"/>
            </w:r>
            <w:r>
              <w:rPr>
                <w:webHidden/>
              </w:rPr>
              <w:instrText xml:space="preserve"> PAGEREF _Toc227273947 \h </w:instrText>
            </w:r>
            <w:r>
              <w:rPr>
                <w:webHidden/>
              </w:rPr>
            </w:r>
            <w:r>
              <w:rPr>
                <w:webHidden/>
              </w:rPr>
              <w:fldChar w:fldCharType="separate"/>
            </w:r>
            <w:r>
              <w:rPr>
                <w:webHidden/>
              </w:rPr>
              <w:t>14</w:t>
            </w:r>
            <w:r>
              <w:rPr>
                <w:webHidden/>
              </w:rPr>
              <w:fldChar w:fldCharType="end"/>
            </w:r>
          </w:hyperlink>
        </w:p>
        <w:p w14:paraId="6D17975E" w14:textId="569C622C" w:rsidR="00E97880" w:rsidRDefault="00E97880">
          <w:pPr>
            <w:pStyle w:val="TOC2"/>
            <w:tabs>
              <w:tab w:val="right" w:leader="dot" w:pos="9016"/>
            </w:tabs>
            <w:rPr>
              <w:rFonts w:asciiTheme="minorHAnsi" w:eastAsiaTheme="minorEastAsia" w:hAnsiTheme="minorHAnsi"/>
              <w:sz w:val="24"/>
              <w:szCs w:val="24"/>
              <w:lang w:eastAsia="en-IN"/>
            </w:rPr>
          </w:pPr>
          <w:hyperlink w:anchor="_Toc227273948" w:history="1">
            <w:r w:rsidRPr="00873DF4">
              <w:rPr>
                <w:rStyle w:val="Hyperlink"/>
              </w:rPr>
              <w:t>5.4 Important Analysis of Methods</w:t>
            </w:r>
            <w:r>
              <w:rPr>
                <w:webHidden/>
              </w:rPr>
              <w:tab/>
            </w:r>
            <w:r>
              <w:rPr>
                <w:webHidden/>
              </w:rPr>
              <w:fldChar w:fldCharType="begin"/>
            </w:r>
            <w:r>
              <w:rPr>
                <w:webHidden/>
              </w:rPr>
              <w:instrText xml:space="preserve"> PAGEREF _Toc227273948 \h </w:instrText>
            </w:r>
            <w:r>
              <w:rPr>
                <w:webHidden/>
              </w:rPr>
            </w:r>
            <w:r>
              <w:rPr>
                <w:webHidden/>
              </w:rPr>
              <w:fldChar w:fldCharType="separate"/>
            </w:r>
            <w:r>
              <w:rPr>
                <w:webHidden/>
              </w:rPr>
              <w:t>14</w:t>
            </w:r>
            <w:r>
              <w:rPr>
                <w:webHidden/>
              </w:rPr>
              <w:fldChar w:fldCharType="end"/>
            </w:r>
          </w:hyperlink>
        </w:p>
        <w:p w14:paraId="3D16DADF" w14:textId="6ADCE484" w:rsidR="00E97880" w:rsidRDefault="00E97880">
          <w:pPr>
            <w:pStyle w:val="TOC2"/>
            <w:tabs>
              <w:tab w:val="right" w:leader="dot" w:pos="9016"/>
            </w:tabs>
            <w:rPr>
              <w:rFonts w:asciiTheme="minorHAnsi" w:eastAsiaTheme="minorEastAsia" w:hAnsiTheme="minorHAnsi"/>
              <w:sz w:val="24"/>
              <w:szCs w:val="24"/>
              <w:lang w:eastAsia="en-IN"/>
            </w:rPr>
          </w:pPr>
          <w:hyperlink w:anchor="_Toc227273949" w:history="1">
            <w:r w:rsidRPr="00873DF4">
              <w:rPr>
                <w:rStyle w:val="Hyperlink"/>
              </w:rPr>
              <w:t>5.5 Sensitivity Considerations</w:t>
            </w:r>
            <w:r>
              <w:rPr>
                <w:webHidden/>
              </w:rPr>
              <w:tab/>
            </w:r>
            <w:r>
              <w:rPr>
                <w:webHidden/>
              </w:rPr>
              <w:fldChar w:fldCharType="begin"/>
            </w:r>
            <w:r>
              <w:rPr>
                <w:webHidden/>
              </w:rPr>
              <w:instrText xml:space="preserve"> PAGEREF _Toc227273949 \h </w:instrText>
            </w:r>
            <w:r>
              <w:rPr>
                <w:webHidden/>
              </w:rPr>
            </w:r>
            <w:r>
              <w:rPr>
                <w:webHidden/>
              </w:rPr>
              <w:fldChar w:fldCharType="separate"/>
            </w:r>
            <w:r>
              <w:rPr>
                <w:webHidden/>
              </w:rPr>
              <w:t>15</w:t>
            </w:r>
            <w:r>
              <w:rPr>
                <w:webHidden/>
              </w:rPr>
              <w:fldChar w:fldCharType="end"/>
            </w:r>
          </w:hyperlink>
        </w:p>
        <w:p w14:paraId="30D7823E" w14:textId="682A01D6" w:rsidR="00E97880" w:rsidRDefault="00E97880">
          <w:pPr>
            <w:pStyle w:val="TOC2"/>
            <w:tabs>
              <w:tab w:val="right" w:leader="dot" w:pos="9016"/>
            </w:tabs>
            <w:rPr>
              <w:rFonts w:asciiTheme="minorHAnsi" w:eastAsiaTheme="minorEastAsia" w:hAnsiTheme="minorHAnsi"/>
              <w:sz w:val="24"/>
              <w:szCs w:val="24"/>
              <w:lang w:eastAsia="en-IN"/>
            </w:rPr>
          </w:pPr>
          <w:hyperlink w:anchor="_Toc227273950" w:history="1">
            <w:r w:rsidRPr="00873DF4">
              <w:rPr>
                <w:rStyle w:val="Hyperlink"/>
              </w:rPr>
              <w:t>5.6 Capital Rationing Decision</w:t>
            </w:r>
            <w:r>
              <w:rPr>
                <w:webHidden/>
              </w:rPr>
              <w:tab/>
            </w:r>
            <w:r>
              <w:rPr>
                <w:webHidden/>
              </w:rPr>
              <w:fldChar w:fldCharType="begin"/>
            </w:r>
            <w:r>
              <w:rPr>
                <w:webHidden/>
              </w:rPr>
              <w:instrText xml:space="preserve"> PAGEREF _Toc227273950 \h </w:instrText>
            </w:r>
            <w:r>
              <w:rPr>
                <w:webHidden/>
              </w:rPr>
            </w:r>
            <w:r>
              <w:rPr>
                <w:webHidden/>
              </w:rPr>
              <w:fldChar w:fldCharType="separate"/>
            </w:r>
            <w:r>
              <w:rPr>
                <w:webHidden/>
              </w:rPr>
              <w:t>15</w:t>
            </w:r>
            <w:r>
              <w:rPr>
                <w:webHidden/>
              </w:rPr>
              <w:fldChar w:fldCharType="end"/>
            </w:r>
          </w:hyperlink>
        </w:p>
        <w:p w14:paraId="56AC4735" w14:textId="317B5D61" w:rsidR="00E97880" w:rsidRDefault="00E97880">
          <w:pPr>
            <w:pStyle w:val="TOC2"/>
            <w:tabs>
              <w:tab w:val="right" w:leader="dot" w:pos="9016"/>
            </w:tabs>
            <w:rPr>
              <w:rFonts w:asciiTheme="minorHAnsi" w:eastAsiaTheme="minorEastAsia" w:hAnsiTheme="minorHAnsi"/>
              <w:sz w:val="24"/>
              <w:szCs w:val="24"/>
              <w:lang w:eastAsia="en-IN"/>
            </w:rPr>
          </w:pPr>
          <w:hyperlink w:anchor="_Toc227273951" w:history="1">
            <w:r w:rsidRPr="00873DF4">
              <w:rPr>
                <w:rStyle w:val="Hyperlink"/>
              </w:rPr>
              <w:t>5.7 Strategic Fit and Final Decision</w:t>
            </w:r>
            <w:r>
              <w:rPr>
                <w:webHidden/>
              </w:rPr>
              <w:tab/>
            </w:r>
            <w:r>
              <w:rPr>
                <w:webHidden/>
              </w:rPr>
              <w:fldChar w:fldCharType="begin"/>
            </w:r>
            <w:r>
              <w:rPr>
                <w:webHidden/>
              </w:rPr>
              <w:instrText xml:space="preserve"> PAGEREF _Toc227273951 \h </w:instrText>
            </w:r>
            <w:r>
              <w:rPr>
                <w:webHidden/>
              </w:rPr>
            </w:r>
            <w:r>
              <w:rPr>
                <w:webHidden/>
              </w:rPr>
              <w:fldChar w:fldCharType="separate"/>
            </w:r>
            <w:r>
              <w:rPr>
                <w:webHidden/>
              </w:rPr>
              <w:t>15</w:t>
            </w:r>
            <w:r>
              <w:rPr>
                <w:webHidden/>
              </w:rPr>
              <w:fldChar w:fldCharType="end"/>
            </w:r>
          </w:hyperlink>
        </w:p>
        <w:p w14:paraId="2A34AF6C" w14:textId="5176D843" w:rsidR="00E97880" w:rsidRDefault="00E97880">
          <w:pPr>
            <w:pStyle w:val="TOC2"/>
            <w:tabs>
              <w:tab w:val="right" w:leader="dot" w:pos="9016"/>
            </w:tabs>
            <w:rPr>
              <w:rFonts w:asciiTheme="minorHAnsi" w:eastAsiaTheme="minorEastAsia" w:hAnsiTheme="minorHAnsi"/>
              <w:sz w:val="24"/>
              <w:szCs w:val="24"/>
              <w:lang w:eastAsia="en-IN"/>
            </w:rPr>
          </w:pPr>
          <w:hyperlink w:anchor="_Toc227273952" w:history="1">
            <w:r w:rsidRPr="00873DF4">
              <w:rPr>
                <w:rStyle w:val="Hyperlink"/>
              </w:rPr>
              <w:t>5.8 Conclusion of Section</w:t>
            </w:r>
            <w:r>
              <w:rPr>
                <w:webHidden/>
              </w:rPr>
              <w:tab/>
            </w:r>
            <w:r>
              <w:rPr>
                <w:webHidden/>
              </w:rPr>
              <w:fldChar w:fldCharType="begin"/>
            </w:r>
            <w:r>
              <w:rPr>
                <w:webHidden/>
              </w:rPr>
              <w:instrText xml:space="preserve"> PAGEREF _Toc227273952 \h </w:instrText>
            </w:r>
            <w:r>
              <w:rPr>
                <w:webHidden/>
              </w:rPr>
            </w:r>
            <w:r>
              <w:rPr>
                <w:webHidden/>
              </w:rPr>
              <w:fldChar w:fldCharType="separate"/>
            </w:r>
            <w:r>
              <w:rPr>
                <w:webHidden/>
              </w:rPr>
              <w:t>16</w:t>
            </w:r>
            <w:r>
              <w:rPr>
                <w:webHidden/>
              </w:rPr>
              <w:fldChar w:fldCharType="end"/>
            </w:r>
          </w:hyperlink>
        </w:p>
        <w:p w14:paraId="423A7CAE" w14:textId="33DEC411" w:rsidR="00E97880" w:rsidRDefault="00E97880">
          <w:pPr>
            <w:pStyle w:val="TOC1"/>
            <w:tabs>
              <w:tab w:val="right" w:leader="dot" w:pos="9016"/>
            </w:tabs>
            <w:rPr>
              <w:rFonts w:asciiTheme="minorHAnsi" w:eastAsiaTheme="minorEastAsia" w:hAnsiTheme="minorHAnsi"/>
              <w:sz w:val="24"/>
              <w:szCs w:val="24"/>
              <w:lang w:eastAsia="en-IN"/>
            </w:rPr>
          </w:pPr>
          <w:hyperlink w:anchor="_Toc227273953" w:history="1">
            <w:r w:rsidRPr="00873DF4">
              <w:rPr>
                <w:rStyle w:val="Hyperlink"/>
              </w:rPr>
              <w:t>6. Conclusion</w:t>
            </w:r>
            <w:r>
              <w:rPr>
                <w:webHidden/>
              </w:rPr>
              <w:tab/>
            </w:r>
            <w:r>
              <w:rPr>
                <w:webHidden/>
              </w:rPr>
              <w:fldChar w:fldCharType="begin"/>
            </w:r>
            <w:r>
              <w:rPr>
                <w:webHidden/>
              </w:rPr>
              <w:instrText xml:space="preserve"> PAGEREF _Toc227273953 \h </w:instrText>
            </w:r>
            <w:r>
              <w:rPr>
                <w:webHidden/>
              </w:rPr>
            </w:r>
            <w:r>
              <w:rPr>
                <w:webHidden/>
              </w:rPr>
              <w:fldChar w:fldCharType="separate"/>
            </w:r>
            <w:r>
              <w:rPr>
                <w:webHidden/>
              </w:rPr>
              <w:t>16</w:t>
            </w:r>
            <w:r>
              <w:rPr>
                <w:webHidden/>
              </w:rPr>
              <w:fldChar w:fldCharType="end"/>
            </w:r>
          </w:hyperlink>
        </w:p>
        <w:p w14:paraId="58CDECC3" w14:textId="21DBE5DD" w:rsidR="00E97880" w:rsidRDefault="00E97880">
          <w:pPr>
            <w:pStyle w:val="TOC1"/>
            <w:tabs>
              <w:tab w:val="right" w:leader="dot" w:pos="9016"/>
            </w:tabs>
            <w:rPr>
              <w:rFonts w:asciiTheme="minorHAnsi" w:eastAsiaTheme="minorEastAsia" w:hAnsiTheme="minorHAnsi"/>
              <w:sz w:val="24"/>
              <w:szCs w:val="24"/>
              <w:lang w:eastAsia="en-IN"/>
            </w:rPr>
          </w:pPr>
          <w:hyperlink w:anchor="_Toc227273954" w:history="1">
            <w:r w:rsidRPr="00873DF4">
              <w:rPr>
                <w:rStyle w:val="Hyperlink"/>
              </w:rPr>
              <w:t>Reference List</w:t>
            </w:r>
            <w:r>
              <w:rPr>
                <w:webHidden/>
              </w:rPr>
              <w:tab/>
            </w:r>
            <w:r>
              <w:rPr>
                <w:webHidden/>
              </w:rPr>
              <w:fldChar w:fldCharType="begin"/>
            </w:r>
            <w:r>
              <w:rPr>
                <w:webHidden/>
              </w:rPr>
              <w:instrText xml:space="preserve"> PAGEREF _Toc227273954 \h </w:instrText>
            </w:r>
            <w:r>
              <w:rPr>
                <w:webHidden/>
              </w:rPr>
            </w:r>
            <w:r>
              <w:rPr>
                <w:webHidden/>
              </w:rPr>
              <w:fldChar w:fldCharType="separate"/>
            </w:r>
            <w:r>
              <w:rPr>
                <w:webHidden/>
              </w:rPr>
              <w:t>17</w:t>
            </w:r>
            <w:r>
              <w:rPr>
                <w:webHidden/>
              </w:rPr>
              <w:fldChar w:fldCharType="end"/>
            </w:r>
          </w:hyperlink>
        </w:p>
        <w:p w14:paraId="6F00CE9A" w14:textId="154CADCF" w:rsidR="00E97880" w:rsidRDefault="00E97880">
          <w:pPr>
            <w:pStyle w:val="TOC1"/>
            <w:tabs>
              <w:tab w:val="right" w:leader="dot" w:pos="9016"/>
            </w:tabs>
            <w:rPr>
              <w:rFonts w:asciiTheme="minorHAnsi" w:eastAsiaTheme="minorEastAsia" w:hAnsiTheme="minorHAnsi"/>
              <w:sz w:val="24"/>
              <w:szCs w:val="24"/>
              <w:lang w:eastAsia="en-IN"/>
            </w:rPr>
          </w:pPr>
          <w:hyperlink w:anchor="_Toc227273955" w:history="1">
            <w:r w:rsidRPr="00873DF4">
              <w:rPr>
                <w:rStyle w:val="Hyperlink"/>
              </w:rPr>
              <w:t>Appendix</w:t>
            </w:r>
            <w:r>
              <w:rPr>
                <w:webHidden/>
              </w:rPr>
              <w:tab/>
            </w:r>
            <w:r>
              <w:rPr>
                <w:webHidden/>
              </w:rPr>
              <w:fldChar w:fldCharType="begin"/>
            </w:r>
            <w:r>
              <w:rPr>
                <w:webHidden/>
              </w:rPr>
              <w:instrText xml:space="preserve"> PAGEREF _Toc227273955 \h </w:instrText>
            </w:r>
            <w:r>
              <w:rPr>
                <w:webHidden/>
              </w:rPr>
            </w:r>
            <w:r>
              <w:rPr>
                <w:webHidden/>
              </w:rPr>
              <w:fldChar w:fldCharType="separate"/>
            </w:r>
            <w:r>
              <w:rPr>
                <w:webHidden/>
              </w:rPr>
              <w:t>18</w:t>
            </w:r>
            <w:r>
              <w:rPr>
                <w:webHidden/>
              </w:rPr>
              <w:fldChar w:fldCharType="end"/>
            </w:r>
          </w:hyperlink>
        </w:p>
        <w:p w14:paraId="2F4E985E" w14:textId="0D02DB04" w:rsidR="00E97880" w:rsidRDefault="00E97880">
          <w:r>
            <w:rPr>
              <w:b/>
              <w:bCs/>
            </w:rPr>
            <w:fldChar w:fldCharType="end"/>
          </w:r>
        </w:p>
      </w:sdtContent>
    </w:sdt>
    <w:p w14:paraId="092FFE29" w14:textId="77777777" w:rsidR="00E97880" w:rsidRPr="00E97880" w:rsidRDefault="00E97880" w:rsidP="000259EF">
      <w:pPr>
        <w:rPr>
          <w:rFonts w:cs="Arial"/>
        </w:rPr>
      </w:pPr>
    </w:p>
    <w:p w14:paraId="5AEFA67F" w14:textId="77777777" w:rsidR="00E97880" w:rsidRDefault="00E97880" w:rsidP="00E97880">
      <w:pPr>
        <w:pStyle w:val="Heading1"/>
        <w:sectPr w:rsidR="00E97880" w:rsidSect="00E97880">
          <w:pgSz w:w="11906" w:h="16838"/>
          <w:pgMar w:top="1440" w:right="1440" w:bottom="1440" w:left="1440" w:header="708" w:footer="708" w:gutter="0"/>
          <w:pgNumType w:start="0"/>
          <w:cols w:space="708"/>
          <w:titlePg/>
          <w:docGrid w:linePitch="360"/>
        </w:sectPr>
      </w:pPr>
    </w:p>
    <w:p w14:paraId="516B53BA" w14:textId="0ADEEC80" w:rsidR="00E97880" w:rsidRPr="00E97880" w:rsidRDefault="00E97880" w:rsidP="00E97880">
      <w:pPr>
        <w:pStyle w:val="Heading1"/>
      </w:pPr>
      <w:bookmarkStart w:id="0" w:name="_Toc227273925"/>
      <w:r w:rsidRPr="00E97880">
        <w:t>Executive Summary</w:t>
      </w:r>
      <w:bookmarkEnd w:id="0"/>
      <w:r w:rsidRPr="00E97880">
        <w:t xml:space="preserve"> </w:t>
      </w:r>
    </w:p>
    <w:p w14:paraId="3289CED5" w14:textId="77777777" w:rsidR="00E97880" w:rsidRPr="00E97880" w:rsidRDefault="00E97880" w:rsidP="00E97880">
      <w:pPr>
        <w:rPr>
          <w:rFonts w:cs="Arial"/>
        </w:rPr>
      </w:pPr>
      <w:r w:rsidRPr="00E97880">
        <w:rPr>
          <w:rFonts w:cs="Arial"/>
        </w:rPr>
        <w:t>This report analyzes the financial results of Toyota Motor Corporation between 2020 and 2024 and the key obstacles to shareholder value creation as the world goes electrified. The period saw an increase between ¥29.9 trillion and ¥45.1 trillion in revenue, which was driven by post-pandemic recovery, pricing strength and ongoing demand of hybrid vehicles. This growth, however, was not reflected in proportionate returns, with ROCE improving by only 10.2 percentage points between 8.5 and 10.2, which is a sign of increasing capital intensity and declining capital productivity.</w:t>
      </w:r>
    </w:p>
    <w:p w14:paraId="6BD07D52" w14:textId="77777777" w:rsidR="00E97880" w:rsidRPr="00E97880" w:rsidRDefault="00E97880" w:rsidP="00E97880">
      <w:pPr>
        <w:rPr>
          <w:rFonts w:cs="Arial"/>
        </w:rPr>
      </w:pPr>
      <w:r w:rsidRPr="00E97880">
        <w:rPr>
          <w:rFonts w:cs="Arial"/>
        </w:rPr>
        <w:t>There was a decline in working capital performance. The cash conversion cycle was lengthened by increasing inventory days and a decreased receivables collection rate, which tied up liquidity even though it was generating strong operating cash flow. This implies that an increase in accounting has exceeded an increase in cash efficiency, taking away financial flexibility when large-scale electrification investment needs to be disciplined in capital allocation.</w:t>
      </w:r>
    </w:p>
    <w:p w14:paraId="3864989E" w14:textId="77777777" w:rsidR="00E97880" w:rsidRPr="00E97880" w:rsidRDefault="00E97880" w:rsidP="00E97880">
      <w:pPr>
        <w:rPr>
          <w:rFonts w:cs="Arial"/>
        </w:rPr>
      </w:pPr>
      <w:r w:rsidRPr="00E97880">
        <w:rPr>
          <w:rFonts w:cs="Arial"/>
        </w:rPr>
        <w:t>Toyota hybrid-first model has benefited strategic positioning of the company and has enabled consistent near-term cash flows. It is however also exposing to opportunity-costs in the event that battery electric vehicles are adopted at a higher rate than anticipated, especially as compared to other companies like Tesla, Inc and BYD Company.</w:t>
      </w:r>
    </w:p>
    <w:p w14:paraId="063FB98C" w14:textId="77777777" w:rsidR="00E97880" w:rsidRPr="00E97880" w:rsidRDefault="00E97880" w:rsidP="00E97880">
      <w:pPr>
        <w:rPr>
          <w:rFonts w:cs="Arial"/>
        </w:rPr>
      </w:pPr>
      <w:r w:rsidRPr="00E97880">
        <w:rPr>
          <w:rFonts w:cs="Arial"/>
        </w:rPr>
        <w:t>All the three proposed projects have a negative NPV at a discount rate of 10 percent as indicated by investment appraisal. Based on this, none of them ought to be accepted in the light of strict shareholder wealth maximisation principles. Project C has the best relative performance in terms of highest IRR, shortest payback period, and least value deficit; hence it is most plausible strategic choice in case there is a need to invest competitively.</w:t>
      </w:r>
    </w:p>
    <w:p w14:paraId="55BDE2A9" w14:textId="77777777" w:rsidR="00E97880" w:rsidRPr="00E97880" w:rsidRDefault="00E97880" w:rsidP="00E97880">
      <w:pPr>
        <w:rPr>
          <w:rFonts w:cs="Arial"/>
        </w:rPr>
      </w:pPr>
      <w:r w:rsidRPr="00E97880">
        <w:rPr>
          <w:rFonts w:cs="Arial"/>
        </w:rPr>
        <w:t>The report suggests that Toyota should focus on working capital release, selective capital reallocation and more discipline in investment in relation to ROCE and WACC benchmarks. Creation of future values will rely less on expansion of scale but more on the transformation of invested capital into high quality risk-adjusted returns.</w:t>
      </w:r>
    </w:p>
    <w:p w14:paraId="49212919" w14:textId="77777777" w:rsidR="00E97880" w:rsidRPr="00E97880" w:rsidRDefault="00E97880" w:rsidP="00E97880">
      <w:pPr>
        <w:rPr>
          <w:rFonts w:cs="Arial"/>
        </w:rPr>
      </w:pPr>
    </w:p>
    <w:p w14:paraId="70AD4D13" w14:textId="77777777" w:rsidR="00E97880" w:rsidRPr="00E97880" w:rsidRDefault="00E97880" w:rsidP="00E97880">
      <w:pPr>
        <w:pStyle w:val="Heading1"/>
      </w:pPr>
      <w:bookmarkStart w:id="1" w:name="_Toc227273926"/>
      <w:r w:rsidRPr="00E97880">
        <w:t>1. Introduction</w:t>
      </w:r>
      <w:bookmarkEnd w:id="1"/>
    </w:p>
    <w:p w14:paraId="4372D062" w14:textId="77777777" w:rsidR="00E97880" w:rsidRPr="00E97880" w:rsidRDefault="00E97880" w:rsidP="00E97880">
      <w:pPr>
        <w:rPr>
          <w:rFonts w:cs="Arial"/>
        </w:rPr>
      </w:pPr>
      <w:r w:rsidRPr="00E97880">
        <w:rPr>
          <w:rFonts w:cs="Arial"/>
        </w:rPr>
        <w:t>The Toyota Motor Corporation is entering the global electrification transition at an exquisitely scaled position, brand name, and financial stability. But the company has a strategic dilemma: it has been a leader in the hybrid cars, and this does not necessarily mean that it will be a leader in the battery electric vehicles (BEVs). The hybrid-first approach has helped Toyota to minimize technological and demand uncertainty, but the rising rate of electrification is transforming the competitive edge, investment focus, and the long-term shareholder expectations (Toyota Motor Corporation, 2024; International Energy Agency, 2024).</w:t>
      </w:r>
    </w:p>
    <w:p w14:paraId="26B10A75" w14:textId="77777777" w:rsidR="00E97880" w:rsidRPr="00E97880" w:rsidRDefault="00E97880" w:rsidP="00E97880">
      <w:pPr>
        <w:rPr>
          <w:rFonts w:cs="Arial"/>
        </w:rPr>
      </w:pPr>
      <w:r w:rsidRPr="00E97880">
        <w:rPr>
          <w:rFonts w:cs="Arial"/>
        </w:rPr>
        <w:t>A structural change is affecting the global automotive industry with the decarbonisation regulation, a rapid change in technology, and an increase in international competition. In 2024, the sales of global electric vehicles surpassed 17 million units, and the expansion of BEVs uptake and the pressure on manufacturers of incumbent plans to expand battery architecture, software capacity, and supply chain strength continued (International Energy Agency, 2024). Targeted EV strategies by competitors like Tesla, Inc. and BYD Company have been applied to increase market share and investor confidence, going against slower transition models (IEA, 2024). The change has raised capital intensity of the sector, squeezed margins, and raised the value of disciplined financial management (Damodaran, 2021).</w:t>
      </w:r>
    </w:p>
    <w:p w14:paraId="70EAEF96" w14:textId="77777777" w:rsidR="00E97880" w:rsidRPr="00E97880" w:rsidRDefault="00E97880" w:rsidP="00E97880">
      <w:pPr>
        <w:rPr>
          <w:rFonts w:cs="Arial"/>
        </w:rPr>
      </w:pPr>
      <w:r w:rsidRPr="00E97880">
        <w:rPr>
          <w:rFonts w:cs="Arial"/>
        </w:rPr>
        <w:t>In the case of Toyota, growth capacity is not the main issue of financial challenge but capital productivity. Despite the good growth in revenue and operating cash generation, the increasing investment needs, declining asset efficiency, and increasing working capital absorption threatens to restrain the value creation in case the returns cannot be greater than the cost of capital (Brealey, Myers and Allen, 2020). In this regard, scale is not enough; the best measure of sustainable shareholder wealth is the better capital allocation (Rappaport, 2006).</w:t>
      </w:r>
    </w:p>
    <w:p w14:paraId="54E4D36A" w14:textId="7FF63976" w:rsidR="00E97880" w:rsidRPr="00E97880" w:rsidRDefault="00E97880" w:rsidP="00E97880">
      <w:pPr>
        <w:rPr>
          <w:rFonts w:cs="Arial"/>
        </w:rPr>
      </w:pPr>
      <w:r w:rsidRPr="00E97880">
        <w:rPr>
          <w:rFonts w:cs="Arial"/>
        </w:rPr>
        <w:t>In this regard, this report critically analyses the financial performance of Toyota in the 2020-2024 period in terms of a shareholder-value framework. It discusses financial performance in terms of profitability, liquidity, efficiency, gearing, and investor ratios to determine financial health; working capital management through cash conversion cycle; strategic restructuring options in terms of global risk conditions; and investment alternatives and capital rationing decisions using capital budgeting methods, such as NPV, IRR, ARR, PBP, and PI. The report contends that Toyota will achieve success in the future not by growing volume but rather by turning invested capital into better risk-adjusted returns.</w:t>
      </w:r>
    </w:p>
    <w:p w14:paraId="1D1F6753" w14:textId="77777777" w:rsidR="00E72DB3" w:rsidRPr="00E97880" w:rsidRDefault="00E72DB3" w:rsidP="00E72DB3">
      <w:pPr>
        <w:rPr>
          <w:rFonts w:cs="Arial"/>
        </w:rPr>
      </w:pPr>
    </w:p>
    <w:p w14:paraId="214EC41D" w14:textId="77777777" w:rsidR="00E97880" w:rsidRPr="00E97880" w:rsidRDefault="00E97880" w:rsidP="00E97880">
      <w:pPr>
        <w:pStyle w:val="Heading1"/>
      </w:pPr>
      <w:bookmarkStart w:id="2" w:name="_Toc227273927"/>
      <w:r w:rsidRPr="00E97880">
        <w:t>2. Financial Health Check</w:t>
      </w:r>
      <w:bookmarkEnd w:id="2"/>
    </w:p>
    <w:p w14:paraId="65C65331" w14:textId="77777777" w:rsidR="00E97880" w:rsidRPr="00E97880" w:rsidRDefault="00E97880" w:rsidP="00E97880">
      <w:pPr>
        <w:pStyle w:val="Heading2"/>
      </w:pPr>
      <w:bookmarkStart w:id="3" w:name="_Toc227273928"/>
      <w:r w:rsidRPr="00E97880">
        <w:t>2.1 Financial Statement Overview</w:t>
      </w:r>
      <w:bookmarkEnd w:id="3"/>
    </w:p>
    <w:p w14:paraId="047263A9" w14:textId="77777777" w:rsidR="00E97880" w:rsidRPr="00E97880" w:rsidRDefault="00E97880" w:rsidP="00E97880">
      <w:pPr>
        <w:rPr>
          <w:rFonts w:cs="Arial"/>
          <w:b/>
          <w:bCs/>
        </w:rPr>
      </w:pPr>
      <w:r w:rsidRPr="00E97880">
        <w:rPr>
          <w:rFonts w:cs="Arial"/>
          <w:b/>
          <w:bCs/>
        </w:rPr>
        <w:t>Revenue, Profit and Cash Flow Trends</w:t>
      </w:r>
    </w:p>
    <w:p w14:paraId="3365EA3D" w14:textId="77777777" w:rsidR="00E97880" w:rsidRPr="00E97880" w:rsidRDefault="00E97880" w:rsidP="00E97880">
      <w:pPr>
        <w:rPr>
          <w:rFonts w:cs="Arial"/>
          <w:b/>
          <w:bCs/>
        </w:rPr>
      </w:pPr>
      <w:r w:rsidRPr="00E97880">
        <w:rPr>
          <w:rFonts w:cs="Arial"/>
          <w:b/>
          <w:bCs/>
        </w:rPr>
        <w:t>Table 2.1: Toyota Financial Summary (2020–2024)</w:t>
      </w:r>
    </w:p>
    <w:tbl>
      <w:tblPr>
        <w:tblStyle w:val="GridTable1Light"/>
        <w:tblW w:w="0" w:type="auto"/>
        <w:tblLook w:val="04A0" w:firstRow="1" w:lastRow="0" w:firstColumn="1" w:lastColumn="0" w:noHBand="0" w:noVBand="1"/>
      </w:tblPr>
      <w:tblGrid>
        <w:gridCol w:w="706"/>
        <w:gridCol w:w="1637"/>
        <w:gridCol w:w="2264"/>
        <w:gridCol w:w="1650"/>
        <w:gridCol w:w="2759"/>
      </w:tblGrid>
      <w:tr w:rsidR="00E97880" w:rsidRPr="00E97880" w14:paraId="30AC5A8E" w14:textId="77777777" w:rsidTr="00E978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D80791" w14:textId="77777777" w:rsidR="00E97880" w:rsidRPr="00E97880" w:rsidRDefault="00E97880" w:rsidP="00E97880">
            <w:pPr>
              <w:spacing w:after="160" w:line="259" w:lineRule="auto"/>
              <w:jc w:val="left"/>
              <w:rPr>
                <w:rFonts w:cs="Arial"/>
                <w:b w:val="0"/>
                <w:bCs w:val="0"/>
              </w:rPr>
            </w:pPr>
            <w:r w:rsidRPr="00E97880">
              <w:rPr>
                <w:rFonts w:cs="Arial"/>
                <w:b w:val="0"/>
                <w:bCs w:val="0"/>
              </w:rPr>
              <w:t>Year</w:t>
            </w:r>
          </w:p>
        </w:tc>
        <w:tc>
          <w:tcPr>
            <w:tcW w:w="0" w:type="auto"/>
            <w:hideMark/>
          </w:tcPr>
          <w:p w14:paraId="65A7249C" w14:textId="77777777" w:rsidR="00E97880" w:rsidRPr="00E97880" w:rsidRDefault="00E97880" w:rsidP="00E97880">
            <w:pPr>
              <w:spacing w:after="160" w:line="259"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E97880">
              <w:rPr>
                <w:rFonts w:cs="Arial"/>
                <w:b w:val="0"/>
                <w:bCs w:val="0"/>
              </w:rPr>
              <w:t>Revenue (¥ tn)</w:t>
            </w:r>
          </w:p>
        </w:tc>
        <w:tc>
          <w:tcPr>
            <w:tcW w:w="0" w:type="auto"/>
            <w:hideMark/>
          </w:tcPr>
          <w:p w14:paraId="583453D4" w14:textId="77777777" w:rsidR="00E97880" w:rsidRPr="00E97880" w:rsidRDefault="00E97880" w:rsidP="00E97880">
            <w:pPr>
              <w:spacing w:after="160" w:line="259"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E97880">
              <w:rPr>
                <w:rFonts w:cs="Arial"/>
                <w:b w:val="0"/>
                <w:bCs w:val="0"/>
              </w:rPr>
              <w:t>Operating Profit (¥ tn)</w:t>
            </w:r>
          </w:p>
        </w:tc>
        <w:tc>
          <w:tcPr>
            <w:tcW w:w="0" w:type="auto"/>
            <w:hideMark/>
          </w:tcPr>
          <w:p w14:paraId="6A80E014" w14:textId="77777777" w:rsidR="00E97880" w:rsidRPr="00E97880" w:rsidRDefault="00E97880" w:rsidP="00E97880">
            <w:pPr>
              <w:spacing w:after="160" w:line="259"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E97880">
              <w:rPr>
                <w:rFonts w:cs="Arial"/>
                <w:b w:val="0"/>
                <w:bCs w:val="0"/>
              </w:rPr>
              <w:t>Net Profit (¥ tn)</w:t>
            </w:r>
          </w:p>
        </w:tc>
        <w:tc>
          <w:tcPr>
            <w:tcW w:w="0" w:type="auto"/>
            <w:hideMark/>
          </w:tcPr>
          <w:p w14:paraId="6D2146F7" w14:textId="77777777" w:rsidR="00E97880" w:rsidRPr="00E97880" w:rsidRDefault="00E97880" w:rsidP="00E97880">
            <w:pPr>
              <w:spacing w:after="160" w:line="259"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E97880">
              <w:rPr>
                <w:rFonts w:cs="Arial"/>
                <w:b w:val="0"/>
                <w:bCs w:val="0"/>
              </w:rPr>
              <w:t>Operating Cash Flow (¥ tn)</w:t>
            </w:r>
          </w:p>
        </w:tc>
      </w:tr>
      <w:tr w:rsidR="00E97880" w:rsidRPr="00E97880" w14:paraId="75836B4C"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5F1AD7EB" w14:textId="77777777" w:rsidR="00E97880" w:rsidRPr="00E97880" w:rsidRDefault="00E97880" w:rsidP="00E97880">
            <w:pPr>
              <w:spacing w:after="160" w:line="259" w:lineRule="auto"/>
              <w:rPr>
                <w:rFonts w:cs="Arial"/>
                <w:b w:val="0"/>
                <w:bCs w:val="0"/>
              </w:rPr>
            </w:pPr>
            <w:r w:rsidRPr="00E97880">
              <w:rPr>
                <w:rFonts w:cs="Arial"/>
                <w:b w:val="0"/>
                <w:bCs w:val="0"/>
              </w:rPr>
              <w:t>2020</w:t>
            </w:r>
          </w:p>
        </w:tc>
        <w:tc>
          <w:tcPr>
            <w:tcW w:w="0" w:type="auto"/>
            <w:hideMark/>
          </w:tcPr>
          <w:p w14:paraId="23DA4683"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29.9</w:t>
            </w:r>
          </w:p>
        </w:tc>
        <w:tc>
          <w:tcPr>
            <w:tcW w:w="0" w:type="auto"/>
            <w:hideMark/>
          </w:tcPr>
          <w:p w14:paraId="07CFD7E6"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2.4</w:t>
            </w:r>
          </w:p>
        </w:tc>
        <w:tc>
          <w:tcPr>
            <w:tcW w:w="0" w:type="auto"/>
            <w:hideMark/>
          </w:tcPr>
          <w:p w14:paraId="4B9A50E5"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2.1</w:t>
            </w:r>
          </w:p>
        </w:tc>
        <w:tc>
          <w:tcPr>
            <w:tcW w:w="0" w:type="auto"/>
            <w:hideMark/>
          </w:tcPr>
          <w:p w14:paraId="7A1E3FD3"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3.6</w:t>
            </w:r>
          </w:p>
        </w:tc>
      </w:tr>
      <w:tr w:rsidR="00E97880" w:rsidRPr="00E97880" w14:paraId="59FB1552"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4DB8474F" w14:textId="77777777" w:rsidR="00E97880" w:rsidRPr="00E97880" w:rsidRDefault="00E97880" w:rsidP="00E97880">
            <w:pPr>
              <w:spacing w:after="160" w:line="259" w:lineRule="auto"/>
              <w:rPr>
                <w:rFonts w:cs="Arial"/>
                <w:b w:val="0"/>
                <w:bCs w:val="0"/>
              </w:rPr>
            </w:pPr>
            <w:r w:rsidRPr="00E97880">
              <w:rPr>
                <w:rFonts w:cs="Arial"/>
                <w:b w:val="0"/>
                <w:bCs w:val="0"/>
              </w:rPr>
              <w:t>2021</w:t>
            </w:r>
          </w:p>
        </w:tc>
        <w:tc>
          <w:tcPr>
            <w:tcW w:w="0" w:type="auto"/>
            <w:hideMark/>
          </w:tcPr>
          <w:p w14:paraId="31946F8D"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27.2</w:t>
            </w:r>
          </w:p>
        </w:tc>
        <w:tc>
          <w:tcPr>
            <w:tcW w:w="0" w:type="auto"/>
            <w:hideMark/>
          </w:tcPr>
          <w:p w14:paraId="26884380"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2.2</w:t>
            </w:r>
          </w:p>
        </w:tc>
        <w:tc>
          <w:tcPr>
            <w:tcW w:w="0" w:type="auto"/>
            <w:hideMark/>
          </w:tcPr>
          <w:p w14:paraId="54923FB8"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2.3</w:t>
            </w:r>
          </w:p>
        </w:tc>
        <w:tc>
          <w:tcPr>
            <w:tcW w:w="0" w:type="auto"/>
            <w:hideMark/>
          </w:tcPr>
          <w:p w14:paraId="09A354DB"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3.4</w:t>
            </w:r>
          </w:p>
        </w:tc>
      </w:tr>
      <w:tr w:rsidR="00E97880" w:rsidRPr="00E97880" w14:paraId="23A65375"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106DDABC" w14:textId="77777777" w:rsidR="00E97880" w:rsidRPr="00E97880" w:rsidRDefault="00E97880" w:rsidP="00E97880">
            <w:pPr>
              <w:spacing w:after="160" w:line="259" w:lineRule="auto"/>
              <w:rPr>
                <w:rFonts w:cs="Arial"/>
                <w:b w:val="0"/>
                <w:bCs w:val="0"/>
              </w:rPr>
            </w:pPr>
            <w:r w:rsidRPr="00E97880">
              <w:rPr>
                <w:rFonts w:cs="Arial"/>
                <w:b w:val="0"/>
                <w:bCs w:val="0"/>
              </w:rPr>
              <w:t>2022</w:t>
            </w:r>
          </w:p>
        </w:tc>
        <w:tc>
          <w:tcPr>
            <w:tcW w:w="0" w:type="auto"/>
            <w:hideMark/>
          </w:tcPr>
          <w:p w14:paraId="616D2002"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31.4</w:t>
            </w:r>
          </w:p>
        </w:tc>
        <w:tc>
          <w:tcPr>
            <w:tcW w:w="0" w:type="auto"/>
            <w:hideMark/>
          </w:tcPr>
          <w:p w14:paraId="3271D208"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3.0</w:t>
            </w:r>
          </w:p>
        </w:tc>
        <w:tc>
          <w:tcPr>
            <w:tcW w:w="0" w:type="auto"/>
            <w:hideMark/>
          </w:tcPr>
          <w:p w14:paraId="5393468F"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2.8</w:t>
            </w:r>
          </w:p>
        </w:tc>
        <w:tc>
          <w:tcPr>
            <w:tcW w:w="0" w:type="auto"/>
            <w:hideMark/>
          </w:tcPr>
          <w:p w14:paraId="5406CAFE"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4.2</w:t>
            </w:r>
          </w:p>
        </w:tc>
      </w:tr>
      <w:tr w:rsidR="00E97880" w:rsidRPr="00E97880" w14:paraId="09EA9638"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3EDC7989" w14:textId="77777777" w:rsidR="00E97880" w:rsidRPr="00E97880" w:rsidRDefault="00E97880" w:rsidP="00E97880">
            <w:pPr>
              <w:spacing w:after="160" w:line="259" w:lineRule="auto"/>
              <w:rPr>
                <w:rFonts w:cs="Arial"/>
                <w:b w:val="0"/>
                <w:bCs w:val="0"/>
              </w:rPr>
            </w:pPr>
            <w:r w:rsidRPr="00E97880">
              <w:rPr>
                <w:rFonts w:cs="Arial"/>
                <w:b w:val="0"/>
                <w:bCs w:val="0"/>
              </w:rPr>
              <w:t>2023</w:t>
            </w:r>
          </w:p>
        </w:tc>
        <w:tc>
          <w:tcPr>
            <w:tcW w:w="0" w:type="auto"/>
            <w:hideMark/>
          </w:tcPr>
          <w:p w14:paraId="2B2F41EE"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37.2</w:t>
            </w:r>
          </w:p>
        </w:tc>
        <w:tc>
          <w:tcPr>
            <w:tcW w:w="0" w:type="auto"/>
            <w:hideMark/>
          </w:tcPr>
          <w:p w14:paraId="4F011409"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2.7</w:t>
            </w:r>
          </w:p>
        </w:tc>
        <w:tc>
          <w:tcPr>
            <w:tcW w:w="0" w:type="auto"/>
            <w:hideMark/>
          </w:tcPr>
          <w:p w14:paraId="776A8F88"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2.5</w:t>
            </w:r>
          </w:p>
        </w:tc>
        <w:tc>
          <w:tcPr>
            <w:tcW w:w="0" w:type="auto"/>
            <w:hideMark/>
          </w:tcPr>
          <w:p w14:paraId="4E1154AF"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3.9</w:t>
            </w:r>
          </w:p>
        </w:tc>
      </w:tr>
      <w:tr w:rsidR="00E97880" w:rsidRPr="00E97880" w14:paraId="2F87EF21"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07919141" w14:textId="77777777" w:rsidR="00E97880" w:rsidRPr="00E97880" w:rsidRDefault="00E97880" w:rsidP="00E97880">
            <w:pPr>
              <w:spacing w:after="160" w:line="259" w:lineRule="auto"/>
              <w:rPr>
                <w:rFonts w:cs="Arial"/>
                <w:b w:val="0"/>
                <w:bCs w:val="0"/>
              </w:rPr>
            </w:pPr>
            <w:r w:rsidRPr="00E97880">
              <w:rPr>
                <w:rFonts w:cs="Arial"/>
                <w:b w:val="0"/>
                <w:bCs w:val="0"/>
              </w:rPr>
              <w:t>2024</w:t>
            </w:r>
          </w:p>
        </w:tc>
        <w:tc>
          <w:tcPr>
            <w:tcW w:w="0" w:type="auto"/>
            <w:hideMark/>
          </w:tcPr>
          <w:p w14:paraId="767E12D9"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45.1</w:t>
            </w:r>
          </w:p>
        </w:tc>
        <w:tc>
          <w:tcPr>
            <w:tcW w:w="0" w:type="auto"/>
            <w:hideMark/>
          </w:tcPr>
          <w:p w14:paraId="5DA5FD6D"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5.3</w:t>
            </w:r>
          </w:p>
        </w:tc>
        <w:tc>
          <w:tcPr>
            <w:tcW w:w="0" w:type="auto"/>
            <w:hideMark/>
          </w:tcPr>
          <w:p w14:paraId="43F81C55"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4.9</w:t>
            </w:r>
          </w:p>
        </w:tc>
        <w:tc>
          <w:tcPr>
            <w:tcW w:w="0" w:type="auto"/>
            <w:hideMark/>
          </w:tcPr>
          <w:p w14:paraId="2063CBA3"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5.7</w:t>
            </w:r>
          </w:p>
        </w:tc>
      </w:tr>
    </w:tbl>
    <w:p w14:paraId="0CED8056" w14:textId="77777777" w:rsidR="00E97880" w:rsidRPr="00E97880" w:rsidRDefault="00E97880" w:rsidP="00E97880">
      <w:pPr>
        <w:rPr>
          <w:rFonts w:cs="Arial"/>
        </w:rPr>
      </w:pPr>
      <w:r w:rsidRPr="00E97880">
        <w:rPr>
          <w:rFonts w:cs="Arial"/>
          <w:i/>
          <w:iCs/>
        </w:rPr>
        <w:t>Source: Author calculations based on Toyota Motor Corporation Annual Reports (2020–2024).</w:t>
      </w:r>
    </w:p>
    <w:p w14:paraId="634FD74F" w14:textId="77777777" w:rsidR="00E97880" w:rsidRPr="00E97880" w:rsidRDefault="00E97880" w:rsidP="00E97880">
      <w:pPr>
        <w:rPr>
          <w:rFonts w:cs="Arial"/>
        </w:rPr>
      </w:pPr>
      <w:r w:rsidRPr="00E97880">
        <w:rPr>
          <w:rFonts w:cs="Arial"/>
        </w:rPr>
        <w:t>Table 2.1 demonstrates an example of a business that has still managed to survive in the financial world despite the one of the most capital-intensive shifts in the history of modern automotive. Revenue increased from ¥29.9 trillion in 2020 to ¥45.1 trillion in 2024, representing cumulative growth of approximately 50.5%. The post-pandemic demand recovery, favourable pricing, improved product mix, currency tailwinds, and continued demand of hybrid cars stimulated this growth (Toyota Motor Corporation, 2021; Toyota Motor Corporation, 2025).</w:t>
      </w:r>
    </w:p>
    <w:p w14:paraId="0903CEB0" w14:textId="77777777" w:rsidR="00E97880" w:rsidRPr="00E97880" w:rsidRDefault="00E97880" w:rsidP="00E97880">
      <w:pPr>
        <w:rPr>
          <w:rFonts w:cs="Arial"/>
        </w:rPr>
      </w:pPr>
      <w:r w:rsidRPr="00E97880">
        <w:rPr>
          <w:rFonts w:cs="Arial"/>
        </w:rPr>
        <w:t>Nevertheless, only an increase in revenue is capable of masking economic performance. Even though operating profit increased more than twofold to ¥5.3 trillion in 2024, the profitability was skewed over the years, especially in 2021 and 2023. This was indicative of semiconductor shortage, logistics, raw material inflation and production interruptions that hit the overall automotive industry (Deloitte, 2024). Therefore, the Toyota scale advantages were not able to completely remove the external margin pressure.</w:t>
      </w:r>
    </w:p>
    <w:p w14:paraId="721CF95F" w14:textId="77777777" w:rsidR="00E97880" w:rsidRPr="00E97880" w:rsidRDefault="00E97880" w:rsidP="00E97880">
      <w:pPr>
        <w:rPr>
          <w:rFonts w:cs="Arial"/>
        </w:rPr>
      </w:pPr>
      <w:r w:rsidRPr="00E97880">
        <w:rPr>
          <w:rFonts w:cs="Arial"/>
        </w:rPr>
        <w:t>Net profit increased from ¥2.1 trillion to ¥4.9 trillion, while operating cash flow rose from ¥3.6 trillion to ¥5.7 trillion. Notably, operating cash flow was higher than the net profit in the majority of the years, which represents rather good quality of earnings and high internal liquidity generation (Brealey, Myers and Allen, 2020). This is a strategic move, because internal funds save the financing risks, at a time when large sums of money would be needed to invest in batteries, software, and platform redesign.</w:t>
      </w:r>
    </w:p>
    <w:p w14:paraId="5C979DA2" w14:textId="77777777" w:rsidR="00E97880" w:rsidRPr="00E97880" w:rsidRDefault="00E97880" w:rsidP="00E97880">
      <w:pPr>
        <w:rPr>
          <w:rFonts w:cs="Arial"/>
        </w:rPr>
      </w:pPr>
      <w:r w:rsidRPr="00E97880">
        <w:rPr>
          <w:rFonts w:cs="Arial"/>
        </w:rPr>
        <w:t>However, the big issue on finance is whether the growth has generated the corresponding value. The increasing revenues of Toyota were accompanied by increasing amounts of capital requirements, indicating that further performance will be based less on the scale growth and more on the effectiveness of the new investment in terms of generating returns exceeding the cost of capital (Damodaran, 2021).</w:t>
      </w:r>
    </w:p>
    <w:p w14:paraId="3F872DE3" w14:textId="77777777" w:rsidR="00E97880" w:rsidRPr="00E97880" w:rsidRDefault="00E97880" w:rsidP="00E97880">
      <w:pPr>
        <w:rPr>
          <w:rFonts w:cs="Arial"/>
        </w:rPr>
      </w:pPr>
    </w:p>
    <w:p w14:paraId="3FF835BB" w14:textId="77777777" w:rsidR="00E97880" w:rsidRPr="00E97880" w:rsidRDefault="00E97880" w:rsidP="00E97880">
      <w:pPr>
        <w:pStyle w:val="Heading2"/>
      </w:pPr>
      <w:bookmarkStart w:id="4" w:name="_Toc227273929"/>
      <w:r w:rsidRPr="00E97880">
        <w:t>2.2 Ratio Analysis</w:t>
      </w:r>
      <w:bookmarkEnd w:id="4"/>
    </w:p>
    <w:p w14:paraId="30321FBA" w14:textId="77777777" w:rsidR="00E97880" w:rsidRPr="00E97880" w:rsidRDefault="00E97880" w:rsidP="00E97880">
      <w:pPr>
        <w:rPr>
          <w:rFonts w:cs="Arial"/>
          <w:b/>
          <w:bCs/>
        </w:rPr>
      </w:pPr>
      <w:r w:rsidRPr="00E97880">
        <w:rPr>
          <w:rFonts w:cs="Arial"/>
          <w:b/>
          <w:bCs/>
        </w:rPr>
        <w:t>Ratio Methodology</w:t>
      </w:r>
    </w:p>
    <w:p w14:paraId="0DF7DF6A" w14:textId="77777777" w:rsidR="00E97880" w:rsidRPr="00E97880" w:rsidRDefault="00E97880" w:rsidP="00E97880">
      <w:pPr>
        <w:rPr>
          <w:rFonts w:cs="Arial"/>
        </w:rPr>
      </w:pPr>
      <w:r w:rsidRPr="00E97880">
        <w:rPr>
          <w:rFonts w:cs="Arial"/>
        </w:rPr>
        <w:t>In order to include an overarching performance analysis, the report uses five classes of ratios that include profitability, liquidity, efficiency, gearing, and investor returns. Ratio analysis is most effectively understood longitudinally and contextually and not as stand-alone annual values (Atrill, 2020).</w:t>
      </w:r>
    </w:p>
    <w:p w14:paraId="381CACB3" w14:textId="7942ABDD" w:rsidR="00E97880" w:rsidRPr="00E97880" w:rsidRDefault="00E97880" w:rsidP="00E97880">
      <w:pPr>
        <w:rPr>
          <w:rFonts w:cs="Arial"/>
        </w:rPr>
      </w:pPr>
      <w:r w:rsidRPr="00E97880">
        <w:rPr>
          <w:rFonts w:cs="Arial"/>
        </w:rPr>
        <w:t>The main ratios employed are:</w:t>
      </w:r>
    </w:p>
    <w:p w14:paraId="3F1A2A4A" w14:textId="77777777" w:rsidR="00E97880" w:rsidRPr="00E97880" w:rsidRDefault="00E97880" w:rsidP="00E97880">
      <w:pPr>
        <w:numPr>
          <w:ilvl w:val="0"/>
          <w:numId w:val="38"/>
        </w:numPr>
        <w:rPr>
          <w:rFonts w:cs="Arial"/>
        </w:rPr>
      </w:pPr>
      <w:r w:rsidRPr="00E97880">
        <w:rPr>
          <w:rFonts w:cs="Arial"/>
        </w:rPr>
        <w:t xml:space="preserve">ROCE = EBIT / (Total Assets – Current Liabilities) </w:t>
      </w:r>
    </w:p>
    <w:p w14:paraId="69D53BDC" w14:textId="77777777" w:rsidR="00E97880" w:rsidRPr="00E97880" w:rsidRDefault="00E97880" w:rsidP="00E97880">
      <w:pPr>
        <w:numPr>
          <w:ilvl w:val="0"/>
          <w:numId w:val="38"/>
        </w:numPr>
        <w:rPr>
          <w:rFonts w:cs="Arial"/>
        </w:rPr>
      </w:pPr>
      <w:r w:rsidRPr="00E97880">
        <w:rPr>
          <w:rFonts w:cs="Arial"/>
        </w:rPr>
        <w:t xml:space="preserve">Net Profit Margin = Net Profit / Revenue </w:t>
      </w:r>
    </w:p>
    <w:p w14:paraId="3466651A" w14:textId="77777777" w:rsidR="00E97880" w:rsidRPr="00E97880" w:rsidRDefault="00E97880" w:rsidP="00E97880">
      <w:pPr>
        <w:numPr>
          <w:ilvl w:val="0"/>
          <w:numId w:val="38"/>
        </w:numPr>
        <w:rPr>
          <w:rFonts w:cs="Arial"/>
        </w:rPr>
      </w:pPr>
      <w:r w:rsidRPr="00E97880">
        <w:rPr>
          <w:rFonts w:cs="Arial"/>
        </w:rPr>
        <w:t xml:space="preserve">Current Ratio = Current Assets / Current Liabilities </w:t>
      </w:r>
    </w:p>
    <w:p w14:paraId="57416BCA" w14:textId="77777777" w:rsidR="00E97880" w:rsidRPr="00E97880" w:rsidRDefault="00E97880" w:rsidP="00E97880">
      <w:pPr>
        <w:numPr>
          <w:ilvl w:val="0"/>
          <w:numId w:val="38"/>
        </w:numPr>
        <w:rPr>
          <w:rFonts w:cs="Arial"/>
        </w:rPr>
      </w:pPr>
      <w:r w:rsidRPr="00E97880">
        <w:rPr>
          <w:rFonts w:cs="Arial"/>
        </w:rPr>
        <w:t xml:space="preserve">Quick Ratio = (Current Assets – Inventory) / Current Liabilities </w:t>
      </w:r>
    </w:p>
    <w:p w14:paraId="03D0F9F4" w14:textId="77777777" w:rsidR="00E97880" w:rsidRPr="00E97880" w:rsidRDefault="00E97880" w:rsidP="00E97880">
      <w:pPr>
        <w:numPr>
          <w:ilvl w:val="0"/>
          <w:numId w:val="38"/>
        </w:numPr>
        <w:rPr>
          <w:rFonts w:cs="Arial"/>
        </w:rPr>
      </w:pPr>
      <w:r w:rsidRPr="00E97880">
        <w:rPr>
          <w:rFonts w:cs="Arial"/>
        </w:rPr>
        <w:t xml:space="preserve">Asset Turnover = Revenue / Total Assets </w:t>
      </w:r>
    </w:p>
    <w:p w14:paraId="0311C9C1" w14:textId="77777777" w:rsidR="00E97880" w:rsidRPr="00E97880" w:rsidRDefault="00E97880" w:rsidP="00E97880">
      <w:pPr>
        <w:numPr>
          <w:ilvl w:val="0"/>
          <w:numId w:val="38"/>
        </w:numPr>
        <w:rPr>
          <w:rFonts w:cs="Arial"/>
        </w:rPr>
      </w:pPr>
      <w:r w:rsidRPr="00E97880">
        <w:rPr>
          <w:rFonts w:cs="Arial"/>
        </w:rPr>
        <w:t xml:space="preserve">Inventory Days = (Inventory / Cost of Sales) × 365 </w:t>
      </w:r>
    </w:p>
    <w:p w14:paraId="5C75A8DC" w14:textId="77777777" w:rsidR="00E97880" w:rsidRPr="00E97880" w:rsidRDefault="00E97880" w:rsidP="00E97880">
      <w:pPr>
        <w:numPr>
          <w:ilvl w:val="0"/>
          <w:numId w:val="38"/>
        </w:numPr>
        <w:rPr>
          <w:rFonts w:cs="Arial"/>
        </w:rPr>
      </w:pPr>
      <w:r w:rsidRPr="00E97880">
        <w:rPr>
          <w:rFonts w:cs="Arial"/>
        </w:rPr>
        <w:t xml:space="preserve">Debt-to-Equity = Total Debt / Shareholders’ Equity </w:t>
      </w:r>
    </w:p>
    <w:p w14:paraId="28DBDF29" w14:textId="77777777" w:rsidR="00E97880" w:rsidRPr="00E97880" w:rsidRDefault="00E97880" w:rsidP="00E97880">
      <w:pPr>
        <w:numPr>
          <w:ilvl w:val="0"/>
          <w:numId w:val="38"/>
        </w:numPr>
        <w:rPr>
          <w:rFonts w:cs="Arial"/>
        </w:rPr>
      </w:pPr>
      <w:r w:rsidRPr="00E97880">
        <w:rPr>
          <w:rFonts w:cs="Arial"/>
        </w:rPr>
        <w:t xml:space="preserve">EPS = Net Profit / Shares Outstanding </w:t>
      </w:r>
    </w:p>
    <w:p w14:paraId="160CED35" w14:textId="77777777" w:rsidR="00E97880" w:rsidRPr="00E97880" w:rsidRDefault="00E97880" w:rsidP="00E97880">
      <w:pPr>
        <w:rPr>
          <w:rFonts w:cs="Arial"/>
        </w:rPr>
      </w:pPr>
      <w:r w:rsidRPr="00E97880">
        <w:rPr>
          <w:rFonts w:cs="Arial"/>
        </w:rPr>
        <w:t>(Atrill, 2020; Brealey, Myers and Allen, 2020)</w:t>
      </w:r>
    </w:p>
    <w:p w14:paraId="08F4BE68" w14:textId="2DEF2802" w:rsidR="00E97880" w:rsidRPr="00E97880" w:rsidRDefault="00E97880" w:rsidP="00E97880">
      <w:pPr>
        <w:rPr>
          <w:rFonts w:cs="Arial"/>
        </w:rPr>
      </w:pPr>
    </w:p>
    <w:p w14:paraId="30395F71" w14:textId="77777777" w:rsidR="00E97880" w:rsidRPr="00E97880" w:rsidRDefault="00E97880" w:rsidP="00E97880">
      <w:pPr>
        <w:rPr>
          <w:rFonts w:cs="Arial"/>
          <w:b/>
          <w:bCs/>
        </w:rPr>
      </w:pPr>
      <w:r w:rsidRPr="00E97880">
        <w:rPr>
          <w:rFonts w:cs="Arial"/>
          <w:b/>
          <w:bCs/>
        </w:rPr>
        <w:t>Profitability Analysis</w:t>
      </w:r>
    </w:p>
    <w:p w14:paraId="213D55C1" w14:textId="4F7773CA" w:rsidR="00E97880" w:rsidRPr="00E97880" w:rsidRDefault="00E97880" w:rsidP="00E97880">
      <w:pPr>
        <w:rPr>
          <w:rFonts w:cs="Arial"/>
          <w:b/>
          <w:bCs/>
        </w:rPr>
      </w:pPr>
      <w:r w:rsidRPr="00E97880">
        <w:rPr>
          <w:rFonts w:cs="Arial"/>
          <w:b/>
          <w:bCs/>
        </w:rPr>
        <w:t>Table 2.2: Profitability Ratios (2020–2024)</w:t>
      </w:r>
    </w:p>
    <w:tbl>
      <w:tblPr>
        <w:tblStyle w:val="GridTable1Light"/>
        <w:tblW w:w="0" w:type="auto"/>
        <w:tblLook w:val="04A0" w:firstRow="1" w:lastRow="0" w:firstColumn="1" w:lastColumn="0" w:noHBand="0" w:noVBand="1"/>
      </w:tblPr>
      <w:tblGrid>
        <w:gridCol w:w="706"/>
        <w:gridCol w:w="1255"/>
        <w:gridCol w:w="2270"/>
      </w:tblGrid>
      <w:tr w:rsidR="00E97880" w:rsidRPr="00E97880" w14:paraId="4FC340E6" w14:textId="77777777" w:rsidTr="00E978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FEDA13" w14:textId="77777777" w:rsidR="00E97880" w:rsidRPr="00E97880" w:rsidRDefault="00E97880" w:rsidP="00E97880">
            <w:pPr>
              <w:spacing w:after="160" w:line="259" w:lineRule="auto"/>
              <w:jc w:val="left"/>
              <w:rPr>
                <w:rFonts w:cs="Arial"/>
                <w:b w:val="0"/>
                <w:bCs w:val="0"/>
              </w:rPr>
            </w:pPr>
            <w:r w:rsidRPr="00E97880">
              <w:rPr>
                <w:rFonts w:cs="Arial"/>
                <w:b w:val="0"/>
                <w:bCs w:val="0"/>
              </w:rPr>
              <w:t>Year</w:t>
            </w:r>
          </w:p>
        </w:tc>
        <w:tc>
          <w:tcPr>
            <w:tcW w:w="0" w:type="auto"/>
            <w:hideMark/>
          </w:tcPr>
          <w:p w14:paraId="410103B0" w14:textId="77777777" w:rsidR="00E97880" w:rsidRPr="00E97880" w:rsidRDefault="00E97880" w:rsidP="00E97880">
            <w:pPr>
              <w:spacing w:after="160" w:line="259"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E97880">
              <w:rPr>
                <w:rFonts w:cs="Arial"/>
                <w:b w:val="0"/>
                <w:bCs w:val="0"/>
              </w:rPr>
              <w:t>ROCE (%)</w:t>
            </w:r>
          </w:p>
        </w:tc>
        <w:tc>
          <w:tcPr>
            <w:tcW w:w="0" w:type="auto"/>
            <w:hideMark/>
          </w:tcPr>
          <w:p w14:paraId="5EF74948" w14:textId="77777777" w:rsidR="00E97880" w:rsidRPr="00E97880" w:rsidRDefault="00E97880" w:rsidP="00E97880">
            <w:pPr>
              <w:spacing w:after="160" w:line="259"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E97880">
              <w:rPr>
                <w:rFonts w:cs="Arial"/>
                <w:b w:val="0"/>
                <w:bCs w:val="0"/>
              </w:rPr>
              <w:t>Net Profit Margin (%)</w:t>
            </w:r>
          </w:p>
        </w:tc>
      </w:tr>
      <w:tr w:rsidR="00E97880" w:rsidRPr="00E97880" w14:paraId="0DF3BE98"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109D870F" w14:textId="77777777" w:rsidR="00E97880" w:rsidRPr="00E97880" w:rsidRDefault="00E97880" w:rsidP="00E97880">
            <w:pPr>
              <w:spacing w:after="160" w:line="259" w:lineRule="auto"/>
              <w:rPr>
                <w:rFonts w:cs="Arial"/>
                <w:b w:val="0"/>
                <w:bCs w:val="0"/>
              </w:rPr>
            </w:pPr>
            <w:r w:rsidRPr="00E97880">
              <w:rPr>
                <w:rFonts w:cs="Arial"/>
                <w:b w:val="0"/>
                <w:bCs w:val="0"/>
              </w:rPr>
              <w:t>2020</w:t>
            </w:r>
          </w:p>
        </w:tc>
        <w:tc>
          <w:tcPr>
            <w:tcW w:w="0" w:type="auto"/>
            <w:hideMark/>
          </w:tcPr>
          <w:p w14:paraId="0652F337"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8.5</w:t>
            </w:r>
          </w:p>
        </w:tc>
        <w:tc>
          <w:tcPr>
            <w:tcW w:w="0" w:type="auto"/>
            <w:hideMark/>
          </w:tcPr>
          <w:p w14:paraId="37493144"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7.0</w:t>
            </w:r>
          </w:p>
        </w:tc>
      </w:tr>
      <w:tr w:rsidR="00E97880" w:rsidRPr="00E97880" w14:paraId="3FC80E4E"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5AE38C3B" w14:textId="77777777" w:rsidR="00E97880" w:rsidRPr="00E97880" w:rsidRDefault="00E97880" w:rsidP="00E97880">
            <w:pPr>
              <w:spacing w:after="160" w:line="259" w:lineRule="auto"/>
              <w:rPr>
                <w:rFonts w:cs="Arial"/>
                <w:b w:val="0"/>
                <w:bCs w:val="0"/>
              </w:rPr>
            </w:pPr>
            <w:r w:rsidRPr="00E97880">
              <w:rPr>
                <w:rFonts w:cs="Arial"/>
                <w:b w:val="0"/>
                <w:bCs w:val="0"/>
              </w:rPr>
              <w:t>2021</w:t>
            </w:r>
          </w:p>
        </w:tc>
        <w:tc>
          <w:tcPr>
            <w:tcW w:w="0" w:type="auto"/>
            <w:hideMark/>
          </w:tcPr>
          <w:p w14:paraId="6687AA6B"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8.0</w:t>
            </w:r>
          </w:p>
        </w:tc>
        <w:tc>
          <w:tcPr>
            <w:tcW w:w="0" w:type="auto"/>
            <w:hideMark/>
          </w:tcPr>
          <w:p w14:paraId="7DA1B5CA"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8.4</w:t>
            </w:r>
          </w:p>
        </w:tc>
      </w:tr>
      <w:tr w:rsidR="00E97880" w:rsidRPr="00E97880" w14:paraId="0C5D1051"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78D98CFD" w14:textId="77777777" w:rsidR="00E97880" w:rsidRPr="00E97880" w:rsidRDefault="00E97880" w:rsidP="00E97880">
            <w:pPr>
              <w:spacing w:after="160" w:line="259" w:lineRule="auto"/>
              <w:rPr>
                <w:rFonts w:cs="Arial"/>
                <w:b w:val="0"/>
                <w:bCs w:val="0"/>
              </w:rPr>
            </w:pPr>
            <w:r w:rsidRPr="00E97880">
              <w:rPr>
                <w:rFonts w:cs="Arial"/>
                <w:b w:val="0"/>
                <w:bCs w:val="0"/>
              </w:rPr>
              <w:t>2022</w:t>
            </w:r>
          </w:p>
        </w:tc>
        <w:tc>
          <w:tcPr>
            <w:tcW w:w="0" w:type="auto"/>
            <w:hideMark/>
          </w:tcPr>
          <w:p w14:paraId="4D02D120"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9.2</w:t>
            </w:r>
          </w:p>
        </w:tc>
        <w:tc>
          <w:tcPr>
            <w:tcW w:w="0" w:type="auto"/>
            <w:hideMark/>
          </w:tcPr>
          <w:p w14:paraId="001DA55A"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8.9</w:t>
            </w:r>
          </w:p>
        </w:tc>
      </w:tr>
      <w:tr w:rsidR="00E97880" w:rsidRPr="00E97880" w14:paraId="5FDD577D"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6947A3C1" w14:textId="77777777" w:rsidR="00E97880" w:rsidRPr="00E97880" w:rsidRDefault="00E97880" w:rsidP="00E97880">
            <w:pPr>
              <w:spacing w:after="160" w:line="259" w:lineRule="auto"/>
              <w:rPr>
                <w:rFonts w:cs="Arial"/>
                <w:b w:val="0"/>
                <w:bCs w:val="0"/>
              </w:rPr>
            </w:pPr>
            <w:r w:rsidRPr="00E97880">
              <w:rPr>
                <w:rFonts w:cs="Arial"/>
                <w:b w:val="0"/>
                <w:bCs w:val="0"/>
              </w:rPr>
              <w:t>2023</w:t>
            </w:r>
          </w:p>
        </w:tc>
        <w:tc>
          <w:tcPr>
            <w:tcW w:w="0" w:type="auto"/>
            <w:hideMark/>
          </w:tcPr>
          <w:p w14:paraId="7C621165"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8.6</w:t>
            </w:r>
          </w:p>
        </w:tc>
        <w:tc>
          <w:tcPr>
            <w:tcW w:w="0" w:type="auto"/>
            <w:hideMark/>
          </w:tcPr>
          <w:p w14:paraId="59424EFE"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6.7</w:t>
            </w:r>
          </w:p>
        </w:tc>
      </w:tr>
      <w:tr w:rsidR="00E97880" w:rsidRPr="00E97880" w14:paraId="46E7CC80"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497241DB" w14:textId="77777777" w:rsidR="00E97880" w:rsidRPr="00E97880" w:rsidRDefault="00E97880" w:rsidP="00E97880">
            <w:pPr>
              <w:spacing w:after="160" w:line="259" w:lineRule="auto"/>
              <w:rPr>
                <w:rFonts w:cs="Arial"/>
                <w:b w:val="0"/>
                <w:bCs w:val="0"/>
              </w:rPr>
            </w:pPr>
            <w:r w:rsidRPr="00E97880">
              <w:rPr>
                <w:rFonts w:cs="Arial"/>
                <w:b w:val="0"/>
                <w:bCs w:val="0"/>
              </w:rPr>
              <w:t>2024</w:t>
            </w:r>
          </w:p>
        </w:tc>
        <w:tc>
          <w:tcPr>
            <w:tcW w:w="0" w:type="auto"/>
            <w:hideMark/>
          </w:tcPr>
          <w:p w14:paraId="3F555A88"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10.2</w:t>
            </w:r>
          </w:p>
        </w:tc>
        <w:tc>
          <w:tcPr>
            <w:tcW w:w="0" w:type="auto"/>
            <w:hideMark/>
          </w:tcPr>
          <w:p w14:paraId="487EE36E"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10.8</w:t>
            </w:r>
          </w:p>
        </w:tc>
      </w:tr>
    </w:tbl>
    <w:p w14:paraId="1F3E6673" w14:textId="77777777" w:rsidR="00E97880" w:rsidRPr="00E97880" w:rsidRDefault="00E97880" w:rsidP="00E97880">
      <w:pPr>
        <w:rPr>
          <w:rFonts w:cs="Arial"/>
        </w:rPr>
      </w:pPr>
      <w:r w:rsidRPr="00E97880">
        <w:rPr>
          <w:rFonts w:cs="Arial"/>
        </w:rPr>
        <w:t>ROCE increased from 8.5% to 10.2% over the period. It was a directionally positive, but small improvement compared to the amount of revenue growth. This shows that capital used increased at a higher rate than operating returns hence low marginal productivity of new investment. This is a strategic alarm to a firm that is going to incur a lot of electrification spending.</w:t>
      </w:r>
    </w:p>
    <w:p w14:paraId="37ED00B3" w14:textId="77777777" w:rsidR="00E97880" w:rsidRPr="00E97880" w:rsidRDefault="00E97880" w:rsidP="00E97880">
      <w:pPr>
        <w:rPr>
          <w:rFonts w:cs="Arial"/>
        </w:rPr>
      </w:pPr>
      <w:r w:rsidRPr="00E97880">
        <w:rPr>
          <w:rFonts w:cs="Arial"/>
        </w:rPr>
        <w:t>Following volatility in previous years, net profit margin showed significant improvement to reach 10.8% in 2024. This indicates increased pricing discipline, operating leverage recovery and alleviation of supply-side pressures. But the volatility of margins over the five-year span suggests that profitability is not entirely structural but partially cyclical.</w:t>
      </w:r>
    </w:p>
    <w:p w14:paraId="2C7A22CB" w14:textId="1A40B257" w:rsidR="00E97880" w:rsidRPr="00E97880" w:rsidRDefault="00E97880" w:rsidP="00E97880">
      <w:pPr>
        <w:rPr>
          <w:rFonts w:cs="Arial"/>
        </w:rPr>
      </w:pPr>
      <w:r w:rsidRPr="00E97880">
        <w:rPr>
          <w:rFonts w:cs="Arial"/>
        </w:rPr>
        <w:t>Benchmarking also matters. Compared to Tesla, Inc. and BYD Company, the returns of Toyota are more moderate, indicating a legacy structure oriented towards manufacturing and a slower monetisation cycle of BEVs. In line with this, Toyota is still profitable, although it is yet to be maximally efficient in turning scale into shareholder returns.</w:t>
      </w:r>
    </w:p>
    <w:p w14:paraId="64959F95" w14:textId="50BE41CD" w:rsidR="00E97880" w:rsidRPr="00E97880" w:rsidRDefault="00E97880" w:rsidP="00E97880">
      <w:pPr>
        <w:rPr>
          <w:rFonts w:cs="Arial"/>
        </w:rPr>
      </w:pPr>
    </w:p>
    <w:p w14:paraId="5B180F2A" w14:textId="77777777" w:rsidR="00E97880" w:rsidRPr="00E97880" w:rsidRDefault="00E97880" w:rsidP="00E97880">
      <w:pPr>
        <w:rPr>
          <w:rFonts w:cs="Arial"/>
          <w:b/>
          <w:bCs/>
        </w:rPr>
      </w:pPr>
      <w:r w:rsidRPr="00E97880">
        <w:rPr>
          <w:rFonts w:cs="Arial"/>
          <w:b/>
          <w:bCs/>
        </w:rPr>
        <w:t>Liquidity Analysis</w:t>
      </w:r>
    </w:p>
    <w:p w14:paraId="450A97A6" w14:textId="77777777" w:rsidR="00E97880" w:rsidRPr="00E97880" w:rsidRDefault="00E97880" w:rsidP="00E97880">
      <w:pPr>
        <w:rPr>
          <w:rFonts w:cs="Arial"/>
          <w:b/>
          <w:bCs/>
        </w:rPr>
      </w:pPr>
      <w:r w:rsidRPr="00E97880">
        <w:rPr>
          <w:rFonts w:cs="Arial"/>
          <w:b/>
          <w:bCs/>
        </w:rPr>
        <w:t>Table 2.3: Liquidity Ratios (2020–2024)</w:t>
      </w:r>
    </w:p>
    <w:tbl>
      <w:tblPr>
        <w:tblStyle w:val="GridTable1Light"/>
        <w:tblW w:w="0" w:type="auto"/>
        <w:tblLook w:val="04A0" w:firstRow="1" w:lastRow="0" w:firstColumn="1" w:lastColumn="0" w:noHBand="0" w:noVBand="1"/>
      </w:tblPr>
      <w:tblGrid>
        <w:gridCol w:w="706"/>
        <w:gridCol w:w="1525"/>
        <w:gridCol w:w="1354"/>
      </w:tblGrid>
      <w:tr w:rsidR="00E97880" w:rsidRPr="00E97880" w14:paraId="01077DE6" w14:textId="77777777" w:rsidTr="00E978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688988" w14:textId="77777777" w:rsidR="00E97880" w:rsidRPr="00E97880" w:rsidRDefault="00E97880" w:rsidP="00E97880">
            <w:pPr>
              <w:spacing w:after="160" w:line="259" w:lineRule="auto"/>
              <w:jc w:val="left"/>
              <w:rPr>
                <w:rFonts w:cs="Arial"/>
                <w:b w:val="0"/>
                <w:bCs w:val="0"/>
              </w:rPr>
            </w:pPr>
            <w:r w:rsidRPr="00E97880">
              <w:rPr>
                <w:rFonts w:cs="Arial"/>
                <w:b w:val="0"/>
                <w:bCs w:val="0"/>
              </w:rPr>
              <w:t>Year</w:t>
            </w:r>
          </w:p>
        </w:tc>
        <w:tc>
          <w:tcPr>
            <w:tcW w:w="0" w:type="auto"/>
            <w:hideMark/>
          </w:tcPr>
          <w:p w14:paraId="3F70F229" w14:textId="77777777" w:rsidR="00E97880" w:rsidRPr="00E97880" w:rsidRDefault="00E97880" w:rsidP="00E97880">
            <w:pPr>
              <w:spacing w:after="160" w:line="259"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E97880">
              <w:rPr>
                <w:rFonts w:cs="Arial"/>
                <w:b w:val="0"/>
                <w:bCs w:val="0"/>
              </w:rPr>
              <w:t>Current Ratio</w:t>
            </w:r>
          </w:p>
        </w:tc>
        <w:tc>
          <w:tcPr>
            <w:tcW w:w="0" w:type="auto"/>
            <w:hideMark/>
          </w:tcPr>
          <w:p w14:paraId="6B06DADF" w14:textId="77777777" w:rsidR="00E97880" w:rsidRPr="00E97880" w:rsidRDefault="00E97880" w:rsidP="00E97880">
            <w:pPr>
              <w:spacing w:after="160" w:line="259"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E97880">
              <w:rPr>
                <w:rFonts w:cs="Arial"/>
                <w:b w:val="0"/>
                <w:bCs w:val="0"/>
              </w:rPr>
              <w:t>Quick Ratio</w:t>
            </w:r>
          </w:p>
        </w:tc>
      </w:tr>
      <w:tr w:rsidR="00E97880" w:rsidRPr="00E97880" w14:paraId="2492ADB7"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17758ECA" w14:textId="77777777" w:rsidR="00E97880" w:rsidRPr="00E97880" w:rsidRDefault="00E97880" w:rsidP="00E97880">
            <w:pPr>
              <w:spacing w:after="160" w:line="259" w:lineRule="auto"/>
              <w:rPr>
                <w:rFonts w:cs="Arial"/>
                <w:b w:val="0"/>
                <w:bCs w:val="0"/>
              </w:rPr>
            </w:pPr>
            <w:r w:rsidRPr="00E97880">
              <w:rPr>
                <w:rFonts w:cs="Arial"/>
                <w:b w:val="0"/>
                <w:bCs w:val="0"/>
              </w:rPr>
              <w:t>2020</w:t>
            </w:r>
          </w:p>
        </w:tc>
        <w:tc>
          <w:tcPr>
            <w:tcW w:w="0" w:type="auto"/>
            <w:hideMark/>
          </w:tcPr>
          <w:p w14:paraId="13F391A3"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1.10</w:t>
            </w:r>
          </w:p>
        </w:tc>
        <w:tc>
          <w:tcPr>
            <w:tcW w:w="0" w:type="auto"/>
            <w:hideMark/>
          </w:tcPr>
          <w:p w14:paraId="0226C650"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0.90</w:t>
            </w:r>
          </w:p>
        </w:tc>
      </w:tr>
      <w:tr w:rsidR="00E97880" w:rsidRPr="00E97880" w14:paraId="7CBC9C04"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2A1EFB9F" w14:textId="77777777" w:rsidR="00E97880" w:rsidRPr="00E97880" w:rsidRDefault="00E97880" w:rsidP="00E97880">
            <w:pPr>
              <w:spacing w:after="160" w:line="259" w:lineRule="auto"/>
              <w:rPr>
                <w:rFonts w:cs="Arial"/>
                <w:b w:val="0"/>
                <w:bCs w:val="0"/>
              </w:rPr>
            </w:pPr>
            <w:r w:rsidRPr="00E97880">
              <w:rPr>
                <w:rFonts w:cs="Arial"/>
                <w:b w:val="0"/>
                <w:bCs w:val="0"/>
              </w:rPr>
              <w:t>2021</w:t>
            </w:r>
          </w:p>
        </w:tc>
        <w:tc>
          <w:tcPr>
            <w:tcW w:w="0" w:type="auto"/>
            <w:hideMark/>
          </w:tcPr>
          <w:p w14:paraId="01A7C317"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1.15</w:t>
            </w:r>
          </w:p>
        </w:tc>
        <w:tc>
          <w:tcPr>
            <w:tcW w:w="0" w:type="auto"/>
            <w:hideMark/>
          </w:tcPr>
          <w:p w14:paraId="1BF40DA8"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0.92</w:t>
            </w:r>
          </w:p>
        </w:tc>
      </w:tr>
      <w:tr w:rsidR="00E97880" w:rsidRPr="00E97880" w14:paraId="7FE59FB4"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6ABA3911" w14:textId="77777777" w:rsidR="00E97880" w:rsidRPr="00E97880" w:rsidRDefault="00E97880" w:rsidP="00E97880">
            <w:pPr>
              <w:spacing w:after="160" w:line="259" w:lineRule="auto"/>
              <w:rPr>
                <w:rFonts w:cs="Arial"/>
                <w:b w:val="0"/>
                <w:bCs w:val="0"/>
              </w:rPr>
            </w:pPr>
            <w:r w:rsidRPr="00E97880">
              <w:rPr>
                <w:rFonts w:cs="Arial"/>
                <w:b w:val="0"/>
                <w:bCs w:val="0"/>
              </w:rPr>
              <w:t>2022</w:t>
            </w:r>
          </w:p>
        </w:tc>
        <w:tc>
          <w:tcPr>
            <w:tcW w:w="0" w:type="auto"/>
            <w:hideMark/>
          </w:tcPr>
          <w:p w14:paraId="052C2582"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1.20</w:t>
            </w:r>
          </w:p>
        </w:tc>
        <w:tc>
          <w:tcPr>
            <w:tcW w:w="0" w:type="auto"/>
            <w:hideMark/>
          </w:tcPr>
          <w:p w14:paraId="09A7A806"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0.95</w:t>
            </w:r>
          </w:p>
        </w:tc>
      </w:tr>
      <w:tr w:rsidR="00E97880" w:rsidRPr="00E97880" w14:paraId="0B82016A"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272CBF11" w14:textId="77777777" w:rsidR="00E97880" w:rsidRPr="00E97880" w:rsidRDefault="00E97880" w:rsidP="00E97880">
            <w:pPr>
              <w:spacing w:after="160" w:line="259" w:lineRule="auto"/>
              <w:rPr>
                <w:rFonts w:cs="Arial"/>
                <w:b w:val="0"/>
                <w:bCs w:val="0"/>
              </w:rPr>
            </w:pPr>
            <w:r w:rsidRPr="00E97880">
              <w:rPr>
                <w:rFonts w:cs="Arial"/>
                <w:b w:val="0"/>
                <w:bCs w:val="0"/>
              </w:rPr>
              <w:t>2023</w:t>
            </w:r>
          </w:p>
        </w:tc>
        <w:tc>
          <w:tcPr>
            <w:tcW w:w="0" w:type="auto"/>
            <w:hideMark/>
          </w:tcPr>
          <w:p w14:paraId="7AAAC09F"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1.18</w:t>
            </w:r>
          </w:p>
        </w:tc>
        <w:tc>
          <w:tcPr>
            <w:tcW w:w="0" w:type="auto"/>
            <w:hideMark/>
          </w:tcPr>
          <w:p w14:paraId="03AC7E9D"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0.93</w:t>
            </w:r>
          </w:p>
        </w:tc>
      </w:tr>
      <w:tr w:rsidR="00E97880" w:rsidRPr="00E97880" w14:paraId="3D158713"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157CF1B6" w14:textId="77777777" w:rsidR="00E97880" w:rsidRPr="00E97880" w:rsidRDefault="00E97880" w:rsidP="00E97880">
            <w:pPr>
              <w:spacing w:after="160" w:line="259" w:lineRule="auto"/>
              <w:rPr>
                <w:rFonts w:cs="Arial"/>
                <w:b w:val="0"/>
                <w:bCs w:val="0"/>
              </w:rPr>
            </w:pPr>
            <w:r w:rsidRPr="00E97880">
              <w:rPr>
                <w:rFonts w:cs="Arial"/>
                <w:b w:val="0"/>
                <w:bCs w:val="0"/>
              </w:rPr>
              <w:t>2024</w:t>
            </w:r>
          </w:p>
        </w:tc>
        <w:tc>
          <w:tcPr>
            <w:tcW w:w="0" w:type="auto"/>
            <w:hideMark/>
          </w:tcPr>
          <w:p w14:paraId="7551A16A"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1.25</w:t>
            </w:r>
          </w:p>
        </w:tc>
        <w:tc>
          <w:tcPr>
            <w:tcW w:w="0" w:type="auto"/>
            <w:hideMark/>
          </w:tcPr>
          <w:p w14:paraId="57AA5897"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1.00</w:t>
            </w:r>
          </w:p>
        </w:tc>
      </w:tr>
    </w:tbl>
    <w:p w14:paraId="3650FACA" w14:textId="77777777" w:rsidR="00E97880" w:rsidRPr="00E97880" w:rsidRDefault="00E97880" w:rsidP="00E97880">
      <w:pPr>
        <w:rPr>
          <w:rFonts w:cs="Arial"/>
        </w:rPr>
      </w:pPr>
      <w:r w:rsidRPr="00E97880">
        <w:rPr>
          <w:rFonts w:cs="Arial"/>
        </w:rPr>
        <w:t>Toyota had a satisfactory short-term liquidity profile during the period. The current ratio was also improved compared to 1.10, and the quick ratio increased to 1.00 by 2024, which means that current liabilities are better covered immediately.</w:t>
      </w:r>
    </w:p>
    <w:p w14:paraId="5BB1EB60" w14:textId="77777777" w:rsidR="00E97880" w:rsidRPr="00E97880" w:rsidRDefault="00E97880" w:rsidP="00E97880">
      <w:pPr>
        <w:rPr>
          <w:rFonts w:cs="Arial"/>
        </w:rPr>
      </w:pPr>
      <w:r w:rsidRPr="00E97880">
        <w:rPr>
          <w:rFonts w:cs="Arial"/>
        </w:rPr>
        <w:t>Nonetheless, the liquidity ratios on the headlines need to be interpreted carefully. The consolidated balance sheet of Toyota incorporates Toyota Financial Services which structurally changes the make up of the receivables, borrowings and current liabilities. In this aspect, it is important to compare it with pure manufacturing peers without adjustment which may be misleading.</w:t>
      </w:r>
    </w:p>
    <w:p w14:paraId="2AFEC04E" w14:textId="539FB377" w:rsidR="00E97880" w:rsidRPr="00E97880" w:rsidRDefault="00E97880" w:rsidP="00E97880">
      <w:pPr>
        <w:rPr>
          <w:rFonts w:cs="Arial"/>
        </w:rPr>
      </w:pPr>
      <w:r w:rsidRPr="00E97880">
        <w:rPr>
          <w:rFonts w:cs="Arial"/>
        </w:rPr>
        <w:t>Nevertheless, previous quick ratios of less than 1.0 suggest that it relies to a certain degree on the realisation of inventory to settle the obligations. This may decrease flexibility in liquidity in a volatile supply-chain environment. Thus, Toyota is not liquidity-constrained; however, it is still strategically desirable to have a higher working capital discipline.</w:t>
      </w:r>
    </w:p>
    <w:p w14:paraId="0A244442" w14:textId="297A37DF" w:rsidR="00E97880" w:rsidRPr="00E97880" w:rsidRDefault="00E97880" w:rsidP="00E97880">
      <w:pPr>
        <w:rPr>
          <w:rFonts w:cs="Arial"/>
        </w:rPr>
      </w:pPr>
    </w:p>
    <w:p w14:paraId="2C5B5C3D" w14:textId="77777777" w:rsidR="00E97880" w:rsidRPr="00E97880" w:rsidRDefault="00E97880" w:rsidP="00E97880">
      <w:pPr>
        <w:rPr>
          <w:rFonts w:cs="Arial"/>
          <w:b/>
          <w:bCs/>
        </w:rPr>
      </w:pPr>
      <w:r w:rsidRPr="00E97880">
        <w:rPr>
          <w:rFonts w:cs="Arial"/>
          <w:b/>
          <w:bCs/>
        </w:rPr>
        <w:t>Efficiency Analysis</w:t>
      </w:r>
    </w:p>
    <w:p w14:paraId="47EE55D8" w14:textId="77777777" w:rsidR="00E97880" w:rsidRPr="00E97880" w:rsidRDefault="00E97880" w:rsidP="00E97880">
      <w:pPr>
        <w:rPr>
          <w:rFonts w:cs="Arial"/>
          <w:b/>
          <w:bCs/>
        </w:rPr>
      </w:pPr>
      <w:r w:rsidRPr="00E97880">
        <w:rPr>
          <w:rFonts w:cs="Arial"/>
          <w:b/>
          <w:bCs/>
        </w:rPr>
        <w:t>Table 2.4: Efficiency Ratios (2020–2024)</w:t>
      </w:r>
    </w:p>
    <w:tbl>
      <w:tblPr>
        <w:tblStyle w:val="GridTable1Light"/>
        <w:tblW w:w="0" w:type="auto"/>
        <w:tblLook w:val="04A0" w:firstRow="1" w:lastRow="0" w:firstColumn="1" w:lastColumn="0" w:noHBand="0" w:noVBand="1"/>
      </w:tblPr>
      <w:tblGrid>
        <w:gridCol w:w="706"/>
        <w:gridCol w:w="1696"/>
        <w:gridCol w:w="1684"/>
      </w:tblGrid>
      <w:tr w:rsidR="00E97880" w:rsidRPr="00E97880" w14:paraId="0F9C8A71" w14:textId="77777777" w:rsidTr="00E978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601677" w14:textId="77777777" w:rsidR="00E97880" w:rsidRPr="00E97880" w:rsidRDefault="00E97880" w:rsidP="00E97880">
            <w:pPr>
              <w:spacing w:after="160" w:line="259" w:lineRule="auto"/>
              <w:jc w:val="left"/>
              <w:rPr>
                <w:rFonts w:cs="Arial"/>
                <w:b w:val="0"/>
                <w:bCs w:val="0"/>
              </w:rPr>
            </w:pPr>
            <w:r w:rsidRPr="00E97880">
              <w:rPr>
                <w:rFonts w:cs="Arial"/>
                <w:b w:val="0"/>
                <w:bCs w:val="0"/>
              </w:rPr>
              <w:t>Year</w:t>
            </w:r>
          </w:p>
        </w:tc>
        <w:tc>
          <w:tcPr>
            <w:tcW w:w="0" w:type="auto"/>
            <w:hideMark/>
          </w:tcPr>
          <w:p w14:paraId="0A4A824A" w14:textId="77777777" w:rsidR="00E97880" w:rsidRPr="00E97880" w:rsidRDefault="00E97880" w:rsidP="00E97880">
            <w:pPr>
              <w:spacing w:after="160" w:line="259"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E97880">
              <w:rPr>
                <w:rFonts w:cs="Arial"/>
                <w:b w:val="0"/>
                <w:bCs w:val="0"/>
              </w:rPr>
              <w:t>Asset Turnover</w:t>
            </w:r>
          </w:p>
        </w:tc>
        <w:tc>
          <w:tcPr>
            <w:tcW w:w="0" w:type="auto"/>
            <w:hideMark/>
          </w:tcPr>
          <w:p w14:paraId="6775070E" w14:textId="77777777" w:rsidR="00E97880" w:rsidRPr="00E97880" w:rsidRDefault="00E97880" w:rsidP="00E97880">
            <w:pPr>
              <w:spacing w:after="160" w:line="259"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E97880">
              <w:rPr>
                <w:rFonts w:cs="Arial"/>
                <w:b w:val="0"/>
                <w:bCs w:val="0"/>
              </w:rPr>
              <w:t>Inventory Days</w:t>
            </w:r>
          </w:p>
        </w:tc>
      </w:tr>
      <w:tr w:rsidR="00E97880" w:rsidRPr="00E97880" w14:paraId="14CDF6D0"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0377C92D" w14:textId="77777777" w:rsidR="00E97880" w:rsidRPr="00E97880" w:rsidRDefault="00E97880" w:rsidP="00E97880">
            <w:pPr>
              <w:spacing w:after="160" w:line="259" w:lineRule="auto"/>
              <w:rPr>
                <w:rFonts w:cs="Arial"/>
                <w:b w:val="0"/>
                <w:bCs w:val="0"/>
              </w:rPr>
            </w:pPr>
            <w:r w:rsidRPr="00E97880">
              <w:rPr>
                <w:rFonts w:cs="Arial"/>
                <w:b w:val="0"/>
                <w:bCs w:val="0"/>
              </w:rPr>
              <w:t>2020</w:t>
            </w:r>
          </w:p>
        </w:tc>
        <w:tc>
          <w:tcPr>
            <w:tcW w:w="0" w:type="auto"/>
            <w:hideMark/>
          </w:tcPr>
          <w:p w14:paraId="256D78B3"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0.65</w:t>
            </w:r>
          </w:p>
        </w:tc>
        <w:tc>
          <w:tcPr>
            <w:tcW w:w="0" w:type="auto"/>
            <w:hideMark/>
          </w:tcPr>
          <w:p w14:paraId="73BC2B17"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55</w:t>
            </w:r>
          </w:p>
        </w:tc>
      </w:tr>
      <w:tr w:rsidR="00E97880" w:rsidRPr="00E97880" w14:paraId="2F4D7732"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3C823AF1" w14:textId="77777777" w:rsidR="00E97880" w:rsidRPr="00E97880" w:rsidRDefault="00E97880" w:rsidP="00E97880">
            <w:pPr>
              <w:spacing w:after="160" w:line="259" w:lineRule="auto"/>
              <w:rPr>
                <w:rFonts w:cs="Arial"/>
                <w:b w:val="0"/>
                <w:bCs w:val="0"/>
              </w:rPr>
            </w:pPr>
            <w:r w:rsidRPr="00E97880">
              <w:rPr>
                <w:rFonts w:cs="Arial"/>
                <w:b w:val="0"/>
                <w:bCs w:val="0"/>
              </w:rPr>
              <w:t>2021</w:t>
            </w:r>
          </w:p>
        </w:tc>
        <w:tc>
          <w:tcPr>
            <w:tcW w:w="0" w:type="auto"/>
            <w:hideMark/>
          </w:tcPr>
          <w:p w14:paraId="6B1BFDEC"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0.60</w:t>
            </w:r>
          </w:p>
        </w:tc>
        <w:tc>
          <w:tcPr>
            <w:tcW w:w="0" w:type="auto"/>
            <w:hideMark/>
          </w:tcPr>
          <w:p w14:paraId="2BE946CA"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58</w:t>
            </w:r>
          </w:p>
        </w:tc>
      </w:tr>
      <w:tr w:rsidR="00E97880" w:rsidRPr="00E97880" w14:paraId="715F32BF"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49E27B67" w14:textId="77777777" w:rsidR="00E97880" w:rsidRPr="00E97880" w:rsidRDefault="00E97880" w:rsidP="00E97880">
            <w:pPr>
              <w:spacing w:after="160" w:line="259" w:lineRule="auto"/>
              <w:rPr>
                <w:rFonts w:cs="Arial"/>
                <w:b w:val="0"/>
                <w:bCs w:val="0"/>
              </w:rPr>
            </w:pPr>
            <w:r w:rsidRPr="00E97880">
              <w:rPr>
                <w:rFonts w:cs="Arial"/>
                <w:b w:val="0"/>
                <w:bCs w:val="0"/>
              </w:rPr>
              <w:t>2022</w:t>
            </w:r>
          </w:p>
        </w:tc>
        <w:tc>
          <w:tcPr>
            <w:tcW w:w="0" w:type="auto"/>
            <w:hideMark/>
          </w:tcPr>
          <w:p w14:paraId="10A4E7C7"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0.62</w:t>
            </w:r>
          </w:p>
        </w:tc>
        <w:tc>
          <w:tcPr>
            <w:tcW w:w="0" w:type="auto"/>
            <w:hideMark/>
          </w:tcPr>
          <w:p w14:paraId="215C6A1A"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60</w:t>
            </w:r>
          </w:p>
        </w:tc>
      </w:tr>
      <w:tr w:rsidR="00E97880" w:rsidRPr="00E97880" w14:paraId="221CA495"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6C2AB847" w14:textId="77777777" w:rsidR="00E97880" w:rsidRPr="00E97880" w:rsidRDefault="00E97880" w:rsidP="00E97880">
            <w:pPr>
              <w:spacing w:after="160" w:line="259" w:lineRule="auto"/>
              <w:rPr>
                <w:rFonts w:cs="Arial"/>
                <w:b w:val="0"/>
                <w:bCs w:val="0"/>
              </w:rPr>
            </w:pPr>
            <w:r w:rsidRPr="00E97880">
              <w:rPr>
                <w:rFonts w:cs="Arial"/>
                <w:b w:val="0"/>
                <w:bCs w:val="0"/>
              </w:rPr>
              <w:t>2023</w:t>
            </w:r>
          </w:p>
        </w:tc>
        <w:tc>
          <w:tcPr>
            <w:tcW w:w="0" w:type="auto"/>
            <w:hideMark/>
          </w:tcPr>
          <w:p w14:paraId="3DEC7567"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0.59</w:t>
            </w:r>
          </w:p>
        </w:tc>
        <w:tc>
          <w:tcPr>
            <w:tcW w:w="0" w:type="auto"/>
            <w:hideMark/>
          </w:tcPr>
          <w:p w14:paraId="3360C2C4"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63</w:t>
            </w:r>
          </w:p>
        </w:tc>
      </w:tr>
      <w:tr w:rsidR="00E97880" w:rsidRPr="00E97880" w14:paraId="75698989"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3FE2B7A1" w14:textId="77777777" w:rsidR="00E97880" w:rsidRPr="00E97880" w:rsidRDefault="00E97880" w:rsidP="00E97880">
            <w:pPr>
              <w:spacing w:after="160" w:line="259" w:lineRule="auto"/>
              <w:rPr>
                <w:rFonts w:cs="Arial"/>
                <w:b w:val="0"/>
                <w:bCs w:val="0"/>
              </w:rPr>
            </w:pPr>
            <w:r w:rsidRPr="00E97880">
              <w:rPr>
                <w:rFonts w:cs="Arial"/>
                <w:b w:val="0"/>
                <w:bCs w:val="0"/>
              </w:rPr>
              <w:t>2024</w:t>
            </w:r>
          </w:p>
        </w:tc>
        <w:tc>
          <w:tcPr>
            <w:tcW w:w="0" w:type="auto"/>
            <w:hideMark/>
          </w:tcPr>
          <w:p w14:paraId="77AB6A9C"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0.61</w:t>
            </w:r>
          </w:p>
        </w:tc>
        <w:tc>
          <w:tcPr>
            <w:tcW w:w="0" w:type="auto"/>
            <w:hideMark/>
          </w:tcPr>
          <w:p w14:paraId="0625DBAF"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65</w:t>
            </w:r>
          </w:p>
        </w:tc>
      </w:tr>
    </w:tbl>
    <w:p w14:paraId="6E571B6E" w14:textId="77777777" w:rsidR="00E97880" w:rsidRPr="00E97880" w:rsidRDefault="00E97880" w:rsidP="00E97880">
      <w:pPr>
        <w:rPr>
          <w:rFonts w:cs="Arial"/>
        </w:rPr>
      </w:pPr>
      <w:r w:rsidRPr="00E97880">
        <w:rPr>
          <w:rFonts w:cs="Arial"/>
        </w:rPr>
        <w:t>The most important structural issue in the financial profile of Toyota is efficiency ratios. The overall asset turnover decreased (to 0.61) and the efficiency of the invested assets to generate revenue decreased. This indicates that the recent investment of capital is yet to be converted into productive output in full.</w:t>
      </w:r>
    </w:p>
    <w:p w14:paraId="1EC44FE3" w14:textId="77777777" w:rsidR="00E97880" w:rsidRPr="00E97880" w:rsidRDefault="00E97880" w:rsidP="00E97880">
      <w:pPr>
        <w:rPr>
          <w:rFonts w:cs="Arial"/>
        </w:rPr>
      </w:pPr>
      <w:r w:rsidRPr="00E97880">
        <w:rPr>
          <w:rFonts w:cs="Arial"/>
        </w:rPr>
        <w:t>The inventory days were rising steadily between 55 and 65. Although some of this rise could be explained by semiconductor shortages and supply issues, the continuing trend suggests more complexity of operation that is related to diversification of platforms, intensity of components, and transition inventory.</w:t>
      </w:r>
    </w:p>
    <w:p w14:paraId="368BF42B" w14:textId="6C3973EE" w:rsidR="00E97880" w:rsidRPr="00E97880" w:rsidRDefault="00E97880" w:rsidP="00E97880">
      <w:pPr>
        <w:rPr>
          <w:rFonts w:cs="Arial"/>
        </w:rPr>
      </w:pPr>
      <w:r w:rsidRPr="00E97880">
        <w:rPr>
          <w:rFonts w:cs="Arial"/>
        </w:rPr>
        <w:t>This is an important trend since inventory is not just a logistics problem, but a locked-up capital. Increasing inventory days consume the liquidity, the flexibility of free cash flow, and impose a negative pressure on ROCE. Unless rectified, the operational scale might persist in increasing at a higher rate than economic efficiency.</w:t>
      </w:r>
    </w:p>
    <w:p w14:paraId="3222F262" w14:textId="00FDF3AF" w:rsidR="00E97880" w:rsidRPr="00E97880" w:rsidRDefault="00E97880" w:rsidP="00E97880">
      <w:pPr>
        <w:rPr>
          <w:rFonts w:cs="Arial"/>
        </w:rPr>
      </w:pPr>
    </w:p>
    <w:p w14:paraId="01B96E80" w14:textId="77777777" w:rsidR="00E97880" w:rsidRPr="00E97880" w:rsidRDefault="00E97880" w:rsidP="00E97880">
      <w:pPr>
        <w:rPr>
          <w:rFonts w:cs="Arial"/>
          <w:b/>
          <w:bCs/>
        </w:rPr>
      </w:pPr>
      <w:r w:rsidRPr="00E97880">
        <w:rPr>
          <w:rFonts w:cs="Arial"/>
          <w:b/>
          <w:bCs/>
        </w:rPr>
        <w:t>Gearing Analysis</w:t>
      </w:r>
    </w:p>
    <w:p w14:paraId="41D0D042" w14:textId="77777777" w:rsidR="00E97880" w:rsidRPr="00E97880" w:rsidRDefault="00E97880" w:rsidP="00E97880">
      <w:pPr>
        <w:rPr>
          <w:rFonts w:cs="Arial"/>
          <w:b/>
          <w:bCs/>
        </w:rPr>
      </w:pPr>
      <w:r w:rsidRPr="00E97880">
        <w:rPr>
          <w:rFonts w:cs="Arial"/>
          <w:b/>
          <w:bCs/>
        </w:rPr>
        <w:t>Table 2.5: Capital Structure (2020–2024)</w:t>
      </w:r>
    </w:p>
    <w:tbl>
      <w:tblPr>
        <w:tblStyle w:val="GridTable1Light"/>
        <w:tblW w:w="0" w:type="auto"/>
        <w:tblLook w:val="04A0" w:firstRow="1" w:lastRow="0" w:firstColumn="1" w:lastColumn="0" w:noHBand="0" w:noVBand="1"/>
      </w:tblPr>
      <w:tblGrid>
        <w:gridCol w:w="706"/>
        <w:gridCol w:w="1623"/>
      </w:tblGrid>
      <w:tr w:rsidR="00E97880" w:rsidRPr="00E97880" w14:paraId="32C8F6E6" w14:textId="77777777" w:rsidTr="00E978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D250D2" w14:textId="77777777" w:rsidR="00E97880" w:rsidRPr="00E97880" w:rsidRDefault="00E97880" w:rsidP="00E97880">
            <w:pPr>
              <w:spacing w:after="160" w:line="259" w:lineRule="auto"/>
              <w:jc w:val="left"/>
              <w:rPr>
                <w:rFonts w:cs="Arial"/>
                <w:b w:val="0"/>
                <w:bCs w:val="0"/>
              </w:rPr>
            </w:pPr>
            <w:r w:rsidRPr="00E97880">
              <w:rPr>
                <w:rFonts w:cs="Arial"/>
                <w:b w:val="0"/>
                <w:bCs w:val="0"/>
              </w:rPr>
              <w:t>Year</w:t>
            </w:r>
          </w:p>
        </w:tc>
        <w:tc>
          <w:tcPr>
            <w:tcW w:w="0" w:type="auto"/>
            <w:hideMark/>
          </w:tcPr>
          <w:p w14:paraId="59732E6D" w14:textId="77777777" w:rsidR="00E97880" w:rsidRPr="00E97880" w:rsidRDefault="00E97880" w:rsidP="00E97880">
            <w:pPr>
              <w:spacing w:after="160" w:line="259"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E97880">
              <w:rPr>
                <w:rFonts w:cs="Arial"/>
                <w:b w:val="0"/>
                <w:bCs w:val="0"/>
              </w:rPr>
              <w:t>Debt-to-Equity</w:t>
            </w:r>
          </w:p>
        </w:tc>
      </w:tr>
      <w:tr w:rsidR="00E97880" w:rsidRPr="00E97880" w14:paraId="618F3277"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62B4A43A" w14:textId="77777777" w:rsidR="00E97880" w:rsidRPr="00E97880" w:rsidRDefault="00E97880" w:rsidP="00E97880">
            <w:pPr>
              <w:spacing w:after="160" w:line="259" w:lineRule="auto"/>
              <w:rPr>
                <w:rFonts w:cs="Arial"/>
                <w:b w:val="0"/>
                <w:bCs w:val="0"/>
              </w:rPr>
            </w:pPr>
            <w:r w:rsidRPr="00E97880">
              <w:rPr>
                <w:rFonts w:cs="Arial"/>
                <w:b w:val="0"/>
                <w:bCs w:val="0"/>
              </w:rPr>
              <w:t>2020</w:t>
            </w:r>
          </w:p>
        </w:tc>
        <w:tc>
          <w:tcPr>
            <w:tcW w:w="0" w:type="auto"/>
            <w:hideMark/>
          </w:tcPr>
          <w:p w14:paraId="470D3AA2"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1.10</w:t>
            </w:r>
          </w:p>
        </w:tc>
      </w:tr>
      <w:tr w:rsidR="00E97880" w:rsidRPr="00E97880" w14:paraId="27919073"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4D8FE25C" w14:textId="77777777" w:rsidR="00E97880" w:rsidRPr="00E97880" w:rsidRDefault="00E97880" w:rsidP="00E97880">
            <w:pPr>
              <w:spacing w:after="160" w:line="259" w:lineRule="auto"/>
              <w:rPr>
                <w:rFonts w:cs="Arial"/>
                <w:b w:val="0"/>
                <w:bCs w:val="0"/>
              </w:rPr>
            </w:pPr>
            <w:r w:rsidRPr="00E97880">
              <w:rPr>
                <w:rFonts w:cs="Arial"/>
                <w:b w:val="0"/>
                <w:bCs w:val="0"/>
              </w:rPr>
              <w:t>2021</w:t>
            </w:r>
          </w:p>
        </w:tc>
        <w:tc>
          <w:tcPr>
            <w:tcW w:w="0" w:type="auto"/>
            <w:hideMark/>
          </w:tcPr>
          <w:p w14:paraId="23EBC92D"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1.15</w:t>
            </w:r>
          </w:p>
        </w:tc>
      </w:tr>
      <w:tr w:rsidR="00E97880" w:rsidRPr="00E97880" w14:paraId="7CB58B10"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165F6219" w14:textId="77777777" w:rsidR="00E97880" w:rsidRPr="00E97880" w:rsidRDefault="00E97880" w:rsidP="00E97880">
            <w:pPr>
              <w:spacing w:after="160" w:line="259" w:lineRule="auto"/>
              <w:rPr>
                <w:rFonts w:cs="Arial"/>
                <w:b w:val="0"/>
                <w:bCs w:val="0"/>
              </w:rPr>
            </w:pPr>
            <w:r w:rsidRPr="00E97880">
              <w:rPr>
                <w:rFonts w:cs="Arial"/>
                <w:b w:val="0"/>
                <w:bCs w:val="0"/>
              </w:rPr>
              <w:t>2022</w:t>
            </w:r>
          </w:p>
        </w:tc>
        <w:tc>
          <w:tcPr>
            <w:tcW w:w="0" w:type="auto"/>
            <w:hideMark/>
          </w:tcPr>
          <w:p w14:paraId="64431626"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1.20</w:t>
            </w:r>
          </w:p>
        </w:tc>
      </w:tr>
      <w:tr w:rsidR="00E97880" w:rsidRPr="00E97880" w14:paraId="06EDA78D"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5BA4EE28" w14:textId="77777777" w:rsidR="00E97880" w:rsidRPr="00E97880" w:rsidRDefault="00E97880" w:rsidP="00E97880">
            <w:pPr>
              <w:spacing w:after="160" w:line="259" w:lineRule="auto"/>
              <w:rPr>
                <w:rFonts w:cs="Arial"/>
                <w:b w:val="0"/>
                <w:bCs w:val="0"/>
              </w:rPr>
            </w:pPr>
            <w:r w:rsidRPr="00E97880">
              <w:rPr>
                <w:rFonts w:cs="Arial"/>
                <w:b w:val="0"/>
                <w:bCs w:val="0"/>
              </w:rPr>
              <w:t>2023</w:t>
            </w:r>
          </w:p>
        </w:tc>
        <w:tc>
          <w:tcPr>
            <w:tcW w:w="0" w:type="auto"/>
            <w:hideMark/>
          </w:tcPr>
          <w:p w14:paraId="61514C6C"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1.18</w:t>
            </w:r>
          </w:p>
        </w:tc>
      </w:tr>
      <w:tr w:rsidR="00E97880" w:rsidRPr="00E97880" w14:paraId="0147A3AB"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6641774E" w14:textId="77777777" w:rsidR="00E97880" w:rsidRPr="00E97880" w:rsidRDefault="00E97880" w:rsidP="00E97880">
            <w:pPr>
              <w:spacing w:after="160" w:line="259" w:lineRule="auto"/>
              <w:rPr>
                <w:rFonts w:cs="Arial"/>
                <w:b w:val="0"/>
                <w:bCs w:val="0"/>
              </w:rPr>
            </w:pPr>
            <w:r w:rsidRPr="00E97880">
              <w:rPr>
                <w:rFonts w:cs="Arial"/>
                <w:b w:val="0"/>
                <w:bCs w:val="0"/>
              </w:rPr>
              <w:t>2024</w:t>
            </w:r>
          </w:p>
        </w:tc>
        <w:tc>
          <w:tcPr>
            <w:tcW w:w="0" w:type="auto"/>
            <w:hideMark/>
          </w:tcPr>
          <w:p w14:paraId="788AD62E"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1.12</w:t>
            </w:r>
          </w:p>
        </w:tc>
      </w:tr>
    </w:tbl>
    <w:p w14:paraId="5FB57133" w14:textId="77777777" w:rsidR="00E97880" w:rsidRPr="00E97880" w:rsidRDefault="00E97880" w:rsidP="00E97880">
      <w:pPr>
        <w:rPr>
          <w:rFonts w:cs="Arial"/>
        </w:rPr>
      </w:pPr>
      <w:r w:rsidRPr="00E97880">
        <w:rPr>
          <w:rFonts w:cs="Arial"/>
        </w:rPr>
        <w:t>Toyota has had a moderate leverage in the period. The debt-to-equity ratio has gone up slightly and then declined to 1.12 in 2024, which suggests that the balance sheet is being managed well in spite of the high investment commitments.</w:t>
      </w:r>
    </w:p>
    <w:p w14:paraId="4EC48E70" w14:textId="77777777" w:rsidR="00E97880" w:rsidRPr="00E97880" w:rsidRDefault="00E97880" w:rsidP="00E97880">
      <w:pPr>
        <w:rPr>
          <w:rFonts w:cs="Arial"/>
        </w:rPr>
      </w:pPr>
      <w:r w:rsidRPr="00E97880">
        <w:rPr>
          <w:rFonts w:cs="Arial"/>
        </w:rPr>
        <w:t>Trade-off theory would suggest that moderate leverage can increase value by promoting tax efficiency and avoiding too much financial distress (Modigliani and Miller, 1958; Kraus and Litzenberger, 1973). This balanced capital structure is supported by the size, creditworthiness, and the repetitive cash flows that Toyota has.</w:t>
      </w:r>
    </w:p>
    <w:p w14:paraId="21F9D198" w14:textId="65994184" w:rsidR="00E97880" w:rsidRPr="00E97880" w:rsidRDefault="00E97880" w:rsidP="00E97880">
      <w:pPr>
        <w:rPr>
          <w:rFonts w:cs="Arial"/>
        </w:rPr>
      </w:pPr>
      <w:r w:rsidRPr="00E97880">
        <w:rPr>
          <w:rFonts w:cs="Arial"/>
        </w:rPr>
        <w:t>Nevertheless, due to the fact that part of reported debt is associated with customer financing activities, headline gearing inflates industrial leverage compared to other peers. This once again emphasizes the necessity of interpretation of ratios in a context, as opposed to a mechanical comparison.</w:t>
      </w:r>
    </w:p>
    <w:p w14:paraId="07EA6BC8" w14:textId="1839EB20" w:rsidR="00E97880" w:rsidRPr="00E97880" w:rsidRDefault="00E97880" w:rsidP="00E97880">
      <w:pPr>
        <w:rPr>
          <w:rFonts w:cs="Arial"/>
        </w:rPr>
      </w:pPr>
    </w:p>
    <w:p w14:paraId="4735924A" w14:textId="77777777" w:rsidR="00E97880" w:rsidRPr="00E97880" w:rsidRDefault="00E97880" w:rsidP="00E97880">
      <w:pPr>
        <w:rPr>
          <w:rFonts w:cs="Arial"/>
          <w:b/>
          <w:bCs/>
        </w:rPr>
      </w:pPr>
      <w:r w:rsidRPr="00E97880">
        <w:rPr>
          <w:rFonts w:cs="Arial"/>
          <w:b/>
          <w:bCs/>
        </w:rPr>
        <w:t>Investor Perspective</w:t>
      </w:r>
    </w:p>
    <w:p w14:paraId="6D39ECAC" w14:textId="77777777" w:rsidR="00E97880" w:rsidRPr="00E97880" w:rsidRDefault="00E97880" w:rsidP="00E97880">
      <w:pPr>
        <w:rPr>
          <w:rFonts w:cs="Arial"/>
          <w:b/>
          <w:bCs/>
        </w:rPr>
      </w:pPr>
      <w:r w:rsidRPr="00E97880">
        <w:rPr>
          <w:rFonts w:cs="Arial"/>
          <w:b/>
          <w:bCs/>
        </w:rPr>
        <w:t>Table 2.6: Shareholder Performance (2020–2024)</w:t>
      </w:r>
    </w:p>
    <w:tbl>
      <w:tblPr>
        <w:tblStyle w:val="GridTable1Light"/>
        <w:tblW w:w="0" w:type="auto"/>
        <w:tblLook w:val="04A0" w:firstRow="1" w:lastRow="0" w:firstColumn="1" w:lastColumn="0" w:noHBand="0" w:noVBand="1"/>
      </w:tblPr>
      <w:tblGrid>
        <w:gridCol w:w="706"/>
        <w:gridCol w:w="987"/>
        <w:gridCol w:w="1403"/>
      </w:tblGrid>
      <w:tr w:rsidR="00E97880" w:rsidRPr="00E97880" w14:paraId="0FB688F3" w14:textId="77777777" w:rsidTr="00E978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396517" w14:textId="77777777" w:rsidR="00E97880" w:rsidRPr="00E97880" w:rsidRDefault="00E97880" w:rsidP="00E97880">
            <w:pPr>
              <w:spacing w:after="160" w:line="259" w:lineRule="auto"/>
              <w:jc w:val="left"/>
              <w:rPr>
                <w:rFonts w:cs="Arial"/>
                <w:b w:val="0"/>
                <w:bCs w:val="0"/>
              </w:rPr>
            </w:pPr>
            <w:r w:rsidRPr="00E97880">
              <w:rPr>
                <w:rFonts w:cs="Arial"/>
                <w:b w:val="0"/>
                <w:bCs w:val="0"/>
              </w:rPr>
              <w:t>Year</w:t>
            </w:r>
          </w:p>
        </w:tc>
        <w:tc>
          <w:tcPr>
            <w:tcW w:w="0" w:type="auto"/>
            <w:hideMark/>
          </w:tcPr>
          <w:p w14:paraId="4EE7FEB1" w14:textId="77777777" w:rsidR="00E97880" w:rsidRPr="00E97880" w:rsidRDefault="00E97880" w:rsidP="00E97880">
            <w:pPr>
              <w:spacing w:after="160" w:line="259"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E97880">
              <w:rPr>
                <w:rFonts w:cs="Arial"/>
                <w:b w:val="0"/>
                <w:bCs w:val="0"/>
              </w:rPr>
              <w:t>EPS (¥)</w:t>
            </w:r>
          </w:p>
        </w:tc>
        <w:tc>
          <w:tcPr>
            <w:tcW w:w="0" w:type="auto"/>
            <w:hideMark/>
          </w:tcPr>
          <w:p w14:paraId="3522B640" w14:textId="77777777" w:rsidR="00E97880" w:rsidRPr="00E97880" w:rsidRDefault="00E97880" w:rsidP="00E97880">
            <w:pPr>
              <w:spacing w:after="160" w:line="259" w:lineRule="auto"/>
              <w:jc w:val="left"/>
              <w:cnfStyle w:val="100000000000" w:firstRow="1" w:lastRow="0" w:firstColumn="0" w:lastColumn="0" w:oddVBand="0" w:evenVBand="0" w:oddHBand="0" w:evenHBand="0" w:firstRowFirstColumn="0" w:firstRowLastColumn="0" w:lastRowFirstColumn="0" w:lastRowLastColumn="0"/>
              <w:rPr>
                <w:rFonts w:cs="Arial"/>
                <w:b w:val="0"/>
                <w:bCs w:val="0"/>
              </w:rPr>
            </w:pPr>
            <w:r w:rsidRPr="00E97880">
              <w:rPr>
                <w:rFonts w:cs="Arial"/>
                <w:b w:val="0"/>
                <w:bCs w:val="0"/>
              </w:rPr>
              <w:t>Dividend (¥)</w:t>
            </w:r>
          </w:p>
        </w:tc>
      </w:tr>
      <w:tr w:rsidR="00E97880" w:rsidRPr="00E97880" w14:paraId="5ECC6537"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68B081A1" w14:textId="77777777" w:rsidR="00E97880" w:rsidRPr="00E97880" w:rsidRDefault="00E97880" w:rsidP="00E97880">
            <w:pPr>
              <w:spacing w:after="160" w:line="259" w:lineRule="auto"/>
              <w:rPr>
                <w:rFonts w:cs="Arial"/>
                <w:b w:val="0"/>
                <w:bCs w:val="0"/>
              </w:rPr>
            </w:pPr>
            <w:r w:rsidRPr="00E97880">
              <w:rPr>
                <w:rFonts w:cs="Arial"/>
                <w:b w:val="0"/>
                <w:bCs w:val="0"/>
              </w:rPr>
              <w:t>2020</w:t>
            </w:r>
          </w:p>
        </w:tc>
        <w:tc>
          <w:tcPr>
            <w:tcW w:w="0" w:type="auto"/>
            <w:hideMark/>
          </w:tcPr>
          <w:p w14:paraId="5669F5E6"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190</w:t>
            </w:r>
          </w:p>
        </w:tc>
        <w:tc>
          <w:tcPr>
            <w:tcW w:w="0" w:type="auto"/>
            <w:hideMark/>
          </w:tcPr>
          <w:p w14:paraId="3A0B4E6C"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220</w:t>
            </w:r>
          </w:p>
        </w:tc>
      </w:tr>
      <w:tr w:rsidR="00E97880" w:rsidRPr="00E97880" w14:paraId="12D38E78"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6253E2F8" w14:textId="77777777" w:rsidR="00E97880" w:rsidRPr="00E97880" w:rsidRDefault="00E97880" w:rsidP="00E97880">
            <w:pPr>
              <w:spacing w:after="160" w:line="259" w:lineRule="auto"/>
              <w:rPr>
                <w:rFonts w:cs="Arial"/>
                <w:b w:val="0"/>
                <w:bCs w:val="0"/>
              </w:rPr>
            </w:pPr>
            <w:r w:rsidRPr="00E97880">
              <w:rPr>
                <w:rFonts w:cs="Arial"/>
                <w:b w:val="0"/>
                <w:bCs w:val="0"/>
              </w:rPr>
              <w:t>2021</w:t>
            </w:r>
          </w:p>
        </w:tc>
        <w:tc>
          <w:tcPr>
            <w:tcW w:w="0" w:type="auto"/>
            <w:hideMark/>
          </w:tcPr>
          <w:p w14:paraId="473724D3"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210</w:t>
            </w:r>
          </w:p>
        </w:tc>
        <w:tc>
          <w:tcPr>
            <w:tcW w:w="0" w:type="auto"/>
            <w:hideMark/>
          </w:tcPr>
          <w:p w14:paraId="298C9F9A"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240</w:t>
            </w:r>
          </w:p>
        </w:tc>
      </w:tr>
      <w:tr w:rsidR="00E97880" w:rsidRPr="00E97880" w14:paraId="252732F3"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590D5BEC" w14:textId="77777777" w:rsidR="00E97880" w:rsidRPr="00E97880" w:rsidRDefault="00E97880" w:rsidP="00E97880">
            <w:pPr>
              <w:spacing w:after="160" w:line="259" w:lineRule="auto"/>
              <w:rPr>
                <w:rFonts w:cs="Arial"/>
                <w:b w:val="0"/>
                <w:bCs w:val="0"/>
              </w:rPr>
            </w:pPr>
            <w:r w:rsidRPr="00E97880">
              <w:rPr>
                <w:rFonts w:cs="Arial"/>
                <w:b w:val="0"/>
                <w:bCs w:val="0"/>
              </w:rPr>
              <w:t>2022</w:t>
            </w:r>
          </w:p>
        </w:tc>
        <w:tc>
          <w:tcPr>
            <w:tcW w:w="0" w:type="auto"/>
            <w:hideMark/>
          </w:tcPr>
          <w:p w14:paraId="708C4DC4"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250</w:t>
            </w:r>
          </w:p>
        </w:tc>
        <w:tc>
          <w:tcPr>
            <w:tcW w:w="0" w:type="auto"/>
            <w:hideMark/>
          </w:tcPr>
          <w:p w14:paraId="51903AA8"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260</w:t>
            </w:r>
          </w:p>
        </w:tc>
      </w:tr>
      <w:tr w:rsidR="00E97880" w:rsidRPr="00E97880" w14:paraId="2648FA0A"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6BDA47AD" w14:textId="77777777" w:rsidR="00E97880" w:rsidRPr="00E97880" w:rsidRDefault="00E97880" w:rsidP="00E97880">
            <w:pPr>
              <w:spacing w:after="160" w:line="259" w:lineRule="auto"/>
              <w:rPr>
                <w:rFonts w:cs="Arial"/>
                <w:b w:val="0"/>
                <w:bCs w:val="0"/>
              </w:rPr>
            </w:pPr>
            <w:r w:rsidRPr="00E97880">
              <w:rPr>
                <w:rFonts w:cs="Arial"/>
                <w:b w:val="0"/>
                <w:bCs w:val="0"/>
              </w:rPr>
              <w:t>2023</w:t>
            </w:r>
          </w:p>
        </w:tc>
        <w:tc>
          <w:tcPr>
            <w:tcW w:w="0" w:type="auto"/>
            <w:hideMark/>
          </w:tcPr>
          <w:p w14:paraId="2FFCA8EA"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230</w:t>
            </w:r>
          </w:p>
        </w:tc>
        <w:tc>
          <w:tcPr>
            <w:tcW w:w="0" w:type="auto"/>
            <w:hideMark/>
          </w:tcPr>
          <w:p w14:paraId="0AE8F699"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260</w:t>
            </w:r>
          </w:p>
        </w:tc>
      </w:tr>
      <w:tr w:rsidR="00E97880" w:rsidRPr="00E97880" w14:paraId="55D33538" w14:textId="77777777" w:rsidTr="00E97880">
        <w:tc>
          <w:tcPr>
            <w:cnfStyle w:val="001000000000" w:firstRow="0" w:lastRow="0" w:firstColumn="1" w:lastColumn="0" w:oddVBand="0" w:evenVBand="0" w:oddHBand="0" w:evenHBand="0" w:firstRowFirstColumn="0" w:firstRowLastColumn="0" w:lastRowFirstColumn="0" w:lastRowLastColumn="0"/>
            <w:tcW w:w="0" w:type="auto"/>
            <w:hideMark/>
          </w:tcPr>
          <w:p w14:paraId="58AD1CC9" w14:textId="77777777" w:rsidR="00E97880" w:rsidRPr="00E97880" w:rsidRDefault="00E97880" w:rsidP="00E97880">
            <w:pPr>
              <w:spacing w:after="160" w:line="259" w:lineRule="auto"/>
              <w:rPr>
                <w:rFonts w:cs="Arial"/>
                <w:b w:val="0"/>
                <w:bCs w:val="0"/>
              </w:rPr>
            </w:pPr>
            <w:r w:rsidRPr="00E97880">
              <w:rPr>
                <w:rFonts w:cs="Arial"/>
                <w:b w:val="0"/>
                <w:bCs w:val="0"/>
              </w:rPr>
              <w:t>2024</w:t>
            </w:r>
          </w:p>
        </w:tc>
        <w:tc>
          <w:tcPr>
            <w:tcW w:w="0" w:type="auto"/>
            <w:hideMark/>
          </w:tcPr>
          <w:p w14:paraId="04362BFB"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320</w:t>
            </w:r>
          </w:p>
        </w:tc>
        <w:tc>
          <w:tcPr>
            <w:tcW w:w="0" w:type="auto"/>
            <w:hideMark/>
          </w:tcPr>
          <w:p w14:paraId="2D41F14F" w14:textId="77777777" w:rsidR="00E97880" w:rsidRPr="00E97880" w:rsidRDefault="00E97880" w:rsidP="00E97880">
            <w:pPr>
              <w:spacing w:after="160" w:line="259" w:lineRule="auto"/>
              <w:cnfStyle w:val="000000000000" w:firstRow="0" w:lastRow="0" w:firstColumn="0" w:lastColumn="0" w:oddVBand="0" w:evenVBand="0" w:oddHBand="0" w:evenHBand="0" w:firstRowFirstColumn="0" w:firstRowLastColumn="0" w:lastRowFirstColumn="0" w:lastRowLastColumn="0"/>
              <w:rPr>
                <w:rFonts w:cs="Arial"/>
              </w:rPr>
            </w:pPr>
            <w:r w:rsidRPr="00E97880">
              <w:rPr>
                <w:rFonts w:cs="Arial"/>
              </w:rPr>
              <w:t>300</w:t>
            </w:r>
          </w:p>
        </w:tc>
      </w:tr>
    </w:tbl>
    <w:p w14:paraId="58EB9DC3" w14:textId="77777777" w:rsidR="00E97880" w:rsidRPr="00E97880" w:rsidRDefault="00E97880" w:rsidP="00E97880">
      <w:pPr>
        <w:rPr>
          <w:rFonts w:cs="Arial"/>
        </w:rPr>
      </w:pPr>
      <w:r w:rsidRPr="00E97880">
        <w:rPr>
          <w:rFonts w:cs="Arial"/>
        </w:rPr>
        <w:t>As an equity-holder, Toyota provided long-term returns that were getting better. EPS increased from ¥190 to ¥320, while dividends rose from ¥220 to ¥300. This is an indicator of trust in cash generation and dedication to shareholder distribution.</w:t>
      </w:r>
    </w:p>
    <w:p w14:paraId="62103959" w14:textId="77777777" w:rsidR="00E97880" w:rsidRPr="00E97880" w:rsidRDefault="00E97880" w:rsidP="00E97880">
      <w:pPr>
        <w:rPr>
          <w:rFonts w:cs="Arial"/>
        </w:rPr>
      </w:pPr>
      <w:r w:rsidRPr="00E97880">
        <w:rPr>
          <w:rFonts w:cs="Arial"/>
        </w:rPr>
        <w:t>However, volatility of earnings in 2023 indicates that investor returns are at risk of supply shocks, exchange-rate fluctuations, and cyclical margin compression. Constant shareholder value creation will thus not simply involve increasing dividends, but increased consistency of paid-in capital returns.</w:t>
      </w:r>
    </w:p>
    <w:p w14:paraId="237500AC" w14:textId="77777777" w:rsidR="00E97880" w:rsidRPr="00E97880" w:rsidRDefault="00E97880" w:rsidP="00E97880">
      <w:pPr>
        <w:rPr>
          <w:rFonts w:cs="Arial"/>
        </w:rPr>
      </w:pPr>
    </w:p>
    <w:p w14:paraId="5AA78B31" w14:textId="77777777" w:rsidR="00E97880" w:rsidRPr="00E97880" w:rsidRDefault="00E97880" w:rsidP="00E97880">
      <w:pPr>
        <w:pStyle w:val="Heading2"/>
      </w:pPr>
      <w:bookmarkStart w:id="5" w:name="_Toc227273930"/>
      <w:r w:rsidRPr="00E97880">
        <w:t>2.3 Critical Evaluation</w:t>
      </w:r>
      <w:bookmarkEnd w:id="5"/>
    </w:p>
    <w:p w14:paraId="6893C64B" w14:textId="77777777" w:rsidR="00E97880" w:rsidRPr="00E97880" w:rsidRDefault="00E97880" w:rsidP="00E97880">
      <w:pPr>
        <w:rPr>
          <w:rFonts w:cs="Arial"/>
          <w:b/>
          <w:bCs/>
        </w:rPr>
      </w:pPr>
      <w:r w:rsidRPr="00E97880">
        <w:rPr>
          <w:rFonts w:cs="Arial"/>
          <w:b/>
          <w:bCs/>
        </w:rPr>
        <w:t>Strengths</w:t>
      </w:r>
    </w:p>
    <w:p w14:paraId="082B0FE1" w14:textId="3E59CBB4" w:rsidR="00E97880" w:rsidRPr="00E97880" w:rsidRDefault="00E97880" w:rsidP="00E97880">
      <w:pPr>
        <w:pStyle w:val="ListParagraph"/>
        <w:numPr>
          <w:ilvl w:val="0"/>
          <w:numId w:val="45"/>
        </w:numPr>
        <w:rPr>
          <w:rFonts w:cs="Arial"/>
        </w:rPr>
      </w:pPr>
      <w:r w:rsidRPr="00E97880">
        <w:rPr>
          <w:rFonts w:cs="Arial"/>
        </w:rPr>
        <w:t xml:space="preserve">Good growth in revenue and resilience in the global market. </w:t>
      </w:r>
    </w:p>
    <w:p w14:paraId="770CDC0A" w14:textId="2D5FF333" w:rsidR="00E97880" w:rsidRPr="00E97880" w:rsidRDefault="00E97880" w:rsidP="00E97880">
      <w:pPr>
        <w:pStyle w:val="ListParagraph"/>
        <w:numPr>
          <w:ilvl w:val="0"/>
          <w:numId w:val="45"/>
        </w:numPr>
        <w:rPr>
          <w:rFonts w:cs="Arial"/>
        </w:rPr>
      </w:pPr>
      <w:r w:rsidRPr="00E97880">
        <w:rPr>
          <w:rFonts w:cs="Arial"/>
        </w:rPr>
        <w:t xml:space="preserve">Good quality operating cash flow generation. </w:t>
      </w:r>
    </w:p>
    <w:p w14:paraId="43625967" w14:textId="2825DA63" w:rsidR="00E97880" w:rsidRPr="00E97880" w:rsidRDefault="00E97880" w:rsidP="00E97880">
      <w:pPr>
        <w:pStyle w:val="ListParagraph"/>
        <w:numPr>
          <w:ilvl w:val="0"/>
          <w:numId w:val="45"/>
        </w:numPr>
        <w:rPr>
          <w:rFonts w:cs="Arial"/>
        </w:rPr>
      </w:pPr>
      <w:r w:rsidRPr="00E97880">
        <w:rPr>
          <w:rFonts w:cs="Arial"/>
        </w:rPr>
        <w:t xml:space="preserve">Mixed leverage profile and financing ability. </w:t>
      </w:r>
    </w:p>
    <w:p w14:paraId="2F0CA24E" w14:textId="6225D68B" w:rsidR="00E97880" w:rsidRPr="00E97880" w:rsidRDefault="00E97880" w:rsidP="00E97880">
      <w:pPr>
        <w:pStyle w:val="ListParagraph"/>
        <w:numPr>
          <w:ilvl w:val="0"/>
          <w:numId w:val="45"/>
        </w:numPr>
        <w:rPr>
          <w:rFonts w:cs="Arial"/>
        </w:rPr>
      </w:pPr>
      <w:r w:rsidRPr="00E97880">
        <w:rPr>
          <w:rFonts w:cs="Arial"/>
        </w:rPr>
        <w:t xml:space="preserve">Enhancing EPS and dividend payments. </w:t>
      </w:r>
    </w:p>
    <w:p w14:paraId="12BB54AB" w14:textId="0A872529" w:rsidR="00E97880" w:rsidRPr="00E97880" w:rsidRDefault="00E97880" w:rsidP="00E97880">
      <w:pPr>
        <w:pStyle w:val="ListParagraph"/>
        <w:numPr>
          <w:ilvl w:val="0"/>
          <w:numId w:val="45"/>
        </w:numPr>
        <w:rPr>
          <w:rFonts w:cs="Arial"/>
        </w:rPr>
      </w:pPr>
      <w:r w:rsidRPr="00E97880">
        <w:rPr>
          <w:rFonts w:cs="Arial"/>
        </w:rPr>
        <w:t xml:space="preserve">Good internal investing power. </w:t>
      </w:r>
    </w:p>
    <w:p w14:paraId="37ABDECA" w14:textId="77777777" w:rsidR="00E97880" w:rsidRPr="00E97880" w:rsidRDefault="00E97880" w:rsidP="00E97880">
      <w:pPr>
        <w:rPr>
          <w:rFonts w:cs="Arial"/>
          <w:b/>
          <w:bCs/>
        </w:rPr>
      </w:pPr>
      <w:r w:rsidRPr="00E97880">
        <w:rPr>
          <w:rFonts w:cs="Arial"/>
          <w:b/>
          <w:bCs/>
        </w:rPr>
        <w:t>Weaknesses</w:t>
      </w:r>
    </w:p>
    <w:p w14:paraId="578ECDD6" w14:textId="145BC8D6" w:rsidR="00E97880" w:rsidRPr="00E97880" w:rsidRDefault="00E97880" w:rsidP="00E97880">
      <w:pPr>
        <w:pStyle w:val="ListParagraph"/>
        <w:numPr>
          <w:ilvl w:val="0"/>
          <w:numId w:val="44"/>
        </w:numPr>
        <w:rPr>
          <w:rFonts w:cs="Arial"/>
        </w:rPr>
      </w:pPr>
      <w:r w:rsidRPr="00E97880">
        <w:rPr>
          <w:rFonts w:cs="Arial"/>
        </w:rPr>
        <w:t xml:space="preserve">ROCE improvement trailing revenue growth. </w:t>
      </w:r>
    </w:p>
    <w:p w14:paraId="1C7B7E82" w14:textId="16828CB1" w:rsidR="00E97880" w:rsidRPr="00E97880" w:rsidRDefault="00E97880" w:rsidP="00E97880">
      <w:pPr>
        <w:pStyle w:val="ListParagraph"/>
        <w:numPr>
          <w:ilvl w:val="0"/>
          <w:numId w:val="44"/>
        </w:numPr>
        <w:rPr>
          <w:rFonts w:cs="Arial"/>
        </w:rPr>
      </w:pPr>
      <w:r w:rsidRPr="00E97880">
        <w:rPr>
          <w:rFonts w:cs="Arial"/>
        </w:rPr>
        <w:t xml:space="preserve">Reduction in the efficiency of asset utilisation. </w:t>
      </w:r>
    </w:p>
    <w:p w14:paraId="48B10D0E" w14:textId="4D0CC158" w:rsidR="00E97880" w:rsidRPr="00E97880" w:rsidRDefault="00E97880" w:rsidP="00E97880">
      <w:pPr>
        <w:pStyle w:val="ListParagraph"/>
        <w:numPr>
          <w:ilvl w:val="0"/>
          <w:numId w:val="44"/>
        </w:numPr>
        <w:rPr>
          <w:rFonts w:cs="Arial"/>
        </w:rPr>
      </w:pPr>
      <w:r w:rsidRPr="00E97880">
        <w:rPr>
          <w:rFonts w:cs="Arial"/>
        </w:rPr>
        <w:t xml:space="preserve">Increasing inventory strength and working capital consumption. </w:t>
      </w:r>
    </w:p>
    <w:p w14:paraId="4B4EA508" w14:textId="395AE62A" w:rsidR="00E97880" w:rsidRPr="00E97880" w:rsidRDefault="00E97880" w:rsidP="00E97880">
      <w:pPr>
        <w:pStyle w:val="ListParagraph"/>
        <w:numPr>
          <w:ilvl w:val="0"/>
          <w:numId w:val="44"/>
        </w:numPr>
        <w:rPr>
          <w:rFonts w:cs="Arial"/>
        </w:rPr>
      </w:pPr>
      <w:r w:rsidRPr="00E97880">
        <w:rPr>
          <w:rFonts w:cs="Arial"/>
        </w:rPr>
        <w:t xml:space="preserve">Weaker than scale growth in the form of conversion back. </w:t>
      </w:r>
    </w:p>
    <w:p w14:paraId="231E00AB" w14:textId="77777777" w:rsidR="00E97880" w:rsidRPr="00E97880" w:rsidRDefault="00E97880" w:rsidP="00E97880">
      <w:pPr>
        <w:rPr>
          <w:rFonts w:cs="Arial"/>
          <w:b/>
          <w:bCs/>
        </w:rPr>
      </w:pPr>
      <w:r w:rsidRPr="00E97880">
        <w:rPr>
          <w:rFonts w:cs="Arial"/>
          <w:b/>
          <w:bCs/>
        </w:rPr>
        <w:t>Strategic Risks</w:t>
      </w:r>
    </w:p>
    <w:p w14:paraId="510C7504" w14:textId="5272A973" w:rsidR="00E97880" w:rsidRPr="00E97880" w:rsidRDefault="00E97880" w:rsidP="00E97880">
      <w:pPr>
        <w:pStyle w:val="ListParagraph"/>
        <w:numPr>
          <w:ilvl w:val="0"/>
          <w:numId w:val="46"/>
        </w:numPr>
        <w:rPr>
          <w:rFonts w:cs="Arial"/>
        </w:rPr>
      </w:pPr>
      <w:r w:rsidRPr="00E97880">
        <w:rPr>
          <w:rFonts w:cs="Arial"/>
        </w:rPr>
        <w:t xml:space="preserve">Increasing the intensity of electrification. </w:t>
      </w:r>
    </w:p>
    <w:p w14:paraId="65F1EC93" w14:textId="66B0E8EC" w:rsidR="00E97880" w:rsidRPr="00E97880" w:rsidRDefault="00E97880" w:rsidP="00E97880">
      <w:pPr>
        <w:pStyle w:val="ListParagraph"/>
        <w:numPr>
          <w:ilvl w:val="0"/>
          <w:numId w:val="46"/>
        </w:numPr>
        <w:rPr>
          <w:rFonts w:cs="Arial"/>
        </w:rPr>
      </w:pPr>
      <w:r w:rsidRPr="00E97880">
        <w:rPr>
          <w:rFonts w:cs="Arial"/>
        </w:rPr>
        <w:t xml:space="preserve">Raw material margin and pricing competition pressure. </w:t>
      </w:r>
    </w:p>
    <w:p w14:paraId="0D0DA03E" w14:textId="2830604E" w:rsidR="00E97880" w:rsidRPr="00E97880" w:rsidRDefault="00E97880" w:rsidP="00E97880">
      <w:pPr>
        <w:pStyle w:val="ListParagraph"/>
        <w:numPr>
          <w:ilvl w:val="0"/>
          <w:numId w:val="46"/>
        </w:numPr>
        <w:rPr>
          <w:rFonts w:cs="Arial"/>
        </w:rPr>
      </w:pPr>
      <w:r w:rsidRPr="00E97880">
        <w:rPr>
          <w:rFonts w:cs="Arial"/>
        </w:rPr>
        <w:t xml:space="preserve">Increasing competition with Tesla, Inc. and BYD Company. </w:t>
      </w:r>
    </w:p>
    <w:p w14:paraId="5EC92005" w14:textId="3426F889" w:rsidR="00E97880" w:rsidRPr="00E97880" w:rsidRDefault="00E97880" w:rsidP="00E97880">
      <w:pPr>
        <w:pStyle w:val="ListParagraph"/>
        <w:numPr>
          <w:ilvl w:val="0"/>
          <w:numId w:val="46"/>
        </w:numPr>
        <w:rPr>
          <w:rFonts w:cs="Arial"/>
        </w:rPr>
      </w:pPr>
      <w:r w:rsidRPr="00E97880">
        <w:rPr>
          <w:rFonts w:cs="Arial"/>
        </w:rPr>
        <w:t xml:space="preserve">Slower EV-investment payback. </w:t>
      </w:r>
    </w:p>
    <w:p w14:paraId="64DE542E" w14:textId="7943CD75" w:rsidR="00E97880" w:rsidRPr="00E97880" w:rsidRDefault="00E97880" w:rsidP="00E97880">
      <w:pPr>
        <w:pStyle w:val="ListParagraph"/>
        <w:numPr>
          <w:ilvl w:val="0"/>
          <w:numId w:val="46"/>
        </w:numPr>
        <w:rPr>
          <w:rFonts w:cs="Arial"/>
        </w:rPr>
      </w:pPr>
      <w:r w:rsidRPr="00E97880">
        <w:rPr>
          <w:rFonts w:cs="Arial"/>
        </w:rPr>
        <w:t xml:space="preserve">Risk of opportunity cost on slow BEV transition strategy. </w:t>
      </w:r>
    </w:p>
    <w:p w14:paraId="405045EC" w14:textId="77777777" w:rsidR="00E97880" w:rsidRPr="00E97880" w:rsidRDefault="00E97880" w:rsidP="00E97880">
      <w:pPr>
        <w:rPr>
          <w:rFonts w:cs="Arial"/>
        </w:rPr>
      </w:pPr>
    </w:p>
    <w:p w14:paraId="62974713" w14:textId="77777777" w:rsidR="00E97880" w:rsidRPr="00E97880" w:rsidRDefault="00E97880" w:rsidP="00E97880">
      <w:pPr>
        <w:pStyle w:val="Heading2"/>
      </w:pPr>
      <w:bookmarkStart w:id="6" w:name="_Toc227273931"/>
      <w:r w:rsidRPr="00E97880">
        <w:t>2.4 Conclusion of Section</w:t>
      </w:r>
      <w:bookmarkEnd w:id="6"/>
    </w:p>
    <w:p w14:paraId="608E83A9" w14:textId="77777777" w:rsidR="00E97880" w:rsidRPr="00E97880" w:rsidRDefault="00E97880" w:rsidP="00E97880">
      <w:pPr>
        <w:rPr>
          <w:rFonts w:cs="Arial"/>
        </w:rPr>
      </w:pPr>
      <w:r w:rsidRPr="00E97880">
        <w:rPr>
          <w:rFonts w:cs="Arial"/>
        </w:rPr>
        <w:t>The five-year financial performance of Toyota is one that indicates both a strong and highly scalable business, as well as a business that is going into a more challenging value-making stage. Good cash generation, growth of revenues, and good leverage offer a solid strategic base. Nonetheless, the deterioration in the efficiency indicators and the average ROCE improvement, nevertheless, indicate that the intensity of investments is increasing at a greater rate than the realised returns.</w:t>
      </w:r>
    </w:p>
    <w:p w14:paraId="334A458F" w14:textId="565DC97A" w:rsidR="00E97880" w:rsidRPr="00E97880" w:rsidRDefault="00E97880" w:rsidP="00E97880">
      <w:pPr>
        <w:rPr>
          <w:rFonts w:cs="Arial"/>
        </w:rPr>
      </w:pPr>
      <w:r w:rsidRPr="00E97880">
        <w:rPr>
          <w:rFonts w:cs="Arial"/>
        </w:rPr>
        <w:t>In terms of shareholder-value, the main problem of Toyota is no longer how to grow, but how to increase capital productivity. The second step of financial success will involve the release of the locked up working capital, increased asset utilisation, and only new capital where returns are greater than the weighted average cost of capital will be allocated. Strategically, the company that will win in the future when automotive transition becomes a reality might not be the one that invests the most but the one that invests most effectively (Stern and Stewart, 1991).</w:t>
      </w:r>
    </w:p>
    <w:p w14:paraId="4B133FCD" w14:textId="77777777" w:rsidR="00E97880" w:rsidRPr="00E97880" w:rsidRDefault="00E97880" w:rsidP="00E72DB3">
      <w:pPr>
        <w:rPr>
          <w:rFonts w:cs="Arial"/>
        </w:rPr>
      </w:pPr>
    </w:p>
    <w:p w14:paraId="21B07932" w14:textId="77777777" w:rsidR="00E97880" w:rsidRPr="00E97880" w:rsidRDefault="00E97880" w:rsidP="00E97880">
      <w:pPr>
        <w:pStyle w:val="Heading1"/>
      </w:pPr>
      <w:bookmarkStart w:id="7" w:name="_Toc227273932"/>
      <w:r w:rsidRPr="00E97880">
        <w:t>3. Working Capital Management</w:t>
      </w:r>
      <w:bookmarkEnd w:id="7"/>
    </w:p>
    <w:p w14:paraId="0A262718" w14:textId="77777777" w:rsidR="00E97880" w:rsidRPr="00E97880" w:rsidRDefault="00E97880" w:rsidP="00E97880">
      <w:pPr>
        <w:pStyle w:val="Heading2"/>
      </w:pPr>
      <w:bookmarkStart w:id="8" w:name="_Toc227273933"/>
      <w:r w:rsidRPr="00E97880">
        <w:t>3.1 Cash Operating Cycle</w:t>
      </w:r>
      <w:bookmarkEnd w:id="8"/>
    </w:p>
    <w:p w14:paraId="74B67279" w14:textId="77777777" w:rsidR="00E97880" w:rsidRPr="00E97880" w:rsidRDefault="00E97880" w:rsidP="00E97880">
      <w:pPr>
        <w:rPr>
          <w:rFonts w:cs="Arial"/>
          <w:b/>
          <w:bCs/>
        </w:rPr>
      </w:pPr>
      <w:r w:rsidRPr="00E97880">
        <w:rPr>
          <w:rFonts w:cs="Arial"/>
          <w:b/>
          <w:bCs/>
        </w:rPr>
        <w:t>Table 3.1: Cash Conversion Cycle Components (2020–2024)</w:t>
      </w:r>
    </w:p>
    <w:tbl>
      <w:tblPr>
        <w:tblStyle w:val="TableGrid"/>
        <w:tblW w:w="0" w:type="auto"/>
        <w:tblLook w:val="04A0" w:firstRow="1" w:lastRow="0" w:firstColumn="1" w:lastColumn="0" w:noHBand="0" w:noVBand="1"/>
      </w:tblPr>
      <w:tblGrid>
        <w:gridCol w:w="706"/>
        <w:gridCol w:w="1684"/>
        <w:gridCol w:w="1867"/>
        <w:gridCol w:w="1574"/>
        <w:gridCol w:w="1402"/>
      </w:tblGrid>
      <w:tr w:rsidR="00E97880" w:rsidRPr="00E97880" w14:paraId="308C8D6B" w14:textId="77777777" w:rsidTr="00E97880">
        <w:tc>
          <w:tcPr>
            <w:tcW w:w="0" w:type="auto"/>
            <w:hideMark/>
          </w:tcPr>
          <w:p w14:paraId="165272FC" w14:textId="77777777" w:rsidR="00E97880" w:rsidRPr="00E97880" w:rsidRDefault="00E97880" w:rsidP="00E97880">
            <w:pPr>
              <w:spacing w:after="160" w:line="259" w:lineRule="auto"/>
              <w:jc w:val="left"/>
              <w:rPr>
                <w:rFonts w:cs="Arial"/>
              </w:rPr>
            </w:pPr>
            <w:r w:rsidRPr="00E97880">
              <w:rPr>
                <w:rFonts w:cs="Arial"/>
              </w:rPr>
              <w:t>Year</w:t>
            </w:r>
          </w:p>
        </w:tc>
        <w:tc>
          <w:tcPr>
            <w:tcW w:w="0" w:type="auto"/>
            <w:hideMark/>
          </w:tcPr>
          <w:p w14:paraId="7411FE18" w14:textId="77777777" w:rsidR="00E97880" w:rsidRPr="00E97880" w:rsidRDefault="00E97880" w:rsidP="00E97880">
            <w:pPr>
              <w:spacing w:after="160" w:line="259" w:lineRule="auto"/>
              <w:jc w:val="left"/>
              <w:rPr>
                <w:rFonts w:cs="Arial"/>
              </w:rPr>
            </w:pPr>
            <w:r w:rsidRPr="00E97880">
              <w:rPr>
                <w:rFonts w:cs="Arial"/>
              </w:rPr>
              <w:t>Inventory Days</w:t>
            </w:r>
          </w:p>
        </w:tc>
        <w:tc>
          <w:tcPr>
            <w:tcW w:w="0" w:type="auto"/>
            <w:hideMark/>
          </w:tcPr>
          <w:p w14:paraId="714DC2AC" w14:textId="77777777" w:rsidR="00E97880" w:rsidRPr="00E97880" w:rsidRDefault="00E97880" w:rsidP="00E97880">
            <w:pPr>
              <w:spacing w:after="160" w:line="259" w:lineRule="auto"/>
              <w:jc w:val="left"/>
              <w:rPr>
                <w:rFonts w:cs="Arial"/>
              </w:rPr>
            </w:pPr>
            <w:r w:rsidRPr="00E97880">
              <w:rPr>
                <w:rFonts w:cs="Arial"/>
              </w:rPr>
              <w:t>Receivable Days</w:t>
            </w:r>
          </w:p>
        </w:tc>
        <w:tc>
          <w:tcPr>
            <w:tcW w:w="0" w:type="auto"/>
            <w:hideMark/>
          </w:tcPr>
          <w:p w14:paraId="4F322650" w14:textId="77777777" w:rsidR="00E97880" w:rsidRPr="00E97880" w:rsidRDefault="00E97880" w:rsidP="00E97880">
            <w:pPr>
              <w:spacing w:after="160" w:line="259" w:lineRule="auto"/>
              <w:jc w:val="left"/>
              <w:rPr>
                <w:rFonts w:cs="Arial"/>
              </w:rPr>
            </w:pPr>
            <w:r w:rsidRPr="00E97880">
              <w:rPr>
                <w:rFonts w:cs="Arial"/>
              </w:rPr>
              <w:t>Payable Days</w:t>
            </w:r>
          </w:p>
        </w:tc>
        <w:tc>
          <w:tcPr>
            <w:tcW w:w="0" w:type="auto"/>
            <w:hideMark/>
          </w:tcPr>
          <w:p w14:paraId="51F49F35" w14:textId="77777777" w:rsidR="00E97880" w:rsidRPr="00E97880" w:rsidRDefault="00E97880" w:rsidP="00E97880">
            <w:pPr>
              <w:spacing w:after="160" w:line="259" w:lineRule="auto"/>
              <w:jc w:val="left"/>
              <w:rPr>
                <w:rFonts w:cs="Arial"/>
              </w:rPr>
            </w:pPr>
            <w:r w:rsidRPr="00E97880">
              <w:rPr>
                <w:rFonts w:cs="Arial"/>
              </w:rPr>
              <w:t>CCC (Days)</w:t>
            </w:r>
          </w:p>
        </w:tc>
      </w:tr>
      <w:tr w:rsidR="00E97880" w:rsidRPr="00E97880" w14:paraId="3BBDA733" w14:textId="77777777" w:rsidTr="00E97880">
        <w:tc>
          <w:tcPr>
            <w:tcW w:w="0" w:type="auto"/>
            <w:hideMark/>
          </w:tcPr>
          <w:p w14:paraId="1B1A218F" w14:textId="77777777" w:rsidR="00E97880" w:rsidRPr="00E97880" w:rsidRDefault="00E97880" w:rsidP="00E97880">
            <w:pPr>
              <w:spacing w:after="160" w:line="259" w:lineRule="auto"/>
              <w:rPr>
                <w:rFonts w:cs="Arial"/>
              </w:rPr>
            </w:pPr>
            <w:r w:rsidRPr="00E97880">
              <w:rPr>
                <w:rFonts w:cs="Arial"/>
              </w:rPr>
              <w:t>2020</w:t>
            </w:r>
          </w:p>
        </w:tc>
        <w:tc>
          <w:tcPr>
            <w:tcW w:w="0" w:type="auto"/>
            <w:hideMark/>
          </w:tcPr>
          <w:p w14:paraId="54861CB3" w14:textId="77777777" w:rsidR="00E97880" w:rsidRPr="00E97880" w:rsidRDefault="00E97880" w:rsidP="00E97880">
            <w:pPr>
              <w:spacing w:after="160" w:line="259" w:lineRule="auto"/>
              <w:rPr>
                <w:rFonts w:cs="Arial"/>
              </w:rPr>
            </w:pPr>
            <w:r w:rsidRPr="00E97880">
              <w:rPr>
                <w:rFonts w:cs="Arial"/>
              </w:rPr>
              <w:t>55</w:t>
            </w:r>
          </w:p>
        </w:tc>
        <w:tc>
          <w:tcPr>
            <w:tcW w:w="0" w:type="auto"/>
            <w:hideMark/>
          </w:tcPr>
          <w:p w14:paraId="3807F03F" w14:textId="77777777" w:rsidR="00E97880" w:rsidRPr="00E97880" w:rsidRDefault="00E97880" w:rsidP="00E97880">
            <w:pPr>
              <w:spacing w:after="160" w:line="259" w:lineRule="auto"/>
              <w:rPr>
                <w:rFonts w:cs="Arial"/>
              </w:rPr>
            </w:pPr>
            <w:r w:rsidRPr="00E97880">
              <w:rPr>
                <w:rFonts w:cs="Arial"/>
              </w:rPr>
              <w:t>35</w:t>
            </w:r>
          </w:p>
        </w:tc>
        <w:tc>
          <w:tcPr>
            <w:tcW w:w="0" w:type="auto"/>
            <w:hideMark/>
          </w:tcPr>
          <w:p w14:paraId="239865F9" w14:textId="77777777" w:rsidR="00E97880" w:rsidRPr="00E97880" w:rsidRDefault="00E97880" w:rsidP="00E97880">
            <w:pPr>
              <w:spacing w:after="160" w:line="259" w:lineRule="auto"/>
              <w:rPr>
                <w:rFonts w:cs="Arial"/>
              </w:rPr>
            </w:pPr>
            <w:r w:rsidRPr="00E97880">
              <w:rPr>
                <w:rFonts w:cs="Arial"/>
              </w:rPr>
              <w:t>50</w:t>
            </w:r>
          </w:p>
        </w:tc>
        <w:tc>
          <w:tcPr>
            <w:tcW w:w="0" w:type="auto"/>
            <w:hideMark/>
          </w:tcPr>
          <w:p w14:paraId="288CC711" w14:textId="77777777" w:rsidR="00E97880" w:rsidRPr="00E97880" w:rsidRDefault="00E97880" w:rsidP="00E97880">
            <w:pPr>
              <w:spacing w:after="160" w:line="259" w:lineRule="auto"/>
              <w:rPr>
                <w:rFonts w:cs="Arial"/>
              </w:rPr>
            </w:pPr>
            <w:r w:rsidRPr="00E97880">
              <w:rPr>
                <w:rFonts w:cs="Arial"/>
              </w:rPr>
              <w:t>40</w:t>
            </w:r>
          </w:p>
        </w:tc>
      </w:tr>
      <w:tr w:rsidR="00E97880" w:rsidRPr="00E97880" w14:paraId="54F419FE" w14:textId="77777777" w:rsidTr="00E97880">
        <w:tc>
          <w:tcPr>
            <w:tcW w:w="0" w:type="auto"/>
            <w:hideMark/>
          </w:tcPr>
          <w:p w14:paraId="75C42910" w14:textId="77777777" w:rsidR="00E97880" w:rsidRPr="00E97880" w:rsidRDefault="00E97880" w:rsidP="00E97880">
            <w:pPr>
              <w:spacing w:after="160" w:line="259" w:lineRule="auto"/>
              <w:rPr>
                <w:rFonts w:cs="Arial"/>
              </w:rPr>
            </w:pPr>
            <w:r w:rsidRPr="00E97880">
              <w:rPr>
                <w:rFonts w:cs="Arial"/>
              </w:rPr>
              <w:t>2021</w:t>
            </w:r>
          </w:p>
        </w:tc>
        <w:tc>
          <w:tcPr>
            <w:tcW w:w="0" w:type="auto"/>
            <w:hideMark/>
          </w:tcPr>
          <w:p w14:paraId="01684D57" w14:textId="77777777" w:rsidR="00E97880" w:rsidRPr="00E97880" w:rsidRDefault="00E97880" w:rsidP="00E97880">
            <w:pPr>
              <w:spacing w:after="160" w:line="259" w:lineRule="auto"/>
              <w:rPr>
                <w:rFonts w:cs="Arial"/>
              </w:rPr>
            </w:pPr>
            <w:r w:rsidRPr="00E97880">
              <w:rPr>
                <w:rFonts w:cs="Arial"/>
              </w:rPr>
              <w:t>58</w:t>
            </w:r>
          </w:p>
        </w:tc>
        <w:tc>
          <w:tcPr>
            <w:tcW w:w="0" w:type="auto"/>
            <w:hideMark/>
          </w:tcPr>
          <w:p w14:paraId="196BC645" w14:textId="77777777" w:rsidR="00E97880" w:rsidRPr="00E97880" w:rsidRDefault="00E97880" w:rsidP="00E97880">
            <w:pPr>
              <w:spacing w:after="160" w:line="259" w:lineRule="auto"/>
              <w:rPr>
                <w:rFonts w:cs="Arial"/>
              </w:rPr>
            </w:pPr>
            <w:r w:rsidRPr="00E97880">
              <w:rPr>
                <w:rFonts w:cs="Arial"/>
              </w:rPr>
              <w:t>37</w:t>
            </w:r>
          </w:p>
        </w:tc>
        <w:tc>
          <w:tcPr>
            <w:tcW w:w="0" w:type="auto"/>
            <w:hideMark/>
          </w:tcPr>
          <w:p w14:paraId="56A1F95E" w14:textId="77777777" w:rsidR="00E97880" w:rsidRPr="00E97880" w:rsidRDefault="00E97880" w:rsidP="00E97880">
            <w:pPr>
              <w:spacing w:after="160" w:line="259" w:lineRule="auto"/>
              <w:rPr>
                <w:rFonts w:cs="Arial"/>
              </w:rPr>
            </w:pPr>
            <w:r w:rsidRPr="00E97880">
              <w:rPr>
                <w:rFonts w:cs="Arial"/>
              </w:rPr>
              <w:t>52</w:t>
            </w:r>
          </w:p>
        </w:tc>
        <w:tc>
          <w:tcPr>
            <w:tcW w:w="0" w:type="auto"/>
            <w:hideMark/>
          </w:tcPr>
          <w:p w14:paraId="1EE86840" w14:textId="77777777" w:rsidR="00E97880" w:rsidRPr="00E97880" w:rsidRDefault="00E97880" w:rsidP="00E97880">
            <w:pPr>
              <w:spacing w:after="160" w:line="259" w:lineRule="auto"/>
              <w:rPr>
                <w:rFonts w:cs="Arial"/>
              </w:rPr>
            </w:pPr>
            <w:r w:rsidRPr="00E97880">
              <w:rPr>
                <w:rFonts w:cs="Arial"/>
              </w:rPr>
              <w:t>43</w:t>
            </w:r>
          </w:p>
        </w:tc>
      </w:tr>
      <w:tr w:rsidR="00E97880" w:rsidRPr="00E97880" w14:paraId="5C5ECB64" w14:textId="77777777" w:rsidTr="00E97880">
        <w:tc>
          <w:tcPr>
            <w:tcW w:w="0" w:type="auto"/>
            <w:hideMark/>
          </w:tcPr>
          <w:p w14:paraId="33960EB3" w14:textId="77777777" w:rsidR="00E97880" w:rsidRPr="00E97880" w:rsidRDefault="00E97880" w:rsidP="00E97880">
            <w:pPr>
              <w:spacing w:after="160" w:line="259" w:lineRule="auto"/>
              <w:rPr>
                <w:rFonts w:cs="Arial"/>
              </w:rPr>
            </w:pPr>
            <w:r w:rsidRPr="00E97880">
              <w:rPr>
                <w:rFonts w:cs="Arial"/>
              </w:rPr>
              <w:t>2022</w:t>
            </w:r>
          </w:p>
        </w:tc>
        <w:tc>
          <w:tcPr>
            <w:tcW w:w="0" w:type="auto"/>
            <w:hideMark/>
          </w:tcPr>
          <w:p w14:paraId="1EBEB24F" w14:textId="77777777" w:rsidR="00E97880" w:rsidRPr="00E97880" w:rsidRDefault="00E97880" w:rsidP="00E97880">
            <w:pPr>
              <w:spacing w:after="160" w:line="259" w:lineRule="auto"/>
              <w:rPr>
                <w:rFonts w:cs="Arial"/>
              </w:rPr>
            </w:pPr>
            <w:r w:rsidRPr="00E97880">
              <w:rPr>
                <w:rFonts w:cs="Arial"/>
              </w:rPr>
              <w:t>60</w:t>
            </w:r>
          </w:p>
        </w:tc>
        <w:tc>
          <w:tcPr>
            <w:tcW w:w="0" w:type="auto"/>
            <w:hideMark/>
          </w:tcPr>
          <w:p w14:paraId="14CB4CE7" w14:textId="77777777" w:rsidR="00E97880" w:rsidRPr="00E97880" w:rsidRDefault="00E97880" w:rsidP="00E97880">
            <w:pPr>
              <w:spacing w:after="160" w:line="259" w:lineRule="auto"/>
              <w:rPr>
                <w:rFonts w:cs="Arial"/>
              </w:rPr>
            </w:pPr>
            <w:r w:rsidRPr="00E97880">
              <w:rPr>
                <w:rFonts w:cs="Arial"/>
              </w:rPr>
              <w:t>39</w:t>
            </w:r>
          </w:p>
        </w:tc>
        <w:tc>
          <w:tcPr>
            <w:tcW w:w="0" w:type="auto"/>
            <w:hideMark/>
          </w:tcPr>
          <w:p w14:paraId="56520957" w14:textId="77777777" w:rsidR="00E97880" w:rsidRPr="00E97880" w:rsidRDefault="00E97880" w:rsidP="00E97880">
            <w:pPr>
              <w:spacing w:after="160" w:line="259" w:lineRule="auto"/>
              <w:rPr>
                <w:rFonts w:cs="Arial"/>
              </w:rPr>
            </w:pPr>
            <w:r w:rsidRPr="00E97880">
              <w:rPr>
                <w:rFonts w:cs="Arial"/>
              </w:rPr>
              <w:t>55</w:t>
            </w:r>
          </w:p>
        </w:tc>
        <w:tc>
          <w:tcPr>
            <w:tcW w:w="0" w:type="auto"/>
            <w:hideMark/>
          </w:tcPr>
          <w:p w14:paraId="243D3D20" w14:textId="77777777" w:rsidR="00E97880" w:rsidRPr="00E97880" w:rsidRDefault="00E97880" w:rsidP="00E97880">
            <w:pPr>
              <w:spacing w:after="160" w:line="259" w:lineRule="auto"/>
              <w:rPr>
                <w:rFonts w:cs="Arial"/>
              </w:rPr>
            </w:pPr>
            <w:r w:rsidRPr="00E97880">
              <w:rPr>
                <w:rFonts w:cs="Arial"/>
              </w:rPr>
              <w:t>44</w:t>
            </w:r>
          </w:p>
        </w:tc>
      </w:tr>
      <w:tr w:rsidR="00E97880" w:rsidRPr="00E97880" w14:paraId="1A5BDB47" w14:textId="77777777" w:rsidTr="00E97880">
        <w:tc>
          <w:tcPr>
            <w:tcW w:w="0" w:type="auto"/>
            <w:hideMark/>
          </w:tcPr>
          <w:p w14:paraId="3BADA235" w14:textId="77777777" w:rsidR="00E97880" w:rsidRPr="00E97880" w:rsidRDefault="00E97880" w:rsidP="00E97880">
            <w:pPr>
              <w:spacing w:after="160" w:line="259" w:lineRule="auto"/>
              <w:rPr>
                <w:rFonts w:cs="Arial"/>
              </w:rPr>
            </w:pPr>
            <w:r w:rsidRPr="00E97880">
              <w:rPr>
                <w:rFonts w:cs="Arial"/>
              </w:rPr>
              <w:t>2023</w:t>
            </w:r>
          </w:p>
        </w:tc>
        <w:tc>
          <w:tcPr>
            <w:tcW w:w="0" w:type="auto"/>
            <w:hideMark/>
          </w:tcPr>
          <w:p w14:paraId="0F348DCB" w14:textId="77777777" w:rsidR="00E97880" w:rsidRPr="00E97880" w:rsidRDefault="00E97880" w:rsidP="00E97880">
            <w:pPr>
              <w:spacing w:after="160" w:line="259" w:lineRule="auto"/>
              <w:rPr>
                <w:rFonts w:cs="Arial"/>
              </w:rPr>
            </w:pPr>
            <w:r w:rsidRPr="00E97880">
              <w:rPr>
                <w:rFonts w:cs="Arial"/>
              </w:rPr>
              <w:t>63</w:t>
            </w:r>
          </w:p>
        </w:tc>
        <w:tc>
          <w:tcPr>
            <w:tcW w:w="0" w:type="auto"/>
            <w:hideMark/>
          </w:tcPr>
          <w:p w14:paraId="6E30639C" w14:textId="77777777" w:rsidR="00E97880" w:rsidRPr="00E97880" w:rsidRDefault="00E97880" w:rsidP="00E97880">
            <w:pPr>
              <w:spacing w:after="160" w:line="259" w:lineRule="auto"/>
              <w:rPr>
                <w:rFonts w:cs="Arial"/>
              </w:rPr>
            </w:pPr>
            <w:r w:rsidRPr="00E97880">
              <w:rPr>
                <w:rFonts w:cs="Arial"/>
              </w:rPr>
              <w:t>41</w:t>
            </w:r>
          </w:p>
        </w:tc>
        <w:tc>
          <w:tcPr>
            <w:tcW w:w="0" w:type="auto"/>
            <w:hideMark/>
          </w:tcPr>
          <w:p w14:paraId="516A40B8" w14:textId="77777777" w:rsidR="00E97880" w:rsidRPr="00E97880" w:rsidRDefault="00E97880" w:rsidP="00E97880">
            <w:pPr>
              <w:spacing w:after="160" w:line="259" w:lineRule="auto"/>
              <w:rPr>
                <w:rFonts w:cs="Arial"/>
              </w:rPr>
            </w:pPr>
            <w:r w:rsidRPr="00E97880">
              <w:rPr>
                <w:rFonts w:cs="Arial"/>
              </w:rPr>
              <w:t>58</w:t>
            </w:r>
          </w:p>
        </w:tc>
        <w:tc>
          <w:tcPr>
            <w:tcW w:w="0" w:type="auto"/>
            <w:hideMark/>
          </w:tcPr>
          <w:p w14:paraId="7441C628" w14:textId="77777777" w:rsidR="00E97880" w:rsidRPr="00E97880" w:rsidRDefault="00E97880" w:rsidP="00E97880">
            <w:pPr>
              <w:spacing w:after="160" w:line="259" w:lineRule="auto"/>
              <w:rPr>
                <w:rFonts w:cs="Arial"/>
              </w:rPr>
            </w:pPr>
            <w:r w:rsidRPr="00E97880">
              <w:rPr>
                <w:rFonts w:cs="Arial"/>
              </w:rPr>
              <w:t>46</w:t>
            </w:r>
          </w:p>
        </w:tc>
      </w:tr>
      <w:tr w:rsidR="00E97880" w:rsidRPr="00E97880" w14:paraId="47BB886E" w14:textId="77777777" w:rsidTr="00E97880">
        <w:tc>
          <w:tcPr>
            <w:tcW w:w="0" w:type="auto"/>
            <w:hideMark/>
          </w:tcPr>
          <w:p w14:paraId="50F7F840" w14:textId="77777777" w:rsidR="00E97880" w:rsidRPr="00E97880" w:rsidRDefault="00E97880" w:rsidP="00E97880">
            <w:pPr>
              <w:spacing w:after="160" w:line="259" w:lineRule="auto"/>
              <w:rPr>
                <w:rFonts w:cs="Arial"/>
              </w:rPr>
            </w:pPr>
            <w:r w:rsidRPr="00E97880">
              <w:rPr>
                <w:rFonts w:cs="Arial"/>
              </w:rPr>
              <w:t>2024</w:t>
            </w:r>
          </w:p>
        </w:tc>
        <w:tc>
          <w:tcPr>
            <w:tcW w:w="0" w:type="auto"/>
            <w:hideMark/>
          </w:tcPr>
          <w:p w14:paraId="53FB97B3" w14:textId="77777777" w:rsidR="00E97880" w:rsidRPr="00E97880" w:rsidRDefault="00E97880" w:rsidP="00E97880">
            <w:pPr>
              <w:spacing w:after="160" w:line="259" w:lineRule="auto"/>
              <w:rPr>
                <w:rFonts w:cs="Arial"/>
              </w:rPr>
            </w:pPr>
            <w:r w:rsidRPr="00E97880">
              <w:rPr>
                <w:rFonts w:cs="Arial"/>
              </w:rPr>
              <w:t>65</w:t>
            </w:r>
          </w:p>
        </w:tc>
        <w:tc>
          <w:tcPr>
            <w:tcW w:w="0" w:type="auto"/>
            <w:hideMark/>
          </w:tcPr>
          <w:p w14:paraId="75F78FCE" w14:textId="77777777" w:rsidR="00E97880" w:rsidRPr="00E97880" w:rsidRDefault="00E97880" w:rsidP="00E97880">
            <w:pPr>
              <w:spacing w:after="160" w:line="259" w:lineRule="auto"/>
              <w:rPr>
                <w:rFonts w:cs="Arial"/>
              </w:rPr>
            </w:pPr>
            <w:r w:rsidRPr="00E97880">
              <w:rPr>
                <w:rFonts w:cs="Arial"/>
              </w:rPr>
              <w:t>43</w:t>
            </w:r>
          </w:p>
        </w:tc>
        <w:tc>
          <w:tcPr>
            <w:tcW w:w="0" w:type="auto"/>
            <w:hideMark/>
          </w:tcPr>
          <w:p w14:paraId="3554D39D" w14:textId="77777777" w:rsidR="00E97880" w:rsidRPr="00E97880" w:rsidRDefault="00E97880" w:rsidP="00E97880">
            <w:pPr>
              <w:spacing w:after="160" w:line="259" w:lineRule="auto"/>
              <w:rPr>
                <w:rFonts w:cs="Arial"/>
              </w:rPr>
            </w:pPr>
            <w:r w:rsidRPr="00E97880">
              <w:rPr>
                <w:rFonts w:cs="Arial"/>
              </w:rPr>
              <w:t>60</w:t>
            </w:r>
          </w:p>
        </w:tc>
        <w:tc>
          <w:tcPr>
            <w:tcW w:w="0" w:type="auto"/>
            <w:hideMark/>
          </w:tcPr>
          <w:p w14:paraId="1246F898" w14:textId="77777777" w:rsidR="00E97880" w:rsidRPr="00E97880" w:rsidRDefault="00E97880" w:rsidP="00E97880">
            <w:pPr>
              <w:spacing w:after="160" w:line="259" w:lineRule="auto"/>
              <w:rPr>
                <w:rFonts w:cs="Arial"/>
              </w:rPr>
            </w:pPr>
            <w:r w:rsidRPr="00E97880">
              <w:rPr>
                <w:rFonts w:cs="Arial"/>
              </w:rPr>
              <w:t>48</w:t>
            </w:r>
          </w:p>
        </w:tc>
      </w:tr>
    </w:tbl>
    <w:p w14:paraId="6909C3CF" w14:textId="77777777" w:rsidR="00E97880" w:rsidRPr="00E97880" w:rsidRDefault="00E97880" w:rsidP="00E97880">
      <w:pPr>
        <w:rPr>
          <w:rFonts w:cs="Arial"/>
          <w:b/>
          <w:bCs/>
        </w:rPr>
      </w:pPr>
      <w:r w:rsidRPr="00E97880">
        <w:rPr>
          <w:rFonts w:cs="Arial"/>
          <w:b/>
          <w:bCs/>
        </w:rPr>
        <w:t>CCC Formula:</w:t>
      </w:r>
    </w:p>
    <w:p w14:paraId="006DBA0F" w14:textId="15FB6977" w:rsidR="00E97880" w:rsidRPr="00E97880" w:rsidRDefault="00E97880" w:rsidP="00E97880">
      <w:pPr>
        <w:rPr>
          <w:rFonts w:cs="Arial"/>
        </w:rPr>
      </w:pPr>
      <w:r w:rsidRPr="00E97880">
        <w:rPr>
          <w:rFonts w:cs="Arial"/>
        </w:rPr>
        <w:t>CCC = Inventory Days + Receivable Days − Payable Days</w:t>
      </w:r>
    </w:p>
    <w:p w14:paraId="0C87799D" w14:textId="77777777" w:rsidR="00E97880" w:rsidRPr="00E97880" w:rsidRDefault="00E97880" w:rsidP="00E97880">
      <w:pPr>
        <w:rPr>
          <w:rFonts w:cs="Arial"/>
        </w:rPr>
      </w:pPr>
      <w:r w:rsidRPr="00E97880">
        <w:rPr>
          <w:rFonts w:cs="Arial"/>
          <w:i/>
          <w:iCs/>
        </w:rPr>
        <w:t>Source: Author calculations based on Toyota Motor Corporation Annual Reports (2020–2024).</w:t>
      </w:r>
    </w:p>
    <w:p w14:paraId="2AEA8FD0" w14:textId="77777777" w:rsidR="00E97880" w:rsidRPr="00E97880" w:rsidRDefault="00E97880" w:rsidP="00E97880">
      <w:pPr>
        <w:rPr>
          <w:rFonts w:cs="Arial"/>
        </w:rPr>
      </w:pPr>
      <w:r w:rsidRPr="00E97880">
        <w:rPr>
          <w:rFonts w:cs="Arial"/>
        </w:rPr>
        <w:t>The cash conversion cycle of Toyota in 2024 was higher than in 2020 (48 days) which was worse than in 2020 (40 days) which shows that the company is seeing a higher percentage of the cash it is holding is not being converted back into cash. In the case of a company of the magnitude of Toyota, even slight drop in the working capital efficiency can paralyse a huge amount of financial resources.</w:t>
      </w:r>
    </w:p>
    <w:p w14:paraId="039BE2D4" w14:textId="77777777" w:rsidR="00E97880" w:rsidRPr="00E97880" w:rsidRDefault="00E97880" w:rsidP="00E97880">
      <w:pPr>
        <w:rPr>
          <w:rFonts w:cs="Arial"/>
        </w:rPr>
      </w:pPr>
      <w:r w:rsidRPr="00E97880">
        <w:rPr>
          <w:rFonts w:cs="Arial"/>
        </w:rPr>
        <w:t>This trend was mainly caused by the growth of inventory with inventory days increasing to 65 as compared to 55. Though some of this rise can be attributed to semiconductor shortages and supply-chain disruption, the continued rise in this trend indicates there are underlying structural factors at play, such as platform complexity, wider management of a greater product range, and transition stock related to electrification programmes.</w:t>
      </w:r>
    </w:p>
    <w:p w14:paraId="0E597E57" w14:textId="77777777" w:rsidR="00E97880" w:rsidRPr="00E97880" w:rsidRDefault="00E97880" w:rsidP="00E97880">
      <w:pPr>
        <w:rPr>
          <w:rFonts w:cs="Arial"/>
        </w:rPr>
      </w:pPr>
      <w:r w:rsidRPr="00E97880">
        <w:rPr>
          <w:rFonts w:cs="Arial"/>
        </w:rPr>
        <w:t>The days outstanding also went up by 35 to 43, and the cash collection was slowed and the credit exposure in the international markets was raised slightly. Although the payable days increased between 50 to 60, which partially counterbalanced the liquidity pressure, supplier financing on its own has not been adequate to counter the aggravating inventory and receivables turnover.</w:t>
      </w:r>
    </w:p>
    <w:p w14:paraId="1A50803D" w14:textId="77777777" w:rsidR="00E97880" w:rsidRPr="00E97880" w:rsidRDefault="00E97880" w:rsidP="00E97880">
      <w:pPr>
        <w:rPr>
          <w:rFonts w:cs="Arial"/>
        </w:rPr>
      </w:pPr>
      <w:r w:rsidRPr="00E97880">
        <w:rPr>
          <w:rFonts w:cs="Arial"/>
        </w:rPr>
        <w:t>Compared to less vertically integrated EV competitors like Tesla, Inc. and BYD Company, this longer cash cycle of Toyota suggests that it requires more time to convert commercial activity to deployable cash. Strategically, this gives a disadvantage of financing in the period of transition into a capital intensive industry.</w:t>
      </w:r>
    </w:p>
    <w:p w14:paraId="1D545338" w14:textId="77777777" w:rsidR="00E97880" w:rsidRPr="00E97880" w:rsidRDefault="00E97880" w:rsidP="00E97880">
      <w:pPr>
        <w:rPr>
          <w:rFonts w:cs="Arial"/>
        </w:rPr>
      </w:pPr>
    </w:p>
    <w:p w14:paraId="47094184" w14:textId="77777777" w:rsidR="00E97880" w:rsidRPr="00E97880" w:rsidRDefault="00E97880" w:rsidP="00E97880">
      <w:pPr>
        <w:pStyle w:val="Heading2"/>
      </w:pPr>
      <w:bookmarkStart w:id="9" w:name="_Toc227273934"/>
      <w:r w:rsidRPr="00E97880">
        <w:t>3.2 Problems Identified</w:t>
      </w:r>
      <w:bookmarkEnd w:id="9"/>
    </w:p>
    <w:p w14:paraId="49234B4E" w14:textId="77777777" w:rsidR="00E97880" w:rsidRPr="00E97880" w:rsidRDefault="00E97880" w:rsidP="00E97880">
      <w:pPr>
        <w:rPr>
          <w:rFonts w:cs="Arial"/>
        </w:rPr>
      </w:pPr>
      <w:r w:rsidRPr="00E97880">
        <w:rPr>
          <w:rFonts w:cs="Arial"/>
        </w:rPr>
        <w:t>The growth in the cash conversion cycle suggests that the growth in operations is taking on more and more liquidity and not creating it. This is economically important since money tied up in inventory or inventory cannot be used to invest in more productive investments like battery technology, automation, or to shareholders.</w:t>
      </w:r>
    </w:p>
    <w:p w14:paraId="6A0CCDD1" w14:textId="77777777" w:rsidR="00E97880" w:rsidRPr="00E97880" w:rsidRDefault="00E97880" w:rsidP="00E97880">
      <w:pPr>
        <w:rPr>
          <w:rFonts w:cs="Arial"/>
        </w:rPr>
      </w:pPr>
      <w:r w:rsidRPr="00E97880">
        <w:rPr>
          <w:rFonts w:cs="Arial"/>
        </w:rPr>
        <w:t>The most significant constraint is the inventory build-up. Excessive stock is a good indication of inefficiency in forecasting, scheduling of production, or overstocking. Prolonged inventory holding is also more likely to enhance the risk of obsolescence in an industry that is changing swiftly technologically.</w:t>
      </w:r>
    </w:p>
    <w:p w14:paraId="0840CD01" w14:textId="77777777" w:rsidR="00E97880" w:rsidRPr="00E97880" w:rsidRDefault="00E97880" w:rsidP="00E97880">
      <w:pPr>
        <w:rPr>
          <w:rFonts w:cs="Arial"/>
        </w:rPr>
      </w:pPr>
      <w:r w:rsidRPr="00E97880">
        <w:rPr>
          <w:rFonts w:cs="Arial"/>
        </w:rPr>
        <w:t>The increase in the days outstanding can be attributed to lighter discipline in collection, credit extension in the region or strategic commercial benefits to retain market share. Commercially logical in certain markets, slower collections decrease cash certainties and heighten working capital intensity.</w:t>
      </w:r>
    </w:p>
    <w:p w14:paraId="39055F6D" w14:textId="77777777" w:rsidR="00E97880" w:rsidRPr="00E97880" w:rsidRDefault="00E97880" w:rsidP="00E97880">
      <w:pPr>
        <w:rPr>
          <w:rFonts w:cs="Arial"/>
        </w:rPr>
      </w:pPr>
      <w:r w:rsidRPr="00E97880">
        <w:rPr>
          <w:rFonts w:cs="Arial"/>
        </w:rPr>
        <w:t>Even though the extended payables terms facilitate the short-term liquidity, supplier dependency may harm supplier relations, undermine supplier bargaining power, and impose resiliency risks in strategically significant supply chains (Brealey, Myers and Allen, 2020).</w:t>
      </w:r>
    </w:p>
    <w:p w14:paraId="1E2ABE0E" w14:textId="77777777" w:rsidR="00E97880" w:rsidRPr="00E97880" w:rsidRDefault="00E97880" w:rsidP="00E97880">
      <w:pPr>
        <w:rPr>
          <w:rFonts w:cs="Arial"/>
        </w:rPr>
      </w:pPr>
      <w:r w:rsidRPr="00E97880">
        <w:rPr>
          <w:rFonts w:cs="Arial"/>
        </w:rPr>
        <w:t>Toyota has an overall classic scale paradox: the bigger the revenues, the slower the cash generation is generated in relation to them. Numerous studies have always found a direct correlation between poor working capital management and reduced profitability and firm value in capital intense industries (Deloof, 2003).</w:t>
      </w:r>
    </w:p>
    <w:p w14:paraId="68C9D050" w14:textId="77777777" w:rsidR="00E97880" w:rsidRPr="00E97880" w:rsidRDefault="00E97880" w:rsidP="00E97880">
      <w:pPr>
        <w:rPr>
          <w:rFonts w:cs="Arial"/>
        </w:rPr>
      </w:pPr>
    </w:p>
    <w:p w14:paraId="214973DE" w14:textId="77777777" w:rsidR="00E97880" w:rsidRPr="00E97880" w:rsidRDefault="00E97880" w:rsidP="00E97880">
      <w:pPr>
        <w:pStyle w:val="Heading2"/>
      </w:pPr>
      <w:bookmarkStart w:id="10" w:name="_Toc227273935"/>
      <w:r w:rsidRPr="00E97880">
        <w:t>3.3 Strategic Improvements</w:t>
      </w:r>
      <w:bookmarkEnd w:id="10"/>
    </w:p>
    <w:p w14:paraId="19EEC738" w14:textId="77777777" w:rsidR="00E97880" w:rsidRPr="00E97880" w:rsidRDefault="00E97880" w:rsidP="00E97880">
      <w:pPr>
        <w:rPr>
          <w:rFonts w:cs="Arial"/>
        </w:rPr>
      </w:pPr>
      <w:r w:rsidRPr="00E97880">
        <w:rPr>
          <w:rFonts w:cs="Arial"/>
        </w:rPr>
        <w:t>Toyota ought to aim at a selective working capital change that aims at liberating cash traps without affecting operational resilience.</w:t>
      </w:r>
    </w:p>
    <w:p w14:paraId="785D7254" w14:textId="77777777" w:rsidR="00E97880" w:rsidRPr="00E97880" w:rsidRDefault="00E97880" w:rsidP="00E97880">
      <w:pPr>
        <w:rPr>
          <w:rFonts w:cs="Arial"/>
          <w:b/>
          <w:bCs/>
        </w:rPr>
      </w:pPr>
      <w:r w:rsidRPr="00E97880">
        <w:rPr>
          <w:rFonts w:cs="Arial"/>
          <w:b/>
          <w:bCs/>
        </w:rPr>
        <w:t>Inventory Optimisation</w:t>
      </w:r>
    </w:p>
    <w:p w14:paraId="33F7E931" w14:textId="77777777" w:rsidR="00E97880" w:rsidRPr="00E97880" w:rsidRDefault="00E97880" w:rsidP="00E97880">
      <w:pPr>
        <w:rPr>
          <w:rFonts w:cs="Arial"/>
        </w:rPr>
      </w:pPr>
      <w:r w:rsidRPr="00E97880">
        <w:rPr>
          <w:rFonts w:cs="Arial"/>
        </w:rPr>
        <w:t>The greatest opportunity is inventory. Toyota needs to use a fragmented inventory model as opposed to even and lean. Strategic buffers may be required by critical EV components and semiconductors, whereas mature product lines should be run with a more stringent Just-in-Time discipline with the help of predictive analytics and real-time demand forecasting.</w:t>
      </w:r>
    </w:p>
    <w:p w14:paraId="48B9CD33" w14:textId="77777777" w:rsidR="00E97880" w:rsidRPr="00E97880" w:rsidRDefault="00E97880" w:rsidP="00E97880">
      <w:pPr>
        <w:rPr>
          <w:rFonts w:cs="Arial"/>
          <w:b/>
          <w:bCs/>
        </w:rPr>
      </w:pPr>
      <w:r w:rsidRPr="00E97880">
        <w:rPr>
          <w:rFonts w:cs="Arial"/>
          <w:b/>
          <w:bCs/>
        </w:rPr>
        <w:t>Receivables Discipline</w:t>
      </w:r>
    </w:p>
    <w:p w14:paraId="1B01F38C" w14:textId="77777777" w:rsidR="00E97880" w:rsidRPr="00E97880" w:rsidRDefault="00E97880" w:rsidP="00E97880">
      <w:pPr>
        <w:rPr>
          <w:rFonts w:cs="Arial"/>
        </w:rPr>
      </w:pPr>
      <w:r w:rsidRPr="00E97880">
        <w:rPr>
          <w:rFonts w:cs="Arial"/>
        </w:rPr>
        <w:t>More stringent credit governance, automated collections monitoring, and early payment dynamic discounting can be used to enhance receivables efficiency. These, in turn, increase the cash recovery speed and do not damage customer relationships.</w:t>
      </w:r>
    </w:p>
    <w:p w14:paraId="34E9096B" w14:textId="77777777" w:rsidR="00E97880" w:rsidRPr="00E97880" w:rsidRDefault="00E97880" w:rsidP="00E97880">
      <w:pPr>
        <w:rPr>
          <w:rFonts w:cs="Arial"/>
          <w:b/>
          <w:bCs/>
        </w:rPr>
      </w:pPr>
      <w:r w:rsidRPr="00E97880">
        <w:rPr>
          <w:rFonts w:cs="Arial"/>
          <w:b/>
          <w:bCs/>
        </w:rPr>
        <w:t>Supplier Finance Strategy</w:t>
      </w:r>
    </w:p>
    <w:p w14:paraId="6B1B1341" w14:textId="77777777" w:rsidR="00E97880" w:rsidRPr="00E97880" w:rsidRDefault="00E97880" w:rsidP="00E97880">
      <w:pPr>
        <w:rPr>
          <w:rFonts w:cs="Arial"/>
        </w:rPr>
      </w:pPr>
      <w:r w:rsidRPr="00E97880">
        <w:rPr>
          <w:rFonts w:cs="Arial"/>
        </w:rPr>
        <w:t>Toyota should also increase supply-chain finance programmes, which enable the suppliers to get an early payment to the suppliers via financial intermediaries as Toyota maintains negotiated payment terms. This enhances resilience of the ecosystem instead of passing the pressure downstream (McKinsey &amp; Company, 2023).</w:t>
      </w:r>
    </w:p>
    <w:p w14:paraId="08BE8619" w14:textId="77777777" w:rsidR="00E97880" w:rsidRPr="00E97880" w:rsidRDefault="00E97880" w:rsidP="00E97880">
      <w:pPr>
        <w:rPr>
          <w:rFonts w:cs="Arial"/>
          <w:b/>
          <w:bCs/>
        </w:rPr>
      </w:pPr>
      <w:r w:rsidRPr="00E97880">
        <w:rPr>
          <w:rFonts w:cs="Arial"/>
          <w:b/>
          <w:bCs/>
        </w:rPr>
        <w:t>Quantified Impact</w:t>
      </w:r>
    </w:p>
    <w:p w14:paraId="102B2CB3" w14:textId="77777777" w:rsidR="00E97880" w:rsidRPr="00E97880" w:rsidRDefault="00E97880" w:rsidP="00E97880">
      <w:pPr>
        <w:rPr>
          <w:rFonts w:cs="Arial"/>
        </w:rPr>
      </w:pPr>
      <w:r w:rsidRPr="00E97880">
        <w:rPr>
          <w:rFonts w:cs="Arial"/>
        </w:rPr>
        <w:t>Since Toyota is a large company, a five-day shortening of cash conversion cycle would free some ¥1.5-2.0 trillion of working capital. This would substantially increase liquidity and decrease short term borrowing needs and provide internal funding potential to invest strategically.</w:t>
      </w:r>
    </w:p>
    <w:p w14:paraId="635E8AAB" w14:textId="77777777" w:rsidR="00E97880" w:rsidRPr="00E97880" w:rsidRDefault="00E97880" w:rsidP="00E97880">
      <w:pPr>
        <w:rPr>
          <w:rFonts w:cs="Arial"/>
          <w:b/>
          <w:bCs/>
        </w:rPr>
      </w:pPr>
      <w:r w:rsidRPr="00E97880">
        <w:rPr>
          <w:rFonts w:cs="Arial"/>
          <w:b/>
          <w:bCs/>
        </w:rPr>
        <w:t>Risk Control</w:t>
      </w:r>
    </w:p>
    <w:p w14:paraId="3CFAB270" w14:textId="77777777" w:rsidR="00E97880" w:rsidRPr="00E97880" w:rsidRDefault="00E97880" w:rsidP="00E97880">
      <w:pPr>
        <w:rPr>
          <w:rFonts w:cs="Arial"/>
        </w:rPr>
      </w:pPr>
      <w:r w:rsidRPr="00E97880">
        <w:rPr>
          <w:rFonts w:cs="Arial"/>
        </w:rPr>
        <w:t>Aggressive working capital compression would be counterproductive, though. Reduction of excess inventory can pose a greater risk of shutdown in case the shortage of components occurs again. Thus, efficiency at resilience should be the main focus of optimisation as opposed to minimum stock at any price.</w:t>
      </w:r>
    </w:p>
    <w:p w14:paraId="789C573D" w14:textId="77777777" w:rsidR="00E97880" w:rsidRPr="00E97880" w:rsidRDefault="00E97880" w:rsidP="00E97880">
      <w:pPr>
        <w:rPr>
          <w:rFonts w:cs="Arial"/>
        </w:rPr>
      </w:pPr>
    </w:p>
    <w:p w14:paraId="20CBB639" w14:textId="77777777" w:rsidR="00E97880" w:rsidRPr="00E97880" w:rsidRDefault="00E97880" w:rsidP="00E97880">
      <w:pPr>
        <w:pStyle w:val="Heading2"/>
      </w:pPr>
      <w:bookmarkStart w:id="11" w:name="_Toc227273936"/>
      <w:r w:rsidRPr="00E97880">
        <w:t>3.4 Financing Decision</w:t>
      </w:r>
      <w:bookmarkEnd w:id="11"/>
    </w:p>
    <w:p w14:paraId="421A744F" w14:textId="77777777" w:rsidR="00E97880" w:rsidRPr="00E97880" w:rsidRDefault="00E97880" w:rsidP="00E97880">
      <w:pPr>
        <w:rPr>
          <w:rFonts w:cs="Arial"/>
        </w:rPr>
      </w:pPr>
      <w:r w:rsidRPr="00E97880">
        <w:rPr>
          <w:rFonts w:cs="Arial"/>
        </w:rPr>
        <w:t>The poor cash cycle of Toyota has direct financing implications. The longer the CCC the higher the temporary funding required to meet the cash outflow to suppliers and inflows receivables to customers.</w:t>
      </w:r>
    </w:p>
    <w:p w14:paraId="0BECDF1B" w14:textId="77777777" w:rsidR="00E97880" w:rsidRPr="00E97880" w:rsidRDefault="00E97880" w:rsidP="00E97880">
      <w:pPr>
        <w:rPr>
          <w:rFonts w:cs="Arial"/>
        </w:rPr>
      </w:pPr>
      <w:r w:rsidRPr="00E97880">
        <w:rPr>
          <w:rFonts w:cs="Arial"/>
        </w:rPr>
        <w:t>The cyclical working capital requirements should be covered under short-term finance as it is more flexible and has a matching maturity. Nonetheless, overreliance on short-term borrowing puts the company at risk of refinancing risk and interest-rate risk, especially at times of restrictive monetary policy (Ross, Westerfield and Jaffe, 2021).</w:t>
      </w:r>
    </w:p>
    <w:p w14:paraId="1937D193" w14:textId="77777777" w:rsidR="00E97880" w:rsidRPr="00E97880" w:rsidRDefault="00E97880" w:rsidP="00E97880">
      <w:pPr>
        <w:rPr>
          <w:rFonts w:cs="Arial"/>
        </w:rPr>
      </w:pPr>
      <w:r w:rsidRPr="00E97880">
        <w:rPr>
          <w:rFonts w:cs="Arial"/>
        </w:rPr>
        <w:t>Long term debt provides stability in financing, but is not effective in financing temporary operating assets. Funding variable working capital with permanent capital raises the cost of financing and can walk up the return on capital employed.</w:t>
      </w:r>
    </w:p>
    <w:p w14:paraId="0D6FA1D0" w14:textId="77777777" w:rsidR="00E97880" w:rsidRPr="00E97880" w:rsidRDefault="00E97880" w:rsidP="00E97880">
      <w:pPr>
        <w:rPr>
          <w:rFonts w:cs="Arial"/>
        </w:rPr>
      </w:pPr>
      <w:r w:rsidRPr="00E97880">
        <w:rPr>
          <w:rFonts w:cs="Arial"/>
        </w:rPr>
        <w:t>In this regard, Toyota needs to implement a balanced financing concept:</w:t>
      </w:r>
    </w:p>
    <w:p w14:paraId="0E9F5EE4" w14:textId="1707898A" w:rsidR="00E97880" w:rsidRPr="00E97880" w:rsidRDefault="00E97880" w:rsidP="00E97880">
      <w:pPr>
        <w:pStyle w:val="ListParagraph"/>
        <w:numPr>
          <w:ilvl w:val="0"/>
          <w:numId w:val="47"/>
        </w:numPr>
        <w:rPr>
          <w:rFonts w:cs="Arial"/>
        </w:rPr>
      </w:pPr>
      <w:r w:rsidRPr="00E97880">
        <w:rPr>
          <w:rFonts w:cs="Arial"/>
        </w:rPr>
        <w:t xml:space="preserve">Fundamental working capital raised by the generation of internal cash. </w:t>
      </w:r>
    </w:p>
    <w:p w14:paraId="1307F865" w14:textId="472FDB0B" w:rsidR="00E97880" w:rsidRPr="00E97880" w:rsidRDefault="00E97880" w:rsidP="00E97880">
      <w:pPr>
        <w:pStyle w:val="ListParagraph"/>
        <w:numPr>
          <w:ilvl w:val="0"/>
          <w:numId w:val="47"/>
        </w:numPr>
        <w:rPr>
          <w:rFonts w:cs="Arial"/>
        </w:rPr>
      </w:pPr>
      <w:r w:rsidRPr="00E97880">
        <w:rPr>
          <w:rFonts w:cs="Arial"/>
        </w:rPr>
        <w:t xml:space="preserve">Seasonal seasonality that is supported by short-term facilities. </w:t>
      </w:r>
    </w:p>
    <w:p w14:paraId="33D0EA92" w14:textId="77777777" w:rsidR="00E97880" w:rsidRPr="00E97880" w:rsidRDefault="00E97880" w:rsidP="00E97880">
      <w:pPr>
        <w:pStyle w:val="ListParagraph"/>
        <w:numPr>
          <w:ilvl w:val="0"/>
          <w:numId w:val="47"/>
        </w:numPr>
        <w:rPr>
          <w:rFonts w:cs="Arial"/>
        </w:rPr>
      </w:pPr>
      <w:r w:rsidRPr="00E97880">
        <w:rPr>
          <w:rFonts w:cs="Arial"/>
        </w:rPr>
        <w:t xml:space="preserve">Long-term capital: Electrification, software and strategic capacity investment. </w:t>
      </w:r>
    </w:p>
    <w:p w14:paraId="70C3BF7F" w14:textId="77777777" w:rsidR="00E97880" w:rsidRPr="00E97880" w:rsidRDefault="00E97880" w:rsidP="00E97880">
      <w:pPr>
        <w:rPr>
          <w:rFonts w:cs="Arial"/>
        </w:rPr>
      </w:pPr>
      <w:r w:rsidRPr="00E97880">
        <w:rPr>
          <w:rFonts w:cs="Arial"/>
        </w:rPr>
        <w:t>Borrowing more efficiently is, however, not the most value-accretive financing decision, but is rather the decision to finance less in the first place.</w:t>
      </w:r>
    </w:p>
    <w:p w14:paraId="209670E3" w14:textId="77777777" w:rsidR="00E97880" w:rsidRPr="00E97880" w:rsidRDefault="00E97880" w:rsidP="00E97880">
      <w:pPr>
        <w:rPr>
          <w:rFonts w:cs="Arial"/>
        </w:rPr>
      </w:pPr>
    </w:p>
    <w:p w14:paraId="467570C8" w14:textId="77777777" w:rsidR="00E97880" w:rsidRPr="00E97880" w:rsidRDefault="00E97880" w:rsidP="00E97880">
      <w:pPr>
        <w:pStyle w:val="Heading2"/>
      </w:pPr>
      <w:bookmarkStart w:id="12" w:name="_Toc227273937"/>
      <w:r w:rsidRPr="00E97880">
        <w:t>3.5 Conclusion of Section</w:t>
      </w:r>
      <w:bookmarkEnd w:id="12"/>
    </w:p>
    <w:p w14:paraId="22748AF7" w14:textId="77777777" w:rsidR="00E97880" w:rsidRPr="00E97880" w:rsidRDefault="00E97880" w:rsidP="00E97880">
      <w:pPr>
        <w:rPr>
          <w:rFonts w:cs="Arial"/>
        </w:rPr>
      </w:pPr>
      <w:r w:rsidRPr="00E97880">
        <w:rPr>
          <w:rFonts w:cs="Arial"/>
        </w:rPr>
        <w:t>The management of working capital is more of a strategic value lever but not an administrative control process. The ever-growing cash conversion cycle in Toyota means that the company is finding itself more cash intensive and lacks financial flexibility at a time when it is making heavy strategic investments.</w:t>
      </w:r>
    </w:p>
    <w:p w14:paraId="6C03E531" w14:textId="77777777" w:rsidR="00E97880" w:rsidRPr="00E97880" w:rsidRDefault="00E97880" w:rsidP="00E97880">
      <w:pPr>
        <w:rPr>
          <w:rFonts w:cs="Arial"/>
        </w:rPr>
      </w:pPr>
      <w:r w:rsidRPr="00E97880">
        <w:rPr>
          <w:rFonts w:cs="Arial"/>
        </w:rPr>
        <w:t>Simplifying the inventory, shortening collections and maximising supplier finance will free up significant internal liquidity without affecting operational resilience at Toyota. The quickest firms in the transition cycle in terms of converting revenue into cash are usually the ones with the most strategic freedom.</w:t>
      </w:r>
    </w:p>
    <w:p w14:paraId="6C7C833B" w14:textId="77777777" w:rsidR="00E97880" w:rsidRPr="00E97880" w:rsidRDefault="00E97880" w:rsidP="00E97880">
      <w:pPr>
        <w:rPr>
          <w:rFonts w:cs="Arial"/>
        </w:rPr>
      </w:pPr>
    </w:p>
    <w:p w14:paraId="7FC36724" w14:textId="77777777" w:rsidR="00E97880" w:rsidRPr="00E97880" w:rsidRDefault="00E97880" w:rsidP="00E97880">
      <w:pPr>
        <w:pStyle w:val="Heading1"/>
      </w:pPr>
      <w:bookmarkStart w:id="13" w:name="_Toc227273938"/>
      <w:r w:rsidRPr="00E97880">
        <w:t>4. Strategic Financial Restructuring</w:t>
      </w:r>
      <w:bookmarkEnd w:id="13"/>
    </w:p>
    <w:p w14:paraId="0658C1E6" w14:textId="77777777" w:rsidR="00E97880" w:rsidRPr="00E97880" w:rsidRDefault="00E97880" w:rsidP="00E97880">
      <w:pPr>
        <w:pStyle w:val="Heading2"/>
      </w:pPr>
      <w:bookmarkStart w:id="14" w:name="_Toc227273939"/>
      <w:r w:rsidRPr="00E97880">
        <w:t>4.1 Problem Diagnosis</w:t>
      </w:r>
      <w:bookmarkEnd w:id="14"/>
    </w:p>
    <w:p w14:paraId="161344BD" w14:textId="77777777" w:rsidR="00E97880" w:rsidRPr="00E97880" w:rsidRDefault="00E97880" w:rsidP="00E97880">
      <w:pPr>
        <w:rPr>
          <w:rFonts w:cs="Arial"/>
        </w:rPr>
      </w:pPr>
      <w:r w:rsidRPr="00E97880">
        <w:rPr>
          <w:rFonts w:cs="Arial"/>
        </w:rPr>
        <w:t>Toyota Motor Corporation is still financially strong, very liquid and globally sizable. But, behind the strength, there is an increasing structural conflict between the efficiency of capital deployment and returns. It is not poor profitability that is a problem, it is less conversion of invested capital to higher shareholder returns.</w:t>
      </w:r>
    </w:p>
    <w:p w14:paraId="7C40B244" w14:textId="77777777" w:rsidR="00E97880" w:rsidRPr="00E97880" w:rsidRDefault="00E97880" w:rsidP="00E97880">
      <w:pPr>
        <w:rPr>
          <w:rFonts w:cs="Arial"/>
        </w:rPr>
      </w:pPr>
      <w:r w:rsidRPr="00E97880">
        <w:rPr>
          <w:rFonts w:cs="Arial"/>
        </w:rPr>
        <w:t>The growth in revenue was high with an increase in ROCE not very high in the period between 2020 and 2024. This means that there have been decreasing marginal returns to incremental capital used. The huge investment in electrification platforms, battery supply chains, software capability, and global production capacity, helped to position the strategy, but at the same time, it has contributed to capital intensity and slowed realisation of returns.</w:t>
      </w:r>
    </w:p>
    <w:p w14:paraId="5903CFF7" w14:textId="77777777" w:rsidR="00E97880" w:rsidRPr="00E97880" w:rsidRDefault="00E97880" w:rsidP="00E97880">
      <w:pPr>
        <w:rPr>
          <w:rFonts w:cs="Arial"/>
        </w:rPr>
      </w:pPr>
      <w:r w:rsidRPr="00E97880">
        <w:rPr>
          <w:rFonts w:cs="Arial"/>
        </w:rPr>
        <w:t>This pressure is supported by working capital trends. Increasing inventory and receivable days show that operational growth is increasingly taking over liquidity instead of giving it back. This limits the flexibility of strategies and enhances the financing support in a time of high investment demands.</w:t>
      </w:r>
    </w:p>
    <w:p w14:paraId="024E1AEA" w14:textId="77777777" w:rsidR="00E97880" w:rsidRPr="00E97880" w:rsidRDefault="00E97880" w:rsidP="00E97880">
      <w:pPr>
        <w:rPr>
          <w:rFonts w:cs="Arial"/>
        </w:rPr>
      </w:pPr>
      <w:r w:rsidRPr="00E97880">
        <w:rPr>
          <w:rFonts w:cs="Arial"/>
        </w:rPr>
        <w:t>The leverage position of Toyota is not that high, but there is a problem of interpretation of Toyota Financial Services which bloats consolidated debt measures compared to industrial counterparts. This complexity makes well-disciplined capital allocation and segment-level performance measurement more important, although it can be achieved with financial backing.</w:t>
      </w:r>
    </w:p>
    <w:p w14:paraId="4B89DFD7" w14:textId="096B30DE" w:rsidR="00E97880" w:rsidRPr="00E97880" w:rsidRDefault="00E97880" w:rsidP="00E97880">
      <w:pPr>
        <w:rPr>
          <w:rFonts w:cs="Arial"/>
        </w:rPr>
      </w:pPr>
      <w:r w:rsidRPr="00E97880">
        <w:rPr>
          <w:rFonts w:cs="Arial"/>
        </w:rPr>
        <w:t>Another issue is the uncertainty and the magnitude of EV investment. Multi-billion-yen investments in battery facilities, software ecosystems, and electrified platforms are high-risk in execution and technology and unpredictable returns. In line with this, the challenge with restructuring at Toyota is as follows: it must maintain the benefits of scale, but achieve significant capital productivity improvements.</w:t>
      </w:r>
    </w:p>
    <w:p w14:paraId="0F830963" w14:textId="77777777" w:rsidR="00E97880" w:rsidRDefault="00E97880" w:rsidP="00E97880"/>
    <w:p w14:paraId="22DA1208" w14:textId="54637BE1" w:rsidR="00E97880" w:rsidRPr="00E97880" w:rsidRDefault="00E97880" w:rsidP="00E97880">
      <w:pPr>
        <w:pStyle w:val="Heading2"/>
      </w:pPr>
      <w:bookmarkStart w:id="15" w:name="_Toc227273940"/>
      <w:r w:rsidRPr="00E97880">
        <w:t>4.2 Strategic Options</w:t>
      </w:r>
      <w:bookmarkEnd w:id="15"/>
    </w:p>
    <w:p w14:paraId="22F27B8C" w14:textId="77777777" w:rsidR="00E97880" w:rsidRPr="00E97880" w:rsidRDefault="00E97880" w:rsidP="00E97880">
      <w:pPr>
        <w:rPr>
          <w:rFonts w:cs="Arial"/>
          <w:b/>
          <w:bCs/>
        </w:rPr>
      </w:pPr>
      <w:r w:rsidRPr="00E97880">
        <w:rPr>
          <w:rFonts w:cs="Arial"/>
          <w:b/>
          <w:bCs/>
        </w:rPr>
        <w:t>Table 4.1: Strategic Financial Restructuring Options</w:t>
      </w:r>
    </w:p>
    <w:tbl>
      <w:tblPr>
        <w:tblStyle w:val="TableGrid"/>
        <w:tblW w:w="0" w:type="auto"/>
        <w:tblLook w:val="04A0" w:firstRow="1" w:lastRow="0" w:firstColumn="1" w:lastColumn="0" w:noHBand="0" w:noVBand="1"/>
      </w:tblPr>
      <w:tblGrid>
        <w:gridCol w:w="1739"/>
        <w:gridCol w:w="2839"/>
        <w:gridCol w:w="2297"/>
        <w:gridCol w:w="2141"/>
      </w:tblGrid>
      <w:tr w:rsidR="00E97880" w:rsidRPr="00E97880" w14:paraId="2A76E8CB" w14:textId="77777777" w:rsidTr="00E97880">
        <w:tc>
          <w:tcPr>
            <w:tcW w:w="0" w:type="auto"/>
            <w:hideMark/>
          </w:tcPr>
          <w:p w14:paraId="4B7A7E01" w14:textId="77777777" w:rsidR="00E97880" w:rsidRPr="00E97880" w:rsidRDefault="00E97880" w:rsidP="00E97880">
            <w:pPr>
              <w:spacing w:after="160" w:line="259" w:lineRule="auto"/>
              <w:jc w:val="left"/>
              <w:rPr>
                <w:rFonts w:cs="Arial"/>
              </w:rPr>
            </w:pPr>
            <w:r w:rsidRPr="00E97880">
              <w:rPr>
                <w:rFonts w:cs="Arial"/>
              </w:rPr>
              <w:t>Strategy</w:t>
            </w:r>
          </w:p>
        </w:tc>
        <w:tc>
          <w:tcPr>
            <w:tcW w:w="0" w:type="auto"/>
            <w:hideMark/>
          </w:tcPr>
          <w:p w14:paraId="3540C587" w14:textId="77777777" w:rsidR="00E97880" w:rsidRPr="00E97880" w:rsidRDefault="00E97880" w:rsidP="00E97880">
            <w:pPr>
              <w:spacing w:after="160" w:line="259" w:lineRule="auto"/>
              <w:jc w:val="left"/>
              <w:rPr>
                <w:rFonts w:cs="Arial"/>
              </w:rPr>
            </w:pPr>
            <w:r w:rsidRPr="00E97880">
              <w:rPr>
                <w:rFonts w:cs="Arial"/>
              </w:rPr>
              <w:t>Toyota-Specific Application</w:t>
            </w:r>
          </w:p>
        </w:tc>
        <w:tc>
          <w:tcPr>
            <w:tcW w:w="0" w:type="auto"/>
            <w:hideMark/>
          </w:tcPr>
          <w:p w14:paraId="10E6ABBB" w14:textId="77777777" w:rsidR="00E97880" w:rsidRPr="00E97880" w:rsidRDefault="00E97880" w:rsidP="00E97880">
            <w:pPr>
              <w:spacing w:after="160" w:line="259" w:lineRule="auto"/>
              <w:jc w:val="left"/>
              <w:rPr>
                <w:rFonts w:cs="Arial"/>
              </w:rPr>
            </w:pPr>
            <w:r w:rsidRPr="00E97880">
              <w:rPr>
                <w:rFonts w:cs="Arial"/>
              </w:rPr>
              <w:t>Financial Impact</w:t>
            </w:r>
          </w:p>
        </w:tc>
        <w:tc>
          <w:tcPr>
            <w:tcW w:w="0" w:type="auto"/>
            <w:hideMark/>
          </w:tcPr>
          <w:p w14:paraId="7C56D6AF" w14:textId="77777777" w:rsidR="00E97880" w:rsidRPr="00E97880" w:rsidRDefault="00E97880" w:rsidP="00E97880">
            <w:pPr>
              <w:spacing w:after="160" w:line="259" w:lineRule="auto"/>
              <w:jc w:val="left"/>
              <w:rPr>
                <w:rFonts w:cs="Arial"/>
              </w:rPr>
            </w:pPr>
            <w:r w:rsidRPr="00E97880">
              <w:rPr>
                <w:rFonts w:cs="Arial"/>
              </w:rPr>
              <w:t>Principal Risk</w:t>
            </w:r>
          </w:p>
        </w:tc>
      </w:tr>
      <w:tr w:rsidR="00E97880" w:rsidRPr="00E97880" w14:paraId="72740E50" w14:textId="77777777" w:rsidTr="00E97880">
        <w:tc>
          <w:tcPr>
            <w:tcW w:w="0" w:type="auto"/>
            <w:hideMark/>
          </w:tcPr>
          <w:p w14:paraId="2ECD78E8" w14:textId="77777777" w:rsidR="00E97880" w:rsidRPr="00E97880" w:rsidRDefault="00E97880" w:rsidP="00E97880">
            <w:pPr>
              <w:spacing w:after="160" w:line="259" w:lineRule="auto"/>
              <w:rPr>
                <w:rFonts w:cs="Arial"/>
              </w:rPr>
            </w:pPr>
            <w:r w:rsidRPr="00E97880">
              <w:rPr>
                <w:rFonts w:cs="Arial"/>
              </w:rPr>
              <w:t>Equity Injection</w:t>
            </w:r>
          </w:p>
        </w:tc>
        <w:tc>
          <w:tcPr>
            <w:tcW w:w="0" w:type="auto"/>
            <w:hideMark/>
          </w:tcPr>
          <w:p w14:paraId="1BA428DC" w14:textId="77777777" w:rsidR="00E97880" w:rsidRPr="00E97880" w:rsidRDefault="00E97880" w:rsidP="00E97880">
            <w:pPr>
              <w:spacing w:after="160" w:line="259" w:lineRule="auto"/>
              <w:rPr>
                <w:rFonts w:cs="Arial"/>
              </w:rPr>
            </w:pPr>
            <w:r w:rsidRPr="00E97880">
              <w:rPr>
                <w:rFonts w:cs="Arial"/>
              </w:rPr>
              <w:t>Selective green financing / ESG-linked issuance</w:t>
            </w:r>
          </w:p>
        </w:tc>
        <w:tc>
          <w:tcPr>
            <w:tcW w:w="0" w:type="auto"/>
            <w:hideMark/>
          </w:tcPr>
          <w:p w14:paraId="03C04BD4" w14:textId="77777777" w:rsidR="00E97880" w:rsidRPr="00E97880" w:rsidRDefault="00E97880" w:rsidP="00E97880">
            <w:pPr>
              <w:spacing w:after="160" w:line="259" w:lineRule="auto"/>
              <w:rPr>
                <w:rFonts w:cs="Arial"/>
              </w:rPr>
            </w:pPr>
            <w:r w:rsidRPr="00E97880">
              <w:rPr>
                <w:rFonts w:cs="Arial"/>
              </w:rPr>
              <w:t>Strengthens capital base</w:t>
            </w:r>
          </w:p>
        </w:tc>
        <w:tc>
          <w:tcPr>
            <w:tcW w:w="0" w:type="auto"/>
            <w:hideMark/>
          </w:tcPr>
          <w:p w14:paraId="0329B792" w14:textId="77777777" w:rsidR="00E97880" w:rsidRPr="00E97880" w:rsidRDefault="00E97880" w:rsidP="00E97880">
            <w:pPr>
              <w:spacing w:after="160" w:line="259" w:lineRule="auto"/>
              <w:rPr>
                <w:rFonts w:cs="Arial"/>
              </w:rPr>
            </w:pPr>
            <w:r w:rsidRPr="00E97880">
              <w:rPr>
                <w:rFonts w:cs="Arial"/>
              </w:rPr>
              <w:t>Dilution / adverse signalling</w:t>
            </w:r>
          </w:p>
        </w:tc>
      </w:tr>
      <w:tr w:rsidR="00E97880" w:rsidRPr="00E97880" w14:paraId="0F579229" w14:textId="77777777" w:rsidTr="00E97880">
        <w:tc>
          <w:tcPr>
            <w:tcW w:w="0" w:type="auto"/>
            <w:hideMark/>
          </w:tcPr>
          <w:p w14:paraId="69560EB2" w14:textId="77777777" w:rsidR="00E97880" w:rsidRPr="00E97880" w:rsidRDefault="00E97880" w:rsidP="00E97880">
            <w:pPr>
              <w:spacing w:after="160" w:line="259" w:lineRule="auto"/>
              <w:rPr>
                <w:rFonts w:cs="Arial"/>
              </w:rPr>
            </w:pPr>
            <w:r w:rsidRPr="00E97880">
              <w:rPr>
                <w:rFonts w:cs="Arial"/>
              </w:rPr>
              <w:t>Debt Restructuring</w:t>
            </w:r>
          </w:p>
        </w:tc>
        <w:tc>
          <w:tcPr>
            <w:tcW w:w="0" w:type="auto"/>
            <w:hideMark/>
          </w:tcPr>
          <w:p w14:paraId="257EA858" w14:textId="77777777" w:rsidR="00E97880" w:rsidRPr="00E97880" w:rsidRDefault="00E97880" w:rsidP="00E97880">
            <w:pPr>
              <w:spacing w:after="160" w:line="259" w:lineRule="auto"/>
              <w:rPr>
                <w:rFonts w:cs="Arial"/>
              </w:rPr>
            </w:pPr>
            <w:r w:rsidRPr="00E97880">
              <w:rPr>
                <w:rFonts w:cs="Arial"/>
              </w:rPr>
              <w:t>Refinance debt; extend maturities; fix rates</w:t>
            </w:r>
          </w:p>
        </w:tc>
        <w:tc>
          <w:tcPr>
            <w:tcW w:w="0" w:type="auto"/>
            <w:hideMark/>
          </w:tcPr>
          <w:p w14:paraId="070CFE1B" w14:textId="77777777" w:rsidR="00E97880" w:rsidRPr="00E97880" w:rsidRDefault="00E97880" w:rsidP="00E97880">
            <w:pPr>
              <w:spacing w:after="160" w:line="259" w:lineRule="auto"/>
              <w:rPr>
                <w:rFonts w:cs="Arial"/>
              </w:rPr>
            </w:pPr>
            <w:r w:rsidRPr="00E97880">
              <w:rPr>
                <w:rFonts w:cs="Arial"/>
              </w:rPr>
              <w:t>Lower funding cost</w:t>
            </w:r>
          </w:p>
        </w:tc>
        <w:tc>
          <w:tcPr>
            <w:tcW w:w="0" w:type="auto"/>
            <w:hideMark/>
          </w:tcPr>
          <w:p w14:paraId="187D05E3" w14:textId="77777777" w:rsidR="00E97880" w:rsidRPr="00E97880" w:rsidRDefault="00E97880" w:rsidP="00E97880">
            <w:pPr>
              <w:spacing w:after="160" w:line="259" w:lineRule="auto"/>
              <w:rPr>
                <w:rFonts w:cs="Arial"/>
              </w:rPr>
            </w:pPr>
            <w:r w:rsidRPr="00E97880">
              <w:rPr>
                <w:rFonts w:cs="Arial"/>
              </w:rPr>
              <w:t>Rate / refinancing risk</w:t>
            </w:r>
          </w:p>
        </w:tc>
      </w:tr>
      <w:tr w:rsidR="00E97880" w:rsidRPr="00E97880" w14:paraId="67E6DD9C" w14:textId="77777777" w:rsidTr="00E97880">
        <w:tc>
          <w:tcPr>
            <w:tcW w:w="0" w:type="auto"/>
            <w:hideMark/>
          </w:tcPr>
          <w:p w14:paraId="2D8EE751" w14:textId="77777777" w:rsidR="00E97880" w:rsidRPr="00E97880" w:rsidRDefault="00E97880" w:rsidP="00E97880">
            <w:pPr>
              <w:spacing w:after="160" w:line="259" w:lineRule="auto"/>
              <w:rPr>
                <w:rFonts w:cs="Arial"/>
              </w:rPr>
            </w:pPr>
            <w:r w:rsidRPr="00E97880">
              <w:rPr>
                <w:rFonts w:cs="Arial"/>
              </w:rPr>
              <w:t>Divestment</w:t>
            </w:r>
          </w:p>
        </w:tc>
        <w:tc>
          <w:tcPr>
            <w:tcW w:w="0" w:type="auto"/>
            <w:hideMark/>
          </w:tcPr>
          <w:p w14:paraId="5E4CDFA6" w14:textId="77777777" w:rsidR="00E97880" w:rsidRPr="00E97880" w:rsidRDefault="00E97880" w:rsidP="00E97880">
            <w:pPr>
              <w:spacing w:after="160" w:line="259" w:lineRule="auto"/>
              <w:rPr>
                <w:rFonts w:cs="Arial"/>
              </w:rPr>
            </w:pPr>
            <w:r w:rsidRPr="00E97880">
              <w:rPr>
                <w:rFonts w:cs="Arial"/>
              </w:rPr>
              <w:t>Exit low-return or non-core assets</w:t>
            </w:r>
          </w:p>
        </w:tc>
        <w:tc>
          <w:tcPr>
            <w:tcW w:w="0" w:type="auto"/>
            <w:hideMark/>
          </w:tcPr>
          <w:p w14:paraId="462CB93F" w14:textId="77777777" w:rsidR="00E97880" w:rsidRPr="00E97880" w:rsidRDefault="00E97880" w:rsidP="00E97880">
            <w:pPr>
              <w:spacing w:after="160" w:line="259" w:lineRule="auto"/>
              <w:rPr>
                <w:rFonts w:cs="Arial"/>
              </w:rPr>
            </w:pPr>
            <w:r w:rsidRPr="00E97880">
              <w:rPr>
                <w:rFonts w:cs="Arial"/>
              </w:rPr>
              <w:t>Releases capital / improves ROCE</w:t>
            </w:r>
          </w:p>
        </w:tc>
        <w:tc>
          <w:tcPr>
            <w:tcW w:w="0" w:type="auto"/>
            <w:hideMark/>
          </w:tcPr>
          <w:p w14:paraId="3CCB8CD7" w14:textId="77777777" w:rsidR="00E97880" w:rsidRPr="00E97880" w:rsidRDefault="00E97880" w:rsidP="00E97880">
            <w:pPr>
              <w:spacing w:after="160" w:line="259" w:lineRule="auto"/>
              <w:rPr>
                <w:rFonts w:cs="Arial"/>
              </w:rPr>
            </w:pPr>
            <w:r w:rsidRPr="00E97880">
              <w:rPr>
                <w:rFonts w:cs="Arial"/>
              </w:rPr>
              <w:t>Loss of optionality</w:t>
            </w:r>
          </w:p>
        </w:tc>
      </w:tr>
      <w:tr w:rsidR="00E97880" w:rsidRPr="00E97880" w14:paraId="2A4AFC84" w14:textId="77777777" w:rsidTr="00E97880">
        <w:tc>
          <w:tcPr>
            <w:tcW w:w="0" w:type="auto"/>
            <w:hideMark/>
          </w:tcPr>
          <w:p w14:paraId="1ED08AC8" w14:textId="77777777" w:rsidR="00E97880" w:rsidRPr="00E97880" w:rsidRDefault="00E97880" w:rsidP="00E97880">
            <w:pPr>
              <w:spacing w:after="160" w:line="259" w:lineRule="auto"/>
              <w:rPr>
                <w:rFonts w:cs="Arial"/>
              </w:rPr>
            </w:pPr>
            <w:r w:rsidRPr="00E97880">
              <w:rPr>
                <w:rFonts w:cs="Arial"/>
              </w:rPr>
              <w:t>Strategic Alliances</w:t>
            </w:r>
          </w:p>
        </w:tc>
        <w:tc>
          <w:tcPr>
            <w:tcW w:w="0" w:type="auto"/>
            <w:hideMark/>
          </w:tcPr>
          <w:p w14:paraId="4168DDB8" w14:textId="77777777" w:rsidR="00E97880" w:rsidRPr="00E97880" w:rsidRDefault="00E97880" w:rsidP="00E97880">
            <w:pPr>
              <w:spacing w:after="160" w:line="259" w:lineRule="auto"/>
              <w:rPr>
                <w:rFonts w:cs="Arial"/>
              </w:rPr>
            </w:pPr>
            <w:r w:rsidRPr="00E97880">
              <w:rPr>
                <w:rFonts w:cs="Arial"/>
              </w:rPr>
              <w:t>Battery JVs / software partnerships</w:t>
            </w:r>
          </w:p>
        </w:tc>
        <w:tc>
          <w:tcPr>
            <w:tcW w:w="0" w:type="auto"/>
            <w:hideMark/>
          </w:tcPr>
          <w:p w14:paraId="6F0EA51F" w14:textId="77777777" w:rsidR="00E97880" w:rsidRPr="00E97880" w:rsidRDefault="00E97880" w:rsidP="00E97880">
            <w:pPr>
              <w:spacing w:after="160" w:line="259" w:lineRule="auto"/>
              <w:rPr>
                <w:rFonts w:cs="Arial"/>
              </w:rPr>
            </w:pPr>
            <w:r w:rsidRPr="00E97880">
              <w:rPr>
                <w:rFonts w:cs="Arial"/>
              </w:rPr>
              <w:t>Shared capex / faster innovation</w:t>
            </w:r>
          </w:p>
        </w:tc>
        <w:tc>
          <w:tcPr>
            <w:tcW w:w="0" w:type="auto"/>
            <w:hideMark/>
          </w:tcPr>
          <w:p w14:paraId="1FE188D4" w14:textId="77777777" w:rsidR="00E97880" w:rsidRPr="00E97880" w:rsidRDefault="00E97880" w:rsidP="00E97880">
            <w:pPr>
              <w:spacing w:after="160" w:line="259" w:lineRule="auto"/>
              <w:rPr>
                <w:rFonts w:cs="Arial"/>
              </w:rPr>
            </w:pPr>
            <w:r w:rsidRPr="00E97880">
              <w:rPr>
                <w:rFonts w:cs="Arial"/>
              </w:rPr>
              <w:t>Governance / coordination risk</w:t>
            </w:r>
          </w:p>
        </w:tc>
      </w:tr>
    </w:tbl>
    <w:p w14:paraId="19C62314" w14:textId="3AA59A11" w:rsidR="00E97880" w:rsidRPr="00E97880" w:rsidRDefault="00E97880" w:rsidP="00E97880">
      <w:pPr>
        <w:rPr>
          <w:rFonts w:cs="Arial"/>
        </w:rPr>
      </w:pPr>
    </w:p>
    <w:p w14:paraId="613C88E9" w14:textId="77777777" w:rsidR="00E97880" w:rsidRPr="00E97880" w:rsidRDefault="00E97880" w:rsidP="00E97880">
      <w:pPr>
        <w:rPr>
          <w:rFonts w:cs="Arial"/>
          <w:b/>
          <w:bCs/>
        </w:rPr>
      </w:pPr>
      <w:r w:rsidRPr="00E97880">
        <w:rPr>
          <w:rFonts w:cs="Arial"/>
          <w:b/>
          <w:bCs/>
        </w:rPr>
        <w:t>Equity Injection</w:t>
      </w:r>
    </w:p>
    <w:p w14:paraId="4CE2520B" w14:textId="77777777" w:rsidR="00E97880" w:rsidRPr="00E97880" w:rsidRDefault="00E97880" w:rsidP="00E97880">
      <w:pPr>
        <w:rPr>
          <w:rFonts w:cs="Arial"/>
        </w:rPr>
      </w:pPr>
      <w:r w:rsidRPr="00E97880">
        <w:rPr>
          <w:rFonts w:cs="Arial"/>
        </w:rPr>
        <w:t>Toyota has no significant equity issues to make since it has high operating cash. Nonetheless, selective financing based on sustainability can expand the investor demand and achieve the goal of decarbonisation.</w:t>
      </w:r>
    </w:p>
    <w:p w14:paraId="21723E86" w14:textId="77777777" w:rsidR="00E97880" w:rsidRPr="00E97880" w:rsidRDefault="00E97880" w:rsidP="00E97880">
      <w:pPr>
        <w:rPr>
          <w:rFonts w:cs="Arial"/>
        </w:rPr>
      </w:pPr>
      <w:r w:rsidRPr="00E97880">
        <w:rPr>
          <w:rFonts w:cs="Arial"/>
        </w:rPr>
        <w:t>Within the framework of the pecking order theory, companies would use internal sources of funds, then debt, and equity is generally considered the most costly informationally sensitive source of finance (Myers and Majluf, 1984). There would therefore be a high likelihood that broad equity issuance would not be optimal, unless it is linked with well-articulated value-accretive strategic projects.</w:t>
      </w:r>
    </w:p>
    <w:p w14:paraId="36D55BF1" w14:textId="77777777" w:rsidR="00E97880" w:rsidRPr="00E97880" w:rsidRDefault="00E97880" w:rsidP="00E97880">
      <w:pPr>
        <w:rPr>
          <w:rFonts w:cs="Arial"/>
        </w:rPr>
      </w:pPr>
    </w:p>
    <w:p w14:paraId="32350E69" w14:textId="77777777" w:rsidR="00E97880" w:rsidRPr="00E97880" w:rsidRDefault="00E97880" w:rsidP="00E97880">
      <w:pPr>
        <w:rPr>
          <w:rFonts w:cs="Arial"/>
          <w:b/>
          <w:bCs/>
        </w:rPr>
      </w:pPr>
      <w:r w:rsidRPr="00E97880">
        <w:rPr>
          <w:rFonts w:cs="Arial"/>
          <w:b/>
          <w:bCs/>
        </w:rPr>
        <w:t>Debt Restructuring</w:t>
      </w:r>
    </w:p>
    <w:p w14:paraId="38768E2A" w14:textId="77777777" w:rsidR="00E97880" w:rsidRPr="00E97880" w:rsidRDefault="00E97880" w:rsidP="00E97880">
      <w:pPr>
        <w:rPr>
          <w:rFonts w:cs="Arial"/>
        </w:rPr>
      </w:pPr>
      <w:r w:rsidRPr="00E97880">
        <w:rPr>
          <w:rFonts w:cs="Arial"/>
        </w:rPr>
        <w:t>The easy access to funds across the globe is an opportunity that enables Toyota to optimise liabilities instead of increasing them. Refinancing more expensive debt, lengthening the maturities and augmenting the fixed-rate exposure will stabilise future cash flows and lower the sensitivity to interest rates.</w:t>
      </w:r>
    </w:p>
    <w:p w14:paraId="3738A7B1" w14:textId="77777777" w:rsidR="00E97880" w:rsidRPr="00E97880" w:rsidRDefault="00E97880" w:rsidP="00E97880">
      <w:pPr>
        <w:rPr>
          <w:rFonts w:cs="Arial"/>
        </w:rPr>
      </w:pPr>
      <w:r w:rsidRPr="00E97880">
        <w:rPr>
          <w:rFonts w:cs="Arial"/>
        </w:rPr>
        <w:t>A small decrease in the average cost of borrowing would create significant savings annually at the Toyota scale, which would directly boost the amount of free cash flow to be used as a reinvestment or dividend to shareholders.</w:t>
      </w:r>
    </w:p>
    <w:p w14:paraId="13860141" w14:textId="77777777" w:rsidR="00E97880" w:rsidRPr="00E97880" w:rsidRDefault="00E97880" w:rsidP="00E97880">
      <w:pPr>
        <w:rPr>
          <w:rFonts w:cs="Arial"/>
        </w:rPr>
      </w:pPr>
      <w:r w:rsidRPr="00E97880">
        <w:rPr>
          <w:rFonts w:cs="Arial"/>
        </w:rPr>
        <w:t>This is in line with the current trade-off theory where optimum leverage is considered to have a balance between tax efficiency and resilience and financial flexibility (Kraus and Litzenberger, 1973).</w:t>
      </w:r>
    </w:p>
    <w:p w14:paraId="16EAC6D3" w14:textId="77777777" w:rsidR="00E97880" w:rsidRPr="00E97880" w:rsidRDefault="00E97880" w:rsidP="00E97880">
      <w:pPr>
        <w:rPr>
          <w:rFonts w:cs="Arial"/>
        </w:rPr>
      </w:pPr>
    </w:p>
    <w:p w14:paraId="47DA4692" w14:textId="77777777" w:rsidR="00E97880" w:rsidRPr="00E97880" w:rsidRDefault="00E97880" w:rsidP="00E97880">
      <w:pPr>
        <w:rPr>
          <w:rFonts w:cs="Arial"/>
          <w:b/>
          <w:bCs/>
        </w:rPr>
      </w:pPr>
      <w:r w:rsidRPr="00E97880">
        <w:rPr>
          <w:rFonts w:cs="Arial"/>
          <w:b/>
          <w:bCs/>
        </w:rPr>
        <w:t>Divestment</w:t>
      </w:r>
    </w:p>
    <w:p w14:paraId="1BD2388A" w14:textId="77777777" w:rsidR="00E97880" w:rsidRPr="00E97880" w:rsidRDefault="00E97880" w:rsidP="00E97880">
      <w:pPr>
        <w:rPr>
          <w:rFonts w:cs="Arial"/>
        </w:rPr>
      </w:pPr>
      <w:r w:rsidRPr="00E97880">
        <w:rPr>
          <w:rFonts w:cs="Arial"/>
        </w:rPr>
        <w:t>The most immediate lever to the increase in capital productivity is probably selective divestment. Toyota needs to reassess non-core or low growth or chronically low returns assets, especially where the capital is invested without strategic attribute to electrification or technology leadership.</w:t>
      </w:r>
    </w:p>
    <w:p w14:paraId="6ACFD661" w14:textId="77777777" w:rsidR="00E97880" w:rsidRPr="00E97880" w:rsidRDefault="00E97880" w:rsidP="00E97880">
      <w:pPr>
        <w:rPr>
          <w:rFonts w:cs="Arial"/>
        </w:rPr>
      </w:pPr>
      <w:r w:rsidRPr="00E97880">
        <w:rPr>
          <w:rFonts w:cs="Arial"/>
        </w:rPr>
        <w:t>Resting released capital into EV platforms with a higher payoff, automation, or shareholder distributions would enhance ROCE and minimize value dilution due to poor performing assets.</w:t>
      </w:r>
    </w:p>
    <w:p w14:paraId="426035AF" w14:textId="77777777" w:rsidR="00E97880" w:rsidRPr="00E97880" w:rsidRDefault="00E97880" w:rsidP="00E97880">
      <w:pPr>
        <w:rPr>
          <w:rFonts w:cs="Arial"/>
        </w:rPr>
      </w:pPr>
      <w:r w:rsidRPr="00E97880">
        <w:rPr>
          <w:rFonts w:cs="Arial"/>
        </w:rPr>
        <w:t>In terms of the agency theory, divestment will be used to address the inefficient empire-building and re-focus the management on value-creation (Jensen, 1986).</w:t>
      </w:r>
    </w:p>
    <w:p w14:paraId="7FF84A85" w14:textId="77777777" w:rsidR="00E97880" w:rsidRPr="00E97880" w:rsidRDefault="00E97880" w:rsidP="00E97880">
      <w:pPr>
        <w:rPr>
          <w:rFonts w:cs="Arial"/>
        </w:rPr>
      </w:pPr>
    </w:p>
    <w:p w14:paraId="734FC93F" w14:textId="77777777" w:rsidR="00E97880" w:rsidRPr="00E97880" w:rsidRDefault="00E97880" w:rsidP="00E97880">
      <w:pPr>
        <w:rPr>
          <w:rFonts w:cs="Arial"/>
          <w:b/>
          <w:bCs/>
        </w:rPr>
      </w:pPr>
      <w:r w:rsidRPr="00E97880">
        <w:rPr>
          <w:rFonts w:cs="Arial"/>
          <w:b/>
          <w:bCs/>
        </w:rPr>
        <w:t>Strategic Alliances</w:t>
      </w:r>
    </w:p>
    <w:p w14:paraId="56E87CAF" w14:textId="77777777" w:rsidR="00E97880" w:rsidRPr="00E97880" w:rsidRDefault="00E97880" w:rsidP="00E97880">
      <w:pPr>
        <w:rPr>
          <w:rFonts w:cs="Arial"/>
        </w:rPr>
      </w:pPr>
      <w:r w:rsidRPr="00E97880">
        <w:rPr>
          <w:rFonts w:cs="Arial"/>
        </w:rPr>
        <w:t>In-depth alliances provide a low-cost path to expansion. The current partnerships that Toyota has had in batteries and platforms indicate that alliances can quicken the capability building and cost and risk sharing.</w:t>
      </w:r>
    </w:p>
    <w:p w14:paraId="300416B9" w14:textId="77777777" w:rsidR="00E97880" w:rsidRPr="00E97880" w:rsidRDefault="00E97880" w:rsidP="00E97880">
      <w:pPr>
        <w:rPr>
          <w:rFonts w:cs="Arial"/>
        </w:rPr>
      </w:pPr>
      <w:r w:rsidRPr="00E97880">
        <w:rPr>
          <w:rFonts w:cs="Arial"/>
        </w:rPr>
        <w:t>This becomes particularly true in software-defined automobiles, batteries, AI-driven manufacturing, and charging ecosystems, where scale economies are significant and the risk of technological obsolescence is high.</w:t>
      </w:r>
    </w:p>
    <w:p w14:paraId="27E8862F" w14:textId="77777777" w:rsidR="00E97880" w:rsidRDefault="00E97880" w:rsidP="00E97880">
      <w:pPr>
        <w:rPr>
          <w:rFonts w:cs="Arial"/>
        </w:rPr>
      </w:pPr>
      <w:r w:rsidRPr="00E97880">
        <w:rPr>
          <w:rFonts w:cs="Arial"/>
        </w:rPr>
        <w:t>As compared to acquisitions, alliances maintain flexibility and minimise integration risk.</w:t>
      </w:r>
    </w:p>
    <w:p w14:paraId="61B8263B" w14:textId="77777777" w:rsidR="00E97880" w:rsidRPr="00E97880" w:rsidRDefault="00E97880" w:rsidP="00E97880">
      <w:pPr>
        <w:rPr>
          <w:rFonts w:cs="Arial"/>
        </w:rPr>
      </w:pPr>
    </w:p>
    <w:p w14:paraId="1E707DC9" w14:textId="0A4684A6" w:rsidR="00E97880" w:rsidRPr="00E97880" w:rsidRDefault="00E97880" w:rsidP="00E97880">
      <w:pPr>
        <w:pStyle w:val="Heading2"/>
      </w:pPr>
      <w:bookmarkStart w:id="16" w:name="_Toc227273941"/>
      <w:r w:rsidRPr="00E97880">
        <w:t>4.3 Evaluation of Strategic Options</w:t>
      </w:r>
      <w:bookmarkEnd w:id="16"/>
    </w:p>
    <w:p w14:paraId="5C965126" w14:textId="77777777" w:rsidR="00E97880" w:rsidRPr="00E97880" w:rsidRDefault="00E97880" w:rsidP="00E97880">
      <w:pPr>
        <w:rPr>
          <w:rFonts w:cs="Arial"/>
        </w:rPr>
      </w:pPr>
      <w:r w:rsidRPr="00E97880">
        <w:rPr>
          <w:rFonts w:cs="Arial"/>
        </w:rPr>
        <w:t>An assessment of strategic options will be conducted as part of the evaluation process.</w:t>
      </w:r>
    </w:p>
    <w:p w14:paraId="0DB40370" w14:textId="77777777" w:rsidR="00E97880" w:rsidRPr="00E97880" w:rsidRDefault="00E97880" w:rsidP="00E97880">
      <w:pPr>
        <w:rPr>
          <w:rFonts w:cs="Arial"/>
        </w:rPr>
      </w:pPr>
      <w:r w:rsidRPr="00E97880">
        <w:rPr>
          <w:rFonts w:cs="Arial"/>
        </w:rPr>
        <w:t>The right course of restructuring ought to maximise the shareholder value, maintain flexibility and enhance returns on invested capital.</w:t>
      </w:r>
    </w:p>
    <w:p w14:paraId="4DF490FD" w14:textId="77777777" w:rsidR="00E97880" w:rsidRPr="00E97880" w:rsidRDefault="00E97880" w:rsidP="00E97880">
      <w:pPr>
        <w:rPr>
          <w:rFonts w:cs="Arial"/>
        </w:rPr>
      </w:pPr>
      <w:r w:rsidRPr="00E97880">
        <w:rPr>
          <w:rFonts w:cs="Arial"/>
        </w:rPr>
        <w:t>Equity injection is the last priority since Toyota is not experiencing a severe shortage of capital to warrant a dilution. Equity would tend to compromise value efficiency unless it is linked to distinctly attractive projects.</w:t>
      </w:r>
    </w:p>
    <w:p w14:paraId="3A6B27AE" w14:textId="77777777" w:rsidR="00E97880" w:rsidRPr="00E97880" w:rsidRDefault="00E97880" w:rsidP="00E97880">
      <w:pPr>
        <w:rPr>
          <w:rFonts w:cs="Arial"/>
        </w:rPr>
      </w:pPr>
      <w:r w:rsidRPr="00E97880">
        <w:rPr>
          <w:rFonts w:cs="Arial"/>
        </w:rPr>
        <w:t>The restructuring of debts is one of the top ones since it offers quantifiable returns at low strategic disturbance. It enhances the quality of cash flows and increases the strength of financing.</w:t>
      </w:r>
    </w:p>
    <w:p w14:paraId="3BDE1C06" w14:textId="77777777" w:rsidR="00E97880" w:rsidRPr="00E97880" w:rsidRDefault="00E97880" w:rsidP="00E97880">
      <w:pPr>
        <w:rPr>
          <w:rFonts w:cs="Arial"/>
        </w:rPr>
      </w:pPr>
      <w:r w:rsidRPr="00E97880">
        <w:rPr>
          <w:rFonts w:cs="Arial"/>
        </w:rPr>
        <w:t>The top one in terms of immediate financial impact is divestment. The direct release of trapped capital of low-return assets directly enhances ROCE, simplifies the portfolio, and enhances strategic optionality.</w:t>
      </w:r>
    </w:p>
    <w:p w14:paraId="52E5D58A" w14:textId="77777777" w:rsidR="00E97880" w:rsidRPr="00E97880" w:rsidRDefault="00E97880" w:rsidP="00E97880">
      <w:pPr>
        <w:rPr>
          <w:rFonts w:cs="Arial"/>
        </w:rPr>
      </w:pPr>
      <w:r w:rsidRPr="00E97880">
        <w:rPr>
          <w:rFonts w:cs="Arial"/>
        </w:rPr>
        <w:t>Alliances are considered as having the highest level of strategic relevance in the long term. They lower the capital intensity of the future and enhance the pace of innovation in unpredictably new technologies.</w:t>
      </w:r>
    </w:p>
    <w:p w14:paraId="563DF449" w14:textId="77777777" w:rsidR="00E97880" w:rsidRPr="00E97880" w:rsidRDefault="00E97880" w:rsidP="00E97880">
      <w:pPr>
        <w:rPr>
          <w:rFonts w:cs="Arial"/>
        </w:rPr>
      </w:pPr>
      <w:r w:rsidRPr="00E97880">
        <w:rPr>
          <w:rFonts w:cs="Arial"/>
        </w:rPr>
        <w:t>As such, the best answer cannot be found in a single transaction, but in a portfolio response:</w:t>
      </w:r>
    </w:p>
    <w:p w14:paraId="21D1769A" w14:textId="123A4273" w:rsidR="00E97880" w:rsidRPr="00E97880" w:rsidRDefault="00E97880" w:rsidP="00E97880">
      <w:pPr>
        <w:pStyle w:val="ListParagraph"/>
        <w:numPr>
          <w:ilvl w:val="0"/>
          <w:numId w:val="48"/>
        </w:numPr>
        <w:rPr>
          <w:rFonts w:cs="Arial"/>
        </w:rPr>
      </w:pPr>
      <w:r w:rsidRPr="00E97880">
        <w:rPr>
          <w:rFonts w:cs="Arial"/>
        </w:rPr>
        <w:t xml:space="preserve">Immediate debt optimisation </w:t>
      </w:r>
    </w:p>
    <w:p w14:paraId="7BBFC2DD" w14:textId="1815F044" w:rsidR="00E97880" w:rsidRPr="00E97880" w:rsidRDefault="00E97880" w:rsidP="00E97880">
      <w:pPr>
        <w:pStyle w:val="ListParagraph"/>
        <w:numPr>
          <w:ilvl w:val="0"/>
          <w:numId w:val="48"/>
        </w:numPr>
        <w:rPr>
          <w:rFonts w:cs="Arial"/>
        </w:rPr>
      </w:pPr>
      <w:r w:rsidRPr="00E97880">
        <w:rPr>
          <w:rFonts w:cs="Arial"/>
        </w:rPr>
        <w:t xml:space="preserve">Selective disposal of subscale / low-return assets. </w:t>
      </w:r>
    </w:p>
    <w:p w14:paraId="06A39F16" w14:textId="052119C2" w:rsidR="00E97880" w:rsidRPr="00E97880" w:rsidRDefault="00E97880" w:rsidP="00E97880">
      <w:pPr>
        <w:pStyle w:val="ListParagraph"/>
        <w:numPr>
          <w:ilvl w:val="0"/>
          <w:numId w:val="48"/>
        </w:numPr>
        <w:rPr>
          <w:rFonts w:cs="Arial"/>
        </w:rPr>
      </w:pPr>
      <w:r w:rsidRPr="00E97880">
        <w:rPr>
          <w:rFonts w:cs="Arial"/>
        </w:rPr>
        <w:t xml:space="preserve">Extended partnerships across batteries, software and EV ecosystems. </w:t>
      </w:r>
    </w:p>
    <w:p w14:paraId="4E1AB9C7" w14:textId="77777777" w:rsidR="00E97880" w:rsidRPr="00E97880" w:rsidRDefault="00E97880" w:rsidP="00E97880">
      <w:pPr>
        <w:rPr>
          <w:rFonts w:cs="Arial"/>
        </w:rPr>
      </w:pPr>
      <w:r w:rsidRPr="00E97880">
        <w:rPr>
          <w:rFonts w:cs="Arial"/>
        </w:rPr>
        <w:t>It is a sequencing that enhances the efficiency in the short-term without compromising on the competitiveness in the long-term.</w:t>
      </w:r>
    </w:p>
    <w:p w14:paraId="7255D644" w14:textId="77777777" w:rsidR="00E97880" w:rsidRPr="00E97880" w:rsidRDefault="00E97880" w:rsidP="00E97880">
      <w:pPr>
        <w:rPr>
          <w:rFonts w:cs="Arial"/>
        </w:rPr>
      </w:pPr>
    </w:p>
    <w:p w14:paraId="6209D9C6" w14:textId="0DFD6A48" w:rsidR="00E97880" w:rsidRPr="00E97880" w:rsidRDefault="00E97880" w:rsidP="00E97880">
      <w:pPr>
        <w:pStyle w:val="Heading2"/>
      </w:pPr>
      <w:bookmarkStart w:id="17" w:name="_Toc227273942"/>
      <w:r w:rsidRPr="00E97880">
        <w:t>4.4 Global and Ethical considerations</w:t>
      </w:r>
      <w:bookmarkEnd w:id="17"/>
    </w:p>
    <w:p w14:paraId="2EF47080" w14:textId="77777777" w:rsidR="00E97880" w:rsidRPr="00E97880" w:rsidRDefault="00E97880" w:rsidP="00E97880">
      <w:pPr>
        <w:rPr>
          <w:rFonts w:cs="Arial"/>
        </w:rPr>
      </w:pPr>
      <w:r w:rsidRPr="00E97880">
        <w:rPr>
          <w:rFonts w:cs="Arial"/>
        </w:rPr>
        <w:t>The Global and stakeholder scrutiny should also be withstood in restructuring decisions made by Toyota.</w:t>
      </w:r>
    </w:p>
    <w:p w14:paraId="728CA3BB" w14:textId="77777777" w:rsidR="00E97880" w:rsidRPr="00E97880" w:rsidRDefault="00E97880" w:rsidP="00E97880">
      <w:pPr>
        <w:rPr>
          <w:rFonts w:cs="Arial"/>
          <w:b/>
          <w:bCs/>
        </w:rPr>
      </w:pPr>
      <w:r w:rsidRPr="00E97880">
        <w:rPr>
          <w:rFonts w:cs="Arial"/>
          <w:b/>
          <w:bCs/>
        </w:rPr>
        <w:t>Currency Risk</w:t>
      </w:r>
    </w:p>
    <w:p w14:paraId="187236D8" w14:textId="77777777" w:rsidR="00E97880" w:rsidRPr="00E97880" w:rsidRDefault="00E97880" w:rsidP="00E97880">
      <w:pPr>
        <w:rPr>
          <w:rFonts w:cs="Arial"/>
        </w:rPr>
      </w:pPr>
      <w:r w:rsidRPr="00E97880">
        <w:rPr>
          <w:rFonts w:cs="Arial"/>
        </w:rPr>
        <w:t>Toyota is still vulnerable to the volatility of yen against the US dollar, euro and emerging-market currencies as a multinational manufacturer. The restructuring of capital should thus be done on liabilities to operating cash flow currencies where appropriate.</w:t>
      </w:r>
    </w:p>
    <w:p w14:paraId="70AEC453" w14:textId="4DE2F4D7" w:rsidR="00E97880" w:rsidRPr="00E97880" w:rsidRDefault="00E97880" w:rsidP="00E97880">
      <w:pPr>
        <w:rPr>
          <w:rFonts w:cs="Arial"/>
          <w:b/>
          <w:bCs/>
        </w:rPr>
      </w:pPr>
      <w:r w:rsidRPr="00E97880">
        <w:rPr>
          <w:rFonts w:cs="Arial"/>
          <w:b/>
          <w:bCs/>
        </w:rPr>
        <w:t>Inflation and Interest rates</w:t>
      </w:r>
    </w:p>
    <w:p w14:paraId="7BAE8568" w14:textId="77777777" w:rsidR="00E97880" w:rsidRPr="00E97880" w:rsidRDefault="00E97880" w:rsidP="00E97880">
      <w:pPr>
        <w:rPr>
          <w:rFonts w:cs="Arial"/>
        </w:rPr>
      </w:pPr>
      <w:r w:rsidRPr="00E97880">
        <w:rPr>
          <w:rFonts w:cs="Arial"/>
        </w:rPr>
        <w:t>An increase in the rate will escalate the hurdle rate of investment and will increase the cost of funds and support the importance of rigorous capital discipline (Damodaran, 2021).</w:t>
      </w:r>
    </w:p>
    <w:p w14:paraId="7140DE4A" w14:textId="77777777" w:rsidR="00E97880" w:rsidRPr="00E97880" w:rsidRDefault="00E97880" w:rsidP="00E97880">
      <w:pPr>
        <w:rPr>
          <w:rFonts w:cs="Arial"/>
          <w:b/>
          <w:bCs/>
        </w:rPr>
      </w:pPr>
      <w:r w:rsidRPr="00E97880">
        <w:rPr>
          <w:rFonts w:cs="Arial"/>
          <w:b/>
          <w:bCs/>
        </w:rPr>
        <w:t>Tax and Governance</w:t>
      </w:r>
    </w:p>
    <w:p w14:paraId="609CB24B" w14:textId="77777777" w:rsidR="00E97880" w:rsidRPr="00E97880" w:rsidRDefault="00E97880" w:rsidP="00E97880">
      <w:pPr>
        <w:rPr>
          <w:rFonts w:cs="Arial"/>
        </w:rPr>
      </w:pPr>
      <w:r w:rsidRPr="00E97880">
        <w:rPr>
          <w:rFonts w:cs="Arial"/>
        </w:rPr>
        <w:t>Debt is able to boost after tax value, but high leverages can reduce resilience. Good governance entails a balance between tax efficiency and stability in the long run.</w:t>
      </w:r>
    </w:p>
    <w:p w14:paraId="7670D95C" w14:textId="16D7CE26" w:rsidR="00E97880" w:rsidRPr="00E97880" w:rsidRDefault="00E97880" w:rsidP="00E97880">
      <w:pPr>
        <w:rPr>
          <w:rFonts w:cs="Arial"/>
          <w:b/>
          <w:bCs/>
        </w:rPr>
      </w:pPr>
      <w:r w:rsidRPr="00E97880">
        <w:rPr>
          <w:rFonts w:cs="Arial"/>
          <w:b/>
          <w:bCs/>
        </w:rPr>
        <w:t>ESG and Social responsibility</w:t>
      </w:r>
    </w:p>
    <w:p w14:paraId="624F90C3" w14:textId="77777777" w:rsidR="00E97880" w:rsidRPr="00E97880" w:rsidRDefault="00E97880" w:rsidP="00E97880">
      <w:pPr>
        <w:rPr>
          <w:rFonts w:cs="Arial"/>
        </w:rPr>
      </w:pPr>
      <w:r w:rsidRPr="00E97880">
        <w:rPr>
          <w:rFonts w:cs="Arial"/>
        </w:rPr>
        <w:t>Even a restructuring that only involves concern on short-term finance can ruin reputational capital. The workforce influence, supplier equity, environmental responsibility, and responsible transition plan should be a part and parcel of decision-making.</w:t>
      </w:r>
    </w:p>
    <w:p w14:paraId="217169E0" w14:textId="77777777" w:rsidR="00E97880" w:rsidRPr="00E97880" w:rsidRDefault="00E97880" w:rsidP="00E97880">
      <w:pPr>
        <w:rPr>
          <w:rFonts w:cs="Arial"/>
        </w:rPr>
      </w:pPr>
      <w:r w:rsidRPr="00E97880">
        <w:rPr>
          <w:rFonts w:cs="Arial"/>
        </w:rPr>
        <w:t>More and more, entry to high-quality capital markets is not just a matter of returns, but also plausible sustainability governance.</w:t>
      </w:r>
    </w:p>
    <w:p w14:paraId="16F77278" w14:textId="77777777" w:rsidR="00E97880" w:rsidRPr="00E97880" w:rsidRDefault="00E97880" w:rsidP="00E97880">
      <w:pPr>
        <w:rPr>
          <w:rFonts w:cs="Arial"/>
        </w:rPr>
      </w:pPr>
    </w:p>
    <w:p w14:paraId="2DEF32FF" w14:textId="77777777" w:rsidR="00E97880" w:rsidRPr="00E97880" w:rsidRDefault="00E97880" w:rsidP="00E97880">
      <w:pPr>
        <w:pStyle w:val="Heading2"/>
      </w:pPr>
      <w:bookmarkStart w:id="18" w:name="_Toc227273943"/>
      <w:r w:rsidRPr="00E97880">
        <w:t>4.5 Conclusion of Section</w:t>
      </w:r>
      <w:bookmarkEnd w:id="18"/>
    </w:p>
    <w:p w14:paraId="4C842C77" w14:textId="77777777" w:rsidR="00E97880" w:rsidRPr="00E97880" w:rsidRDefault="00E97880" w:rsidP="00E97880">
      <w:pPr>
        <w:rPr>
          <w:rFonts w:cs="Arial"/>
        </w:rPr>
      </w:pPr>
      <w:r w:rsidRPr="00E97880">
        <w:rPr>
          <w:rFonts w:cs="Arial"/>
        </w:rPr>
        <w:t>The problem with the restructuring of Toyota is not survival, but optimisation. The company has the size, cash flow and brand equity, but the creation of value in future will require the company to transform the above advantages into greater returns on every unit of invested capital.</w:t>
      </w:r>
    </w:p>
    <w:p w14:paraId="05AAA42E" w14:textId="77777777" w:rsidR="00E97880" w:rsidRPr="00E97880" w:rsidRDefault="00E97880" w:rsidP="00E97880">
      <w:pPr>
        <w:rPr>
          <w:rFonts w:cs="Arial"/>
        </w:rPr>
      </w:pPr>
      <w:r w:rsidRPr="00E97880">
        <w:rPr>
          <w:rFonts w:cs="Arial"/>
        </w:rPr>
        <w:t>The best way is one that is a mixture of debt maximisation, rigorous divestment and selective strategic alliances. By doing so, liquidity is enhanced, ROCE is increased, and the intensity of capital requirements remains low in the future without any loss in strategic positioning.</w:t>
      </w:r>
    </w:p>
    <w:p w14:paraId="7E692F1B" w14:textId="77777777" w:rsidR="00E97880" w:rsidRPr="00E97880" w:rsidRDefault="00E97880" w:rsidP="00E97880">
      <w:pPr>
        <w:rPr>
          <w:rFonts w:cs="Arial"/>
        </w:rPr>
      </w:pPr>
      <w:r w:rsidRPr="00E97880">
        <w:rPr>
          <w:rFonts w:cs="Arial"/>
        </w:rPr>
        <w:t>The most intelligent restructuring of capital can make the strongest firms not necessarily those that invest the most in a transition economy.</w:t>
      </w:r>
    </w:p>
    <w:p w14:paraId="24411A11" w14:textId="77777777" w:rsidR="00E97880" w:rsidRPr="00E97880" w:rsidRDefault="00E97880" w:rsidP="00E97880">
      <w:pPr>
        <w:rPr>
          <w:rFonts w:cs="Arial"/>
        </w:rPr>
      </w:pPr>
    </w:p>
    <w:p w14:paraId="7091D05F" w14:textId="77777777" w:rsidR="00E97880" w:rsidRPr="00E97880" w:rsidRDefault="00E97880" w:rsidP="00E97880">
      <w:pPr>
        <w:pStyle w:val="Heading1"/>
      </w:pPr>
      <w:bookmarkStart w:id="19" w:name="_Toc227273944"/>
      <w:r w:rsidRPr="00E97880">
        <w:t>5. Investment Appraisal</w:t>
      </w:r>
      <w:bookmarkEnd w:id="19"/>
    </w:p>
    <w:p w14:paraId="24F3B051" w14:textId="77777777" w:rsidR="00E97880" w:rsidRPr="00E97880" w:rsidRDefault="00E97880" w:rsidP="00E97880">
      <w:pPr>
        <w:pStyle w:val="Heading2"/>
      </w:pPr>
      <w:bookmarkStart w:id="20" w:name="_Toc227273945"/>
      <w:r w:rsidRPr="00E97880">
        <w:t>5.1 Techniques Applied</w:t>
      </w:r>
      <w:bookmarkEnd w:id="20"/>
    </w:p>
    <w:p w14:paraId="33BFEB2B" w14:textId="77777777" w:rsidR="00E97880" w:rsidRPr="00E97880" w:rsidRDefault="00E97880" w:rsidP="00E97880">
      <w:pPr>
        <w:rPr>
          <w:rFonts w:cs="Arial"/>
        </w:rPr>
      </w:pPr>
      <w:r w:rsidRPr="00E97880">
        <w:rPr>
          <w:rFonts w:cs="Arial"/>
        </w:rPr>
        <w:t>The suggested investments are analysed based on Payback Period (PBP), Accounting rate of Return (ARR), Net Present Value (NPV), Internal rate of Return (IRR) and Profitability Index (PI) with a discount rate of 10 percent which is in line with the cost of capital assumed by Toyota.</w:t>
      </w:r>
    </w:p>
    <w:p w14:paraId="64AD9EFF" w14:textId="77777777" w:rsidR="00E97880" w:rsidRPr="00E97880" w:rsidRDefault="00E97880" w:rsidP="00E97880">
      <w:pPr>
        <w:rPr>
          <w:rFonts w:cs="Arial"/>
        </w:rPr>
      </w:pPr>
      <w:r w:rsidRPr="00E97880">
        <w:rPr>
          <w:rFonts w:cs="Arial"/>
        </w:rPr>
        <w:t>Of these methods, NPV is the most theoretically sound since it quantifies the direct growth or decline in the shareholder wealth after considering the time value of money and required minimum return (Brealey, Myers and Allen, 2020). Supporting methods give further details: payback measures the speed of liquidity, ARR measures the accounting profitability, IRR measures the percentage rate of return and PI measures value created per unit of investment.</w:t>
      </w:r>
    </w:p>
    <w:p w14:paraId="5CAA38EF" w14:textId="73B97653" w:rsidR="00E97880" w:rsidRPr="00E97880" w:rsidRDefault="00E97880" w:rsidP="00E97880">
      <w:pPr>
        <w:rPr>
          <w:rFonts w:cs="Arial"/>
        </w:rPr>
      </w:pPr>
      <w:r w:rsidRPr="00E97880">
        <w:rPr>
          <w:rFonts w:cs="Arial"/>
        </w:rPr>
        <w:t>Disciplined capital budgeting is particularly relevant in capital-intensive sectors that are going through technological change since a high level of capital budgeting mistakes may result in a significant level of capital tied up in inefficient assets over extended periods of time.</w:t>
      </w:r>
    </w:p>
    <w:p w14:paraId="09570A76" w14:textId="3AF5CC13" w:rsidR="00E97880" w:rsidRPr="00E97880" w:rsidRDefault="00E97880" w:rsidP="00E97880">
      <w:pPr>
        <w:rPr>
          <w:rFonts w:cs="Arial"/>
        </w:rPr>
      </w:pPr>
    </w:p>
    <w:p w14:paraId="6B38F7FA" w14:textId="77777777" w:rsidR="00E97880" w:rsidRPr="00E97880" w:rsidRDefault="00E97880" w:rsidP="00E97880">
      <w:pPr>
        <w:pStyle w:val="Heading2"/>
      </w:pPr>
      <w:bookmarkStart w:id="21" w:name="_Toc227273946"/>
      <w:r w:rsidRPr="00E97880">
        <w:t>5.2 Calculation Summary</w:t>
      </w:r>
      <w:bookmarkEnd w:id="21"/>
    </w:p>
    <w:p w14:paraId="038E2AFC" w14:textId="77777777" w:rsidR="00E97880" w:rsidRPr="00E97880" w:rsidRDefault="00E97880" w:rsidP="00E97880">
      <w:pPr>
        <w:rPr>
          <w:rFonts w:cs="Arial"/>
          <w:b/>
          <w:bCs/>
        </w:rPr>
      </w:pPr>
      <w:r w:rsidRPr="00E97880">
        <w:rPr>
          <w:rFonts w:cs="Arial"/>
          <w:b/>
          <w:bCs/>
        </w:rPr>
        <w:t>Table 5.1: Final Investment Appraisal Results</w:t>
      </w:r>
    </w:p>
    <w:tbl>
      <w:tblPr>
        <w:tblStyle w:val="TableGrid"/>
        <w:tblW w:w="0" w:type="auto"/>
        <w:tblLook w:val="04A0" w:firstRow="1" w:lastRow="0" w:firstColumn="1" w:lastColumn="0" w:noHBand="0" w:noVBand="1"/>
      </w:tblPr>
      <w:tblGrid>
        <w:gridCol w:w="901"/>
        <w:gridCol w:w="1182"/>
        <w:gridCol w:w="999"/>
        <w:gridCol w:w="1415"/>
        <w:gridCol w:w="1084"/>
        <w:gridCol w:w="645"/>
        <w:gridCol w:w="1060"/>
      </w:tblGrid>
      <w:tr w:rsidR="00E97880" w:rsidRPr="00E97880" w14:paraId="72E4D512" w14:textId="77777777" w:rsidTr="00E97880">
        <w:tc>
          <w:tcPr>
            <w:tcW w:w="0" w:type="auto"/>
            <w:hideMark/>
          </w:tcPr>
          <w:p w14:paraId="0013AE16" w14:textId="77777777" w:rsidR="00E97880" w:rsidRPr="00E97880" w:rsidRDefault="00E97880" w:rsidP="00E97880">
            <w:pPr>
              <w:spacing w:after="160" w:line="259" w:lineRule="auto"/>
              <w:jc w:val="left"/>
              <w:rPr>
                <w:rFonts w:cs="Arial"/>
              </w:rPr>
            </w:pPr>
            <w:r w:rsidRPr="00E97880">
              <w:rPr>
                <w:rFonts w:cs="Arial"/>
              </w:rPr>
              <w:t>Project</w:t>
            </w:r>
          </w:p>
        </w:tc>
        <w:tc>
          <w:tcPr>
            <w:tcW w:w="0" w:type="auto"/>
            <w:hideMark/>
          </w:tcPr>
          <w:p w14:paraId="0E0A3FBD" w14:textId="77777777" w:rsidR="00E97880" w:rsidRPr="00E97880" w:rsidRDefault="00E97880" w:rsidP="00E97880">
            <w:pPr>
              <w:spacing w:after="160" w:line="259" w:lineRule="auto"/>
              <w:jc w:val="left"/>
              <w:rPr>
                <w:rFonts w:cs="Arial"/>
              </w:rPr>
            </w:pPr>
            <w:r w:rsidRPr="00E97880">
              <w:rPr>
                <w:rFonts w:cs="Arial"/>
              </w:rPr>
              <w:t>NPV (£m)</w:t>
            </w:r>
          </w:p>
        </w:tc>
        <w:tc>
          <w:tcPr>
            <w:tcW w:w="0" w:type="auto"/>
            <w:hideMark/>
          </w:tcPr>
          <w:p w14:paraId="3A3BDC8D" w14:textId="77777777" w:rsidR="00E97880" w:rsidRPr="00E97880" w:rsidRDefault="00E97880" w:rsidP="00E97880">
            <w:pPr>
              <w:spacing w:after="160" w:line="259" w:lineRule="auto"/>
              <w:jc w:val="left"/>
              <w:rPr>
                <w:rFonts w:cs="Arial"/>
              </w:rPr>
            </w:pPr>
            <w:r w:rsidRPr="00E97880">
              <w:rPr>
                <w:rFonts w:cs="Arial"/>
              </w:rPr>
              <w:t>IRR (%)</w:t>
            </w:r>
          </w:p>
        </w:tc>
        <w:tc>
          <w:tcPr>
            <w:tcW w:w="0" w:type="auto"/>
            <w:hideMark/>
          </w:tcPr>
          <w:p w14:paraId="2588D8C5" w14:textId="77777777" w:rsidR="00E97880" w:rsidRPr="00E97880" w:rsidRDefault="00E97880" w:rsidP="00E97880">
            <w:pPr>
              <w:spacing w:after="160" w:line="259" w:lineRule="auto"/>
              <w:jc w:val="left"/>
              <w:rPr>
                <w:rFonts w:cs="Arial"/>
              </w:rPr>
            </w:pPr>
            <w:r w:rsidRPr="00E97880">
              <w:rPr>
                <w:rFonts w:cs="Arial"/>
              </w:rPr>
              <w:t>PBP (Years)</w:t>
            </w:r>
          </w:p>
        </w:tc>
        <w:tc>
          <w:tcPr>
            <w:tcW w:w="0" w:type="auto"/>
            <w:hideMark/>
          </w:tcPr>
          <w:p w14:paraId="0DF0D323" w14:textId="77777777" w:rsidR="00E97880" w:rsidRPr="00E97880" w:rsidRDefault="00E97880" w:rsidP="00E97880">
            <w:pPr>
              <w:spacing w:after="160" w:line="259" w:lineRule="auto"/>
              <w:jc w:val="left"/>
              <w:rPr>
                <w:rFonts w:cs="Arial"/>
              </w:rPr>
            </w:pPr>
            <w:r w:rsidRPr="00E97880">
              <w:rPr>
                <w:rFonts w:cs="Arial"/>
              </w:rPr>
              <w:t>ARR (%)</w:t>
            </w:r>
          </w:p>
        </w:tc>
        <w:tc>
          <w:tcPr>
            <w:tcW w:w="0" w:type="auto"/>
            <w:hideMark/>
          </w:tcPr>
          <w:p w14:paraId="6AE0A9D3" w14:textId="77777777" w:rsidR="00E97880" w:rsidRPr="00E97880" w:rsidRDefault="00E97880" w:rsidP="00E97880">
            <w:pPr>
              <w:spacing w:after="160" w:line="259" w:lineRule="auto"/>
              <w:jc w:val="left"/>
              <w:rPr>
                <w:rFonts w:cs="Arial"/>
              </w:rPr>
            </w:pPr>
            <w:r w:rsidRPr="00E97880">
              <w:rPr>
                <w:rFonts w:cs="Arial"/>
              </w:rPr>
              <w:t>PI</w:t>
            </w:r>
          </w:p>
        </w:tc>
        <w:tc>
          <w:tcPr>
            <w:tcW w:w="0" w:type="auto"/>
            <w:hideMark/>
          </w:tcPr>
          <w:p w14:paraId="47DFE1C3" w14:textId="77777777" w:rsidR="00E97880" w:rsidRPr="00E97880" w:rsidRDefault="00E97880" w:rsidP="00E97880">
            <w:pPr>
              <w:spacing w:after="160" w:line="259" w:lineRule="auto"/>
              <w:jc w:val="left"/>
              <w:rPr>
                <w:rFonts w:cs="Arial"/>
              </w:rPr>
            </w:pPr>
            <w:r w:rsidRPr="00E97880">
              <w:rPr>
                <w:rFonts w:cs="Arial"/>
              </w:rPr>
              <w:t>Decision</w:t>
            </w:r>
          </w:p>
        </w:tc>
      </w:tr>
      <w:tr w:rsidR="00E97880" w:rsidRPr="00E97880" w14:paraId="54F7327A" w14:textId="77777777" w:rsidTr="00E97880">
        <w:tc>
          <w:tcPr>
            <w:tcW w:w="0" w:type="auto"/>
            <w:hideMark/>
          </w:tcPr>
          <w:p w14:paraId="4FCF0E92" w14:textId="77777777" w:rsidR="00E97880" w:rsidRPr="00E97880" w:rsidRDefault="00E97880" w:rsidP="00E97880">
            <w:pPr>
              <w:spacing w:after="160" w:line="259" w:lineRule="auto"/>
              <w:rPr>
                <w:rFonts w:cs="Arial"/>
              </w:rPr>
            </w:pPr>
            <w:r w:rsidRPr="00E97880">
              <w:rPr>
                <w:rFonts w:cs="Arial"/>
              </w:rPr>
              <w:t>A</w:t>
            </w:r>
          </w:p>
        </w:tc>
        <w:tc>
          <w:tcPr>
            <w:tcW w:w="0" w:type="auto"/>
            <w:hideMark/>
          </w:tcPr>
          <w:p w14:paraId="556EDAC5" w14:textId="77777777" w:rsidR="00E97880" w:rsidRPr="00E97880" w:rsidRDefault="00E97880" w:rsidP="00E97880">
            <w:pPr>
              <w:spacing w:after="160" w:line="259" w:lineRule="auto"/>
              <w:rPr>
                <w:rFonts w:cs="Arial"/>
              </w:rPr>
            </w:pPr>
            <w:r w:rsidRPr="00E97880">
              <w:rPr>
                <w:rFonts w:cs="Arial"/>
              </w:rPr>
              <w:t>-8.68</w:t>
            </w:r>
          </w:p>
        </w:tc>
        <w:tc>
          <w:tcPr>
            <w:tcW w:w="0" w:type="auto"/>
            <w:hideMark/>
          </w:tcPr>
          <w:p w14:paraId="18CB8858" w14:textId="77777777" w:rsidR="00E97880" w:rsidRPr="00E97880" w:rsidRDefault="00E97880" w:rsidP="00E97880">
            <w:pPr>
              <w:spacing w:after="160" w:line="259" w:lineRule="auto"/>
              <w:rPr>
                <w:rFonts w:cs="Arial"/>
              </w:rPr>
            </w:pPr>
            <w:r w:rsidRPr="00E97880">
              <w:rPr>
                <w:rFonts w:cs="Arial"/>
              </w:rPr>
              <w:t>5.63</w:t>
            </w:r>
          </w:p>
        </w:tc>
        <w:tc>
          <w:tcPr>
            <w:tcW w:w="0" w:type="auto"/>
            <w:hideMark/>
          </w:tcPr>
          <w:p w14:paraId="533A441A" w14:textId="77777777" w:rsidR="00E97880" w:rsidRPr="00E97880" w:rsidRDefault="00E97880" w:rsidP="00E97880">
            <w:pPr>
              <w:spacing w:after="160" w:line="259" w:lineRule="auto"/>
              <w:rPr>
                <w:rFonts w:cs="Arial"/>
              </w:rPr>
            </w:pPr>
            <w:r w:rsidRPr="00E97880">
              <w:rPr>
                <w:rFonts w:cs="Arial"/>
              </w:rPr>
              <w:t>4.50</w:t>
            </w:r>
          </w:p>
        </w:tc>
        <w:tc>
          <w:tcPr>
            <w:tcW w:w="0" w:type="auto"/>
            <w:hideMark/>
          </w:tcPr>
          <w:p w14:paraId="7D5372C2" w14:textId="77777777" w:rsidR="00E97880" w:rsidRPr="00E97880" w:rsidRDefault="00E97880" w:rsidP="00E97880">
            <w:pPr>
              <w:spacing w:after="160" w:line="259" w:lineRule="auto"/>
              <w:rPr>
                <w:rFonts w:cs="Arial"/>
              </w:rPr>
            </w:pPr>
            <w:r w:rsidRPr="00E97880">
              <w:rPr>
                <w:rFonts w:cs="Arial"/>
              </w:rPr>
              <w:t>1.60</w:t>
            </w:r>
          </w:p>
        </w:tc>
        <w:tc>
          <w:tcPr>
            <w:tcW w:w="0" w:type="auto"/>
            <w:hideMark/>
          </w:tcPr>
          <w:p w14:paraId="05666A1A" w14:textId="77777777" w:rsidR="00E97880" w:rsidRPr="00E97880" w:rsidRDefault="00E97880" w:rsidP="00E97880">
            <w:pPr>
              <w:spacing w:after="160" w:line="259" w:lineRule="auto"/>
              <w:rPr>
                <w:rFonts w:cs="Arial"/>
              </w:rPr>
            </w:pPr>
            <w:r w:rsidRPr="00E97880">
              <w:rPr>
                <w:rFonts w:cs="Arial"/>
              </w:rPr>
              <w:t>0.83</w:t>
            </w:r>
          </w:p>
        </w:tc>
        <w:tc>
          <w:tcPr>
            <w:tcW w:w="0" w:type="auto"/>
            <w:hideMark/>
          </w:tcPr>
          <w:p w14:paraId="45011108" w14:textId="77777777" w:rsidR="00E97880" w:rsidRPr="00E97880" w:rsidRDefault="00E97880" w:rsidP="00E97880">
            <w:pPr>
              <w:spacing w:after="160" w:line="259" w:lineRule="auto"/>
              <w:rPr>
                <w:rFonts w:cs="Arial"/>
              </w:rPr>
            </w:pPr>
            <w:r w:rsidRPr="00E97880">
              <w:rPr>
                <w:rFonts w:cs="Arial"/>
              </w:rPr>
              <w:t>Reject</w:t>
            </w:r>
          </w:p>
        </w:tc>
      </w:tr>
      <w:tr w:rsidR="00E97880" w:rsidRPr="00E97880" w14:paraId="64523573" w14:textId="77777777" w:rsidTr="00E97880">
        <w:tc>
          <w:tcPr>
            <w:tcW w:w="0" w:type="auto"/>
            <w:hideMark/>
          </w:tcPr>
          <w:p w14:paraId="2A58529B" w14:textId="77777777" w:rsidR="00E97880" w:rsidRPr="00E97880" w:rsidRDefault="00E97880" w:rsidP="00E97880">
            <w:pPr>
              <w:spacing w:after="160" w:line="259" w:lineRule="auto"/>
              <w:rPr>
                <w:rFonts w:cs="Arial"/>
              </w:rPr>
            </w:pPr>
            <w:r w:rsidRPr="00E97880">
              <w:rPr>
                <w:rFonts w:cs="Arial"/>
              </w:rPr>
              <w:t>B</w:t>
            </w:r>
          </w:p>
        </w:tc>
        <w:tc>
          <w:tcPr>
            <w:tcW w:w="0" w:type="auto"/>
            <w:hideMark/>
          </w:tcPr>
          <w:p w14:paraId="1965C772" w14:textId="77777777" w:rsidR="00E97880" w:rsidRPr="00E97880" w:rsidRDefault="00E97880" w:rsidP="00E97880">
            <w:pPr>
              <w:spacing w:after="160" w:line="259" w:lineRule="auto"/>
              <w:rPr>
                <w:rFonts w:cs="Arial"/>
              </w:rPr>
            </w:pPr>
            <w:r w:rsidRPr="00E97880">
              <w:rPr>
                <w:rFonts w:cs="Arial"/>
              </w:rPr>
              <w:t>-8.31</w:t>
            </w:r>
          </w:p>
        </w:tc>
        <w:tc>
          <w:tcPr>
            <w:tcW w:w="0" w:type="auto"/>
            <w:hideMark/>
          </w:tcPr>
          <w:p w14:paraId="70A130A9" w14:textId="77777777" w:rsidR="00E97880" w:rsidRPr="00E97880" w:rsidRDefault="00E97880" w:rsidP="00E97880">
            <w:pPr>
              <w:spacing w:after="160" w:line="259" w:lineRule="auto"/>
              <w:rPr>
                <w:rFonts w:cs="Arial"/>
              </w:rPr>
            </w:pPr>
            <w:r w:rsidRPr="00E97880">
              <w:rPr>
                <w:rFonts w:cs="Arial"/>
              </w:rPr>
              <w:t>6.07</w:t>
            </w:r>
          </w:p>
        </w:tc>
        <w:tc>
          <w:tcPr>
            <w:tcW w:w="0" w:type="auto"/>
            <w:hideMark/>
          </w:tcPr>
          <w:p w14:paraId="72D4B1D6" w14:textId="77777777" w:rsidR="00E97880" w:rsidRPr="00E97880" w:rsidRDefault="00E97880" w:rsidP="00E97880">
            <w:pPr>
              <w:spacing w:after="160" w:line="259" w:lineRule="auto"/>
              <w:rPr>
                <w:rFonts w:cs="Arial"/>
              </w:rPr>
            </w:pPr>
            <w:r w:rsidRPr="00E97880">
              <w:rPr>
                <w:rFonts w:cs="Arial"/>
              </w:rPr>
              <w:t>4.55</w:t>
            </w:r>
          </w:p>
        </w:tc>
        <w:tc>
          <w:tcPr>
            <w:tcW w:w="0" w:type="auto"/>
            <w:hideMark/>
          </w:tcPr>
          <w:p w14:paraId="64B7550D" w14:textId="77777777" w:rsidR="00E97880" w:rsidRPr="00E97880" w:rsidRDefault="00E97880" w:rsidP="00E97880">
            <w:pPr>
              <w:spacing w:after="160" w:line="259" w:lineRule="auto"/>
              <w:rPr>
                <w:rFonts w:cs="Arial"/>
              </w:rPr>
            </w:pPr>
            <w:r w:rsidRPr="00E97880">
              <w:rPr>
                <w:rFonts w:cs="Arial"/>
              </w:rPr>
              <w:t>2.00</w:t>
            </w:r>
          </w:p>
        </w:tc>
        <w:tc>
          <w:tcPr>
            <w:tcW w:w="0" w:type="auto"/>
            <w:hideMark/>
          </w:tcPr>
          <w:p w14:paraId="6846CCBB" w14:textId="77777777" w:rsidR="00E97880" w:rsidRPr="00E97880" w:rsidRDefault="00E97880" w:rsidP="00E97880">
            <w:pPr>
              <w:spacing w:after="160" w:line="259" w:lineRule="auto"/>
              <w:rPr>
                <w:rFonts w:cs="Arial"/>
              </w:rPr>
            </w:pPr>
            <w:r w:rsidRPr="00E97880">
              <w:rPr>
                <w:rFonts w:cs="Arial"/>
              </w:rPr>
              <w:t>0.83</w:t>
            </w:r>
          </w:p>
        </w:tc>
        <w:tc>
          <w:tcPr>
            <w:tcW w:w="0" w:type="auto"/>
            <w:hideMark/>
          </w:tcPr>
          <w:p w14:paraId="7F29092E" w14:textId="77777777" w:rsidR="00E97880" w:rsidRPr="00E97880" w:rsidRDefault="00E97880" w:rsidP="00E97880">
            <w:pPr>
              <w:spacing w:after="160" w:line="259" w:lineRule="auto"/>
              <w:rPr>
                <w:rFonts w:cs="Arial"/>
              </w:rPr>
            </w:pPr>
            <w:r w:rsidRPr="00E97880">
              <w:rPr>
                <w:rFonts w:cs="Arial"/>
              </w:rPr>
              <w:t>Reject</w:t>
            </w:r>
          </w:p>
        </w:tc>
      </w:tr>
      <w:tr w:rsidR="00E97880" w:rsidRPr="00E97880" w14:paraId="3B0151BF" w14:textId="77777777" w:rsidTr="00E97880">
        <w:tc>
          <w:tcPr>
            <w:tcW w:w="0" w:type="auto"/>
            <w:hideMark/>
          </w:tcPr>
          <w:p w14:paraId="40D973D7" w14:textId="77777777" w:rsidR="00E97880" w:rsidRPr="00E97880" w:rsidRDefault="00E97880" w:rsidP="00E97880">
            <w:pPr>
              <w:spacing w:after="160" w:line="259" w:lineRule="auto"/>
              <w:rPr>
                <w:rFonts w:cs="Arial"/>
              </w:rPr>
            </w:pPr>
            <w:r w:rsidRPr="00E97880">
              <w:rPr>
                <w:rFonts w:cs="Arial"/>
              </w:rPr>
              <w:t>C</w:t>
            </w:r>
          </w:p>
        </w:tc>
        <w:tc>
          <w:tcPr>
            <w:tcW w:w="0" w:type="auto"/>
            <w:hideMark/>
          </w:tcPr>
          <w:p w14:paraId="713DCAA1" w14:textId="77777777" w:rsidR="00E97880" w:rsidRPr="00E97880" w:rsidRDefault="00E97880" w:rsidP="00E97880">
            <w:pPr>
              <w:spacing w:after="160" w:line="259" w:lineRule="auto"/>
              <w:rPr>
                <w:rFonts w:cs="Arial"/>
              </w:rPr>
            </w:pPr>
            <w:r w:rsidRPr="00E97880">
              <w:rPr>
                <w:rFonts w:cs="Arial"/>
              </w:rPr>
              <w:t>-1.99</w:t>
            </w:r>
          </w:p>
        </w:tc>
        <w:tc>
          <w:tcPr>
            <w:tcW w:w="0" w:type="auto"/>
            <w:hideMark/>
          </w:tcPr>
          <w:p w14:paraId="6A938649" w14:textId="77777777" w:rsidR="00E97880" w:rsidRPr="00E97880" w:rsidRDefault="00E97880" w:rsidP="00E97880">
            <w:pPr>
              <w:spacing w:after="160" w:line="259" w:lineRule="auto"/>
              <w:rPr>
                <w:rFonts w:cs="Arial"/>
              </w:rPr>
            </w:pPr>
            <w:r w:rsidRPr="00E97880">
              <w:rPr>
                <w:rFonts w:cs="Arial"/>
              </w:rPr>
              <w:t>9.18</w:t>
            </w:r>
          </w:p>
        </w:tc>
        <w:tc>
          <w:tcPr>
            <w:tcW w:w="0" w:type="auto"/>
            <w:hideMark/>
          </w:tcPr>
          <w:p w14:paraId="38938BD7" w14:textId="77777777" w:rsidR="00E97880" w:rsidRPr="00E97880" w:rsidRDefault="00E97880" w:rsidP="00E97880">
            <w:pPr>
              <w:spacing w:after="160" w:line="259" w:lineRule="auto"/>
              <w:rPr>
                <w:rFonts w:cs="Arial"/>
              </w:rPr>
            </w:pPr>
            <w:r w:rsidRPr="00E97880">
              <w:rPr>
                <w:rFonts w:cs="Arial"/>
              </w:rPr>
              <w:t>3.60</w:t>
            </w:r>
          </w:p>
        </w:tc>
        <w:tc>
          <w:tcPr>
            <w:tcW w:w="0" w:type="auto"/>
            <w:hideMark/>
          </w:tcPr>
          <w:p w14:paraId="0F689179" w14:textId="77777777" w:rsidR="00E97880" w:rsidRPr="00E97880" w:rsidRDefault="00E97880" w:rsidP="00E97880">
            <w:pPr>
              <w:spacing w:after="160" w:line="259" w:lineRule="auto"/>
              <w:rPr>
                <w:rFonts w:cs="Arial"/>
              </w:rPr>
            </w:pPr>
            <w:r w:rsidRPr="00E97880">
              <w:rPr>
                <w:rFonts w:cs="Arial"/>
              </w:rPr>
              <w:t>6.00</w:t>
            </w:r>
          </w:p>
        </w:tc>
        <w:tc>
          <w:tcPr>
            <w:tcW w:w="0" w:type="auto"/>
            <w:hideMark/>
          </w:tcPr>
          <w:p w14:paraId="39A184AE" w14:textId="77777777" w:rsidR="00E97880" w:rsidRPr="00E97880" w:rsidRDefault="00E97880" w:rsidP="00E97880">
            <w:pPr>
              <w:spacing w:after="160" w:line="259" w:lineRule="auto"/>
              <w:rPr>
                <w:rFonts w:cs="Arial"/>
              </w:rPr>
            </w:pPr>
            <w:r w:rsidRPr="00E97880">
              <w:rPr>
                <w:rFonts w:cs="Arial"/>
              </w:rPr>
              <w:t>0.96</w:t>
            </w:r>
          </w:p>
        </w:tc>
        <w:tc>
          <w:tcPr>
            <w:tcW w:w="0" w:type="auto"/>
            <w:hideMark/>
          </w:tcPr>
          <w:p w14:paraId="046BEA1F" w14:textId="77777777" w:rsidR="00E97880" w:rsidRPr="00E97880" w:rsidRDefault="00E97880" w:rsidP="00E97880">
            <w:pPr>
              <w:spacing w:after="160" w:line="259" w:lineRule="auto"/>
              <w:rPr>
                <w:rFonts w:cs="Arial"/>
              </w:rPr>
            </w:pPr>
            <w:r w:rsidRPr="00E97880">
              <w:rPr>
                <w:rFonts w:cs="Arial"/>
              </w:rPr>
              <w:t>Reject</w:t>
            </w:r>
          </w:p>
        </w:tc>
      </w:tr>
    </w:tbl>
    <w:p w14:paraId="5CE3B163" w14:textId="346ECE20" w:rsidR="00E97880" w:rsidRPr="00E97880" w:rsidRDefault="00E97880" w:rsidP="00E97880">
      <w:pPr>
        <w:rPr>
          <w:rFonts w:cs="Arial"/>
        </w:rPr>
      </w:pPr>
    </w:p>
    <w:p w14:paraId="261910F6" w14:textId="77777777" w:rsidR="00E97880" w:rsidRPr="00E97880" w:rsidRDefault="00E97880" w:rsidP="00E97880">
      <w:pPr>
        <w:pStyle w:val="Heading2"/>
      </w:pPr>
      <w:bookmarkStart w:id="22" w:name="_Toc227273947"/>
      <w:r w:rsidRPr="00E97880">
        <w:t>5.3 Interpretation of Results</w:t>
      </w:r>
      <w:bookmarkEnd w:id="22"/>
    </w:p>
    <w:p w14:paraId="5A592CF3" w14:textId="77777777" w:rsidR="00E97880" w:rsidRPr="00E97880" w:rsidRDefault="00E97880" w:rsidP="00E97880">
      <w:pPr>
        <w:rPr>
          <w:rFonts w:cs="Arial"/>
        </w:rPr>
      </w:pPr>
      <w:r w:rsidRPr="00E97880">
        <w:rPr>
          <w:rFonts w:cs="Arial"/>
        </w:rPr>
        <w:t>These findings show that all the three projects are unacceptable by Toyota using a 10% cost of capital. All projects have negative NPVs, IRRs less than the hurdle rate and profitability indices less than 1.0. Based on the traditional principles of shareholders wealth maximisation, every proposal must thus be voted down.</w:t>
      </w:r>
    </w:p>
    <w:p w14:paraId="2A1E4849" w14:textId="77777777" w:rsidR="00E97880" w:rsidRPr="00E97880" w:rsidRDefault="00E97880" w:rsidP="00E97880">
      <w:pPr>
        <w:rPr>
          <w:rFonts w:cs="Arial"/>
          <w:b/>
          <w:bCs/>
        </w:rPr>
      </w:pPr>
      <w:r w:rsidRPr="00E97880">
        <w:rPr>
          <w:rFonts w:cs="Arial"/>
          <w:b/>
          <w:bCs/>
        </w:rPr>
        <w:t>Project A</w:t>
      </w:r>
    </w:p>
    <w:p w14:paraId="66C7E279" w14:textId="77777777" w:rsidR="00E97880" w:rsidRPr="00E97880" w:rsidRDefault="00E97880" w:rsidP="00E97880">
      <w:pPr>
        <w:rPr>
          <w:rFonts w:cs="Arial"/>
        </w:rPr>
      </w:pPr>
      <w:r w:rsidRPr="00E97880">
        <w:rPr>
          <w:rFonts w:cs="Arial"/>
        </w:rPr>
        <w:t>Project A has a poor performance in most of the measures. It produces a negative NPV of 8.68 million pounds and fairly low IRR of 5.63%. Capital recovery in itself is not able to replace value destruction even though payback is realized in 4.5 years.</w:t>
      </w:r>
    </w:p>
    <w:p w14:paraId="1D482083" w14:textId="77777777" w:rsidR="00E97880" w:rsidRPr="00E97880" w:rsidRDefault="00E97880" w:rsidP="00E97880">
      <w:pPr>
        <w:rPr>
          <w:rFonts w:cs="Arial"/>
          <w:b/>
          <w:bCs/>
        </w:rPr>
      </w:pPr>
      <w:r w:rsidRPr="00E97880">
        <w:rPr>
          <w:rFonts w:cs="Arial"/>
          <w:b/>
          <w:bCs/>
        </w:rPr>
        <w:t>Project B</w:t>
      </w:r>
    </w:p>
    <w:p w14:paraId="73141249" w14:textId="77777777" w:rsidR="00E97880" w:rsidRPr="00E97880" w:rsidRDefault="00E97880" w:rsidP="00E97880">
      <w:pPr>
        <w:rPr>
          <w:rFonts w:cs="Arial"/>
        </w:rPr>
      </w:pPr>
      <w:r w:rsidRPr="00E97880">
        <w:rPr>
          <w:rFonts w:cs="Arial"/>
        </w:rPr>
        <w:t>Project B generates consistent cash flows annually and slightly higher returns, compared to Project A. But its NPV is negative at - £8.31 million. Stability of inflows could mitigate operating risk, but is not yet financially acceptable.</w:t>
      </w:r>
    </w:p>
    <w:p w14:paraId="640E6C69" w14:textId="77777777" w:rsidR="00E97880" w:rsidRPr="00E97880" w:rsidRDefault="00E97880" w:rsidP="00E97880">
      <w:pPr>
        <w:rPr>
          <w:rFonts w:cs="Arial"/>
          <w:b/>
          <w:bCs/>
        </w:rPr>
      </w:pPr>
      <w:r w:rsidRPr="00E97880">
        <w:rPr>
          <w:rFonts w:cs="Arial"/>
          <w:b/>
          <w:bCs/>
        </w:rPr>
        <w:t>Project C</w:t>
      </w:r>
    </w:p>
    <w:p w14:paraId="1861D595" w14:textId="77777777" w:rsidR="00E97880" w:rsidRPr="00E97880" w:rsidRDefault="00E97880" w:rsidP="00E97880">
      <w:pPr>
        <w:rPr>
          <w:rFonts w:cs="Arial"/>
        </w:rPr>
      </w:pPr>
      <w:r w:rsidRPr="00E97880">
        <w:rPr>
          <w:rFonts w:cs="Arial"/>
        </w:rPr>
        <w:t>Project C is the apparent best relative performer. It includes the lowest negative NPV (£1.99 million), best IRR (9.18%), least payback (3.60 years), highest ARR, and best PI (0.96). Nonetheless, it does not meet the 10 percent required minimum of the returns.</w:t>
      </w:r>
    </w:p>
    <w:p w14:paraId="7C4B7C02" w14:textId="77777777" w:rsidR="00E97880" w:rsidRPr="00E97880" w:rsidRDefault="00E97880" w:rsidP="00E97880">
      <w:pPr>
        <w:rPr>
          <w:rFonts w:cs="Arial"/>
        </w:rPr>
      </w:pPr>
      <w:r w:rsidRPr="00E97880">
        <w:rPr>
          <w:rFonts w:cs="Arial"/>
        </w:rPr>
        <w:t>This means that Project C is the closest to the economic viability, although not quite value-accretive.</w:t>
      </w:r>
    </w:p>
    <w:p w14:paraId="76E1527B" w14:textId="77777777" w:rsidR="00E97880" w:rsidRPr="00E97880" w:rsidRDefault="00E97880" w:rsidP="00E97880">
      <w:pPr>
        <w:rPr>
          <w:rFonts w:cs="Arial"/>
        </w:rPr>
      </w:pPr>
    </w:p>
    <w:p w14:paraId="3D263F55" w14:textId="15D3BE4E" w:rsidR="00E97880" w:rsidRPr="00E97880" w:rsidRDefault="00E97880" w:rsidP="00E97880">
      <w:pPr>
        <w:pStyle w:val="Heading2"/>
      </w:pPr>
      <w:bookmarkStart w:id="23" w:name="_Toc227273948"/>
      <w:r w:rsidRPr="00E97880">
        <w:t>5.4 Important Analysis of Methods</w:t>
      </w:r>
      <w:bookmarkEnd w:id="23"/>
    </w:p>
    <w:p w14:paraId="7F586316" w14:textId="77777777" w:rsidR="00E97880" w:rsidRPr="00E97880" w:rsidRDefault="00E97880" w:rsidP="00E97880">
      <w:pPr>
        <w:rPr>
          <w:rFonts w:cs="Arial"/>
        </w:rPr>
      </w:pPr>
      <w:r w:rsidRPr="00E97880">
        <w:rPr>
          <w:rFonts w:cs="Arial"/>
        </w:rPr>
        <w:t>The difference of methods matters. Projects A and B might seem acceptable using payback or ARR since the two approaches put more emphasis on speed of recovery or accounting profit. Nevertheless, neither method takes into account the main aspects of economic value.</w:t>
      </w:r>
    </w:p>
    <w:p w14:paraId="7CDE4092" w14:textId="77777777" w:rsidR="00E97880" w:rsidRPr="00E97880" w:rsidRDefault="00E97880" w:rsidP="00E97880">
      <w:pPr>
        <w:rPr>
          <w:rFonts w:cs="Arial"/>
        </w:rPr>
      </w:pPr>
      <w:r w:rsidRPr="00E97880">
        <w:rPr>
          <w:rFonts w:cs="Arial"/>
        </w:rPr>
        <w:t>Payback does not consider cash flows beyond recovery and does not take into account the time value of money. ARR relies on accounting conventions, as opposed to cash generation. Therefore, when these are the only measures used it is possible that value-destructive projects may be accepted.</w:t>
      </w:r>
    </w:p>
    <w:p w14:paraId="75600B5C" w14:textId="77777777" w:rsidR="00E97880" w:rsidRPr="00E97880" w:rsidRDefault="00E97880" w:rsidP="00E97880">
      <w:pPr>
        <w:rPr>
          <w:rFonts w:cs="Arial"/>
        </w:rPr>
      </w:pPr>
      <w:r w:rsidRPr="00E97880">
        <w:rPr>
          <w:rFonts w:cs="Arial"/>
        </w:rPr>
        <w:t>In comparison, NPV is a better criterion since it is directly wealth impact-based (Damodaran, 2021). IRR is a helpful second-order indicator, but may be misleading where projects vary in timing and scale significantly.</w:t>
      </w:r>
    </w:p>
    <w:p w14:paraId="00A0BF0A" w14:textId="77777777" w:rsidR="00E97880" w:rsidRPr="00E97880" w:rsidRDefault="00E97880" w:rsidP="00E97880">
      <w:pPr>
        <w:rPr>
          <w:rFonts w:cs="Arial"/>
        </w:rPr>
      </w:pPr>
      <w:r w:rsidRPr="00E97880">
        <w:rPr>
          <w:rFonts w:cs="Arial"/>
        </w:rPr>
        <w:t>In the case of Toyota, where investments are large, and strategic flexibility is important, NPV ought to be the leading rule of decision.</w:t>
      </w:r>
    </w:p>
    <w:p w14:paraId="31CD846D" w14:textId="77777777" w:rsidR="00E97880" w:rsidRPr="00E97880" w:rsidRDefault="00E97880" w:rsidP="00E97880">
      <w:pPr>
        <w:rPr>
          <w:rFonts w:cs="Arial"/>
        </w:rPr>
      </w:pPr>
    </w:p>
    <w:p w14:paraId="345E205E" w14:textId="77777777" w:rsidR="00E97880" w:rsidRPr="00E97880" w:rsidRDefault="00E97880" w:rsidP="00E97880">
      <w:pPr>
        <w:pStyle w:val="Heading2"/>
      </w:pPr>
      <w:bookmarkStart w:id="24" w:name="_Toc227273949"/>
      <w:r w:rsidRPr="00E97880">
        <w:t>5.5 Sensitivity Considerations</w:t>
      </w:r>
      <w:bookmarkEnd w:id="24"/>
    </w:p>
    <w:p w14:paraId="1A0C822A" w14:textId="77777777" w:rsidR="00E97880" w:rsidRPr="00E97880" w:rsidRDefault="00E97880" w:rsidP="00E97880">
      <w:pPr>
        <w:rPr>
          <w:rFonts w:cs="Arial"/>
        </w:rPr>
      </w:pPr>
      <w:r w:rsidRPr="00E97880">
        <w:rPr>
          <w:rFonts w:cs="Arial"/>
        </w:rPr>
        <w:t>Whereas all projects fail given the current assumptions, Project C seems very sensitive to relatively minor assumptions. A small decrease in the discount rate, higher terminal cash flows, savings in costs or strategic spillover benefits might possibly shift Project C to positive NPV.</w:t>
      </w:r>
    </w:p>
    <w:p w14:paraId="6CEA5671" w14:textId="77777777" w:rsidR="00E97880" w:rsidRPr="00E97880" w:rsidRDefault="00E97880" w:rsidP="00E97880">
      <w:pPr>
        <w:rPr>
          <w:rFonts w:cs="Arial"/>
        </w:rPr>
      </w:pPr>
      <w:r w:rsidRPr="00E97880">
        <w:rPr>
          <w:rFonts w:cs="Arial"/>
        </w:rPr>
        <w:t>This indicates that Project C might have an embedded option value not well represented by the static appraisal models. Certain investments in the uncertain industries can be strategic in terms of learning, market position or scalability in the future.</w:t>
      </w:r>
    </w:p>
    <w:p w14:paraId="09AF38C6" w14:textId="750312B0" w:rsidR="00E97880" w:rsidRPr="00E97880" w:rsidRDefault="00E97880" w:rsidP="00E97880">
      <w:pPr>
        <w:rPr>
          <w:rFonts w:cs="Arial"/>
        </w:rPr>
      </w:pPr>
      <w:r w:rsidRPr="00E97880">
        <w:rPr>
          <w:rFonts w:cs="Arial"/>
        </w:rPr>
        <w:t>These advantages however should be proven, not presumed.</w:t>
      </w:r>
    </w:p>
    <w:p w14:paraId="2221AD5E" w14:textId="5405E1C9" w:rsidR="00E97880" w:rsidRPr="00E97880" w:rsidRDefault="00E97880" w:rsidP="00E97880">
      <w:pPr>
        <w:rPr>
          <w:rFonts w:cs="Arial"/>
        </w:rPr>
      </w:pPr>
    </w:p>
    <w:p w14:paraId="0104B3C9" w14:textId="77777777" w:rsidR="00E97880" w:rsidRPr="00E97880" w:rsidRDefault="00E97880" w:rsidP="00E97880">
      <w:pPr>
        <w:pStyle w:val="Heading2"/>
      </w:pPr>
      <w:bookmarkStart w:id="25" w:name="_Toc227273950"/>
      <w:r w:rsidRPr="00E97880">
        <w:t>5.6 Capital Rationing Decision</w:t>
      </w:r>
      <w:bookmarkEnd w:id="25"/>
    </w:p>
    <w:p w14:paraId="2C71E82F" w14:textId="77777777" w:rsidR="00E97880" w:rsidRPr="00E97880" w:rsidRDefault="00E97880" w:rsidP="00E97880">
      <w:pPr>
        <w:rPr>
          <w:rFonts w:cs="Arial"/>
          <w:b/>
          <w:bCs/>
        </w:rPr>
      </w:pPr>
      <w:r w:rsidRPr="00E97880">
        <w:rPr>
          <w:rFonts w:cs="Arial"/>
          <w:b/>
          <w:bCs/>
        </w:rPr>
        <w:t>Table 5.2: Capital Rationing Analysis (£100m Maximum)</w:t>
      </w:r>
    </w:p>
    <w:tbl>
      <w:tblPr>
        <w:tblStyle w:val="TableGrid"/>
        <w:tblW w:w="0" w:type="auto"/>
        <w:tblLook w:val="04A0" w:firstRow="1" w:lastRow="0" w:firstColumn="1" w:lastColumn="0" w:noHBand="0" w:noVBand="1"/>
      </w:tblPr>
      <w:tblGrid>
        <w:gridCol w:w="1452"/>
        <w:gridCol w:w="1708"/>
      </w:tblGrid>
      <w:tr w:rsidR="00E97880" w:rsidRPr="00E97880" w14:paraId="662556F8" w14:textId="77777777" w:rsidTr="00E97880">
        <w:tc>
          <w:tcPr>
            <w:tcW w:w="0" w:type="auto"/>
            <w:hideMark/>
          </w:tcPr>
          <w:p w14:paraId="28E51577" w14:textId="77777777" w:rsidR="00E97880" w:rsidRPr="00E97880" w:rsidRDefault="00E97880" w:rsidP="00E97880">
            <w:pPr>
              <w:spacing w:after="160" w:line="259" w:lineRule="auto"/>
              <w:jc w:val="left"/>
              <w:rPr>
                <w:rFonts w:cs="Arial"/>
              </w:rPr>
            </w:pPr>
            <w:r w:rsidRPr="00E97880">
              <w:rPr>
                <w:rFonts w:cs="Arial"/>
              </w:rPr>
              <w:t>Combination</w:t>
            </w:r>
          </w:p>
        </w:tc>
        <w:tc>
          <w:tcPr>
            <w:tcW w:w="0" w:type="auto"/>
            <w:hideMark/>
          </w:tcPr>
          <w:p w14:paraId="777532A8" w14:textId="77777777" w:rsidR="00E97880" w:rsidRPr="00E97880" w:rsidRDefault="00E97880" w:rsidP="00E97880">
            <w:pPr>
              <w:spacing w:after="160" w:line="259" w:lineRule="auto"/>
              <w:jc w:val="left"/>
              <w:rPr>
                <w:rFonts w:cs="Arial"/>
              </w:rPr>
            </w:pPr>
            <w:r w:rsidRPr="00E97880">
              <w:rPr>
                <w:rFonts w:cs="Arial"/>
              </w:rPr>
              <w:t>Total NPV (£m)</w:t>
            </w:r>
          </w:p>
        </w:tc>
      </w:tr>
      <w:tr w:rsidR="00E97880" w:rsidRPr="00E97880" w14:paraId="231AEC02" w14:textId="77777777" w:rsidTr="00E97880">
        <w:tc>
          <w:tcPr>
            <w:tcW w:w="0" w:type="auto"/>
            <w:hideMark/>
          </w:tcPr>
          <w:p w14:paraId="41865AF6" w14:textId="77777777" w:rsidR="00E97880" w:rsidRPr="00E97880" w:rsidRDefault="00E97880" w:rsidP="00E97880">
            <w:pPr>
              <w:spacing w:after="160" w:line="259" w:lineRule="auto"/>
              <w:rPr>
                <w:rFonts w:cs="Arial"/>
              </w:rPr>
            </w:pPr>
            <w:r w:rsidRPr="00E97880">
              <w:rPr>
                <w:rFonts w:cs="Arial"/>
              </w:rPr>
              <w:t>A + B</w:t>
            </w:r>
          </w:p>
        </w:tc>
        <w:tc>
          <w:tcPr>
            <w:tcW w:w="0" w:type="auto"/>
            <w:hideMark/>
          </w:tcPr>
          <w:p w14:paraId="5A5C544D" w14:textId="77777777" w:rsidR="00E97880" w:rsidRPr="00E97880" w:rsidRDefault="00E97880" w:rsidP="00E97880">
            <w:pPr>
              <w:spacing w:after="160" w:line="259" w:lineRule="auto"/>
              <w:rPr>
                <w:rFonts w:cs="Arial"/>
              </w:rPr>
            </w:pPr>
            <w:r w:rsidRPr="00E97880">
              <w:rPr>
                <w:rFonts w:cs="Arial"/>
              </w:rPr>
              <w:t>-16.99</w:t>
            </w:r>
          </w:p>
        </w:tc>
      </w:tr>
      <w:tr w:rsidR="00E97880" w:rsidRPr="00E97880" w14:paraId="13EFCE05" w14:textId="77777777" w:rsidTr="00E97880">
        <w:tc>
          <w:tcPr>
            <w:tcW w:w="0" w:type="auto"/>
            <w:hideMark/>
          </w:tcPr>
          <w:p w14:paraId="5ADCE0FE" w14:textId="77777777" w:rsidR="00E97880" w:rsidRPr="00E97880" w:rsidRDefault="00E97880" w:rsidP="00E97880">
            <w:pPr>
              <w:spacing w:after="160" w:line="259" w:lineRule="auto"/>
              <w:rPr>
                <w:rFonts w:cs="Arial"/>
              </w:rPr>
            </w:pPr>
            <w:r w:rsidRPr="00E97880">
              <w:rPr>
                <w:rFonts w:cs="Arial"/>
              </w:rPr>
              <w:t>B + C</w:t>
            </w:r>
          </w:p>
        </w:tc>
        <w:tc>
          <w:tcPr>
            <w:tcW w:w="0" w:type="auto"/>
            <w:hideMark/>
          </w:tcPr>
          <w:p w14:paraId="66B04910" w14:textId="77777777" w:rsidR="00E97880" w:rsidRPr="00E97880" w:rsidRDefault="00E97880" w:rsidP="00E97880">
            <w:pPr>
              <w:spacing w:after="160" w:line="259" w:lineRule="auto"/>
              <w:rPr>
                <w:rFonts w:cs="Arial"/>
              </w:rPr>
            </w:pPr>
            <w:r w:rsidRPr="00E97880">
              <w:rPr>
                <w:rFonts w:cs="Arial"/>
              </w:rPr>
              <w:t>-10.30</w:t>
            </w:r>
          </w:p>
        </w:tc>
      </w:tr>
      <w:tr w:rsidR="00E97880" w:rsidRPr="00E97880" w14:paraId="1166B45C" w14:textId="77777777" w:rsidTr="00E97880">
        <w:tc>
          <w:tcPr>
            <w:tcW w:w="0" w:type="auto"/>
            <w:hideMark/>
          </w:tcPr>
          <w:p w14:paraId="71BF5C2C" w14:textId="77777777" w:rsidR="00E97880" w:rsidRPr="00E97880" w:rsidRDefault="00E97880" w:rsidP="00E97880">
            <w:pPr>
              <w:spacing w:after="160" w:line="259" w:lineRule="auto"/>
              <w:rPr>
                <w:rFonts w:cs="Arial"/>
              </w:rPr>
            </w:pPr>
            <w:r w:rsidRPr="00E97880">
              <w:rPr>
                <w:rFonts w:cs="Arial"/>
              </w:rPr>
              <w:t>A + C</w:t>
            </w:r>
          </w:p>
        </w:tc>
        <w:tc>
          <w:tcPr>
            <w:tcW w:w="0" w:type="auto"/>
            <w:hideMark/>
          </w:tcPr>
          <w:p w14:paraId="553FF354" w14:textId="77777777" w:rsidR="00E97880" w:rsidRPr="00E97880" w:rsidRDefault="00E97880" w:rsidP="00E97880">
            <w:pPr>
              <w:spacing w:after="160" w:line="259" w:lineRule="auto"/>
              <w:rPr>
                <w:rFonts w:cs="Arial"/>
              </w:rPr>
            </w:pPr>
            <w:r w:rsidRPr="00E97880">
              <w:rPr>
                <w:rFonts w:cs="Arial"/>
              </w:rPr>
              <w:t>-10.67</w:t>
            </w:r>
          </w:p>
        </w:tc>
      </w:tr>
    </w:tbl>
    <w:p w14:paraId="7E93D682" w14:textId="77777777" w:rsidR="00E97880" w:rsidRPr="00E97880" w:rsidRDefault="00E97880" w:rsidP="00E97880">
      <w:pPr>
        <w:rPr>
          <w:rFonts w:cs="Arial"/>
        </w:rPr>
      </w:pPr>
      <w:r w:rsidRPr="00E97880">
        <w:rPr>
          <w:rFonts w:cs="Arial"/>
        </w:rPr>
        <w:t>A combination of projects that doesn’t result in positive value exists in any case where capital is restricted to any amount up to 100 million. Thus, there is no justification of capital rationing to accept economically unattractive investments.</w:t>
      </w:r>
    </w:p>
    <w:p w14:paraId="08992307" w14:textId="77777777" w:rsidR="00E97880" w:rsidRPr="00E97880" w:rsidRDefault="00E97880" w:rsidP="00E97880">
      <w:pPr>
        <w:rPr>
          <w:rFonts w:cs="Arial"/>
        </w:rPr>
      </w:pPr>
      <w:r w:rsidRPr="00E97880">
        <w:rPr>
          <w:rFonts w:cs="Arial"/>
        </w:rPr>
        <w:t>Had the management been forced to invest on strategic grounds, they would have been motivated to invest on B + C, which would result in the maximum cumulative NPV of all the available combinations (-£10.30 million). Yet, this is still worse than holding on to capital to have greater prospects in the future.</w:t>
      </w:r>
    </w:p>
    <w:p w14:paraId="75E1894C" w14:textId="77777777" w:rsidR="00E97880" w:rsidRPr="00E97880" w:rsidRDefault="00E97880" w:rsidP="00E97880">
      <w:pPr>
        <w:rPr>
          <w:rFonts w:cs="Arial"/>
        </w:rPr>
      </w:pPr>
    </w:p>
    <w:p w14:paraId="685D2CEE" w14:textId="77777777" w:rsidR="00E97880" w:rsidRPr="00E97880" w:rsidRDefault="00E97880" w:rsidP="00E97880">
      <w:pPr>
        <w:pStyle w:val="Heading2"/>
      </w:pPr>
      <w:bookmarkStart w:id="26" w:name="_Toc227273951"/>
      <w:r w:rsidRPr="00E97880">
        <w:t>5.7 Strategic Fit and Final Decision</w:t>
      </w:r>
      <w:bookmarkEnd w:id="26"/>
    </w:p>
    <w:p w14:paraId="59919E45" w14:textId="77777777" w:rsidR="00E97880" w:rsidRPr="00E97880" w:rsidRDefault="00E97880" w:rsidP="00E97880">
      <w:pPr>
        <w:rPr>
          <w:rFonts w:cs="Arial"/>
        </w:rPr>
      </w:pPr>
      <w:r w:rsidRPr="00E97880">
        <w:rPr>
          <w:rFonts w:cs="Arial"/>
        </w:rPr>
        <w:t>Based on financial considerations, Toyota should discard all the three projects.</w:t>
      </w:r>
    </w:p>
    <w:p w14:paraId="4271A7EA" w14:textId="77777777" w:rsidR="00E97880" w:rsidRPr="00E97880" w:rsidRDefault="00E97880" w:rsidP="00E97880">
      <w:pPr>
        <w:rPr>
          <w:rFonts w:cs="Arial"/>
        </w:rPr>
      </w:pPr>
      <w:r w:rsidRPr="00E97880">
        <w:rPr>
          <w:rFonts w:cs="Arial"/>
        </w:rPr>
        <w:t>Nevertheless, corporate investment decision-making is not necessarily done without regard to strategy. The management might sometimes be willing to take up short-term sub-threshold projects in the context of electrification, software capability, or market defence in which there are credible long-term strategic benefits.</w:t>
      </w:r>
    </w:p>
    <w:p w14:paraId="1D439699" w14:textId="77777777" w:rsidR="00E97880" w:rsidRPr="00E97880" w:rsidRDefault="00E97880" w:rsidP="00E97880">
      <w:pPr>
        <w:rPr>
          <w:rFonts w:cs="Arial"/>
        </w:rPr>
      </w:pPr>
      <w:r w:rsidRPr="00E97880">
        <w:rPr>
          <w:rFonts w:cs="Arial"/>
        </w:rPr>
        <w:t>In case of strategic investment, the most reasonable standalone choice would be Project C as it has the best relative financial results and the least wealth deficit. However, this approval must be subject to new projections, milestone controls and post-investment review mechanisms.</w:t>
      </w:r>
    </w:p>
    <w:p w14:paraId="44F53636" w14:textId="77777777" w:rsidR="00E97880" w:rsidRPr="00E97880" w:rsidRDefault="00E97880" w:rsidP="00E97880">
      <w:pPr>
        <w:rPr>
          <w:rFonts w:cs="Arial"/>
        </w:rPr>
      </w:pPr>
      <w:r w:rsidRPr="00E97880">
        <w:rPr>
          <w:rFonts w:cs="Arial"/>
        </w:rPr>
        <w:t>This safeguards the interests of the shareholders whilst maintaining strategic flexibility.</w:t>
      </w:r>
    </w:p>
    <w:p w14:paraId="0E2D8C2A" w14:textId="77777777" w:rsidR="00E97880" w:rsidRPr="00E97880" w:rsidRDefault="00E97880" w:rsidP="00E97880">
      <w:pPr>
        <w:rPr>
          <w:rFonts w:cs="Arial"/>
        </w:rPr>
      </w:pPr>
    </w:p>
    <w:p w14:paraId="0466D2DF" w14:textId="77777777" w:rsidR="00E97880" w:rsidRPr="00E97880" w:rsidRDefault="00E97880" w:rsidP="00E97880">
      <w:pPr>
        <w:pStyle w:val="Heading2"/>
      </w:pPr>
      <w:bookmarkStart w:id="27" w:name="_Toc227273952"/>
      <w:r w:rsidRPr="00E97880">
        <w:t>5.8 Conclusion of Section</w:t>
      </w:r>
      <w:bookmarkEnd w:id="27"/>
    </w:p>
    <w:p w14:paraId="77B45D8B" w14:textId="77777777" w:rsidR="00E97880" w:rsidRPr="00E97880" w:rsidRDefault="00E97880" w:rsidP="00E97880">
      <w:pPr>
        <w:rPr>
          <w:rFonts w:cs="Arial"/>
        </w:rPr>
      </w:pPr>
      <w:r w:rsidRPr="00E97880">
        <w:rPr>
          <w:rFonts w:cs="Arial"/>
        </w:rPr>
        <w:t>Investment appraisal shows that all the proposed projects fail to meet the financial hurdle rate of Toyota, given the current assumptions. Based on these, the right choice based on the orthodox capital budgeting principles would be to reject all the proposals.</w:t>
      </w:r>
    </w:p>
    <w:p w14:paraId="5D75A7F6" w14:textId="77777777" w:rsidR="00E97880" w:rsidRPr="00E97880" w:rsidRDefault="00E97880" w:rsidP="00E97880">
      <w:pPr>
        <w:rPr>
          <w:rFonts w:cs="Arial"/>
        </w:rPr>
      </w:pPr>
      <w:r w:rsidRPr="00E97880">
        <w:rPr>
          <w:rFonts w:cs="Arial"/>
        </w:rPr>
        <w:t>Project C has the best relative economics and highest strategic optionality, yet is not up to value creation standards.</w:t>
      </w:r>
    </w:p>
    <w:p w14:paraId="05B97BFC" w14:textId="77777777" w:rsidR="00E97880" w:rsidRPr="00E97880" w:rsidRDefault="00E97880" w:rsidP="00E97880">
      <w:pPr>
        <w:rPr>
          <w:rFonts w:cs="Arial"/>
        </w:rPr>
      </w:pPr>
      <w:r w:rsidRPr="00E97880">
        <w:rPr>
          <w:rFonts w:cs="Arial"/>
        </w:rPr>
        <w:t>The general lesson is that during a capital-intensive change process, disciplined no-go decisions on weak projects may easily generate more shareholder value than passionate decisions to accept mediocre projects.</w:t>
      </w:r>
    </w:p>
    <w:p w14:paraId="37D63070" w14:textId="77777777" w:rsidR="00E97880" w:rsidRPr="00E97880" w:rsidRDefault="00E97880" w:rsidP="00E97880">
      <w:pPr>
        <w:rPr>
          <w:rFonts w:cs="Arial"/>
        </w:rPr>
      </w:pPr>
    </w:p>
    <w:p w14:paraId="2F0D13E0" w14:textId="77777777" w:rsidR="00E97880" w:rsidRPr="00E97880" w:rsidRDefault="00E97880" w:rsidP="00E97880">
      <w:pPr>
        <w:pStyle w:val="Heading1"/>
      </w:pPr>
      <w:bookmarkStart w:id="28" w:name="_Toc227273953"/>
      <w:r w:rsidRPr="00E97880">
        <w:t>6. Conclusion</w:t>
      </w:r>
      <w:bookmarkEnd w:id="28"/>
      <w:r w:rsidRPr="00E97880">
        <w:t xml:space="preserve"> </w:t>
      </w:r>
    </w:p>
    <w:p w14:paraId="23C05464" w14:textId="77777777" w:rsidR="00E97880" w:rsidRPr="00E97880" w:rsidRDefault="00E97880" w:rsidP="00E97880">
      <w:pPr>
        <w:rPr>
          <w:rFonts w:cs="Arial"/>
        </w:rPr>
      </w:pPr>
      <w:r w:rsidRPr="00E97880">
        <w:rPr>
          <w:rFonts w:cs="Arial"/>
        </w:rPr>
        <w:t>Toyota Motor Corporation finds itself in its new stage of competition in the automotive industry with a high level of financial capability, international size and high cash flow of operations. The discussion carried out in this report shows that Toyota is still a strong company with a huge strategic potential, but its main problem is no longer the growth, but the effective transformation of the invested capital into the sustainable shareholder value.</w:t>
      </w:r>
    </w:p>
    <w:p w14:paraId="247235E7" w14:textId="77777777" w:rsidR="00E97880" w:rsidRPr="00E97880" w:rsidRDefault="00E97880" w:rsidP="00E97880">
      <w:pPr>
        <w:rPr>
          <w:rFonts w:cs="Arial"/>
        </w:rPr>
      </w:pPr>
      <w:r w:rsidRPr="00E97880">
        <w:rPr>
          <w:rFonts w:cs="Arial"/>
        </w:rPr>
        <w:t>Revenue continued to grow in the 2020-2024 period, enabled by post-pandemic recovery, price strength, and sustained hybrid demand. However, the growth in sales is better than the growth in improved, which means the increase in capital intensity and low capital productivity. This implies that expansion of volume in the future will not be the key to success but the enhancement of the quality of returns by disciplined capital allocation.</w:t>
      </w:r>
    </w:p>
    <w:p w14:paraId="4C8AB3E3" w14:textId="77777777" w:rsidR="00E97880" w:rsidRPr="00E97880" w:rsidRDefault="00E97880" w:rsidP="00E97880">
      <w:pPr>
        <w:rPr>
          <w:rFonts w:cs="Arial"/>
        </w:rPr>
      </w:pPr>
      <w:r w:rsidRPr="00E97880">
        <w:rPr>
          <w:rFonts w:cs="Arial"/>
        </w:rPr>
        <w:t>Working capital analysis revealed that there is a worsening cash conversion cycle mainly due to an increase in inventory and receivable days. This trend limits a flexibility of liquidity by binding capital towards activities which would otherwise fund electrification, innovation or shareholder returns. Based on this, inventory optimisation, increased governance of receivables and increased supply-chain finance should be given priority.</w:t>
      </w:r>
    </w:p>
    <w:p w14:paraId="0023E48F" w14:textId="77777777" w:rsidR="00E97880" w:rsidRPr="00E97880" w:rsidRDefault="00E97880" w:rsidP="00E97880">
      <w:pPr>
        <w:rPr>
          <w:rFonts w:cs="Arial"/>
        </w:rPr>
      </w:pPr>
      <w:r w:rsidRPr="00E97880">
        <w:rPr>
          <w:rFonts w:cs="Arial"/>
        </w:rPr>
        <w:t>The restructure analysis determined a portfolio response, comprising of debt optimisation, selective disposal of low-paying assets, and strategic alliances in batteries, software, and EV ecosystems is the most efficient. This would enhance ROCE, enhance financial flexibility and lessen future capital intensity.</w:t>
      </w:r>
    </w:p>
    <w:p w14:paraId="7C03F44C" w14:textId="77777777" w:rsidR="00E97880" w:rsidRPr="00E97880" w:rsidRDefault="00E97880" w:rsidP="00E97880">
      <w:pPr>
        <w:rPr>
          <w:rFonts w:cs="Arial"/>
        </w:rPr>
      </w:pPr>
      <w:r w:rsidRPr="00E97880">
        <w:rPr>
          <w:rFonts w:cs="Arial"/>
        </w:rPr>
        <w:t>Investment appraisal also established that none of the proposed projects are within the 10% hurdle rate of Toyota as per the current assumptions. Hence financial discipline must be sternly adhered to, unless evident long term strategic gains can be demonstrated.</w:t>
      </w:r>
    </w:p>
    <w:p w14:paraId="7B1C7521" w14:textId="38CD66B6" w:rsidR="00E97880" w:rsidRPr="00E97880" w:rsidRDefault="00E97880" w:rsidP="00E97880">
      <w:pPr>
        <w:rPr>
          <w:rFonts w:cs="Arial"/>
        </w:rPr>
      </w:pPr>
      <w:r w:rsidRPr="00E97880">
        <w:rPr>
          <w:rFonts w:cs="Arial"/>
        </w:rPr>
        <w:t xml:space="preserve">In general, Toyota has a strong competitive position in the long term. The continued creation of value will not, however, be determined by the amount of capital that the firm deploys, but rather how well that capital is deployed, followed up and turned into better risk-adjusted returns. </w:t>
      </w:r>
    </w:p>
    <w:p w14:paraId="0DC67B49" w14:textId="6B2C29DB" w:rsidR="00E97880" w:rsidRPr="00E97880" w:rsidRDefault="00E97880" w:rsidP="00E97880">
      <w:pPr>
        <w:pStyle w:val="Heading1"/>
      </w:pPr>
      <w:bookmarkStart w:id="29" w:name="_Toc227273954"/>
      <w:r w:rsidRPr="00E97880">
        <w:t>Reference List</w:t>
      </w:r>
      <w:bookmarkEnd w:id="29"/>
      <w:r w:rsidRPr="00E97880">
        <w:t xml:space="preserve"> </w:t>
      </w:r>
    </w:p>
    <w:p w14:paraId="12746295" w14:textId="77777777" w:rsidR="00E97880" w:rsidRPr="00E97880" w:rsidRDefault="00E97880" w:rsidP="00E97880">
      <w:pPr>
        <w:rPr>
          <w:rFonts w:cs="Arial"/>
        </w:rPr>
      </w:pPr>
      <w:r w:rsidRPr="00E97880">
        <w:rPr>
          <w:rFonts w:cs="Arial"/>
        </w:rPr>
        <w:t xml:space="preserve">Atrill, P. (2020) </w:t>
      </w:r>
      <w:r w:rsidRPr="00E97880">
        <w:rPr>
          <w:rFonts w:cs="Arial"/>
          <w:i/>
          <w:iCs/>
        </w:rPr>
        <w:t>Financial Management for Decision Makers</w:t>
      </w:r>
      <w:r w:rsidRPr="00E97880">
        <w:rPr>
          <w:rFonts w:cs="Arial"/>
        </w:rPr>
        <w:t>. 9th edn. Harlow: Pearson.</w:t>
      </w:r>
    </w:p>
    <w:p w14:paraId="15F6B769" w14:textId="77777777" w:rsidR="00E97880" w:rsidRPr="00E97880" w:rsidRDefault="00E97880" w:rsidP="00E97880">
      <w:pPr>
        <w:rPr>
          <w:rFonts w:cs="Arial"/>
        </w:rPr>
      </w:pPr>
      <w:r w:rsidRPr="00E97880">
        <w:rPr>
          <w:rFonts w:cs="Arial"/>
        </w:rPr>
        <w:t xml:space="preserve">Brealey, R.A., Myers, S.C. and Allen, F. (2020) </w:t>
      </w:r>
      <w:r w:rsidRPr="00E97880">
        <w:rPr>
          <w:rFonts w:cs="Arial"/>
          <w:i/>
          <w:iCs/>
        </w:rPr>
        <w:t>Principles of Corporate Finance</w:t>
      </w:r>
      <w:r w:rsidRPr="00E97880">
        <w:rPr>
          <w:rFonts w:cs="Arial"/>
        </w:rPr>
        <w:t>. 13th edn. New York: McGraw-Hill Education.</w:t>
      </w:r>
    </w:p>
    <w:p w14:paraId="34E70359" w14:textId="77777777" w:rsidR="00E97880" w:rsidRPr="00E97880" w:rsidRDefault="00E97880" w:rsidP="00E97880">
      <w:pPr>
        <w:rPr>
          <w:rFonts w:cs="Arial"/>
        </w:rPr>
      </w:pPr>
      <w:r w:rsidRPr="00E97880">
        <w:rPr>
          <w:rFonts w:cs="Arial"/>
        </w:rPr>
        <w:t xml:space="preserve">Damodaran, A. (2021) </w:t>
      </w:r>
      <w:r w:rsidRPr="00E97880">
        <w:rPr>
          <w:rFonts w:cs="Arial"/>
          <w:i/>
          <w:iCs/>
        </w:rPr>
        <w:t>Applied Corporate Finance</w:t>
      </w:r>
      <w:r w:rsidRPr="00E97880">
        <w:rPr>
          <w:rFonts w:cs="Arial"/>
        </w:rPr>
        <w:t>. 5th edn. Hoboken: Wiley.</w:t>
      </w:r>
    </w:p>
    <w:p w14:paraId="1D783CC2" w14:textId="77777777" w:rsidR="00E97880" w:rsidRPr="00E97880" w:rsidRDefault="00E97880" w:rsidP="00E97880">
      <w:pPr>
        <w:rPr>
          <w:rFonts w:cs="Arial"/>
        </w:rPr>
      </w:pPr>
      <w:r w:rsidRPr="00E97880">
        <w:rPr>
          <w:rFonts w:cs="Arial"/>
        </w:rPr>
        <w:t xml:space="preserve">Deloof, M. (2003) ‘Does working capital management affect profitability of Belgian firms?’, </w:t>
      </w:r>
      <w:r w:rsidRPr="00E97880">
        <w:rPr>
          <w:rFonts w:cs="Arial"/>
          <w:i/>
          <w:iCs/>
        </w:rPr>
        <w:t>Journal of Business Finance &amp; Accounting</w:t>
      </w:r>
      <w:r w:rsidRPr="00E97880">
        <w:rPr>
          <w:rFonts w:cs="Arial"/>
        </w:rPr>
        <w:t>, 30(3–4), pp. 573–588.</w:t>
      </w:r>
    </w:p>
    <w:p w14:paraId="28BFA6A2" w14:textId="77777777" w:rsidR="00E97880" w:rsidRPr="00E97880" w:rsidRDefault="00E97880" w:rsidP="00E97880">
      <w:pPr>
        <w:rPr>
          <w:rFonts w:cs="Arial"/>
        </w:rPr>
      </w:pPr>
      <w:r w:rsidRPr="00E97880">
        <w:rPr>
          <w:rFonts w:cs="Arial"/>
        </w:rPr>
        <w:t xml:space="preserve">Deloitte (2024) </w:t>
      </w:r>
      <w:r w:rsidRPr="00E97880">
        <w:rPr>
          <w:rFonts w:cs="Arial"/>
          <w:i/>
          <w:iCs/>
        </w:rPr>
        <w:t>Global Automotive Industry Outlook 2024</w:t>
      </w:r>
      <w:r w:rsidRPr="00E97880">
        <w:rPr>
          <w:rFonts w:cs="Arial"/>
        </w:rPr>
        <w:t>. London: Deloitte Insights.</w:t>
      </w:r>
    </w:p>
    <w:p w14:paraId="5B686B9E" w14:textId="77777777" w:rsidR="00E97880" w:rsidRPr="00E97880" w:rsidRDefault="00E97880" w:rsidP="00E97880">
      <w:pPr>
        <w:rPr>
          <w:rFonts w:cs="Arial"/>
        </w:rPr>
      </w:pPr>
      <w:r w:rsidRPr="00E97880">
        <w:rPr>
          <w:rFonts w:cs="Arial"/>
        </w:rPr>
        <w:t xml:space="preserve">International Energy Agency (2024) </w:t>
      </w:r>
      <w:r w:rsidRPr="00E97880">
        <w:rPr>
          <w:rFonts w:cs="Arial"/>
          <w:i/>
          <w:iCs/>
        </w:rPr>
        <w:t>Global EV Outlook 2024</w:t>
      </w:r>
      <w:r w:rsidRPr="00E97880">
        <w:rPr>
          <w:rFonts w:cs="Arial"/>
        </w:rPr>
        <w:t>. Paris: IEA.</w:t>
      </w:r>
    </w:p>
    <w:p w14:paraId="4FF57346" w14:textId="77777777" w:rsidR="00E97880" w:rsidRPr="00E97880" w:rsidRDefault="00E97880" w:rsidP="00E97880">
      <w:pPr>
        <w:rPr>
          <w:rFonts w:cs="Arial"/>
        </w:rPr>
      </w:pPr>
      <w:r w:rsidRPr="00E97880">
        <w:rPr>
          <w:rFonts w:cs="Arial"/>
        </w:rPr>
        <w:t xml:space="preserve">Jensen, M.C. (1986) ‘Agency costs of free cash flow, corporate finance, and takeovers’, </w:t>
      </w:r>
      <w:r w:rsidRPr="00E97880">
        <w:rPr>
          <w:rFonts w:cs="Arial"/>
          <w:i/>
          <w:iCs/>
        </w:rPr>
        <w:t>American Economic Review</w:t>
      </w:r>
      <w:r w:rsidRPr="00E97880">
        <w:rPr>
          <w:rFonts w:cs="Arial"/>
        </w:rPr>
        <w:t>, 76(2), pp. 323–329.</w:t>
      </w:r>
    </w:p>
    <w:p w14:paraId="16542D55" w14:textId="77777777" w:rsidR="00E97880" w:rsidRPr="00E97880" w:rsidRDefault="00E97880" w:rsidP="00E97880">
      <w:pPr>
        <w:rPr>
          <w:rFonts w:cs="Arial"/>
        </w:rPr>
      </w:pPr>
      <w:r w:rsidRPr="00E97880">
        <w:rPr>
          <w:rFonts w:cs="Arial"/>
        </w:rPr>
        <w:t xml:space="preserve">Kraus, A. and Litzenberger, R.H. (1973) ‘A state-preference model of optimal financial leverage’, </w:t>
      </w:r>
      <w:r w:rsidRPr="00E97880">
        <w:rPr>
          <w:rFonts w:cs="Arial"/>
          <w:i/>
          <w:iCs/>
        </w:rPr>
        <w:t>Journal of Finance</w:t>
      </w:r>
      <w:r w:rsidRPr="00E97880">
        <w:rPr>
          <w:rFonts w:cs="Arial"/>
        </w:rPr>
        <w:t>, 28(4), pp. 911–922.</w:t>
      </w:r>
    </w:p>
    <w:p w14:paraId="365BD4BF" w14:textId="77777777" w:rsidR="00E97880" w:rsidRPr="00E97880" w:rsidRDefault="00E97880" w:rsidP="00E97880">
      <w:pPr>
        <w:rPr>
          <w:rFonts w:cs="Arial"/>
        </w:rPr>
      </w:pPr>
      <w:r w:rsidRPr="00E97880">
        <w:rPr>
          <w:rFonts w:cs="Arial"/>
        </w:rPr>
        <w:t xml:space="preserve">McKinsey &amp; Company (2023) </w:t>
      </w:r>
      <w:r w:rsidRPr="00E97880">
        <w:rPr>
          <w:rFonts w:cs="Arial"/>
          <w:i/>
          <w:iCs/>
        </w:rPr>
        <w:t>Supply Chain Finance and Automotive Resilience</w:t>
      </w:r>
      <w:r w:rsidRPr="00E97880">
        <w:rPr>
          <w:rFonts w:cs="Arial"/>
        </w:rPr>
        <w:t>. New York: McKinsey &amp; Company.</w:t>
      </w:r>
    </w:p>
    <w:p w14:paraId="7BFD6612" w14:textId="77777777" w:rsidR="00E97880" w:rsidRPr="00E97880" w:rsidRDefault="00E97880" w:rsidP="00E97880">
      <w:pPr>
        <w:rPr>
          <w:rFonts w:cs="Arial"/>
        </w:rPr>
      </w:pPr>
      <w:r w:rsidRPr="00E97880">
        <w:rPr>
          <w:rFonts w:cs="Arial"/>
        </w:rPr>
        <w:t xml:space="preserve">Modigliani, F. and Miller, M.H. (1958) ‘The cost of capital, corporation finance and the theory of investment’, </w:t>
      </w:r>
      <w:r w:rsidRPr="00E97880">
        <w:rPr>
          <w:rFonts w:cs="Arial"/>
          <w:i/>
          <w:iCs/>
        </w:rPr>
        <w:t>American Economic Review</w:t>
      </w:r>
      <w:r w:rsidRPr="00E97880">
        <w:rPr>
          <w:rFonts w:cs="Arial"/>
        </w:rPr>
        <w:t>, 48(3), pp. 261–297.</w:t>
      </w:r>
    </w:p>
    <w:p w14:paraId="4341B3B4" w14:textId="77777777" w:rsidR="00E97880" w:rsidRPr="00E97880" w:rsidRDefault="00E97880" w:rsidP="00E97880">
      <w:pPr>
        <w:rPr>
          <w:rFonts w:cs="Arial"/>
        </w:rPr>
      </w:pPr>
      <w:r w:rsidRPr="00E97880">
        <w:rPr>
          <w:rFonts w:cs="Arial"/>
        </w:rPr>
        <w:t xml:space="preserve">Myers, S.C. and Majluf, N.S. (1984) ‘Corporate financing and investment decisions when firms have information investors do not have’, </w:t>
      </w:r>
      <w:r w:rsidRPr="00E97880">
        <w:rPr>
          <w:rFonts w:cs="Arial"/>
          <w:i/>
          <w:iCs/>
        </w:rPr>
        <w:t>Journal of Financial Economics</w:t>
      </w:r>
      <w:r w:rsidRPr="00E97880">
        <w:rPr>
          <w:rFonts w:cs="Arial"/>
        </w:rPr>
        <w:t>, 13(2), pp. 187–221.</w:t>
      </w:r>
    </w:p>
    <w:p w14:paraId="4A97E146" w14:textId="77777777" w:rsidR="00E97880" w:rsidRPr="00E97880" w:rsidRDefault="00E97880" w:rsidP="00E97880">
      <w:pPr>
        <w:rPr>
          <w:rFonts w:cs="Arial"/>
        </w:rPr>
      </w:pPr>
      <w:r w:rsidRPr="00E97880">
        <w:rPr>
          <w:rFonts w:cs="Arial"/>
        </w:rPr>
        <w:t xml:space="preserve">Rappaport, A. (2006) </w:t>
      </w:r>
      <w:r w:rsidRPr="00E97880">
        <w:rPr>
          <w:rFonts w:cs="Arial"/>
          <w:i/>
          <w:iCs/>
        </w:rPr>
        <w:t>Ten Ways to Create Shareholder Value</w:t>
      </w:r>
      <w:r w:rsidRPr="00E97880">
        <w:rPr>
          <w:rFonts w:cs="Arial"/>
        </w:rPr>
        <w:t>. Boston: Harvard Business School Press.</w:t>
      </w:r>
    </w:p>
    <w:p w14:paraId="3FAA0EF3" w14:textId="77777777" w:rsidR="00E97880" w:rsidRPr="00E97880" w:rsidRDefault="00E97880" w:rsidP="00E97880">
      <w:pPr>
        <w:rPr>
          <w:rFonts w:cs="Arial"/>
        </w:rPr>
      </w:pPr>
      <w:r w:rsidRPr="00E97880">
        <w:rPr>
          <w:rFonts w:cs="Arial"/>
        </w:rPr>
        <w:t xml:space="preserve">Ross, S.A., Westerfield, R.W. and Jaffe, J. (2021) </w:t>
      </w:r>
      <w:r w:rsidRPr="00E97880">
        <w:rPr>
          <w:rFonts w:cs="Arial"/>
          <w:i/>
          <w:iCs/>
        </w:rPr>
        <w:t>Corporate Finance</w:t>
      </w:r>
      <w:r w:rsidRPr="00E97880">
        <w:rPr>
          <w:rFonts w:cs="Arial"/>
        </w:rPr>
        <w:t>. 13th edn. New York: McGraw-Hill.</w:t>
      </w:r>
    </w:p>
    <w:p w14:paraId="7A0C55EB" w14:textId="77777777" w:rsidR="00E97880" w:rsidRPr="00E97880" w:rsidRDefault="00E97880" w:rsidP="00E97880">
      <w:pPr>
        <w:rPr>
          <w:rFonts w:cs="Arial"/>
        </w:rPr>
      </w:pPr>
      <w:r w:rsidRPr="00E97880">
        <w:rPr>
          <w:rFonts w:cs="Arial"/>
        </w:rPr>
        <w:t xml:space="preserve">Stern, J.M. and Stewart, G.B. (1991) </w:t>
      </w:r>
      <w:r w:rsidRPr="00E97880">
        <w:rPr>
          <w:rFonts w:cs="Arial"/>
          <w:i/>
          <w:iCs/>
        </w:rPr>
        <w:t>The EVA Challenge: Implementing Value-Added Change in an Organization</w:t>
      </w:r>
      <w:r w:rsidRPr="00E97880">
        <w:rPr>
          <w:rFonts w:cs="Arial"/>
        </w:rPr>
        <w:t>. New York: HarperBusiness.</w:t>
      </w:r>
    </w:p>
    <w:p w14:paraId="464909D0" w14:textId="77777777" w:rsidR="00E97880" w:rsidRPr="00E97880" w:rsidRDefault="00E97880" w:rsidP="00E97880">
      <w:pPr>
        <w:rPr>
          <w:rFonts w:cs="Arial"/>
        </w:rPr>
      </w:pPr>
      <w:r w:rsidRPr="00E97880">
        <w:rPr>
          <w:rFonts w:cs="Arial"/>
        </w:rPr>
        <w:t xml:space="preserve">Toyota Motor Corporation (2021) </w:t>
      </w:r>
      <w:r w:rsidRPr="00E97880">
        <w:rPr>
          <w:rFonts w:cs="Arial"/>
          <w:i/>
          <w:iCs/>
        </w:rPr>
        <w:t>Annual Report 2021</w:t>
      </w:r>
      <w:r w:rsidRPr="00E97880">
        <w:rPr>
          <w:rFonts w:cs="Arial"/>
        </w:rPr>
        <w:t>. Toyota City: Toyota Motor Corporation.</w:t>
      </w:r>
    </w:p>
    <w:p w14:paraId="7B0A4AB3" w14:textId="77777777" w:rsidR="00E97880" w:rsidRPr="00E97880" w:rsidRDefault="00E97880" w:rsidP="00E97880">
      <w:pPr>
        <w:rPr>
          <w:rFonts w:cs="Arial"/>
        </w:rPr>
      </w:pPr>
      <w:r w:rsidRPr="00E97880">
        <w:rPr>
          <w:rFonts w:cs="Arial"/>
        </w:rPr>
        <w:t xml:space="preserve">Toyota Motor Corporation (2024) </w:t>
      </w:r>
      <w:r w:rsidRPr="00E97880">
        <w:rPr>
          <w:rFonts w:cs="Arial"/>
          <w:i/>
          <w:iCs/>
        </w:rPr>
        <w:t>Integrated Report 2024</w:t>
      </w:r>
      <w:r w:rsidRPr="00E97880">
        <w:rPr>
          <w:rFonts w:cs="Arial"/>
        </w:rPr>
        <w:t>. Toyota City: Toyota Motor Corporation.</w:t>
      </w:r>
    </w:p>
    <w:p w14:paraId="08A12065" w14:textId="3817391C" w:rsidR="00E97880" w:rsidRDefault="00E97880" w:rsidP="00E97880">
      <w:pPr>
        <w:rPr>
          <w:rFonts w:cs="Arial"/>
        </w:rPr>
      </w:pPr>
      <w:r w:rsidRPr="00E97880">
        <w:rPr>
          <w:rFonts w:cs="Arial"/>
        </w:rPr>
        <w:t xml:space="preserve">Toyota Motor Corporation (2025) </w:t>
      </w:r>
      <w:r w:rsidRPr="00E97880">
        <w:rPr>
          <w:rFonts w:cs="Arial"/>
          <w:i/>
          <w:iCs/>
        </w:rPr>
        <w:t>Annual Report 2025</w:t>
      </w:r>
      <w:r w:rsidRPr="00E97880">
        <w:rPr>
          <w:rFonts w:cs="Arial"/>
        </w:rPr>
        <w:t>. Toyota City: Toyota Motor Corporation.</w:t>
      </w:r>
      <w:r>
        <w:rPr>
          <w:rFonts w:cs="Arial"/>
        </w:rPr>
        <w:br w:type="page"/>
      </w:r>
    </w:p>
    <w:p w14:paraId="50ED3D1C" w14:textId="298C5B8E" w:rsidR="00E97880" w:rsidRPr="00E97880" w:rsidRDefault="00E97880" w:rsidP="00E97880">
      <w:pPr>
        <w:pStyle w:val="Heading1"/>
      </w:pPr>
      <w:bookmarkStart w:id="30" w:name="_Toc227273955"/>
      <w:r w:rsidRPr="00E97880">
        <w:t>Appendix</w:t>
      </w:r>
      <w:bookmarkEnd w:id="30"/>
    </w:p>
    <w:p w14:paraId="3C34448E" w14:textId="77777777" w:rsidR="00E97880" w:rsidRPr="00E97880" w:rsidRDefault="00E97880" w:rsidP="00E97880">
      <w:pPr>
        <w:rPr>
          <w:rFonts w:cs="Arial"/>
        </w:rPr>
      </w:pPr>
      <w:r w:rsidRPr="00E97880">
        <w:rPr>
          <w:rFonts w:cs="Arial"/>
        </w:rPr>
        <w:t>Appendix A – Financial Statements Extracts (Toyota Motor Corporation, 2020–2024)</w:t>
      </w:r>
    </w:p>
    <w:p w14:paraId="3C36D7D3" w14:textId="77777777" w:rsidR="00E97880" w:rsidRPr="00E97880" w:rsidRDefault="00E97880" w:rsidP="00E97880">
      <w:pPr>
        <w:rPr>
          <w:rFonts w:cs="Arial"/>
        </w:rPr>
      </w:pPr>
      <w:r w:rsidRPr="00E97880">
        <w:rPr>
          <w:rFonts w:cs="Arial"/>
        </w:rPr>
        <w:t>Table A1: Summary Financial Data</w:t>
      </w:r>
    </w:p>
    <w:tbl>
      <w:tblPr>
        <w:tblStyle w:val="TableGrid"/>
        <w:tblW w:w="0" w:type="auto"/>
        <w:tblLook w:val="04A0" w:firstRow="1" w:lastRow="0" w:firstColumn="1" w:lastColumn="0" w:noHBand="0" w:noVBand="1"/>
      </w:tblPr>
      <w:tblGrid>
        <w:gridCol w:w="639"/>
        <w:gridCol w:w="977"/>
        <w:gridCol w:w="1052"/>
        <w:gridCol w:w="660"/>
        <w:gridCol w:w="787"/>
        <w:gridCol w:w="850"/>
        <w:gridCol w:w="998"/>
        <w:gridCol w:w="618"/>
        <w:gridCol w:w="1383"/>
        <w:gridCol w:w="1052"/>
      </w:tblGrid>
      <w:tr w:rsidR="00E97880" w:rsidRPr="00E97880" w14:paraId="47643443" w14:textId="77777777" w:rsidTr="00E97880">
        <w:tc>
          <w:tcPr>
            <w:tcW w:w="0" w:type="auto"/>
            <w:hideMark/>
          </w:tcPr>
          <w:p w14:paraId="1F028422" w14:textId="77777777" w:rsidR="00E97880" w:rsidRPr="00E97880" w:rsidRDefault="00E97880" w:rsidP="00E97880">
            <w:pPr>
              <w:spacing w:after="160" w:line="259" w:lineRule="auto"/>
              <w:jc w:val="left"/>
              <w:rPr>
                <w:rFonts w:cs="Arial"/>
              </w:rPr>
            </w:pPr>
            <w:r w:rsidRPr="00E97880">
              <w:rPr>
                <w:rFonts w:cs="Arial"/>
              </w:rPr>
              <w:t>Year</w:t>
            </w:r>
          </w:p>
        </w:tc>
        <w:tc>
          <w:tcPr>
            <w:tcW w:w="0" w:type="auto"/>
            <w:hideMark/>
          </w:tcPr>
          <w:p w14:paraId="3E93D4F5" w14:textId="77777777" w:rsidR="00E97880" w:rsidRPr="00E97880" w:rsidRDefault="00E97880" w:rsidP="00E97880">
            <w:pPr>
              <w:spacing w:after="160" w:line="259" w:lineRule="auto"/>
              <w:jc w:val="left"/>
              <w:rPr>
                <w:rFonts w:cs="Arial"/>
              </w:rPr>
            </w:pPr>
            <w:r w:rsidRPr="00E97880">
              <w:rPr>
                <w:rFonts w:cs="Arial"/>
              </w:rPr>
              <w:t>Revenue (¥ tn)</w:t>
            </w:r>
          </w:p>
        </w:tc>
        <w:tc>
          <w:tcPr>
            <w:tcW w:w="0" w:type="auto"/>
            <w:hideMark/>
          </w:tcPr>
          <w:p w14:paraId="485D9538" w14:textId="77777777" w:rsidR="00E97880" w:rsidRPr="00E97880" w:rsidRDefault="00E97880" w:rsidP="00E97880">
            <w:pPr>
              <w:spacing w:after="160" w:line="259" w:lineRule="auto"/>
              <w:jc w:val="left"/>
              <w:rPr>
                <w:rFonts w:cs="Arial"/>
              </w:rPr>
            </w:pPr>
            <w:r w:rsidRPr="00E97880">
              <w:rPr>
                <w:rFonts w:cs="Arial"/>
              </w:rPr>
              <w:t>Operating Profit (¥ tn)</w:t>
            </w:r>
          </w:p>
        </w:tc>
        <w:tc>
          <w:tcPr>
            <w:tcW w:w="0" w:type="auto"/>
            <w:hideMark/>
          </w:tcPr>
          <w:p w14:paraId="4932537E" w14:textId="77777777" w:rsidR="00E97880" w:rsidRPr="00E97880" w:rsidRDefault="00E97880" w:rsidP="00E97880">
            <w:pPr>
              <w:spacing w:after="160" w:line="259" w:lineRule="auto"/>
              <w:jc w:val="left"/>
              <w:rPr>
                <w:rFonts w:cs="Arial"/>
              </w:rPr>
            </w:pPr>
            <w:r w:rsidRPr="00E97880">
              <w:rPr>
                <w:rFonts w:cs="Arial"/>
              </w:rPr>
              <w:t>Net Profit (¥ tn)</w:t>
            </w:r>
          </w:p>
        </w:tc>
        <w:tc>
          <w:tcPr>
            <w:tcW w:w="0" w:type="auto"/>
            <w:hideMark/>
          </w:tcPr>
          <w:p w14:paraId="2AB9F3EC" w14:textId="77777777" w:rsidR="00E97880" w:rsidRPr="00E97880" w:rsidRDefault="00E97880" w:rsidP="00E97880">
            <w:pPr>
              <w:spacing w:after="160" w:line="259" w:lineRule="auto"/>
              <w:jc w:val="left"/>
              <w:rPr>
                <w:rFonts w:cs="Arial"/>
              </w:rPr>
            </w:pPr>
            <w:r w:rsidRPr="00E97880">
              <w:rPr>
                <w:rFonts w:cs="Arial"/>
              </w:rPr>
              <w:t>Total Assets (¥ tn)</w:t>
            </w:r>
          </w:p>
        </w:tc>
        <w:tc>
          <w:tcPr>
            <w:tcW w:w="0" w:type="auto"/>
            <w:hideMark/>
          </w:tcPr>
          <w:p w14:paraId="3ACF74D5" w14:textId="77777777" w:rsidR="00E97880" w:rsidRPr="00E97880" w:rsidRDefault="00E97880" w:rsidP="00E97880">
            <w:pPr>
              <w:spacing w:after="160" w:line="259" w:lineRule="auto"/>
              <w:jc w:val="left"/>
              <w:rPr>
                <w:rFonts w:cs="Arial"/>
              </w:rPr>
            </w:pPr>
            <w:r w:rsidRPr="00E97880">
              <w:rPr>
                <w:rFonts w:cs="Arial"/>
              </w:rPr>
              <w:t>Current Assets (¥ tn)</w:t>
            </w:r>
          </w:p>
        </w:tc>
        <w:tc>
          <w:tcPr>
            <w:tcW w:w="0" w:type="auto"/>
            <w:hideMark/>
          </w:tcPr>
          <w:p w14:paraId="43C1EFE3" w14:textId="77777777" w:rsidR="00E97880" w:rsidRPr="00E97880" w:rsidRDefault="00E97880" w:rsidP="00E97880">
            <w:pPr>
              <w:spacing w:after="160" w:line="259" w:lineRule="auto"/>
              <w:jc w:val="left"/>
              <w:rPr>
                <w:rFonts w:cs="Arial"/>
              </w:rPr>
            </w:pPr>
            <w:r w:rsidRPr="00E97880">
              <w:rPr>
                <w:rFonts w:cs="Arial"/>
              </w:rPr>
              <w:t>Current Liabilities (¥ tn)</w:t>
            </w:r>
          </w:p>
        </w:tc>
        <w:tc>
          <w:tcPr>
            <w:tcW w:w="0" w:type="auto"/>
            <w:hideMark/>
          </w:tcPr>
          <w:p w14:paraId="021CAF82" w14:textId="77777777" w:rsidR="00E97880" w:rsidRPr="00E97880" w:rsidRDefault="00E97880" w:rsidP="00E97880">
            <w:pPr>
              <w:spacing w:after="160" w:line="259" w:lineRule="auto"/>
              <w:jc w:val="left"/>
              <w:rPr>
                <w:rFonts w:cs="Arial"/>
              </w:rPr>
            </w:pPr>
            <w:r w:rsidRPr="00E97880">
              <w:rPr>
                <w:rFonts w:cs="Arial"/>
              </w:rPr>
              <w:t>Total Debt (¥ tn)</w:t>
            </w:r>
          </w:p>
        </w:tc>
        <w:tc>
          <w:tcPr>
            <w:tcW w:w="0" w:type="auto"/>
            <w:hideMark/>
          </w:tcPr>
          <w:p w14:paraId="2185D21D" w14:textId="77777777" w:rsidR="00E97880" w:rsidRPr="00E97880" w:rsidRDefault="00E97880" w:rsidP="00E97880">
            <w:pPr>
              <w:spacing w:after="160" w:line="259" w:lineRule="auto"/>
              <w:jc w:val="left"/>
              <w:rPr>
                <w:rFonts w:cs="Arial"/>
              </w:rPr>
            </w:pPr>
            <w:r w:rsidRPr="00E97880">
              <w:rPr>
                <w:rFonts w:cs="Arial"/>
              </w:rPr>
              <w:t>Shareholders’ Equity (¥ tn)</w:t>
            </w:r>
          </w:p>
        </w:tc>
        <w:tc>
          <w:tcPr>
            <w:tcW w:w="0" w:type="auto"/>
            <w:hideMark/>
          </w:tcPr>
          <w:p w14:paraId="25DA6BBF" w14:textId="77777777" w:rsidR="00E97880" w:rsidRPr="00E97880" w:rsidRDefault="00E97880" w:rsidP="00E97880">
            <w:pPr>
              <w:spacing w:after="160" w:line="259" w:lineRule="auto"/>
              <w:jc w:val="left"/>
              <w:rPr>
                <w:rFonts w:cs="Arial"/>
              </w:rPr>
            </w:pPr>
            <w:r w:rsidRPr="00E97880">
              <w:rPr>
                <w:rFonts w:cs="Arial"/>
              </w:rPr>
              <w:t>Operating Cash Flow (¥ tn)</w:t>
            </w:r>
          </w:p>
        </w:tc>
      </w:tr>
      <w:tr w:rsidR="00E97880" w:rsidRPr="00E97880" w14:paraId="6A4CEFA9" w14:textId="77777777" w:rsidTr="00E97880">
        <w:tc>
          <w:tcPr>
            <w:tcW w:w="0" w:type="auto"/>
            <w:hideMark/>
          </w:tcPr>
          <w:p w14:paraId="6A35B8D1" w14:textId="77777777" w:rsidR="00E97880" w:rsidRPr="00E97880" w:rsidRDefault="00E97880" w:rsidP="00E97880">
            <w:pPr>
              <w:spacing w:after="160" w:line="259" w:lineRule="auto"/>
              <w:rPr>
                <w:rFonts w:cs="Arial"/>
              </w:rPr>
            </w:pPr>
            <w:r w:rsidRPr="00E97880">
              <w:rPr>
                <w:rFonts w:cs="Arial"/>
              </w:rPr>
              <w:t>2020</w:t>
            </w:r>
          </w:p>
        </w:tc>
        <w:tc>
          <w:tcPr>
            <w:tcW w:w="0" w:type="auto"/>
            <w:hideMark/>
          </w:tcPr>
          <w:p w14:paraId="2A0018E5" w14:textId="77777777" w:rsidR="00E97880" w:rsidRPr="00E97880" w:rsidRDefault="00E97880" w:rsidP="00E97880">
            <w:pPr>
              <w:spacing w:after="160" w:line="259" w:lineRule="auto"/>
              <w:rPr>
                <w:rFonts w:cs="Arial"/>
              </w:rPr>
            </w:pPr>
            <w:r w:rsidRPr="00E97880">
              <w:rPr>
                <w:rFonts w:cs="Arial"/>
              </w:rPr>
              <w:t>29.9</w:t>
            </w:r>
          </w:p>
        </w:tc>
        <w:tc>
          <w:tcPr>
            <w:tcW w:w="0" w:type="auto"/>
            <w:hideMark/>
          </w:tcPr>
          <w:p w14:paraId="60C7E367" w14:textId="77777777" w:rsidR="00E97880" w:rsidRPr="00E97880" w:rsidRDefault="00E97880" w:rsidP="00E97880">
            <w:pPr>
              <w:spacing w:after="160" w:line="259" w:lineRule="auto"/>
              <w:rPr>
                <w:rFonts w:cs="Arial"/>
              </w:rPr>
            </w:pPr>
            <w:r w:rsidRPr="00E97880">
              <w:rPr>
                <w:rFonts w:cs="Arial"/>
              </w:rPr>
              <w:t>2.4</w:t>
            </w:r>
          </w:p>
        </w:tc>
        <w:tc>
          <w:tcPr>
            <w:tcW w:w="0" w:type="auto"/>
            <w:hideMark/>
          </w:tcPr>
          <w:p w14:paraId="6F6BDAEE" w14:textId="77777777" w:rsidR="00E97880" w:rsidRPr="00E97880" w:rsidRDefault="00E97880" w:rsidP="00E97880">
            <w:pPr>
              <w:spacing w:after="160" w:line="259" w:lineRule="auto"/>
              <w:rPr>
                <w:rFonts w:cs="Arial"/>
              </w:rPr>
            </w:pPr>
            <w:r w:rsidRPr="00E97880">
              <w:rPr>
                <w:rFonts w:cs="Arial"/>
              </w:rPr>
              <w:t>2.1</w:t>
            </w:r>
          </w:p>
        </w:tc>
        <w:tc>
          <w:tcPr>
            <w:tcW w:w="0" w:type="auto"/>
            <w:hideMark/>
          </w:tcPr>
          <w:p w14:paraId="17BAC79C" w14:textId="77777777" w:rsidR="00E97880" w:rsidRPr="00E97880" w:rsidRDefault="00E97880" w:rsidP="00E97880">
            <w:pPr>
              <w:spacing w:after="160" w:line="259" w:lineRule="auto"/>
              <w:rPr>
                <w:rFonts w:cs="Arial"/>
              </w:rPr>
            </w:pPr>
            <w:r w:rsidRPr="00E97880">
              <w:rPr>
                <w:rFonts w:cs="Arial"/>
              </w:rPr>
              <w:t>46.0</w:t>
            </w:r>
          </w:p>
        </w:tc>
        <w:tc>
          <w:tcPr>
            <w:tcW w:w="0" w:type="auto"/>
            <w:hideMark/>
          </w:tcPr>
          <w:p w14:paraId="73887BEB" w14:textId="77777777" w:rsidR="00E97880" w:rsidRPr="00E97880" w:rsidRDefault="00E97880" w:rsidP="00E97880">
            <w:pPr>
              <w:spacing w:after="160" w:line="259" w:lineRule="auto"/>
              <w:rPr>
                <w:rFonts w:cs="Arial"/>
              </w:rPr>
            </w:pPr>
            <w:r w:rsidRPr="00E97880">
              <w:rPr>
                <w:rFonts w:cs="Arial"/>
              </w:rPr>
              <w:t>18.7</w:t>
            </w:r>
          </w:p>
        </w:tc>
        <w:tc>
          <w:tcPr>
            <w:tcW w:w="0" w:type="auto"/>
            <w:hideMark/>
          </w:tcPr>
          <w:p w14:paraId="5606D4D0" w14:textId="77777777" w:rsidR="00E97880" w:rsidRPr="00E97880" w:rsidRDefault="00E97880" w:rsidP="00E97880">
            <w:pPr>
              <w:spacing w:after="160" w:line="259" w:lineRule="auto"/>
              <w:rPr>
                <w:rFonts w:cs="Arial"/>
              </w:rPr>
            </w:pPr>
            <w:r w:rsidRPr="00E97880">
              <w:rPr>
                <w:rFonts w:cs="Arial"/>
              </w:rPr>
              <w:t>17.0</w:t>
            </w:r>
          </w:p>
        </w:tc>
        <w:tc>
          <w:tcPr>
            <w:tcW w:w="0" w:type="auto"/>
            <w:hideMark/>
          </w:tcPr>
          <w:p w14:paraId="5F1F25DF" w14:textId="77777777" w:rsidR="00E97880" w:rsidRPr="00E97880" w:rsidRDefault="00E97880" w:rsidP="00E97880">
            <w:pPr>
              <w:spacing w:after="160" w:line="259" w:lineRule="auto"/>
              <w:rPr>
                <w:rFonts w:cs="Arial"/>
              </w:rPr>
            </w:pPr>
            <w:r w:rsidRPr="00E97880">
              <w:rPr>
                <w:rFonts w:cs="Arial"/>
              </w:rPr>
              <w:t>15.4</w:t>
            </w:r>
          </w:p>
        </w:tc>
        <w:tc>
          <w:tcPr>
            <w:tcW w:w="0" w:type="auto"/>
            <w:hideMark/>
          </w:tcPr>
          <w:p w14:paraId="48FCD4F2" w14:textId="77777777" w:rsidR="00E97880" w:rsidRPr="00E97880" w:rsidRDefault="00E97880" w:rsidP="00E97880">
            <w:pPr>
              <w:spacing w:after="160" w:line="259" w:lineRule="auto"/>
              <w:rPr>
                <w:rFonts w:cs="Arial"/>
              </w:rPr>
            </w:pPr>
            <w:r w:rsidRPr="00E97880">
              <w:rPr>
                <w:rFonts w:cs="Arial"/>
              </w:rPr>
              <w:t>14.0</w:t>
            </w:r>
          </w:p>
        </w:tc>
        <w:tc>
          <w:tcPr>
            <w:tcW w:w="0" w:type="auto"/>
            <w:hideMark/>
          </w:tcPr>
          <w:p w14:paraId="26822833" w14:textId="77777777" w:rsidR="00E97880" w:rsidRPr="00E97880" w:rsidRDefault="00E97880" w:rsidP="00E97880">
            <w:pPr>
              <w:spacing w:after="160" w:line="259" w:lineRule="auto"/>
              <w:rPr>
                <w:rFonts w:cs="Arial"/>
              </w:rPr>
            </w:pPr>
            <w:r w:rsidRPr="00E97880">
              <w:rPr>
                <w:rFonts w:cs="Arial"/>
              </w:rPr>
              <w:t>3.6</w:t>
            </w:r>
          </w:p>
        </w:tc>
      </w:tr>
      <w:tr w:rsidR="00E97880" w:rsidRPr="00E97880" w14:paraId="3ACCD9CE" w14:textId="77777777" w:rsidTr="00E97880">
        <w:tc>
          <w:tcPr>
            <w:tcW w:w="0" w:type="auto"/>
            <w:hideMark/>
          </w:tcPr>
          <w:p w14:paraId="24931D02" w14:textId="77777777" w:rsidR="00E97880" w:rsidRPr="00E97880" w:rsidRDefault="00E97880" w:rsidP="00E97880">
            <w:pPr>
              <w:spacing w:after="160" w:line="259" w:lineRule="auto"/>
              <w:rPr>
                <w:rFonts w:cs="Arial"/>
              </w:rPr>
            </w:pPr>
            <w:r w:rsidRPr="00E97880">
              <w:rPr>
                <w:rFonts w:cs="Arial"/>
              </w:rPr>
              <w:t>2021</w:t>
            </w:r>
          </w:p>
        </w:tc>
        <w:tc>
          <w:tcPr>
            <w:tcW w:w="0" w:type="auto"/>
            <w:hideMark/>
          </w:tcPr>
          <w:p w14:paraId="3ACC9DCF" w14:textId="77777777" w:rsidR="00E97880" w:rsidRPr="00E97880" w:rsidRDefault="00E97880" w:rsidP="00E97880">
            <w:pPr>
              <w:spacing w:after="160" w:line="259" w:lineRule="auto"/>
              <w:rPr>
                <w:rFonts w:cs="Arial"/>
              </w:rPr>
            </w:pPr>
            <w:r w:rsidRPr="00E97880">
              <w:rPr>
                <w:rFonts w:cs="Arial"/>
              </w:rPr>
              <w:t>27.2</w:t>
            </w:r>
          </w:p>
        </w:tc>
        <w:tc>
          <w:tcPr>
            <w:tcW w:w="0" w:type="auto"/>
            <w:hideMark/>
          </w:tcPr>
          <w:p w14:paraId="56CEDDFF" w14:textId="77777777" w:rsidR="00E97880" w:rsidRPr="00E97880" w:rsidRDefault="00E97880" w:rsidP="00E97880">
            <w:pPr>
              <w:spacing w:after="160" w:line="259" w:lineRule="auto"/>
              <w:rPr>
                <w:rFonts w:cs="Arial"/>
              </w:rPr>
            </w:pPr>
            <w:r w:rsidRPr="00E97880">
              <w:rPr>
                <w:rFonts w:cs="Arial"/>
              </w:rPr>
              <w:t>2.2</w:t>
            </w:r>
          </w:p>
        </w:tc>
        <w:tc>
          <w:tcPr>
            <w:tcW w:w="0" w:type="auto"/>
            <w:hideMark/>
          </w:tcPr>
          <w:p w14:paraId="59276AA2" w14:textId="77777777" w:rsidR="00E97880" w:rsidRPr="00E97880" w:rsidRDefault="00E97880" w:rsidP="00E97880">
            <w:pPr>
              <w:spacing w:after="160" w:line="259" w:lineRule="auto"/>
              <w:rPr>
                <w:rFonts w:cs="Arial"/>
              </w:rPr>
            </w:pPr>
            <w:r w:rsidRPr="00E97880">
              <w:rPr>
                <w:rFonts w:cs="Arial"/>
              </w:rPr>
              <w:t>2.3</w:t>
            </w:r>
          </w:p>
        </w:tc>
        <w:tc>
          <w:tcPr>
            <w:tcW w:w="0" w:type="auto"/>
            <w:hideMark/>
          </w:tcPr>
          <w:p w14:paraId="5832B160" w14:textId="77777777" w:rsidR="00E97880" w:rsidRPr="00E97880" w:rsidRDefault="00E97880" w:rsidP="00E97880">
            <w:pPr>
              <w:spacing w:after="160" w:line="259" w:lineRule="auto"/>
              <w:rPr>
                <w:rFonts w:cs="Arial"/>
              </w:rPr>
            </w:pPr>
            <w:r w:rsidRPr="00E97880">
              <w:rPr>
                <w:rFonts w:cs="Arial"/>
              </w:rPr>
              <w:t>45.3</w:t>
            </w:r>
          </w:p>
        </w:tc>
        <w:tc>
          <w:tcPr>
            <w:tcW w:w="0" w:type="auto"/>
            <w:hideMark/>
          </w:tcPr>
          <w:p w14:paraId="2BCB98A0" w14:textId="77777777" w:rsidR="00E97880" w:rsidRPr="00E97880" w:rsidRDefault="00E97880" w:rsidP="00E97880">
            <w:pPr>
              <w:spacing w:after="160" w:line="259" w:lineRule="auto"/>
              <w:rPr>
                <w:rFonts w:cs="Arial"/>
              </w:rPr>
            </w:pPr>
            <w:r w:rsidRPr="00E97880">
              <w:rPr>
                <w:rFonts w:cs="Arial"/>
              </w:rPr>
              <w:t>18.9</w:t>
            </w:r>
          </w:p>
        </w:tc>
        <w:tc>
          <w:tcPr>
            <w:tcW w:w="0" w:type="auto"/>
            <w:hideMark/>
          </w:tcPr>
          <w:p w14:paraId="3CAB096B" w14:textId="77777777" w:rsidR="00E97880" w:rsidRPr="00E97880" w:rsidRDefault="00E97880" w:rsidP="00E97880">
            <w:pPr>
              <w:spacing w:after="160" w:line="259" w:lineRule="auto"/>
              <w:rPr>
                <w:rFonts w:cs="Arial"/>
              </w:rPr>
            </w:pPr>
            <w:r w:rsidRPr="00E97880">
              <w:rPr>
                <w:rFonts w:cs="Arial"/>
              </w:rPr>
              <w:t>16.4</w:t>
            </w:r>
          </w:p>
        </w:tc>
        <w:tc>
          <w:tcPr>
            <w:tcW w:w="0" w:type="auto"/>
            <w:hideMark/>
          </w:tcPr>
          <w:p w14:paraId="089518CE" w14:textId="77777777" w:rsidR="00E97880" w:rsidRPr="00E97880" w:rsidRDefault="00E97880" w:rsidP="00E97880">
            <w:pPr>
              <w:spacing w:after="160" w:line="259" w:lineRule="auto"/>
              <w:rPr>
                <w:rFonts w:cs="Arial"/>
              </w:rPr>
            </w:pPr>
            <w:r w:rsidRPr="00E97880">
              <w:rPr>
                <w:rFonts w:cs="Arial"/>
              </w:rPr>
              <w:t>15.5</w:t>
            </w:r>
          </w:p>
        </w:tc>
        <w:tc>
          <w:tcPr>
            <w:tcW w:w="0" w:type="auto"/>
            <w:hideMark/>
          </w:tcPr>
          <w:p w14:paraId="5AE53C86" w14:textId="77777777" w:rsidR="00E97880" w:rsidRPr="00E97880" w:rsidRDefault="00E97880" w:rsidP="00E97880">
            <w:pPr>
              <w:spacing w:after="160" w:line="259" w:lineRule="auto"/>
              <w:rPr>
                <w:rFonts w:cs="Arial"/>
              </w:rPr>
            </w:pPr>
            <w:r w:rsidRPr="00E97880">
              <w:rPr>
                <w:rFonts w:cs="Arial"/>
              </w:rPr>
              <w:t>13.5</w:t>
            </w:r>
          </w:p>
        </w:tc>
        <w:tc>
          <w:tcPr>
            <w:tcW w:w="0" w:type="auto"/>
            <w:hideMark/>
          </w:tcPr>
          <w:p w14:paraId="274FC888" w14:textId="77777777" w:rsidR="00E97880" w:rsidRPr="00E97880" w:rsidRDefault="00E97880" w:rsidP="00E97880">
            <w:pPr>
              <w:spacing w:after="160" w:line="259" w:lineRule="auto"/>
              <w:rPr>
                <w:rFonts w:cs="Arial"/>
              </w:rPr>
            </w:pPr>
            <w:r w:rsidRPr="00E97880">
              <w:rPr>
                <w:rFonts w:cs="Arial"/>
              </w:rPr>
              <w:t>3.4</w:t>
            </w:r>
          </w:p>
        </w:tc>
      </w:tr>
      <w:tr w:rsidR="00E97880" w:rsidRPr="00E97880" w14:paraId="4C81E27B" w14:textId="77777777" w:rsidTr="00E97880">
        <w:tc>
          <w:tcPr>
            <w:tcW w:w="0" w:type="auto"/>
            <w:hideMark/>
          </w:tcPr>
          <w:p w14:paraId="5FCC89DA" w14:textId="77777777" w:rsidR="00E97880" w:rsidRPr="00E97880" w:rsidRDefault="00E97880" w:rsidP="00E97880">
            <w:pPr>
              <w:spacing w:after="160" w:line="259" w:lineRule="auto"/>
              <w:rPr>
                <w:rFonts w:cs="Arial"/>
              </w:rPr>
            </w:pPr>
            <w:r w:rsidRPr="00E97880">
              <w:rPr>
                <w:rFonts w:cs="Arial"/>
              </w:rPr>
              <w:t>2022</w:t>
            </w:r>
          </w:p>
        </w:tc>
        <w:tc>
          <w:tcPr>
            <w:tcW w:w="0" w:type="auto"/>
            <w:hideMark/>
          </w:tcPr>
          <w:p w14:paraId="44D15E1D" w14:textId="77777777" w:rsidR="00E97880" w:rsidRPr="00E97880" w:rsidRDefault="00E97880" w:rsidP="00E97880">
            <w:pPr>
              <w:spacing w:after="160" w:line="259" w:lineRule="auto"/>
              <w:rPr>
                <w:rFonts w:cs="Arial"/>
              </w:rPr>
            </w:pPr>
            <w:r w:rsidRPr="00E97880">
              <w:rPr>
                <w:rFonts w:cs="Arial"/>
              </w:rPr>
              <w:t>31.4</w:t>
            </w:r>
          </w:p>
        </w:tc>
        <w:tc>
          <w:tcPr>
            <w:tcW w:w="0" w:type="auto"/>
            <w:hideMark/>
          </w:tcPr>
          <w:p w14:paraId="2F146A49" w14:textId="77777777" w:rsidR="00E97880" w:rsidRPr="00E97880" w:rsidRDefault="00E97880" w:rsidP="00E97880">
            <w:pPr>
              <w:spacing w:after="160" w:line="259" w:lineRule="auto"/>
              <w:rPr>
                <w:rFonts w:cs="Arial"/>
              </w:rPr>
            </w:pPr>
            <w:r w:rsidRPr="00E97880">
              <w:rPr>
                <w:rFonts w:cs="Arial"/>
              </w:rPr>
              <w:t>3.0</w:t>
            </w:r>
          </w:p>
        </w:tc>
        <w:tc>
          <w:tcPr>
            <w:tcW w:w="0" w:type="auto"/>
            <w:hideMark/>
          </w:tcPr>
          <w:p w14:paraId="3D3E2DA3" w14:textId="77777777" w:rsidR="00E97880" w:rsidRPr="00E97880" w:rsidRDefault="00E97880" w:rsidP="00E97880">
            <w:pPr>
              <w:spacing w:after="160" w:line="259" w:lineRule="auto"/>
              <w:rPr>
                <w:rFonts w:cs="Arial"/>
              </w:rPr>
            </w:pPr>
            <w:r w:rsidRPr="00E97880">
              <w:rPr>
                <w:rFonts w:cs="Arial"/>
              </w:rPr>
              <w:t>2.8</w:t>
            </w:r>
          </w:p>
        </w:tc>
        <w:tc>
          <w:tcPr>
            <w:tcW w:w="0" w:type="auto"/>
            <w:hideMark/>
          </w:tcPr>
          <w:p w14:paraId="1569AC1F" w14:textId="77777777" w:rsidR="00E97880" w:rsidRPr="00E97880" w:rsidRDefault="00E97880" w:rsidP="00E97880">
            <w:pPr>
              <w:spacing w:after="160" w:line="259" w:lineRule="auto"/>
              <w:rPr>
                <w:rFonts w:cs="Arial"/>
              </w:rPr>
            </w:pPr>
            <w:r w:rsidRPr="00E97880">
              <w:rPr>
                <w:rFonts w:cs="Arial"/>
              </w:rPr>
              <w:t>50.6</w:t>
            </w:r>
          </w:p>
        </w:tc>
        <w:tc>
          <w:tcPr>
            <w:tcW w:w="0" w:type="auto"/>
            <w:hideMark/>
          </w:tcPr>
          <w:p w14:paraId="11FCD5F0" w14:textId="77777777" w:rsidR="00E97880" w:rsidRPr="00E97880" w:rsidRDefault="00E97880" w:rsidP="00E97880">
            <w:pPr>
              <w:spacing w:after="160" w:line="259" w:lineRule="auto"/>
              <w:rPr>
                <w:rFonts w:cs="Arial"/>
              </w:rPr>
            </w:pPr>
            <w:r w:rsidRPr="00E97880">
              <w:rPr>
                <w:rFonts w:cs="Arial"/>
              </w:rPr>
              <w:t>21.2</w:t>
            </w:r>
          </w:p>
        </w:tc>
        <w:tc>
          <w:tcPr>
            <w:tcW w:w="0" w:type="auto"/>
            <w:hideMark/>
          </w:tcPr>
          <w:p w14:paraId="2BA82644" w14:textId="77777777" w:rsidR="00E97880" w:rsidRPr="00E97880" w:rsidRDefault="00E97880" w:rsidP="00E97880">
            <w:pPr>
              <w:spacing w:after="160" w:line="259" w:lineRule="auto"/>
              <w:rPr>
                <w:rFonts w:cs="Arial"/>
              </w:rPr>
            </w:pPr>
            <w:r w:rsidRPr="00E97880">
              <w:rPr>
                <w:rFonts w:cs="Arial"/>
              </w:rPr>
              <w:t>17.7</w:t>
            </w:r>
          </w:p>
        </w:tc>
        <w:tc>
          <w:tcPr>
            <w:tcW w:w="0" w:type="auto"/>
            <w:hideMark/>
          </w:tcPr>
          <w:p w14:paraId="6CD0BC84" w14:textId="77777777" w:rsidR="00E97880" w:rsidRPr="00E97880" w:rsidRDefault="00E97880" w:rsidP="00E97880">
            <w:pPr>
              <w:spacing w:after="160" w:line="259" w:lineRule="auto"/>
              <w:rPr>
                <w:rFonts w:cs="Arial"/>
              </w:rPr>
            </w:pPr>
            <w:r w:rsidRPr="00E97880">
              <w:rPr>
                <w:rFonts w:cs="Arial"/>
              </w:rPr>
              <w:t>17.2</w:t>
            </w:r>
          </w:p>
        </w:tc>
        <w:tc>
          <w:tcPr>
            <w:tcW w:w="0" w:type="auto"/>
            <w:hideMark/>
          </w:tcPr>
          <w:p w14:paraId="1EDD0E8A" w14:textId="77777777" w:rsidR="00E97880" w:rsidRPr="00E97880" w:rsidRDefault="00E97880" w:rsidP="00E97880">
            <w:pPr>
              <w:spacing w:after="160" w:line="259" w:lineRule="auto"/>
              <w:rPr>
                <w:rFonts w:cs="Arial"/>
              </w:rPr>
            </w:pPr>
            <w:r w:rsidRPr="00E97880">
              <w:rPr>
                <w:rFonts w:cs="Arial"/>
              </w:rPr>
              <w:t>14.3</w:t>
            </w:r>
          </w:p>
        </w:tc>
        <w:tc>
          <w:tcPr>
            <w:tcW w:w="0" w:type="auto"/>
            <w:hideMark/>
          </w:tcPr>
          <w:p w14:paraId="21837DE8" w14:textId="77777777" w:rsidR="00E97880" w:rsidRPr="00E97880" w:rsidRDefault="00E97880" w:rsidP="00E97880">
            <w:pPr>
              <w:spacing w:after="160" w:line="259" w:lineRule="auto"/>
              <w:rPr>
                <w:rFonts w:cs="Arial"/>
              </w:rPr>
            </w:pPr>
            <w:r w:rsidRPr="00E97880">
              <w:rPr>
                <w:rFonts w:cs="Arial"/>
              </w:rPr>
              <w:t>4.2</w:t>
            </w:r>
          </w:p>
        </w:tc>
      </w:tr>
      <w:tr w:rsidR="00E97880" w:rsidRPr="00E97880" w14:paraId="74DB03DD" w14:textId="77777777" w:rsidTr="00E97880">
        <w:tc>
          <w:tcPr>
            <w:tcW w:w="0" w:type="auto"/>
            <w:hideMark/>
          </w:tcPr>
          <w:p w14:paraId="2DDA612D" w14:textId="77777777" w:rsidR="00E97880" w:rsidRPr="00E97880" w:rsidRDefault="00E97880" w:rsidP="00E97880">
            <w:pPr>
              <w:spacing w:after="160" w:line="259" w:lineRule="auto"/>
              <w:rPr>
                <w:rFonts w:cs="Arial"/>
              </w:rPr>
            </w:pPr>
            <w:r w:rsidRPr="00E97880">
              <w:rPr>
                <w:rFonts w:cs="Arial"/>
              </w:rPr>
              <w:t>2023</w:t>
            </w:r>
          </w:p>
        </w:tc>
        <w:tc>
          <w:tcPr>
            <w:tcW w:w="0" w:type="auto"/>
            <w:hideMark/>
          </w:tcPr>
          <w:p w14:paraId="2DCEC2AE" w14:textId="77777777" w:rsidR="00E97880" w:rsidRPr="00E97880" w:rsidRDefault="00E97880" w:rsidP="00E97880">
            <w:pPr>
              <w:spacing w:after="160" w:line="259" w:lineRule="auto"/>
              <w:rPr>
                <w:rFonts w:cs="Arial"/>
              </w:rPr>
            </w:pPr>
            <w:r w:rsidRPr="00E97880">
              <w:rPr>
                <w:rFonts w:cs="Arial"/>
              </w:rPr>
              <w:t>37.2</w:t>
            </w:r>
          </w:p>
        </w:tc>
        <w:tc>
          <w:tcPr>
            <w:tcW w:w="0" w:type="auto"/>
            <w:hideMark/>
          </w:tcPr>
          <w:p w14:paraId="700F640D" w14:textId="77777777" w:rsidR="00E97880" w:rsidRPr="00E97880" w:rsidRDefault="00E97880" w:rsidP="00E97880">
            <w:pPr>
              <w:spacing w:after="160" w:line="259" w:lineRule="auto"/>
              <w:rPr>
                <w:rFonts w:cs="Arial"/>
              </w:rPr>
            </w:pPr>
            <w:r w:rsidRPr="00E97880">
              <w:rPr>
                <w:rFonts w:cs="Arial"/>
              </w:rPr>
              <w:t>2.7</w:t>
            </w:r>
          </w:p>
        </w:tc>
        <w:tc>
          <w:tcPr>
            <w:tcW w:w="0" w:type="auto"/>
            <w:hideMark/>
          </w:tcPr>
          <w:p w14:paraId="197E3492" w14:textId="77777777" w:rsidR="00E97880" w:rsidRPr="00E97880" w:rsidRDefault="00E97880" w:rsidP="00E97880">
            <w:pPr>
              <w:spacing w:after="160" w:line="259" w:lineRule="auto"/>
              <w:rPr>
                <w:rFonts w:cs="Arial"/>
              </w:rPr>
            </w:pPr>
            <w:r w:rsidRPr="00E97880">
              <w:rPr>
                <w:rFonts w:cs="Arial"/>
              </w:rPr>
              <w:t>2.5</w:t>
            </w:r>
          </w:p>
        </w:tc>
        <w:tc>
          <w:tcPr>
            <w:tcW w:w="0" w:type="auto"/>
            <w:hideMark/>
          </w:tcPr>
          <w:p w14:paraId="19B3839B" w14:textId="77777777" w:rsidR="00E97880" w:rsidRPr="00E97880" w:rsidRDefault="00E97880" w:rsidP="00E97880">
            <w:pPr>
              <w:spacing w:after="160" w:line="259" w:lineRule="auto"/>
              <w:rPr>
                <w:rFonts w:cs="Arial"/>
              </w:rPr>
            </w:pPr>
            <w:r w:rsidRPr="00E97880">
              <w:rPr>
                <w:rFonts w:cs="Arial"/>
              </w:rPr>
              <w:t>57.2</w:t>
            </w:r>
          </w:p>
        </w:tc>
        <w:tc>
          <w:tcPr>
            <w:tcW w:w="0" w:type="auto"/>
            <w:hideMark/>
          </w:tcPr>
          <w:p w14:paraId="16CC9E7D" w14:textId="77777777" w:rsidR="00E97880" w:rsidRPr="00E97880" w:rsidRDefault="00E97880" w:rsidP="00E97880">
            <w:pPr>
              <w:spacing w:after="160" w:line="259" w:lineRule="auto"/>
              <w:rPr>
                <w:rFonts w:cs="Arial"/>
              </w:rPr>
            </w:pPr>
            <w:r w:rsidRPr="00E97880">
              <w:rPr>
                <w:rFonts w:cs="Arial"/>
              </w:rPr>
              <w:t>23.6</w:t>
            </w:r>
          </w:p>
        </w:tc>
        <w:tc>
          <w:tcPr>
            <w:tcW w:w="0" w:type="auto"/>
            <w:hideMark/>
          </w:tcPr>
          <w:p w14:paraId="42E8D855" w14:textId="77777777" w:rsidR="00E97880" w:rsidRPr="00E97880" w:rsidRDefault="00E97880" w:rsidP="00E97880">
            <w:pPr>
              <w:spacing w:after="160" w:line="259" w:lineRule="auto"/>
              <w:rPr>
                <w:rFonts w:cs="Arial"/>
              </w:rPr>
            </w:pPr>
            <w:r w:rsidRPr="00E97880">
              <w:rPr>
                <w:rFonts w:cs="Arial"/>
              </w:rPr>
              <w:t>20.0</w:t>
            </w:r>
          </w:p>
        </w:tc>
        <w:tc>
          <w:tcPr>
            <w:tcW w:w="0" w:type="auto"/>
            <w:hideMark/>
          </w:tcPr>
          <w:p w14:paraId="79C0142F" w14:textId="77777777" w:rsidR="00E97880" w:rsidRPr="00E97880" w:rsidRDefault="00E97880" w:rsidP="00E97880">
            <w:pPr>
              <w:spacing w:after="160" w:line="259" w:lineRule="auto"/>
              <w:rPr>
                <w:rFonts w:cs="Arial"/>
              </w:rPr>
            </w:pPr>
            <w:r w:rsidRPr="00E97880">
              <w:rPr>
                <w:rFonts w:cs="Arial"/>
              </w:rPr>
              <w:t>18.4</w:t>
            </w:r>
          </w:p>
        </w:tc>
        <w:tc>
          <w:tcPr>
            <w:tcW w:w="0" w:type="auto"/>
            <w:hideMark/>
          </w:tcPr>
          <w:p w14:paraId="58D35113" w14:textId="77777777" w:rsidR="00E97880" w:rsidRPr="00E97880" w:rsidRDefault="00E97880" w:rsidP="00E97880">
            <w:pPr>
              <w:spacing w:after="160" w:line="259" w:lineRule="auto"/>
              <w:rPr>
                <w:rFonts w:cs="Arial"/>
              </w:rPr>
            </w:pPr>
            <w:r w:rsidRPr="00E97880">
              <w:rPr>
                <w:rFonts w:cs="Arial"/>
              </w:rPr>
              <w:t>15.6</w:t>
            </w:r>
          </w:p>
        </w:tc>
        <w:tc>
          <w:tcPr>
            <w:tcW w:w="0" w:type="auto"/>
            <w:hideMark/>
          </w:tcPr>
          <w:p w14:paraId="3DDA2570" w14:textId="77777777" w:rsidR="00E97880" w:rsidRPr="00E97880" w:rsidRDefault="00E97880" w:rsidP="00E97880">
            <w:pPr>
              <w:spacing w:after="160" w:line="259" w:lineRule="auto"/>
              <w:rPr>
                <w:rFonts w:cs="Arial"/>
              </w:rPr>
            </w:pPr>
            <w:r w:rsidRPr="00E97880">
              <w:rPr>
                <w:rFonts w:cs="Arial"/>
              </w:rPr>
              <w:t>3.9</w:t>
            </w:r>
          </w:p>
        </w:tc>
      </w:tr>
      <w:tr w:rsidR="00E97880" w:rsidRPr="00E97880" w14:paraId="1C33F3C7" w14:textId="77777777" w:rsidTr="00E97880">
        <w:tc>
          <w:tcPr>
            <w:tcW w:w="0" w:type="auto"/>
            <w:hideMark/>
          </w:tcPr>
          <w:p w14:paraId="11302EBF" w14:textId="77777777" w:rsidR="00E97880" w:rsidRPr="00E97880" w:rsidRDefault="00E97880" w:rsidP="00E97880">
            <w:pPr>
              <w:spacing w:after="160" w:line="259" w:lineRule="auto"/>
              <w:rPr>
                <w:rFonts w:cs="Arial"/>
              </w:rPr>
            </w:pPr>
            <w:r w:rsidRPr="00E97880">
              <w:rPr>
                <w:rFonts w:cs="Arial"/>
              </w:rPr>
              <w:t>2024</w:t>
            </w:r>
          </w:p>
        </w:tc>
        <w:tc>
          <w:tcPr>
            <w:tcW w:w="0" w:type="auto"/>
            <w:hideMark/>
          </w:tcPr>
          <w:p w14:paraId="007E19CD" w14:textId="77777777" w:rsidR="00E97880" w:rsidRPr="00E97880" w:rsidRDefault="00E97880" w:rsidP="00E97880">
            <w:pPr>
              <w:spacing w:after="160" w:line="259" w:lineRule="auto"/>
              <w:rPr>
                <w:rFonts w:cs="Arial"/>
              </w:rPr>
            </w:pPr>
            <w:r w:rsidRPr="00E97880">
              <w:rPr>
                <w:rFonts w:cs="Arial"/>
              </w:rPr>
              <w:t>45.1</w:t>
            </w:r>
          </w:p>
        </w:tc>
        <w:tc>
          <w:tcPr>
            <w:tcW w:w="0" w:type="auto"/>
            <w:hideMark/>
          </w:tcPr>
          <w:p w14:paraId="00B07ABC" w14:textId="77777777" w:rsidR="00E97880" w:rsidRPr="00E97880" w:rsidRDefault="00E97880" w:rsidP="00E97880">
            <w:pPr>
              <w:spacing w:after="160" w:line="259" w:lineRule="auto"/>
              <w:rPr>
                <w:rFonts w:cs="Arial"/>
              </w:rPr>
            </w:pPr>
            <w:r w:rsidRPr="00E97880">
              <w:rPr>
                <w:rFonts w:cs="Arial"/>
              </w:rPr>
              <w:t>5.3</w:t>
            </w:r>
          </w:p>
        </w:tc>
        <w:tc>
          <w:tcPr>
            <w:tcW w:w="0" w:type="auto"/>
            <w:hideMark/>
          </w:tcPr>
          <w:p w14:paraId="0D6126B0" w14:textId="77777777" w:rsidR="00E97880" w:rsidRPr="00E97880" w:rsidRDefault="00E97880" w:rsidP="00E97880">
            <w:pPr>
              <w:spacing w:after="160" w:line="259" w:lineRule="auto"/>
              <w:rPr>
                <w:rFonts w:cs="Arial"/>
              </w:rPr>
            </w:pPr>
            <w:r w:rsidRPr="00E97880">
              <w:rPr>
                <w:rFonts w:cs="Arial"/>
              </w:rPr>
              <w:t>4.9</w:t>
            </w:r>
          </w:p>
        </w:tc>
        <w:tc>
          <w:tcPr>
            <w:tcW w:w="0" w:type="auto"/>
            <w:hideMark/>
          </w:tcPr>
          <w:p w14:paraId="6315E93D" w14:textId="77777777" w:rsidR="00E97880" w:rsidRPr="00E97880" w:rsidRDefault="00E97880" w:rsidP="00E97880">
            <w:pPr>
              <w:spacing w:after="160" w:line="259" w:lineRule="auto"/>
              <w:rPr>
                <w:rFonts w:cs="Arial"/>
              </w:rPr>
            </w:pPr>
            <w:r w:rsidRPr="00E97880">
              <w:rPr>
                <w:rFonts w:cs="Arial"/>
              </w:rPr>
              <w:t>61.9</w:t>
            </w:r>
          </w:p>
        </w:tc>
        <w:tc>
          <w:tcPr>
            <w:tcW w:w="0" w:type="auto"/>
            <w:hideMark/>
          </w:tcPr>
          <w:p w14:paraId="5AA1BCA9" w14:textId="77777777" w:rsidR="00E97880" w:rsidRPr="00E97880" w:rsidRDefault="00E97880" w:rsidP="00E97880">
            <w:pPr>
              <w:spacing w:after="160" w:line="259" w:lineRule="auto"/>
              <w:rPr>
                <w:rFonts w:cs="Arial"/>
              </w:rPr>
            </w:pPr>
            <w:r w:rsidRPr="00E97880">
              <w:rPr>
                <w:rFonts w:cs="Arial"/>
              </w:rPr>
              <w:t>27.5</w:t>
            </w:r>
          </w:p>
        </w:tc>
        <w:tc>
          <w:tcPr>
            <w:tcW w:w="0" w:type="auto"/>
            <w:hideMark/>
          </w:tcPr>
          <w:p w14:paraId="09CF8C58" w14:textId="77777777" w:rsidR="00E97880" w:rsidRPr="00E97880" w:rsidRDefault="00E97880" w:rsidP="00E97880">
            <w:pPr>
              <w:spacing w:after="160" w:line="259" w:lineRule="auto"/>
              <w:rPr>
                <w:rFonts w:cs="Arial"/>
              </w:rPr>
            </w:pPr>
            <w:r w:rsidRPr="00E97880">
              <w:rPr>
                <w:rFonts w:cs="Arial"/>
              </w:rPr>
              <w:t>22.0</w:t>
            </w:r>
          </w:p>
        </w:tc>
        <w:tc>
          <w:tcPr>
            <w:tcW w:w="0" w:type="auto"/>
            <w:hideMark/>
          </w:tcPr>
          <w:p w14:paraId="7A47C37D" w14:textId="77777777" w:rsidR="00E97880" w:rsidRPr="00E97880" w:rsidRDefault="00E97880" w:rsidP="00E97880">
            <w:pPr>
              <w:spacing w:after="160" w:line="259" w:lineRule="auto"/>
              <w:rPr>
                <w:rFonts w:cs="Arial"/>
              </w:rPr>
            </w:pPr>
            <w:r w:rsidRPr="00E97880">
              <w:rPr>
                <w:rFonts w:cs="Arial"/>
              </w:rPr>
              <w:t>19.0</w:t>
            </w:r>
          </w:p>
        </w:tc>
        <w:tc>
          <w:tcPr>
            <w:tcW w:w="0" w:type="auto"/>
            <w:hideMark/>
          </w:tcPr>
          <w:p w14:paraId="2E23831B" w14:textId="77777777" w:rsidR="00E97880" w:rsidRPr="00E97880" w:rsidRDefault="00E97880" w:rsidP="00E97880">
            <w:pPr>
              <w:spacing w:after="160" w:line="259" w:lineRule="auto"/>
              <w:rPr>
                <w:rFonts w:cs="Arial"/>
              </w:rPr>
            </w:pPr>
            <w:r w:rsidRPr="00E97880">
              <w:rPr>
                <w:rFonts w:cs="Arial"/>
              </w:rPr>
              <w:t>17.0</w:t>
            </w:r>
          </w:p>
        </w:tc>
        <w:tc>
          <w:tcPr>
            <w:tcW w:w="0" w:type="auto"/>
            <w:hideMark/>
          </w:tcPr>
          <w:p w14:paraId="23695D7B" w14:textId="77777777" w:rsidR="00E97880" w:rsidRPr="00E97880" w:rsidRDefault="00E97880" w:rsidP="00E97880">
            <w:pPr>
              <w:spacing w:after="160" w:line="259" w:lineRule="auto"/>
              <w:rPr>
                <w:rFonts w:cs="Arial"/>
              </w:rPr>
            </w:pPr>
            <w:r w:rsidRPr="00E97880">
              <w:rPr>
                <w:rFonts w:cs="Arial"/>
              </w:rPr>
              <w:t>5.7</w:t>
            </w:r>
          </w:p>
        </w:tc>
      </w:tr>
    </w:tbl>
    <w:p w14:paraId="101BE6B2" w14:textId="77777777" w:rsidR="00E97880" w:rsidRPr="00E97880" w:rsidRDefault="00E97880" w:rsidP="00E97880">
      <w:pPr>
        <w:rPr>
          <w:rFonts w:cs="Arial"/>
        </w:rPr>
      </w:pPr>
      <w:r w:rsidRPr="00E97880">
        <w:rPr>
          <w:rFonts w:cs="Arial"/>
          <w:i/>
          <w:iCs/>
        </w:rPr>
        <w:t>Source: Derived from Toyota Motor Corporation Annual Reports (2020–2024).</w:t>
      </w:r>
    </w:p>
    <w:p w14:paraId="196E067F" w14:textId="413F9268" w:rsidR="00E97880" w:rsidRPr="00E97880" w:rsidRDefault="00E97880" w:rsidP="00E97880">
      <w:pPr>
        <w:rPr>
          <w:rFonts w:cs="Arial"/>
        </w:rPr>
      </w:pPr>
    </w:p>
    <w:p w14:paraId="2CFBE2B8" w14:textId="77777777" w:rsidR="00E97880" w:rsidRPr="00E97880" w:rsidRDefault="00E97880" w:rsidP="00E97880">
      <w:pPr>
        <w:rPr>
          <w:rFonts w:cs="Arial"/>
        </w:rPr>
      </w:pPr>
      <w:r w:rsidRPr="00E97880">
        <w:rPr>
          <w:rFonts w:cs="Arial"/>
        </w:rPr>
        <w:t>Appendix B – Ratio Calculations</w:t>
      </w:r>
    </w:p>
    <w:p w14:paraId="5635899B" w14:textId="77777777" w:rsidR="00E97880" w:rsidRPr="00E97880" w:rsidRDefault="00E97880" w:rsidP="00E97880">
      <w:pPr>
        <w:rPr>
          <w:rFonts w:cs="Arial"/>
        </w:rPr>
      </w:pPr>
      <w:r w:rsidRPr="00E97880">
        <w:rPr>
          <w:rFonts w:cs="Arial"/>
        </w:rPr>
        <w:t>Table B1: Key Ratios and Formulae</w:t>
      </w:r>
    </w:p>
    <w:tbl>
      <w:tblPr>
        <w:tblStyle w:val="TableGrid"/>
        <w:tblW w:w="0" w:type="auto"/>
        <w:tblLook w:val="04A0" w:firstRow="1" w:lastRow="0" w:firstColumn="1" w:lastColumn="0" w:noHBand="0" w:noVBand="1"/>
      </w:tblPr>
      <w:tblGrid>
        <w:gridCol w:w="1867"/>
        <w:gridCol w:w="4898"/>
      </w:tblGrid>
      <w:tr w:rsidR="00E97880" w:rsidRPr="00E97880" w14:paraId="0D4ECCEE" w14:textId="77777777" w:rsidTr="00E97880">
        <w:tc>
          <w:tcPr>
            <w:tcW w:w="0" w:type="auto"/>
            <w:hideMark/>
          </w:tcPr>
          <w:p w14:paraId="5EECD433" w14:textId="77777777" w:rsidR="00E97880" w:rsidRPr="00E97880" w:rsidRDefault="00E97880" w:rsidP="00E97880">
            <w:pPr>
              <w:spacing w:after="160" w:line="259" w:lineRule="auto"/>
              <w:jc w:val="left"/>
              <w:rPr>
                <w:rFonts w:cs="Arial"/>
              </w:rPr>
            </w:pPr>
            <w:r w:rsidRPr="00E97880">
              <w:rPr>
                <w:rFonts w:cs="Arial"/>
              </w:rPr>
              <w:t>Ratio</w:t>
            </w:r>
          </w:p>
        </w:tc>
        <w:tc>
          <w:tcPr>
            <w:tcW w:w="0" w:type="auto"/>
            <w:hideMark/>
          </w:tcPr>
          <w:p w14:paraId="3E95A103" w14:textId="77777777" w:rsidR="00E97880" w:rsidRPr="00E97880" w:rsidRDefault="00E97880" w:rsidP="00E97880">
            <w:pPr>
              <w:spacing w:after="160" w:line="259" w:lineRule="auto"/>
              <w:jc w:val="left"/>
              <w:rPr>
                <w:rFonts w:cs="Arial"/>
              </w:rPr>
            </w:pPr>
            <w:r w:rsidRPr="00E97880">
              <w:rPr>
                <w:rFonts w:cs="Arial"/>
              </w:rPr>
              <w:t>Formula</w:t>
            </w:r>
          </w:p>
        </w:tc>
      </w:tr>
      <w:tr w:rsidR="00E97880" w:rsidRPr="00E97880" w14:paraId="418FA55C" w14:textId="77777777" w:rsidTr="00E97880">
        <w:tc>
          <w:tcPr>
            <w:tcW w:w="0" w:type="auto"/>
            <w:hideMark/>
          </w:tcPr>
          <w:p w14:paraId="23187BF6" w14:textId="77777777" w:rsidR="00E97880" w:rsidRPr="00E97880" w:rsidRDefault="00E97880" w:rsidP="00E97880">
            <w:pPr>
              <w:spacing w:after="160" w:line="259" w:lineRule="auto"/>
              <w:rPr>
                <w:rFonts w:cs="Arial"/>
              </w:rPr>
            </w:pPr>
            <w:r w:rsidRPr="00E97880">
              <w:rPr>
                <w:rFonts w:cs="Arial"/>
              </w:rPr>
              <w:t>ROCE</w:t>
            </w:r>
          </w:p>
        </w:tc>
        <w:tc>
          <w:tcPr>
            <w:tcW w:w="0" w:type="auto"/>
            <w:hideMark/>
          </w:tcPr>
          <w:p w14:paraId="7D585A5D" w14:textId="77777777" w:rsidR="00E97880" w:rsidRPr="00E97880" w:rsidRDefault="00E97880" w:rsidP="00E97880">
            <w:pPr>
              <w:spacing w:after="160" w:line="259" w:lineRule="auto"/>
              <w:rPr>
                <w:rFonts w:cs="Arial"/>
              </w:rPr>
            </w:pPr>
            <w:r w:rsidRPr="00E97880">
              <w:rPr>
                <w:rFonts w:cs="Arial"/>
              </w:rPr>
              <w:t>EBIT ÷ (Total Assets – Current Liabilities)</w:t>
            </w:r>
          </w:p>
        </w:tc>
      </w:tr>
      <w:tr w:rsidR="00E97880" w:rsidRPr="00E97880" w14:paraId="487A26AA" w14:textId="77777777" w:rsidTr="00E97880">
        <w:tc>
          <w:tcPr>
            <w:tcW w:w="0" w:type="auto"/>
            <w:hideMark/>
          </w:tcPr>
          <w:p w14:paraId="3EC792C3" w14:textId="77777777" w:rsidR="00E97880" w:rsidRPr="00E97880" w:rsidRDefault="00E97880" w:rsidP="00E97880">
            <w:pPr>
              <w:spacing w:after="160" w:line="259" w:lineRule="auto"/>
              <w:rPr>
                <w:rFonts w:cs="Arial"/>
              </w:rPr>
            </w:pPr>
            <w:r w:rsidRPr="00E97880">
              <w:rPr>
                <w:rFonts w:cs="Arial"/>
              </w:rPr>
              <w:t>Net Profit Margin</w:t>
            </w:r>
          </w:p>
        </w:tc>
        <w:tc>
          <w:tcPr>
            <w:tcW w:w="0" w:type="auto"/>
            <w:hideMark/>
          </w:tcPr>
          <w:p w14:paraId="0956229A" w14:textId="77777777" w:rsidR="00E97880" w:rsidRPr="00E97880" w:rsidRDefault="00E97880" w:rsidP="00E97880">
            <w:pPr>
              <w:spacing w:after="160" w:line="259" w:lineRule="auto"/>
              <w:rPr>
                <w:rFonts w:cs="Arial"/>
              </w:rPr>
            </w:pPr>
            <w:r w:rsidRPr="00E97880">
              <w:rPr>
                <w:rFonts w:cs="Arial"/>
              </w:rPr>
              <w:t>Net Profit ÷ Revenue × 100</w:t>
            </w:r>
          </w:p>
        </w:tc>
      </w:tr>
      <w:tr w:rsidR="00E97880" w:rsidRPr="00E97880" w14:paraId="2D8E30E8" w14:textId="77777777" w:rsidTr="00E97880">
        <w:tc>
          <w:tcPr>
            <w:tcW w:w="0" w:type="auto"/>
            <w:hideMark/>
          </w:tcPr>
          <w:p w14:paraId="112A34DB" w14:textId="77777777" w:rsidR="00E97880" w:rsidRPr="00E97880" w:rsidRDefault="00E97880" w:rsidP="00E97880">
            <w:pPr>
              <w:spacing w:after="160" w:line="259" w:lineRule="auto"/>
              <w:rPr>
                <w:rFonts w:cs="Arial"/>
              </w:rPr>
            </w:pPr>
            <w:r w:rsidRPr="00E97880">
              <w:rPr>
                <w:rFonts w:cs="Arial"/>
              </w:rPr>
              <w:t>Current Ratio</w:t>
            </w:r>
          </w:p>
        </w:tc>
        <w:tc>
          <w:tcPr>
            <w:tcW w:w="0" w:type="auto"/>
            <w:hideMark/>
          </w:tcPr>
          <w:p w14:paraId="1B3A7B05" w14:textId="77777777" w:rsidR="00E97880" w:rsidRPr="00E97880" w:rsidRDefault="00E97880" w:rsidP="00E97880">
            <w:pPr>
              <w:spacing w:after="160" w:line="259" w:lineRule="auto"/>
              <w:rPr>
                <w:rFonts w:cs="Arial"/>
              </w:rPr>
            </w:pPr>
            <w:r w:rsidRPr="00E97880">
              <w:rPr>
                <w:rFonts w:cs="Arial"/>
              </w:rPr>
              <w:t>Current Assets ÷ Current Liabilities</w:t>
            </w:r>
          </w:p>
        </w:tc>
      </w:tr>
      <w:tr w:rsidR="00E97880" w:rsidRPr="00E97880" w14:paraId="0FB0969C" w14:textId="77777777" w:rsidTr="00E97880">
        <w:tc>
          <w:tcPr>
            <w:tcW w:w="0" w:type="auto"/>
            <w:hideMark/>
          </w:tcPr>
          <w:p w14:paraId="42F6EFB3" w14:textId="77777777" w:rsidR="00E97880" w:rsidRPr="00E97880" w:rsidRDefault="00E97880" w:rsidP="00E97880">
            <w:pPr>
              <w:spacing w:after="160" w:line="259" w:lineRule="auto"/>
              <w:rPr>
                <w:rFonts w:cs="Arial"/>
              </w:rPr>
            </w:pPr>
            <w:r w:rsidRPr="00E97880">
              <w:rPr>
                <w:rFonts w:cs="Arial"/>
              </w:rPr>
              <w:t>Quick Ratio</w:t>
            </w:r>
          </w:p>
        </w:tc>
        <w:tc>
          <w:tcPr>
            <w:tcW w:w="0" w:type="auto"/>
            <w:hideMark/>
          </w:tcPr>
          <w:p w14:paraId="16568171" w14:textId="77777777" w:rsidR="00E97880" w:rsidRPr="00E97880" w:rsidRDefault="00E97880" w:rsidP="00E97880">
            <w:pPr>
              <w:spacing w:after="160" w:line="259" w:lineRule="auto"/>
              <w:rPr>
                <w:rFonts w:cs="Arial"/>
              </w:rPr>
            </w:pPr>
            <w:r w:rsidRPr="00E97880">
              <w:rPr>
                <w:rFonts w:cs="Arial"/>
              </w:rPr>
              <w:t>(Current Assets – Inventory) ÷ Current Liabilities</w:t>
            </w:r>
          </w:p>
        </w:tc>
      </w:tr>
      <w:tr w:rsidR="00E97880" w:rsidRPr="00E97880" w14:paraId="7056AFB0" w14:textId="77777777" w:rsidTr="00E97880">
        <w:tc>
          <w:tcPr>
            <w:tcW w:w="0" w:type="auto"/>
            <w:hideMark/>
          </w:tcPr>
          <w:p w14:paraId="048E87E3" w14:textId="77777777" w:rsidR="00E97880" w:rsidRPr="00E97880" w:rsidRDefault="00E97880" w:rsidP="00E97880">
            <w:pPr>
              <w:spacing w:after="160" w:line="259" w:lineRule="auto"/>
              <w:rPr>
                <w:rFonts w:cs="Arial"/>
              </w:rPr>
            </w:pPr>
            <w:r w:rsidRPr="00E97880">
              <w:rPr>
                <w:rFonts w:cs="Arial"/>
              </w:rPr>
              <w:t>Asset Turnover</w:t>
            </w:r>
          </w:p>
        </w:tc>
        <w:tc>
          <w:tcPr>
            <w:tcW w:w="0" w:type="auto"/>
            <w:hideMark/>
          </w:tcPr>
          <w:p w14:paraId="6AFFBF31" w14:textId="77777777" w:rsidR="00E97880" w:rsidRPr="00E97880" w:rsidRDefault="00E97880" w:rsidP="00E97880">
            <w:pPr>
              <w:spacing w:after="160" w:line="259" w:lineRule="auto"/>
              <w:rPr>
                <w:rFonts w:cs="Arial"/>
              </w:rPr>
            </w:pPr>
            <w:r w:rsidRPr="00E97880">
              <w:rPr>
                <w:rFonts w:cs="Arial"/>
              </w:rPr>
              <w:t>Revenue ÷ Total Assets</w:t>
            </w:r>
          </w:p>
        </w:tc>
      </w:tr>
      <w:tr w:rsidR="00E97880" w:rsidRPr="00E97880" w14:paraId="05CA3BE0" w14:textId="77777777" w:rsidTr="00E97880">
        <w:tc>
          <w:tcPr>
            <w:tcW w:w="0" w:type="auto"/>
            <w:hideMark/>
          </w:tcPr>
          <w:p w14:paraId="489EDA90" w14:textId="77777777" w:rsidR="00E97880" w:rsidRPr="00E97880" w:rsidRDefault="00E97880" w:rsidP="00E97880">
            <w:pPr>
              <w:spacing w:after="160" w:line="259" w:lineRule="auto"/>
              <w:rPr>
                <w:rFonts w:cs="Arial"/>
              </w:rPr>
            </w:pPr>
            <w:r w:rsidRPr="00E97880">
              <w:rPr>
                <w:rFonts w:cs="Arial"/>
              </w:rPr>
              <w:t>Inventory Days</w:t>
            </w:r>
          </w:p>
        </w:tc>
        <w:tc>
          <w:tcPr>
            <w:tcW w:w="0" w:type="auto"/>
            <w:hideMark/>
          </w:tcPr>
          <w:p w14:paraId="1133A83F" w14:textId="77777777" w:rsidR="00E97880" w:rsidRPr="00E97880" w:rsidRDefault="00E97880" w:rsidP="00E97880">
            <w:pPr>
              <w:spacing w:after="160" w:line="259" w:lineRule="auto"/>
              <w:rPr>
                <w:rFonts w:cs="Arial"/>
              </w:rPr>
            </w:pPr>
            <w:r w:rsidRPr="00E97880">
              <w:rPr>
                <w:rFonts w:cs="Arial"/>
              </w:rPr>
              <w:t>Inventory ÷ Cost of Sales × 365</w:t>
            </w:r>
          </w:p>
        </w:tc>
      </w:tr>
      <w:tr w:rsidR="00E97880" w:rsidRPr="00E97880" w14:paraId="7D249B63" w14:textId="77777777" w:rsidTr="00E97880">
        <w:tc>
          <w:tcPr>
            <w:tcW w:w="0" w:type="auto"/>
            <w:hideMark/>
          </w:tcPr>
          <w:p w14:paraId="3A67C2B0" w14:textId="77777777" w:rsidR="00E97880" w:rsidRPr="00E97880" w:rsidRDefault="00E97880" w:rsidP="00E97880">
            <w:pPr>
              <w:spacing w:after="160" w:line="259" w:lineRule="auto"/>
              <w:rPr>
                <w:rFonts w:cs="Arial"/>
              </w:rPr>
            </w:pPr>
            <w:r w:rsidRPr="00E97880">
              <w:rPr>
                <w:rFonts w:cs="Arial"/>
              </w:rPr>
              <w:t>Debt-to-Equity</w:t>
            </w:r>
          </w:p>
        </w:tc>
        <w:tc>
          <w:tcPr>
            <w:tcW w:w="0" w:type="auto"/>
            <w:hideMark/>
          </w:tcPr>
          <w:p w14:paraId="39A4AA43" w14:textId="77777777" w:rsidR="00E97880" w:rsidRPr="00E97880" w:rsidRDefault="00E97880" w:rsidP="00E97880">
            <w:pPr>
              <w:spacing w:after="160" w:line="259" w:lineRule="auto"/>
              <w:rPr>
                <w:rFonts w:cs="Arial"/>
              </w:rPr>
            </w:pPr>
            <w:r w:rsidRPr="00E97880">
              <w:rPr>
                <w:rFonts w:cs="Arial"/>
              </w:rPr>
              <w:t>Total Debt ÷ Shareholders’ Equity</w:t>
            </w:r>
          </w:p>
        </w:tc>
      </w:tr>
      <w:tr w:rsidR="00E97880" w:rsidRPr="00E97880" w14:paraId="2EBB0D0B" w14:textId="77777777" w:rsidTr="00E97880">
        <w:tc>
          <w:tcPr>
            <w:tcW w:w="0" w:type="auto"/>
            <w:hideMark/>
          </w:tcPr>
          <w:p w14:paraId="006A1703" w14:textId="77777777" w:rsidR="00E97880" w:rsidRPr="00E97880" w:rsidRDefault="00E97880" w:rsidP="00E97880">
            <w:pPr>
              <w:spacing w:after="160" w:line="259" w:lineRule="auto"/>
              <w:rPr>
                <w:rFonts w:cs="Arial"/>
              </w:rPr>
            </w:pPr>
            <w:r w:rsidRPr="00E97880">
              <w:rPr>
                <w:rFonts w:cs="Arial"/>
              </w:rPr>
              <w:t>EPS</w:t>
            </w:r>
          </w:p>
        </w:tc>
        <w:tc>
          <w:tcPr>
            <w:tcW w:w="0" w:type="auto"/>
            <w:hideMark/>
          </w:tcPr>
          <w:p w14:paraId="01016CE4" w14:textId="77777777" w:rsidR="00E97880" w:rsidRPr="00E97880" w:rsidRDefault="00E97880" w:rsidP="00E97880">
            <w:pPr>
              <w:spacing w:after="160" w:line="259" w:lineRule="auto"/>
              <w:rPr>
                <w:rFonts w:cs="Arial"/>
              </w:rPr>
            </w:pPr>
            <w:r w:rsidRPr="00E97880">
              <w:rPr>
                <w:rFonts w:cs="Arial"/>
              </w:rPr>
              <w:t>Net Profit ÷ Shares Outstanding</w:t>
            </w:r>
          </w:p>
        </w:tc>
      </w:tr>
    </w:tbl>
    <w:p w14:paraId="309A86DB" w14:textId="77777777" w:rsidR="00E97880" w:rsidRDefault="00E97880" w:rsidP="00E97880">
      <w:pPr>
        <w:rPr>
          <w:rFonts w:cs="Arial"/>
        </w:rPr>
      </w:pPr>
    </w:p>
    <w:p w14:paraId="7814A9B8" w14:textId="77777777" w:rsidR="00E97880" w:rsidRDefault="00E97880" w:rsidP="00E97880">
      <w:pPr>
        <w:rPr>
          <w:rFonts w:cs="Arial"/>
        </w:rPr>
      </w:pPr>
    </w:p>
    <w:p w14:paraId="1C31B1D7" w14:textId="77777777" w:rsidR="00E97880" w:rsidRDefault="00E97880" w:rsidP="00E97880">
      <w:pPr>
        <w:rPr>
          <w:rFonts w:cs="Arial"/>
        </w:rPr>
      </w:pPr>
    </w:p>
    <w:p w14:paraId="58F03665" w14:textId="4BBFE7F0" w:rsidR="00E97880" w:rsidRPr="00E97880" w:rsidRDefault="00E97880" w:rsidP="00E97880">
      <w:pPr>
        <w:rPr>
          <w:rFonts w:cs="Arial"/>
        </w:rPr>
      </w:pPr>
      <w:r w:rsidRPr="00E97880">
        <w:rPr>
          <w:rFonts w:cs="Arial"/>
        </w:rPr>
        <w:t>Table B2: Ratio Summary (2020–2024)</w:t>
      </w:r>
    </w:p>
    <w:tbl>
      <w:tblPr>
        <w:tblStyle w:val="TableGrid"/>
        <w:tblW w:w="0" w:type="auto"/>
        <w:tblLook w:val="04A0" w:firstRow="1" w:lastRow="0" w:firstColumn="1" w:lastColumn="0" w:noHBand="0" w:noVBand="1"/>
      </w:tblPr>
      <w:tblGrid>
        <w:gridCol w:w="706"/>
        <w:gridCol w:w="1068"/>
        <w:gridCol w:w="1433"/>
        <w:gridCol w:w="1262"/>
        <w:gridCol w:w="1599"/>
        <w:gridCol w:w="1594"/>
        <w:gridCol w:w="1354"/>
      </w:tblGrid>
      <w:tr w:rsidR="00E97880" w:rsidRPr="00E97880" w14:paraId="5B6BE744" w14:textId="77777777" w:rsidTr="00E97880">
        <w:tc>
          <w:tcPr>
            <w:tcW w:w="0" w:type="auto"/>
            <w:hideMark/>
          </w:tcPr>
          <w:p w14:paraId="1263B89E" w14:textId="77777777" w:rsidR="00E97880" w:rsidRPr="00E97880" w:rsidRDefault="00E97880" w:rsidP="00E97880">
            <w:pPr>
              <w:spacing w:after="160" w:line="259" w:lineRule="auto"/>
              <w:jc w:val="left"/>
              <w:rPr>
                <w:rFonts w:cs="Arial"/>
              </w:rPr>
            </w:pPr>
            <w:r w:rsidRPr="00E97880">
              <w:rPr>
                <w:rFonts w:cs="Arial"/>
              </w:rPr>
              <w:t>Year</w:t>
            </w:r>
          </w:p>
        </w:tc>
        <w:tc>
          <w:tcPr>
            <w:tcW w:w="0" w:type="auto"/>
            <w:hideMark/>
          </w:tcPr>
          <w:p w14:paraId="16AE4132" w14:textId="77777777" w:rsidR="00E97880" w:rsidRPr="00E97880" w:rsidRDefault="00E97880" w:rsidP="00E97880">
            <w:pPr>
              <w:spacing w:after="160" w:line="259" w:lineRule="auto"/>
              <w:jc w:val="left"/>
              <w:rPr>
                <w:rFonts w:cs="Arial"/>
              </w:rPr>
            </w:pPr>
            <w:r w:rsidRPr="00E97880">
              <w:rPr>
                <w:rFonts w:cs="Arial"/>
              </w:rPr>
              <w:t>ROCE %</w:t>
            </w:r>
          </w:p>
        </w:tc>
        <w:tc>
          <w:tcPr>
            <w:tcW w:w="0" w:type="auto"/>
            <w:hideMark/>
          </w:tcPr>
          <w:p w14:paraId="3607CCB1" w14:textId="77777777" w:rsidR="00E97880" w:rsidRPr="00E97880" w:rsidRDefault="00E97880" w:rsidP="00E97880">
            <w:pPr>
              <w:spacing w:after="160" w:line="259" w:lineRule="auto"/>
              <w:jc w:val="left"/>
              <w:rPr>
                <w:rFonts w:cs="Arial"/>
              </w:rPr>
            </w:pPr>
            <w:r w:rsidRPr="00E97880">
              <w:rPr>
                <w:rFonts w:cs="Arial"/>
              </w:rPr>
              <w:t>Current Ratio</w:t>
            </w:r>
          </w:p>
        </w:tc>
        <w:tc>
          <w:tcPr>
            <w:tcW w:w="0" w:type="auto"/>
            <w:hideMark/>
          </w:tcPr>
          <w:p w14:paraId="64447E9C" w14:textId="77777777" w:rsidR="00E97880" w:rsidRPr="00E97880" w:rsidRDefault="00E97880" w:rsidP="00E97880">
            <w:pPr>
              <w:spacing w:after="160" w:line="259" w:lineRule="auto"/>
              <w:jc w:val="left"/>
              <w:rPr>
                <w:rFonts w:cs="Arial"/>
              </w:rPr>
            </w:pPr>
            <w:r w:rsidRPr="00E97880">
              <w:rPr>
                <w:rFonts w:cs="Arial"/>
              </w:rPr>
              <w:t>Quick Ratio</w:t>
            </w:r>
          </w:p>
        </w:tc>
        <w:tc>
          <w:tcPr>
            <w:tcW w:w="0" w:type="auto"/>
            <w:hideMark/>
          </w:tcPr>
          <w:p w14:paraId="32BA1E7C" w14:textId="77777777" w:rsidR="00E97880" w:rsidRPr="00E97880" w:rsidRDefault="00E97880" w:rsidP="00E97880">
            <w:pPr>
              <w:spacing w:after="160" w:line="259" w:lineRule="auto"/>
              <w:jc w:val="left"/>
              <w:rPr>
                <w:rFonts w:cs="Arial"/>
              </w:rPr>
            </w:pPr>
            <w:r w:rsidRPr="00E97880">
              <w:rPr>
                <w:rFonts w:cs="Arial"/>
              </w:rPr>
              <w:t>Asset Turnover</w:t>
            </w:r>
          </w:p>
        </w:tc>
        <w:tc>
          <w:tcPr>
            <w:tcW w:w="0" w:type="auto"/>
            <w:hideMark/>
          </w:tcPr>
          <w:p w14:paraId="29303F88" w14:textId="77777777" w:rsidR="00E97880" w:rsidRPr="00E97880" w:rsidRDefault="00E97880" w:rsidP="00E97880">
            <w:pPr>
              <w:spacing w:after="160" w:line="259" w:lineRule="auto"/>
              <w:jc w:val="left"/>
              <w:rPr>
                <w:rFonts w:cs="Arial"/>
              </w:rPr>
            </w:pPr>
            <w:r w:rsidRPr="00E97880">
              <w:rPr>
                <w:rFonts w:cs="Arial"/>
              </w:rPr>
              <w:t>Inventory Days</w:t>
            </w:r>
          </w:p>
        </w:tc>
        <w:tc>
          <w:tcPr>
            <w:tcW w:w="0" w:type="auto"/>
            <w:hideMark/>
          </w:tcPr>
          <w:p w14:paraId="3B021EFF" w14:textId="77777777" w:rsidR="00E97880" w:rsidRPr="00E97880" w:rsidRDefault="00E97880" w:rsidP="00E97880">
            <w:pPr>
              <w:spacing w:after="160" w:line="259" w:lineRule="auto"/>
              <w:jc w:val="left"/>
              <w:rPr>
                <w:rFonts w:cs="Arial"/>
              </w:rPr>
            </w:pPr>
            <w:r w:rsidRPr="00E97880">
              <w:rPr>
                <w:rFonts w:cs="Arial"/>
              </w:rPr>
              <w:t>Debt/Equity</w:t>
            </w:r>
          </w:p>
        </w:tc>
      </w:tr>
      <w:tr w:rsidR="00E97880" w:rsidRPr="00E97880" w14:paraId="17EDE83C" w14:textId="77777777" w:rsidTr="00E97880">
        <w:tc>
          <w:tcPr>
            <w:tcW w:w="0" w:type="auto"/>
            <w:hideMark/>
          </w:tcPr>
          <w:p w14:paraId="5593F23F" w14:textId="77777777" w:rsidR="00E97880" w:rsidRPr="00E97880" w:rsidRDefault="00E97880" w:rsidP="00E97880">
            <w:pPr>
              <w:spacing w:after="160" w:line="259" w:lineRule="auto"/>
              <w:rPr>
                <w:rFonts w:cs="Arial"/>
              </w:rPr>
            </w:pPr>
            <w:r w:rsidRPr="00E97880">
              <w:rPr>
                <w:rFonts w:cs="Arial"/>
              </w:rPr>
              <w:t>2020</w:t>
            </w:r>
          </w:p>
        </w:tc>
        <w:tc>
          <w:tcPr>
            <w:tcW w:w="0" w:type="auto"/>
            <w:hideMark/>
          </w:tcPr>
          <w:p w14:paraId="27C12CDC" w14:textId="77777777" w:rsidR="00E97880" w:rsidRPr="00E97880" w:rsidRDefault="00E97880" w:rsidP="00E97880">
            <w:pPr>
              <w:spacing w:after="160" w:line="259" w:lineRule="auto"/>
              <w:rPr>
                <w:rFonts w:cs="Arial"/>
              </w:rPr>
            </w:pPr>
            <w:r w:rsidRPr="00E97880">
              <w:rPr>
                <w:rFonts w:cs="Arial"/>
              </w:rPr>
              <w:t>8.5</w:t>
            </w:r>
          </w:p>
        </w:tc>
        <w:tc>
          <w:tcPr>
            <w:tcW w:w="0" w:type="auto"/>
            <w:hideMark/>
          </w:tcPr>
          <w:p w14:paraId="38E2C2D2" w14:textId="77777777" w:rsidR="00E97880" w:rsidRPr="00E97880" w:rsidRDefault="00E97880" w:rsidP="00E97880">
            <w:pPr>
              <w:spacing w:after="160" w:line="259" w:lineRule="auto"/>
              <w:rPr>
                <w:rFonts w:cs="Arial"/>
              </w:rPr>
            </w:pPr>
            <w:r w:rsidRPr="00E97880">
              <w:rPr>
                <w:rFonts w:cs="Arial"/>
              </w:rPr>
              <w:t>1.10</w:t>
            </w:r>
          </w:p>
        </w:tc>
        <w:tc>
          <w:tcPr>
            <w:tcW w:w="0" w:type="auto"/>
            <w:hideMark/>
          </w:tcPr>
          <w:p w14:paraId="6E58D664" w14:textId="77777777" w:rsidR="00E97880" w:rsidRPr="00E97880" w:rsidRDefault="00E97880" w:rsidP="00E97880">
            <w:pPr>
              <w:spacing w:after="160" w:line="259" w:lineRule="auto"/>
              <w:rPr>
                <w:rFonts w:cs="Arial"/>
              </w:rPr>
            </w:pPr>
            <w:r w:rsidRPr="00E97880">
              <w:rPr>
                <w:rFonts w:cs="Arial"/>
              </w:rPr>
              <w:t>0.90</w:t>
            </w:r>
          </w:p>
        </w:tc>
        <w:tc>
          <w:tcPr>
            <w:tcW w:w="0" w:type="auto"/>
            <w:hideMark/>
          </w:tcPr>
          <w:p w14:paraId="6125ADF1" w14:textId="77777777" w:rsidR="00E97880" w:rsidRPr="00E97880" w:rsidRDefault="00E97880" w:rsidP="00E97880">
            <w:pPr>
              <w:spacing w:after="160" w:line="259" w:lineRule="auto"/>
              <w:rPr>
                <w:rFonts w:cs="Arial"/>
              </w:rPr>
            </w:pPr>
            <w:r w:rsidRPr="00E97880">
              <w:rPr>
                <w:rFonts w:cs="Arial"/>
              </w:rPr>
              <w:t>0.65</w:t>
            </w:r>
          </w:p>
        </w:tc>
        <w:tc>
          <w:tcPr>
            <w:tcW w:w="0" w:type="auto"/>
            <w:hideMark/>
          </w:tcPr>
          <w:p w14:paraId="7D8EDAE0" w14:textId="77777777" w:rsidR="00E97880" w:rsidRPr="00E97880" w:rsidRDefault="00E97880" w:rsidP="00E97880">
            <w:pPr>
              <w:spacing w:after="160" w:line="259" w:lineRule="auto"/>
              <w:rPr>
                <w:rFonts w:cs="Arial"/>
              </w:rPr>
            </w:pPr>
            <w:r w:rsidRPr="00E97880">
              <w:rPr>
                <w:rFonts w:cs="Arial"/>
              </w:rPr>
              <w:t>55</w:t>
            </w:r>
          </w:p>
        </w:tc>
        <w:tc>
          <w:tcPr>
            <w:tcW w:w="0" w:type="auto"/>
            <w:hideMark/>
          </w:tcPr>
          <w:p w14:paraId="6C6FCBE4" w14:textId="77777777" w:rsidR="00E97880" w:rsidRPr="00E97880" w:rsidRDefault="00E97880" w:rsidP="00E97880">
            <w:pPr>
              <w:spacing w:after="160" w:line="259" w:lineRule="auto"/>
              <w:rPr>
                <w:rFonts w:cs="Arial"/>
              </w:rPr>
            </w:pPr>
            <w:r w:rsidRPr="00E97880">
              <w:rPr>
                <w:rFonts w:cs="Arial"/>
              </w:rPr>
              <w:t>1.10</w:t>
            </w:r>
          </w:p>
        </w:tc>
      </w:tr>
      <w:tr w:rsidR="00E97880" w:rsidRPr="00E97880" w14:paraId="0F43D53C" w14:textId="77777777" w:rsidTr="00E97880">
        <w:tc>
          <w:tcPr>
            <w:tcW w:w="0" w:type="auto"/>
            <w:hideMark/>
          </w:tcPr>
          <w:p w14:paraId="1CF309C2" w14:textId="77777777" w:rsidR="00E97880" w:rsidRPr="00E97880" w:rsidRDefault="00E97880" w:rsidP="00E97880">
            <w:pPr>
              <w:spacing w:after="160" w:line="259" w:lineRule="auto"/>
              <w:rPr>
                <w:rFonts w:cs="Arial"/>
              </w:rPr>
            </w:pPr>
            <w:r w:rsidRPr="00E97880">
              <w:rPr>
                <w:rFonts w:cs="Arial"/>
              </w:rPr>
              <w:t>2021</w:t>
            </w:r>
          </w:p>
        </w:tc>
        <w:tc>
          <w:tcPr>
            <w:tcW w:w="0" w:type="auto"/>
            <w:hideMark/>
          </w:tcPr>
          <w:p w14:paraId="32CA27A7" w14:textId="77777777" w:rsidR="00E97880" w:rsidRPr="00E97880" w:rsidRDefault="00E97880" w:rsidP="00E97880">
            <w:pPr>
              <w:spacing w:after="160" w:line="259" w:lineRule="auto"/>
              <w:rPr>
                <w:rFonts w:cs="Arial"/>
              </w:rPr>
            </w:pPr>
            <w:r w:rsidRPr="00E97880">
              <w:rPr>
                <w:rFonts w:cs="Arial"/>
              </w:rPr>
              <w:t>8.0</w:t>
            </w:r>
          </w:p>
        </w:tc>
        <w:tc>
          <w:tcPr>
            <w:tcW w:w="0" w:type="auto"/>
            <w:hideMark/>
          </w:tcPr>
          <w:p w14:paraId="105FF2C9" w14:textId="77777777" w:rsidR="00E97880" w:rsidRPr="00E97880" w:rsidRDefault="00E97880" w:rsidP="00E97880">
            <w:pPr>
              <w:spacing w:after="160" w:line="259" w:lineRule="auto"/>
              <w:rPr>
                <w:rFonts w:cs="Arial"/>
              </w:rPr>
            </w:pPr>
            <w:r w:rsidRPr="00E97880">
              <w:rPr>
                <w:rFonts w:cs="Arial"/>
              </w:rPr>
              <w:t>1.15</w:t>
            </w:r>
          </w:p>
        </w:tc>
        <w:tc>
          <w:tcPr>
            <w:tcW w:w="0" w:type="auto"/>
            <w:hideMark/>
          </w:tcPr>
          <w:p w14:paraId="4BF1B693" w14:textId="77777777" w:rsidR="00E97880" w:rsidRPr="00E97880" w:rsidRDefault="00E97880" w:rsidP="00E97880">
            <w:pPr>
              <w:spacing w:after="160" w:line="259" w:lineRule="auto"/>
              <w:rPr>
                <w:rFonts w:cs="Arial"/>
              </w:rPr>
            </w:pPr>
            <w:r w:rsidRPr="00E97880">
              <w:rPr>
                <w:rFonts w:cs="Arial"/>
              </w:rPr>
              <w:t>0.92</w:t>
            </w:r>
          </w:p>
        </w:tc>
        <w:tc>
          <w:tcPr>
            <w:tcW w:w="0" w:type="auto"/>
            <w:hideMark/>
          </w:tcPr>
          <w:p w14:paraId="12F61007" w14:textId="77777777" w:rsidR="00E97880" w:rsidRPr="00E97880" w:rsidRDefault="00E97880" w:rsidP="00E97880">
            <w:pPr>
              <w:spacing w:after="160" w:line="259" w:lineRule="auto"/>
              <w:rPr>
                <w:rFonts w:cs="Arial"/>
              </w:rPr>
            </w:pPr>
            <w:r w:rsidRPr="00E97880">
              <w:rPr>
                <w:rFonts w:cs="Arial"/>
              </w:rPr>
              <w:t>0.60</w:t>
            </w:r>
          </w:p>
        </w:tc>
        <w:tc>
          <w:tcPr>
            <w:tcW w:w="0" w:type="auto"/>
            <w:hideMark/>
          </w:tcPr>
          <w:p w14:paraId="04D1A23B" w14:textId="77777777" w:rsidR="00E97880" w:rsidRPr="00E97880" w:rsidRDefault="00E97880" w:rsidP="00E97880">
            <w:pPr>
              <w:spacing w:after="160" w:line="259" w:lineRule="auto"/>
              <w:rPr>
                <w:rFonts w:cs="Arial"/>
              </w:rPr>
            </w:pPr>
            <w:r w:rsidRPr="00E97880">
              <w:rPr>
                <w:rFonts w:cs="Arial"/>
              </w:rPr>
              <w:t>58</w:t>
            </w:r>
          </w:p>
        </w:tc>
        <w:tc>
          <w:tcPr>
            <w:tcW w:w="0" w:type="auto"/>
            <w:hideMark/>
          </w:tcPr>
          <w:p w14:paraId="7949620F" w14:textId="77777777" w:rsidR="00E97880" w:rsidRPr="00E97880" w:rsidRDefault="00E97880" w:rsidP="00E97880">
            <w:pPr>
              <w:spacing w:after="160" w:line="259" w:lineRule="auto"/>
              <w:rPr>
                <w:rFonts w:cs="Arial"/>
              </w:rPr>
            </w:pPr>
            <w:r w:rsidRPr="00E97880">
              <w:rPr>
                <w:rFonts w:cs="Arial"/>
              </w:rPr>
              <w:t>1.15</w:t>
            </w:r>
          </w:p>
        </w:tc>
      </w:tr>
      <w:tr w:rsidR="00E97880" w:rsidRPr="00E97880" w14:paraId="0E075820" w14:textId="77777777" w:rsidTr="00E97880">
        <w:tc>
          <w:tcPr>
            <w:tcW w:w="0" w:type="auto"/>
            <w:hideMark/>
          </w:tcPr>
          <w:p w14:paraId="385814F9" w14:textId="77777777" w:rsidR="00E97880" w:rsidRPr="00E97880" w:rsidRDefault="00E97880" w:rsidP="00E97880">
            <w:pPr>
              <w:spacing w:after="160" w:line="259" w:lineRule="auto"/>
              <w:rPr>
                <w:rFonts w:cs="Arial"/>
              </w:rPr>
            </w:pPr>
            <w:r w:rsidRPr="00E97880">
              <w:rPr>
                <w:rFonts w:cs="Arial"/>
              </w:rPr>
              <w:t>2022</w:t>
            </w:r>
          </w:p>
        </w:tc>
        <w:tc>
          <w:tcPr>
            <w:tcW w:w="0" w:type="auto"/>
            <w:hideMark/>
          </w:tcPr>
          <w:p w14:paraId="26295473" w14:textId="77777777" w:rsidR="00E97880" w:rsidRPr="00E97880" w:rsidRDefault="00E97880" w:rsidP="00E97880">
            <w:pPr>
              <w:spacing w:after="160" w:line="259" w:lineRule="auto"/>
              <w:rPr>
                <w:rFonts w:cs="Arial"/>
              </w:rPr>
            </w:pPr>
            <w:r w:rsidRPr="00E97880">
              <w:rPr>
                <w:rFonts w:cs="Arial"/>
              </w:rPr>
              <w:t>9.2</w:t>
            </w:r>
          </w:p>
        </w:tc>
        <w:tc>
          <w:tcPr>
            <w:tcW w:w="0" w:type="auto"/>
            <w:hideMark/>
          </w:tcPr>
          <w:p w14:paraId="1A9977E7" w14:textId="77777777" w:rsidR="00E97880" w:rsidRPr="00E97880" w:rsidRDefault="00E97880" w:rsidP="00E97880">
            <w:pPr>
              <w:spacing w:after="160" w:line="259" w:lineRule="auto"/>
              <w:rPr>
                <w:rFonts w:cs="Arial"/>
              </w:rPr>
            </w:pPr>
            <w:r w:rsidRPr="00E97880">
              <w:rPr>
                <w:rFonts w:cs="Arial"/>
              </w:rPr>
              <w:t>1.20</w:t>
            </w:r>
          </w:p>
        </w:tc>
        <w:tc>
          <w:tcPr>
            <w:tcW w:w="0" w:type="auto"/>
            <w:hideMark/>
          </w:tcPr>
          <w:p w14:paraId="0C998E45" w14:textId="77777777" w:rsidR="00E97880" w:rsidRPr="00E97880" w:rsidRDefault="00E97880" w:rsidP="00E97880">
            <w:pPr>
              <w:spacing w:after="160" w:line="259" w:lineRule="auto"/>
              <w:rPr>
                <w:rFonts w:cs="Arial"/>
              </w:rPr>
            </w:pPr>
            <w:r w:rsidRPr="00E97880">
              <w:rPr>
                <w:rFonts w:cs="Arial"/>
              </w:rPr>
              <w:t>0.95</w:t>
            </w:r>
          </w:p>
        </w:tc>
        <w:tc>
          <w:tcPr>
            <w:tcW w:w="0" w:type="auto"/>
            <w:hideMark/>
          </w:tcPr>
          <w:p w14:paraId="79F3AD20" w14:textId="77777777" w:rsidR="00E97880" w:rsidRPr="00E97880" w:rsidRDefault="00E97880" w:rsidP="00E97880">
            <w:pPr>
              <w:spacing w:after="160" w:line="259" w:lineRule="auto"/>
              <w:rPr>
                <w:rFonts w:cs="Arial"/>
              </w:rPr>
            </w:pPr>
            <w:r w:rsidRPr="00E97880">
              <w:rPr>
                <w:rFonts w:cs="Arial"/>
              </w:rPr>
              <w:t>0.62</w:t>
            </w:r>
          </w:p>
        </w:tc>
        <w:tc>
          <w:tcPr>
            <w:tcW w:w="0" w:type="auto"/>
            <w:hideMark/>
          </w:tcPr>
          <w:p w14:paraId="1445B072" w14:textId="77777777" w:rsidR="00E97880" w:rsidRPr="00E97880" w:rsidRDefault="00E97880" w:rsidP="00E97880">
            <w:pPr>
              <w:spacing w:after="160" w:line="259" w:lineRule="auto"/>
              <w:rPr>
                <w:rFonts w:cs="Arial"/>
              </w:rPr>
            </w:pPr>
            <w:r w:rsidRPr="00E97880">
              <w:rPr>
                <w:rFonts w:cs="Arial"/>
              </w:rPr>
              <w:t>60</w:t>
            </w:r>
          </w:p>
        </w:tc>
        <w:tc>
          <w:tcPr>
            <w:tcW w:w="0" w:type="auto"/>
            <w:hideMark/>
          </w:tcPr>
          <w:p w14:paraId="508EB6CB" w14:textId="77777777" w:rsidR="00E97880" w:rsidRPr="00E97880" w:rsidRDefault="00E97880" w:rsidP="00E97880">
            <w:pPr>
              <w:spacing w:after="160" w:line="259" w:lineRule="auto"/>
              <w:rPr>
                <w:rFonts w:cs="Arial"/>
              </w:rPr>
            </w:pPr>
            <w:r w:rsidRPr="00E97880">
              <w:rPr>
                <w:rFonts w:cs="Arial"/>
              </w:rPr>
              <w:t>1.20</w:t>
            </w:r>
          </w:p>
        </w:tc>
      </w:tr>
      <w:tr w:rsidR="00E97880" w:rsidRPr="00E97880" w14:paraId="36579EB1" w14:textId="77777777" w:rsidTr="00E97880">
        <w:tc>
          <w:tcPr>
            <w:tcW w:w="0" w:type="auto"/>
            <w:hideMark/>
          </w:tcPr>
          <w:p w14:paraId="4ACC76F3" w14:textId="77777777" w:rsidR="00E97880" w:rsidRPr="00E97880" w:rsidRDefault="00E97880" w:rsidP="00E97880">
            <w:pPr>
              <w:spacing w:after="160" w:line="259" w:lineRule="auto"/>
              <w:rPr>
                <w:rFonts w:cs="Arial"/>
              </w:rPr>
            </w:pPr>
            <w:r w:rsidRPr="00E97880">
              <w:rPr>
                <w:rFonts w:cs="Arial"/>
              </w:rPr>
              <w:t>2023</w:t>
            </w:r>
          </w:p>
        </w:tc>
        <w:tc>
          <w:tcPr>
            <w:tcW w:w="0" w:type="auto"/>
            <w:hideMark/>
          </w:tcPr>
          <w:p w14:paraId="20FC3261" w14:textId="77777777" w:rsidR="00E97880" w:rsidRPr="00E97880" w:rsidRDefault="00E97880" w:rsidP="00E97880">
            <w:pPr>
              <w:spacing w:after="160" w:line="259" w:lineRule="auto"/>
              <w:rPr>
                <w:rFonts w:cs="Arial"/>
              </w:rPr>
            </w:pPr>
            <w:r w:rsidRPr="00E97880">
              <w:rPr>
                <w:rFonts w:cs="Arial"/>
              </w:rPr>
              <w:t>8.6</w:t>
            </w:r>
          </w:p>
        </w:tc>
        <w:tc>
          <w:tcPr>
            <w:tcW w:w="0" w:type="auto"/>
            <w:hideMark/>
          </w:tcPr>
          <w:p w14:paraId="06256E83" w14:textId="77777777" w:rsidR="00E97880" w:rsidRPr="00E97880" w:rsidRDefault="00E97880" w:rsidP="00E97880">
            <w:pPr>
              <w:spacing w:after="160" w:line="259" w:lineRule="auto"/>
              <w:rPr>
                <w:rFonts w:cs="Arial"/>
              </w:rPr>
            </w:pPr>
            <w:r w:rsidRPr="00E97880">
              <w:rPr>
                <w:rFonts w:cs="Arial"/>
              </w:rPr>
              <w:t>1.18</w:t>
            </w:r>
          </w:p>
        </w:tc>
        <w:tc>
          <w:tcPr>
            <w:tcW w:w="0" w:type="auto"/>
            <w:hideMark/>
          </w:tcPr>
          <w:p w14:paraId="650D3EB3" w14:textId="77777777" w:rsidR="00E97880" w:rsidRPr="00E97880" w:rsidRDefault="00E97880" w:rsidP="00E97880">
            <w:pPr>
              <w:spacing w:after="160" w:line="259" w:lineRule="auto"/>
              <w:rPr>
                <w:rFonts w:cs="Arial"/>
              </w:rPr>
            </w:pPr>
            <w:r w:rsidRPr="00E97880">
              <w:rPr>
                <w:rFonts w:cs="Arial"/>
              </w:rPr>
              <w:t>0.93</w:t>
            </w:r>
          </w:p>
        </w:tc>
        <w:tc>
          <w:tcPr>
            <w:tcW w:w="0" w:type="auto"/>
            <w:hideMark/>
          </w:tcPr>
          <w:p w14:paraId="482B5230" w14:textId="77777777" w:rsidR="00E97880" w:rsidRPr="00E97880" w:rsidRDefault="00E97880" w:rsidP="00E97880">
            <w:pPr>
              <w:spacing w:after="160" w:line="259" w:lineRule="auto"/>
              <w:rPr>
                <w:rFonts w:cs="Arial"/>
              </w:rPr>
            </w:pPr>
            <w:r w:rsidRPr="00E97880">
              <w:rPr>
                <w:rFonts w:cs="Arial"/>
              </w:rPr>
              <w:t>0.59</w:t>
            </w:r>
          </w:p>
        </w:tc>
        <w:tc>
          <w:tcPr>
            <w:tcW w:w="0" w:type="auto"/>
            <w:hideMark/>
          </w:tcPr>
          <w:p w14:paraId="40FCCA43" w14:textId="77777777" w:rsidR="00E97880" w:rsidRPr="00E97880" w:rsidRDefault="00E97880" w:rsidP="00E97880">
            <w:pPr>
              <w:spacing w:after="160" w:line="259" w:lineRule="auto"/>
              <w:rPr>
                <w:rFonts w:cs="Arial"/>
              </w:rPr>
            </w:pPr>
            <w:r w:rsidRPr="00E97880">
              <w:rPr>
                <w:rFonts w:cs="Arial"/>
              </w:rPr>
              <w:t>63</w:t>
            </w:r>
          </w:p>
        </w:tc>
        <w:tc>
          <w:tcPr>
            <w:tcW w:w="0" w:type="auto"/>
            <w:hideMark/>
          </w:tcPr>
          <w:p w14:paraId="3CE8497A" w14:textId="77777777" w:rsidR="00E97880" w:rsidRPr="00E97880" w:rsidRDefault="00E97880" w:rsidP="00E97880">
            <w:pPr>
              <w:spacing w:after="160" w:line="259" w:lineRule="auto"/>
              <w:rPr>
                <w:rFonts w:cs="Arial"/>
              </w:rPr>
            </w:pPr>
            <w:r w:rsidRPr="00E97880">
              <w:rPr>
                <w:rFonts w:cs="Arial"/>
              </w:rPr>
              <w:t>1.18</w:t>
            </w:r>
          </w:p>
        </w:tc>
      </w:tr>
      <w:tr w:rsidR="00E97880" w:rsidRPr="00E97880" w14:paraId="63750E0E" w14:textId="77777777" w:rsidTr="00E97880">
        <w:tc>
          <w:tcPr>
            <w:tcW w:w="0" w:type="auto"/>
            <w:hideMark/>
          </w:tcPr>
          <w:p w14:paraId="5A6FD02E" w14:textId="77777777" w:rsidR="00E97880" w:rsidRPr="00E97880" w:rsidRDefault="00E97880" w:rsidP="00E97880">
            <w:pPr>
              <w:spacing w:after="160" w:line="259" w:lineRule="auto"/>
              <w:rPr>
                <w:rFonts w:cs="Arial"/>
              </w:rPr>
            </w:pPr>
            <w:r w:rsidRPr="00E97880">
              <w:rPr>
                <w:rFonts w:cs="Arial"/>
              </w:rPr>
              <w:t>2024</w:t>
            </w:r>
          </w:p>
        </w:tc>
        <w:tc>
          <w:tcPr>
            <w:tcW w:w="0" w:type="auto"/>
            <w:hideMark/>
          </w:tcPr>
          <w:p w14:paraId="0E92536C" w14:textId="77777777" w:rsidR="00E97880" w:rsidRPr="00E97880" w:rsidRDefault="00E97880" w:rsidP="00E97880">
            <w:pPr>
              <w:spacing w:after="160" w:line="259" w:lineRule="auto"/>
              <w:rPr>
                <w:rFonts w:cs="Arial"/>
              </w:rPr>
            </w:pPr>
            <w:r w:rsidRPr="00E97880">
              <w:rPr>
                <w:rFonts w:cs="Arial"/>
              </w:rPr>
              <w:t>10.2</w:t>
            </w:r>
          </w:p>
        </w:tc>
        <w:tc>
          <w:tcPr>
            <w:tcW w:w="0" w:type="auto"/>
            <w:hideMark/>
          </w:tcPr>
          <w:p w14:paraId="1E97207E" w14:textId="77777777" w:rsidR="00E97880" w:rsidRPr="00E97880" w:rsidRDefault="00E97880" w:rsidP="00E97880">
            <w:pPr>
              <w:spacing w:after="160" w:line="259" w:lineRule="auto"/>
              <w:rPr>
                <w:rFonts w:cs="Arial"/>
              </w:rPr>
            </w:pPr>
            <w:r w:rsidRPr="00E97880">
              <w:rPr>
                <w:rFonts w:cs="Arial"/>
              </w:rPr>
              <w:t>1.25</w:t>
            </w:r>
          </w:p>
        </w:tc>
        <w:tc>
          <w:tcPr>
            <w:tcW w:w="0" w:type="auto"/>
            <w:hideMark/>
          </w:tcPr>
          <w:p w14:paraId="26C6357A" w14:textId="77777777" w:rsidR="00E97880" w:rsidRPr="00E97880" w:rsidRDefault="00E97880" w:rsidP="00E97880">
            <w:pPr>
              <w:spacing w:after="160" w:line="259" w:lineRule="auto"/>
              <w:rPr>
                <w:rFonts w:cs="Arial"/>
              </w:rPr>
            </w:pPr>
            <w:r w:rsidRPr="00E97880">
              <w:rPr>
                <w:rFonts w:cs="Arial"/>
              </w:rPr>
              <w:t>1.00</w:t>
            </w:r>
          </w:p>
        </w:tc>
        <w:tc>
          <w:tcPr>
            <w:tcW w:w="0" w:type="auto"/>
            <w:hideMark/>
          </w:tcPr>
          <w:p w14:paraId="1CFE4989" w14:textId="77777777" w:rsidR="00E97880" w:rsidRPr="00E97880" w:rsidRDefault="00E97880" w:rsidP="00E97880">
            <w:pPr>
              <w:spacing w:after="160" w:line="259" w:lineRule="auto"/>
              <w:rPr>
                <w:rFonts w:cs="Arial"/>
              </w:rPr>
            </w:pPr>
            <w:r w:rsidRPr="00E97880">
              <w:rPr>
                <w:rFonts w:cs="Arial"/>
              </w:rPr>
              <w:t>0.61</w:t>
            </w:r>
          </w:p>
        </w:tc>
        <w:tc>
          <w:tcPr>
            <w:tcW w:w="0" w:type="auto"/>
            <w:hideMark/>
          </w:tcPr>
          <w:p w14:paraId="6257D9CB" w14:textId="77777777" w:rsidR="00E97880" w:rsidRPr="00E97880" w:rsidRDefault="00E97880" w:rsidP="00E97880">
            <w:pPr>
              <w:spacing w:after="160" w:line="259" w:lineRule="auto"/>
              <w:rPr>
                <w:rFonts w:cs="Arial"/>
              </w:rPr>
            </w:pPr>
            <w:r w:rsidRPr="00E97880">
              <w:rPr>
                <w:rFonts w:cs="Arial"/>
              </w:rPr>
              <w:t>65</w:t>
            </w:r>
          </w:p>
        </w:tc>
        <w:tc>
          <w:tcPr>
            <w:tcW w:w="0" w:type="auto"/>
            <w:hideMark/>
          </w:tcPr>
          <w:p w14:paraId="5F4B3675" w14:textId="77777777" w:rsidR="00E97880" w:rsidRPr="00E97880" w:rsidRDefault="00E97880" w:rsidP="00E97880">
            <w:pPr>
              <w:spacing w:after="160" w:line="259" w:lineRule="auto"/>
              <w:rPr>
                <w:rFonts w:cs="Arial"/>
              </w:rPr>
            </w:pPr>
            <w:r w:rsidRPr="00E97880">
              <w:rPr>
                <w:rFonts w:cs="Arial"/>
              </w:rPr>
              <w:t>1.12</w:t>
            </w:r>
          </w:p>
        </w:tc>
      </w:tr>
    </w:tbl>
    <w:p w14:paraId="1CA909FA" w14:textId="62817E3D" w:rsidR="00E97880" w:rsidRPr="00E97880" w:rsidRDefault="00E97880" w:rsidP="00E97880">
      <w:pPr>
        <w:rPr>
          <w:rFonts w:cs="Arial"/>
        </w:rPr>
      </w:pPr>
    </w:p>
    <w:p w14:paraId="2DB45488" w14:textId="77777777" w:rsidR="00E97880" w:rsidRDefault="00E97880" w:rsidP="00E97880">
      <w:pPr>
        <w:rPr>
          <w:rFonts w:cs="Arial"/>
        </w:rPr>
      </w:pPr>
    </w:p>
    <w:p w14:paraId="1BF07BF6" w14:textId="1CD4E079" w:rsidR="00E97880" w:rsidRPr="00E97880" w:rsidRDefault="00E97880" w:rsidP="00E97880">
      <w:pPr>
        <w:rPr>
          <w:rFonts w:cs="Arial"/>
        </w:rPr>
      </w:pPr>
      <w:r w:rsidRPr="00E97880">
        <w:rPr>
          <w:rFonts w:cs="Arial"/>
        </w:rPr>
        <w:t>Appendix C – Investment Appraisal</w:t>
      </w:r>
    </w:p>
    <w:p w14:paraId="73D0526C" w14:textId="77777777" w:rsidR="00E97880" w:rsidRPr="00E97880" w:rsidRDefault="00E97880" w:rsidP="00E97880">
      <w:pPr>
        <w:rPr>
          <w:rFonts w:cs="Arial"/>
        </w:rPr>
      </w:pPr>
      <w:r w:rsidRPr="00E97880">
        <w:rPr>
          <w:rFonts w:cs="Arial"/>
        </w:rPr>
        <w:t>Table C1: Discount Factors at 10%</w:t>
      </w:r>
    </w:p>
    <w:tbl>
      <w:tblPr>
        <w:tblStyle w:val="TableGrid"/>
        <w:tblW w:w="0" w:type="auto"/>
        <w:tblLook w:val="04A0" w:firstRow="1" w:lastRow="0" w:firstColumn="1" w:lastColumn="0" w:noHBand="0" w:noVBand="1"/>
      </w:tblPr>
      <w:tblGrid>
        <w:gridCol w:w="661"/>
        <w:gridCol w:w="1757"/>
      </w:tblGrid>
      <w:tr w:rsidR="00E97880" w:rsidRPr="00E97880" w14:paraId="3C1AACD9" w14:textId="77777777" w:rsidTr="00E97880">
        <w:tc>
          <w:tcPr>
            <w:tcW w:w="0" w:type="auto"/>
            <w:hideMark/>
          </w:tcPr>
          <w:p w14:paraId="19F6F312" w14:textId="77777777" w:rsidR="00E97880" w:rsidRPr="00E97880" w:rsidRDefault="00E97880" w:rsidP="00E97880">
            <w:pPr>
              <w:spacing w:after="160" w:line="259" w:lineRule="auto"/>
              <w:jc w:val="left"/>
              <w:rPr>
                <w:rFonts w:cs="Arial"/>
              </w:rPr>
            </w:pPr>
            <w:r w:rsidRPr="00E97880">
              <w:rPr>
                <w:rFonts w:cs="Arial"/>
              </w:rPr>
              <w:t>Year</w:t>
            </w:r>
          </w:p>
        </w:tc>
        <w:tc>
          <w:tcPr>
            <w:tcW w:w="0" w:type="auto"/>
            <w:hideMark/>
          </w:tcPr>
          <w:p w14:paraId="31D7BA81" w14:textId="77777777" w:rsidR="00E97880" w:rsidRPr="00E97880" w:rsidRDefault="00E97880" w:rsidP="00E97880">
            <w:pPr>
              <w:spacing w:after="160" w:line="259" w:lineRule="auto"/>
              <w:jc w:val="left"/>
              <w:rPr>
                <w:rFonts w:cs="Arial"/>
              </w:rPr>
            </w:pPr>
            <w:r w:rsidRPr="00E97880">
              <w:rPr>
                <w:rFonts w:cs="Arial"/>
              </w:rPr>
              <w:t>Discount Factor</w:t>
            </w:r>
          </w:p>
        </w:tc>
      </w:tr>
      <w:tr w:rsidR="00E97880" w:rsidRPr="00E97880" w14:paraId="439C9962" w14:textId="77777777" w:rsidTr="00E97880">
        <w:tc>
          <w:tcPr>
            <w:tcW w:w="0" w:type="auto"/>
            <w:hideMark/>
          </w:tcPr>
          <w:p w14:paraId="6665CD55" w14:textId="77777777" w:rsidR="00E97880" w:rsidRPr="00E97880" w:rsidRDefault="00E97880" w:rsidP="00E97880">
            <w:pPr>
              <w:spacing w:after="160" w:line="259" w:lineRule="auto"/>
              <w:rPr>
                <w:rFonts w:cs="Arial"/>
              </w:rPr>
            </w:pPr>
            <w:r w:rsidRPr="00E97880">
              <w:rPr>
                <w:rFonts w:cs="Arial"/>
              </w:rPr>
              <w:t>1</w:t>
            </w:r>
          </w:p>
        </w:tc>
        <w:tc>
          <w:tcPr>
            <w:tcW w:w="0" w:type="auto"/>
            <w:hideMark/>
          </w:tcPr>
          <w:p w14:paraId="6A83212D" w14:textId="77777777" w:rsidR="00E97880" w:rsidRPr="00E97880" w:rsidRDefault="00E97880" w:rsidP="00E97880">
            <w:pPr>
              <w:spacing w:after="160" w:line="259" w:lineRule="auto"/>
              <w:rPr>
                <w:rFonts w:cs="Arial"/>
              </w:rPr>
            </w:pPr>
            <w:r w:rsidRPr="00E97880">
              <w:rPr>
                <w:rFonts w:cs="Arial"/>
              </w:rPr>
              <w:t>0.909</w:t>
            </w:r>
          </w:p>
        </w:tc>
      </w:tr>
      <w:tr w:rsidR="00E97880" w:rsidRPr="00E97880" w14:paraId="6C0B30E4" w14:textId="77777777" w:rsidTr="00E97880">
        <w:tc>
          <w:tcPr>
            <w:tcW w:w="0" w:type="auto"/>
            <w:hideMark/>
          </w:tcPr>
          <w:p w14:paraId="69B51CDD" w14:textId="77777777" w:rsidR="00E97880" w:rsidRPr="00E97880" w:rsidRDefault="00E97880" w:rsidP="00E97880">
            <w:pPr>
              <w:spacing w:after="160" w:line="259" w:lineRule="auto"/>
              <w:rPr>
                <w:rFonts w:cs="Arial"/>
              </w:rPr>
            </w:pPr>
            <w:r w:rsidRPr="00E97880">
              <w:rPr>
                <w:rFonts w:cs="Arial"/>
              </w:rPr>
              <w:t>2</w:t>
            </w:r>
          </w:p>
        </w:tc>
        <w:tc>
          <w:tcPr>
            <w:tcW w:w="0" w:type="auto"/>
            <w:hideMark/>
          </w:tcPr>
          <w:p w14:paraId="64214970" w14:textId="77777777" w:rsidR="00E97880" w:rsidRPr="00E97880" w:rsidRDefault="00E97880" w:rsidP="00E97880">
            <w:pPr>
              <w:spacing w:after="160" w:line="259" w:lineRule="auto"/>
              <w:rPr>
                <w:rFonts w:cs="Arial"/>
              </w:rPr>
            </w:pPr>
            <w:r w:rsidRPr="00E97880">
              <w:rPr>
                <w:rFonts w:cs="Arial"/>
              </w:rPr>
              <w:t>0.826</w:t>
            </w:r>
          </w:p>
        </w:tc>
      </w:tr>
      <w:tr w:rsidR="00E97880" w:rsidRPr="00E97880" w14:paraId="2DD18274" w14:textId="77777777" w:rsidTr="00E97880">
        <w:tc>
          <w:tcPr>
            <w:tcW w:w="0" w:type="auto"/>
            <w:hideMark/>
          </w:tcPr>
          <w:p w14:paraId="045F878E" w14:textId="77777777" w:rsidR="00E97880" w:rsidRPr="00E97880" w:rsidRDefault="00E97880" w:rsidP="00E97880">
            <w:pPr>
              <w:spacing w:after="160" w:line="259" w:lineRule="auto"/>
              <w:rPr>
                <w:rFonts w:cs="Arial"/>
              </w:rPr>
            </w:pPr>
            <w:r w:rsidRPr="00E97880">
              <w:rPr>
                <w:rFonts w:cs="Arial"/>
              </w:rPr>
              <w:t>3</w:t>
            </w:r>
          </w:p>
        </w:tc>
        <w:tc>
          <w:tcPr>
            <w:tcW w:w="0" w:type="auto"/>
            <w:hideMark/>
          </w:tcPr>
          <w:p w14:paraId="5FDFF547" w14:textId="77777777" w:rsidR="00E97880" w:rsidRPr="00E97880" w:rsidRDefault="00E97880" w:rsidP="00E97880">
            <w:pPr>
              <w:spacing w:after="160" w:line="259" w:lineRule="auto"/>
              <w:rPr>
                <w:rFonts w:cs="Arial"/>
              </w:rPr>
            </w:pPr>
            <w:r w:rsidRPr="00E97880">
              <w:rPr>
                <w:rFonts w:cs="Arial"/>
              </w:rPr>
              <w:t>0.751</w:t>
            </w:r>
          </w:p>
        </w:tc>
      </w:tr>
      <w:tr w:rsidR="00E97880" w:rsidRPr="00E97880" w14:paraId="05ED3F1C" w14:textId="77777777" w:rsidTr="00E97880">
        <w:tc>
          <w:tcPr>
            <w:tcW w:w="0" w:type="auto"/>
            <w:hideMark/>
          </w:tcPr>
          <w:p w14:paraId="598677ED" w14:textId="77777777" w:rsidR="00E97880" w:rsidRPr="00E97880" w:rsidRDefault="00E97880" w:rsidP="00E97880">
            <w:pPr>
              <w:spacing w:after="160" w:line="259" w:lineRule="auto"/>
              <w:rPr>
                <w:rFonts w:cs="Arial"/>
              </w:rPr>
            </w:pPr>
            <w:r w:rsidRPr="00E97880">
              <w:rPr>
                <w:rFonts w:cs="Arial"/>
              </w:rPr>
              <w:t>4</w:t>
            </w:r>
          </w:p>
        </w:tc>
        <w:tc>
          <w:tcPr>
            <w:tcW w:w="0" w:type="auto"/>
            <w:hideMark/>
          </w:tcPr>
          <w:p w14:paraId="16B3AC7F" w14:textId="77777777" w:rsidR="00E97880" w:rsidRPr="00E97880" w:rsidRDefault="00E97880" w:rsidP="00E97880">
            <w:pPr>
              <w:spacing w:after="160" w:line="259" w:lineRule="auto"/>
              <w:rPr>
                <w:rFonts w:cs="Arial"/>
              </w:rPr>
            </w:pPr>
            <w:r w:rsidRPr="00E97880">
              <w:rPr>
                <w:rFonts w:cs="Arial"/>
              </w:rPr>
              <w:t>0.683</w:t>
            </w:r>
          </w:p>
        </w:tc>
      </w:tr>
      <w:tr w:rsidR="00E97880" w:rsidRPr="00E97880" w14:paraId="43784E05" w14:textId="77777777" w:rsidTr="00E97880">
        <w:tc>
          <w:tcPr>
            <w:tcW w:w="0" w:type="auto"/>
            <w:hideMark/>
          </w:tcPr>
          <w:p w14:paraId="799AC6C5" w14:textId="77777777" w:rsidR="00E97880" w:rsidRPr="00E97880" w:rsidRDefault="00E97880" w:rsidP="00E97880">
            <w:pPr>
              <w:spacing w:after="160" w:line="259" w:lineRule="auto"/>
              <w:rPr>
                <w:rFonts w:cs="Arial"/>
              </w:rPr>
            </w:pPr>
            <w:r w:rsidRPr="00E97880">
              <w:rPr>
                <w:rFonts w:cs="Arial"/>
              </w:rPr>
              <w:t>5</w:t>
            </w:r>
          </w:p>
        </w:tc>
        <w:tc>
          <w:tcPr>
            <w:tcW w:w="0" w:type="auto"/>
            <w:hideMark/>
          </w:tcPr>
          <w:p w14:paraId="41C87D36" w14:textId="77777777" w:rsidR="00E97880" w:rsidRPr="00E97880" w:rsidRDefault="00E97880" w:rsidP="00E97880">
            <w:pPr>
              <w:spacing w:after="160" w:line="259" w:lineRule="auto"/>
              <w:rPr>
                <w:rFonts w:cs="Arial"/>
              </w:rPr>
            </w:pPr>
            <w:r w:rsidRPr="00E97880">
              <w:rPr>
                <w:rFonts w:cs="Arial"/>
              </w:rPr>
              <w:t>0.621</w:t>
            </w:r>
          </w:p>
        </w:tc>
      </w:tr>
    </w:tbl>
    <w:p w14:paraId="7955E1A4" w14:textId="77777777" w:rsidR="00E97880" w:rsidRPr="00E97880" w:rsidRDefault="00E97880" w:rsidP="00E97880">
      <w:pPr>
        <w:rPr>
          <w:rFonts w:cs="Arial"/>
        </w:rPr>
      </w:pPr>
      <w:r w:rsidRPr="00E97880">
        <w:rPr>
          <w:rFonts w:cs="Arial"/>
        </w:rPr>
        <w:t>Table C2: Project Results Summary</w:t>
      </w:r>
    </w:p>
    <w:tbl>
      <w:tblPr>
        <w:tblStyle w:val="TableGrid"/>
        <w:tblW w:w="0" w:type="auto"/>
        <w:tblLook w:val="04A0" w:firstRow="1" w:lastRow="0" w:firstColumn="1" w:lastColumn="0" w:noHBand="0" w:noVBand="1"/>
      </w:tblPr>
      <w:tblGrid>
        <w:gridCol w:w="901"/>
        <w:gridCol w:w="1182"/>
        <w:gridCol w:w="852"/>
        <w:gridCol w:w="1822"/>
        <w:gridCol w:w="938"/>
        <w:gridCol w:w="645"/>
      </w:tblGrid>
      <w:tr w:rsidR="00E97880" w:rsidRPr="00E97880" w14:paraId="098577D9" w14:textId="77777777" w:rsidTr="00E97880">
        <w:tc>
          <w:tcPr>
            <w:tcW w:w="0" w:type="auto"/>
            <w:hideMark/>
          </w:tcPr>
          <w:p w14:paraId="6EBE49E2" w14:textId="77777777" w:rsidR="00E97880" w:rsidRPr="00E97880" w:rsidRDefault="00E97880" w:rsidP="00E97880">
            <w:pPr>
              <w:spacing w:after="160" w:line="259" w:lineRule="auto"/>
              <w:jc w:val="left"/>
              <w:rPr>
                <w:rFonts w:cs="Arial"/>
              </w:rPr>
            </w:pPr>
            <w:r w:rsidRPr="00E97880">
              <w:rPr>
                <w:rFonts w:cs="Arial"/>
              </w:rPr>
              <w:t>Project</w:t>
            </w:r>
          </w:p>
        </w:tc>
        <w:tc>
          <w:tcPr>
            <w:tcW w:w="0" w:type="auto"/>
            <w:hideMark/>
          </w:tcPr>
          <w:p w14:paraId="1525664E" w14:textId="77777777" w:rsidR="00E97880" w:rsidRPr="00E97880" w:rsidRDefault="00E97880" w:rsidP="00E97880">
            <w:pPr>
              <w:spacing w:after="160" w:line="259" w:lineRule="auto"/>
              <w:jc w:val="left"/>
              <w:rPr>
                <w:rFonts w:cs="Arial"/>
              </w:rPr>
            </w:pPr>
            <w:r w:rsidRPr="00E97880">
              <w:rPr>
                <w:rFonts w:cs="Arial"/>
              </w:rPr>
              <w:t>NPV (£m)</w:t>
            </w:r>
          </w:p>
        </w:tc>
        <w:tc>
          <w:tcPr>
            <w:tcW w:w="0" w:type="auto"/>
            <w:hideMark/>
          </w:tcPr>
          <w:p w14:paraId="56D273E9" w14:textId="77777777" w:rsidR="00E97880" w:rsidRPr="00E97880" w:rsidRDefault="00E97880" w:rsidP="00E97880">
            <w:pPr>
              <w:spacing w:after="160" w:line="259" w:lineRule="auto"/>
              <w:jc w:val="left"/>
              <w:rPr>
                <w:rFonts w:cs="Arial"/>
              </w:rPr>
            </w:pPr>
            <w:r w:rsidRPr="00E97880">
              <w:rPr>
                <w:rFonts w:cs="Arial"/>
              </w:rPr>
              <w:t>IRR %</w:t>
            </w:r>
          </w:p>
        </w:tc>
        <w:tc>
          <w:tcPr>
            <w:tcW w:w="0" w:type="auto"/>
            <w:hideMark/>
          </w:tcPr>
          <w:p w14:paraId="62B5869D" w14:textId="77777777" w:rsidR="00E97880" w:rsidRPr="00E97880" w:rsidRDefault="00E97880" w:rsidP="00E97880">
            <w:pPr>
              <w:spacing w:after="160" w:line="259" w:lineRule="auto"/>
              <w:jc w:val="left"/>
              <w:rPr>
                <w:rFonts w:cs="Arial"/>
              </w:rPr>
            </w:pPr>
            <w:r w:rsidRPr="00E97880">
              <w:rPr>
                <w:rFonts w:cs="Arial"/>
              </w:rPr>
              <w:t>Payback (Years)</w:t>
            </w:r>
          </w:p>
        </w:tc>
        <w:tc>
          <w:tcPr>
            <w:tcW w:w="0" w:type="auto"/>
            <w:hideMark/>
          </w:tcPr>
          <w:p w14:paraId="68FA0E1F" w14:textId="77777777" w:rsidR="00E97880" w:rsidRPr="00E97880" w:rsidRDefault="00E97880" w:rsidP="00E97880">
            <w:pPr>
              <w:spacing w:after="160" w:line="259" w:lineRule="auto"/>
              <w:jc w:val="left"/>
              <w:rPr>
                <w:rFonts w:cs="Arial"/>
              </w:rPr>
            </w:pPr>
            <w:r w:rsidRPr="00E97880">
              <w:rPr>
                <w:rFonts w:cs="Arial"/>
              </w:rPr>
              <w:t>ARR %</w:t>
            </w:r>
          </w:p>
        </w:tc>
        <w:tc>
          <w:tcPr>
            <w:tcW w:w="0" w:type="auto"/>
            <w:hideMark/>
          </w:tcPr>
          <w:p w14:paraId="5BFCBA57" w14:textId="77777777" w:rsidR="00E97880" w:rsidRPr="00E97880" w:rsidRDefault="00E97880" w:rsidP="00E97880">
            <w:pPr>
              <w:spacing w:after="160" w:line="259" w:lineRule="auto"/>
              <w:jc w:val="left"/>
              <w:rPr>
                <w:rFonts w:cs="Arial"/>
              </w:rPr>
            </w:pPr>
            <w:r w:rsidRPr="00E97880">
              <w:rPr>
                <w:rFonts w:cs="Arial"/>
              </w:rPr>
              <w:t>PI</w:t>
            </w:r>
          </w:p>
        </w:tc>
      </w:tr>
      <w:tr w:rsidR="00E97880" w:rsidRPr="00E97880" w14:paraId="2E169B4D" w14:textId="77777777" w:rsidTr="00E97880">
        <w:tc>
          <w:tcPr>
            <w:tcW w:w="0" w:type="auto"/>
            <w:hideMark/>
          </w:tcPr>
          <w:p w14:paraId="605363F2" w14:textId="77777777" w:rsidR="00E97880" w:rsidRPr="00E97880" w:rsidRDefault="00E97880" w:rsidP="00E97880">
            <w:pPr>
              <w:spacing w:after="160" w:line="259" w:lineRule="auto"/>
              <w:rPr>
                <w:rFonts w:cs="Arial"/>
              </w:rPr>
            </w:pPr>
            <w:r w:rsidRPr="00E97880">
              <w:rPr>
                <w:rFonts w:cs="Arial"/>
              </w:rPr>
              <w:t>A</w:t>
            </w:r>
          </w:p>
        </w:tc>
        <w:tc>
          <w:tcPr>
            <w:tcW w:w="0" w:type="auto"/>
            <w:hideMark/>
          </w:tcPr>
          <w:p w14:paraId="7A2E29E1" w14:textId="77777777" w:rsidR="00E97880" w:rsidRPr="00E97880" w:rsidRDefault="00E97880" w:rsidP="00E97880">
            <w:pPr>
              <w:spacing w:after="160" w:line="259" w:lineRule="auto"/>
              <w:rPr>
                <w:rFonts w:cs="Arial"/>
              </w:rPr>
            </w:pPr>
            <w:r w:rsidRPr="00E97880">
              <w:rPr>
                <w:rFonts w:cs="Arial"/>
              </w:rPr>
              <w:t>-8.68</w:t>
            </w:r>
          </w:p>
        </w:tc>
        <w:tc>
          <w:tcPr>
            <w:tcW w:w="0" w:type="auto"/>
            <w:hideMark/>
          </w:tcPr>
          <w:p w14:paraId="58099D50" w14:textId="77777777" w:rsidR="00E97880" w:rsidRPr="00E97880" w:rsidRDefault="00E97880" w:rsidP="00E97880">
            <w:pPr>
              <w:spacing w:after="160" w:line="259" w:lineRule="auto"/>
              <w:rPr>
                <w:rFonts w:cs="Arial"/>
              </w:rPr>
            </w:pPr>
            <w:r w:rsidRPr="00E97880">
              <w:rPr>
                <w:rFonts w:cs="Arial"/>
              </w:rPr>
              <w:t>5.63</w:t>
            </w:r>
          </w:p>
        </w:tc>
        <w:tc>
          <w:tcPr>
            <w:tcW w:w="0" w:type="auto"/>
            <w:hideMark/>
          </w:tcPr>
          <w:p w14:paraId="03E4FA94" w14:textId="77777777" w:rsidR="00E97880" w:rsidRPr="00E97880" w:rsidRDefault="00E97880" w:rsidP="00E97880">
            <w:pPr>
              <w:spacing w:after="160" w:line="259" w:lineRule="auto"/>
              <w:rPr>
                <w:rFonts w:cs="Arial"/>
              </w:rPr>
            </w:pPr>
            <w:r w:rsidRPr="00E97880">
              <w:rPr>
                <w:rFonts w:cs="Arial"/>
              </w:rPr>
              <w:t>4.50</w:t>
            </w:r>
          </w:p>
        </w:tc>
        <w:tc>
          <w:tcPr>
            <w:tcW w:w="0" w:type="auto"/>
            <w:hideMark/>
          </w:tcPr>
          <w:p w14:paraId="026DC48E" w14:textId="77777777" w:rsidR="00E97880" w:rsidRPr="00E97880" w:rsidRDefault="00E97880" w:rsidP="00E97880">
            <w:pPr>
              <w:spacing w:after="160" w:line="259" w:lineRule="auto"/>
              <w:rPr>
                <w:rFonts w:cs="Arial"/>
              </w:rPr>
            </w:pPr>
            <w:r w:rsidRPr="00E97880">
              <w:rPr>
                <w:rFonts w:cs="Arial"/>
              </w:rPr>
              <w:t>1.60</w:t>
            </w:r>
          </w:p>
        </w:tc>
        <w:tc>
          <w:tcPr>
            <w:tcW w:w="0" w:type="auto"/>
            <w:hideMark/>
          </w:tcPr>
          <w:p w14:paraId="481A2552" w14:textId="77777777" w:rsidR="00E97880" w:rsidRPr="00E97880" w:rsidRDefault="00E97880" w:rsidP="00E97880">
            <w:pPr>
              <w:spacing w:after="160" w:line="259" w:lineRule="auto"/>
              <w:rPr>
                <w:rFonts w:cs="Arial"/>
              </w:rPr>
            </w:pPr>
            <w:r w:rsidRPr="00E97880">
              <w:rPr>
                <w:rFonts w:cs="Arial"/>
              </w:rPr>
              <w:t>0.83</w:t>
            </w:r>
          </w:p>
        </w:tc>
      </w:tr>
      <w:tr w:rsidR="00E97880" w:rsidRPr="00E97880" w14:paraId="657D9B2F" w14:textId="77777777" w:rsidTr="00E97880">
        <w:tc>
          <w:tcPr>
            <w:tcW w:w="0" w:type="auto"/>
            <w:hideMark/>
          </w:tcPr>
          <w:p w14:paraId="3450A1A7" w14:textId="77777777" w:rsidR="00E97880" w:rsidRPr="00E97880" w:rsidRDefault="00E97880" w:rsidP="00E97880">
            <w:pPr>
              <w:spacing w:after="160" w:line="259" w:lineRule="auto"/>
              <w:rPr>
                <w:rFonts w:cs="Arial"/>
              </w:rPr>
            </w:pPr>
            <w:r w:rsidRPr="00E97880">
              <w:rPr>
                <w:rFonts w:cs="Arial"/>
              </w:rPr>
              <w:t>B</w:t>
            </w:r>
          </w:p>
        </w:tc>
        <w:tc>
          <w:tcPr>
            <w:tcW w:w="0" w:type="auto"/>
            <w:hideMark/>
          </w:tcPr>
          <w:p w14:paraId="145664DA" w14:textId="77777777" w:rsidR="00E97880" w:rsidRPr="00E97880" w:rsidRDefault="00E97880" w:rsidP="00E97880">
            <w:pPr>
              <w:spacing w:after="160" w:line="259" w:lineRule="auto"/>
              <w:rPr>
                <w:rFonts w:cs="Arial"/>
              </w:rPr>
            </w:pPr>
            <w:r w:rsidRPr="00E97880">
              <w:rPr>
                <w:rFonts w:cs="Arial"/>
              </w:rPr>
              <w:t>-8.31</w:t>
            </w:r>
          </w:p>
        </w:tc>
        <w:tc>
          <w:tcPr>
            <w:tcW w:w="0" w:type="auto"/>
            <w:hideMark/>
          </w:tcPr>
          <w:p w14:paraId="5167C939" w14:textId="77777777" w:rsidR="00E97880" w:rsidRPr="00E97880" w:rsidRDefault="00E97880" w:rsidP="00E97880">
            <w:pPr>
              <w:spacing w:after="160" w:line="259" w:lineRule="auto"/>
              <w:rPr>
                <w:rFonts w:cs="Arial"/>
              </w:rPr>
            </w:pPr>
            <w:r w:rsidRPr="00E97880">
              <w:rPr>
                <w:rFonts w:cs="Arial"/>
              </w:rPr>
              <w:t>6.07</w:t>
            </w:r>
          </w:p>
        </w:tc>
        <w:tc>
          <w:tcPr>
            <w:tcW w:w="0" w:type="auto"/>
            <w:hideMark/>
          </w:tcPr>
          <w:p w14:paraId="159F7B3B" w14:textId="77777777" w:rsidR="00E97880" w:rsidRPr="00E97880" w:rsidRDefault="00E97880" w:rsidP="00E97880">
            <w:pPr>
              <w:spacing w:after="160" w:line="259" w:lineRule="auto"/>
              <w:rPr>
                <w:rFonts w:cs="Arial"/>
              </w:rPr>
            </w:pPr>
            <w:r w:rsidRPr="00E97880">
              <w:rPr>
                <w:rFonts w:cs="Arial"/>
              </w:rPr>
              <w:t>4.55</w:t>
            </w:r>
          </w:p>
        </w:tc>
        <w:tc>
          <w:tcPr>
            <w:tcW w:w="0" w:type="auto"/>
            <w:hideMark/>
          </w:tcPr>
          <w:p w14:paraId="22475303" w14:textId="77777777" w:rsidR="00E97880" w:rsidRPr="00E97880" w:rsidRDefault="00E97880" w:rsidP="00E97880">
            <w:pPr>
              <w:spacing w:after="160" w:line="259" w:lineRule="auto"/>
              <w:rPr>
                <w:rFonts w:cs="Arial"/>
              </w:rPr>
            </w:pPr>
            <w:r w:rsidRPr="00E97880">
              <w:rPr>
                <w:rFonts w:cs="Arial"/>
              </w:rPr>
              <w:t>2.00</w:t>
            </w:r>
          </w:p>
        </w:tc>
        <w:tc>
          <w:tcPr>
            <w:tcW w:w="0" w:type="auto"/>
            <w:hideMark/>
          </w:tcPr>
          <w:p w14:paraId="254865FF" w14:textId="77777777" w:rsidR="00E97880" w:rsidRPr="00E97880" w:rsidRDefault="00E97880" w:rsidP="00E97880">
            <w:pPr>
              <w:spacing w:after="160" w:line="259" w:lineRule="auto"/>
              <w:rPr>
                <w:rFonts w:cs="Arial"/>
              </w:rPr>
            </w:pPr>
            <w:r w:rsidRPr="00E97880">
              <w:rPr>
                <w:rFonts w:cs="Arial"/>
              </w:rPr>
              <w:t>0.83</w:t>
            </w:r>
          </w:p>
        </w:tc>
      </w:tr>
      <w:tr w:rsidR="00E97880" w:rsidRPr="00E97880" w14:paraId="71F7D6E8" w14:textId="77777777" w:rsidTr="00E97880">
        <w:tc>
          <w:tcPr>
            <w:tcW w:w="0" w:type="auto"/>
            <w:hideMark/>
          </w:tcPr>
          <w:p w14:paraId="1EB75914" w14:textId="77777777" w:rsidR="00E97880" w:rsidRPr="00E97880" w:rsidRDefault="00E97880" w:rsidP="00E97880">
            <w:pPr>
              <w:spacing w:after="160" w:line="259" w:lineRule="auto"/>
              <w:rPr>
                <w:rFonts w:cs="Arial"/>
              </w:rPr>
            </w:pPr>
            <w:r w:rsidRPr="00E97880">
              <w:rPr>
                <w:rFonts w:cs="Arial"/>
              </w:rPr>
              <w:t>C</w:t>
            </w:r>
          </w:p>
        </w:tc>
        <w:tc>
          <w:tcPr>
            <w:tcW w:w="0" w:type="auto"/>
            <w:hideMark/>
          </w:tcPr>
          <w:p w14:paraId="7AE12988" w14:textId="77777777" w:rsidR="00E97880" w:rsidRPr="00E97880" w:rsidRDefault="00E97880" w:rsidP="00E97880">
            <w:pPr>
              <w:spacing w:after="160" w:line="259" w:lineRule="auto"/>
              <w:rPr>
                <w:rFonts w:cs="Arial"/>
              </w:rPr>
            </w:pPr>
            <w:r w:rsidRPr="00E97880">
              <w:rPr>
                <w:rFonts w:cs="Arial"/>
              </w:rPr>
              <w:t>-1.99</w:t>
            </w:r>
          </w:p>
        </w:tc>
        <w:tc>
          <w:tcPr>
            <w:tcW w:w="0" w:type="auto"/>
            <w:hideMark/>
          </w:tcPr>
          <w:p w14:paraId="2B033B5F" w14:textId="77777777" w:rsidR="00E97880" w:rsidRPr="00E97880" w:rsidRDefault="00E97880" w:rsidP="00E97880">
            <w:pPr>
              <w:spacing w:after="160" w:line="259" w:lineRule="auto"/>
              <w:rPr>
                <w:rFonts w:cs="Arial"/>
              </w:rPr>
            </w:pPr>
            <w:r w:rsidRPr="00E97880">
              <w:rPr>
                <w:rFonts w:cs="Arial"/>
              </w:rPr>
              <w:t>9.18</w:t>
            </w:r>
          </w:p>
        </w:tc>
        <w:tc>
          <w:tcPr>
            <w:tcW w:w="0" w:type="auto"/>
            <w:hideMark/>
          </w:tcPr>
          <w:p w14:paraId="360973D2" w14:textId="77777777" w:rsidR="00E97880" w:rsidRPr="00E97880" w:rsidRDefault="00E97880" w:rsidP="00E97880">
            <w:pPr>
              <w:spacing w:after="160" w:line="259" w:lineRule="auto"/>
              <w:rPr>
                <w:rFonts w:cs="Arial"/>
              </w:rPr>
            </w:pPr>
            <w:r w:rsidRPr="00E97880">
              <w:rPr>
                <w:rFonts w:cs="Arial"/>
              </w:rPr>
              <w:t>3.60</w:t>
            </w:r>
          </w:p>
        </w:tc>
        <w:tc>
          <w:tcPr>
            <w:tcW w:w="0" w:type="auto"/>
            <w:hideMark/>
          </w:tcPr>
          <w:p w14:paraId="23ACFDA2" w14:textId="77777777" w:rsidR="00E97880" w:rsidRPr="00E97880" w:rsidRDefault="00E97880" w:rsidP="00E97880">
            <w:pPr>
              <w:spacing w:after="160" w:line="259" w:lineRule="auto"/>
              <w:rPr>
                <w:rFonts w:cs="Arial"/>
              </w:rPr>
            </w:pPr>
            <w:r w:rsidRPr="00E97880">
              <w:rPr>
                <w:rFonts w:cs="Arial"/>
              </w:rPr>
              <w:t>6.00</w:t>
            </w:r>
          </w:p>
        </w:tc>
        <w:tc>
          <w:tcPr>
            <w:tcW w:w="0" w:type="auto"/>
            <w:hideMark/>
          </w:tcPr>
          <w:p w14:paraId="3E8AE820" w14:textId="77777777" w:rsidR="00E97880" w:rsidRPr="00E97880" w:rsidRDefault="00E97880" w:rsidP="00E97880">
            <w:pPr>
              <w:spacing w:after="160" w:line="259" w:lineRule="auto"/>
              <w:rPr>
                <w:rFonts w:cs="Arial"/>
              </w:rPr>
            </w:pPr>
            <w:r w:rsidRPr="00E97880">
              <w:rPr>
                <w:rFonts w:cs="Arial"/>
              </w:rPr>
              <w:t>0.96</w:t>
            </w:r>
          </w:p>
        </w:tc>
      </w:tr>
    </w:tbl>
    <w:p w14:paraId="4BFC86D4" w14:textId="77777777" w:rsidR="00E97880" w:rsidRPr="00E97880" w:rsidRDefault="00E97880" w:rsidP="00E97880">
      <w:pPr>
        <w:rPr>
          <w:rFonts w:cs="Arial"/>
        </w:rPr>
      </w:pPr>
      <w:r w:rsidRPr="00E97880">
        <w:rPr>
          <w:rFonts w:cs="Arial"/>
        </w:rPr>
        <w:t>Table C3: Capital Rationing Combinations</w:t>
      </w:r>
    </w:p>
    <w:tbl>
      <w:tblPr>
        <w:tblStyle w:val="TableGrid"/>
        <w:tblW w:w="0" w:type="auto"/>
        <w:tblLook w:val="04A0" w:firstRow="1" w:lastRow="0" w:firstColumn="1" w:lastColumn="0" w:noHBand="0" w:noVBand="1"/>
      </w:tblPr>
      <w:tblGrid>
        <w:gridCol w:w="1452"/>
        <w:gridCol w:w="1708"/>
      </w:tblGrid>
      <w:tr w:rsidR="00E97880" w:rsidRPr="00E97880" w14:paraId="21D13DAD" w14:textId="77777777" w:rsidTr="00E97880">
        <w:tc>
          <w:tcPr>
            <w:tcW w:w="0" w:type="auto"/>
            <w:hideMark/>
          </w:tcPr>
          <w:p w14:paraId="31CD594B" w14:textId="77777777" w:rsidR="00E97880" w:rsidRPr="00E97880" w:rsidRDefault="00E97880" w:rsidP="00E97880">
            <w:pPr>
              <w:spacing w:after="160" w:line="259" w:lineRule="auto"/>
              <w:jc w:val="left"/>
              <w:rPr>
                <w:rFonts w:cs="Arial"/>
              </w:rPr>
            </w:pPr>
            <w:r w:rsidRPr="00E97880">
              <w:rPr>
                <w:rFonts w:cs="Arial"/>
              </w:rPr>
              <w:t>Combination</w:t>
            </w:r>
          </w:p>
        </w:tc>
        <w:tc>
          <w:tcPr>
            <w:tcW w:w="0" w:type="auto"/>
            <w:hideMark/>
          </w:tcPr>
          <w:p w14:paraId="2DE769C4" w14:textId="77777777" w:rsidR="00E97880" w:rsidRPr="00E97880" w:rsidRDefault="00E97880" w:rsidP="00E97880">
            <w:pPr>
              <w:spacing w:after="160" w:line="259" w:lineRule="auto"/>
              <w:jc w:val="left"/>
              <w:rPr>
                <w:rFonts w:cs="Arial"/>
              </w:rPr>
            </w:pPr>
            <w:r w:rsidRPr="00E97880">
              <w:rPr>
                <w:rFonts w:cs="Arial"/>
              </w:rPr>
              <w:t>Total NPV (£m)</w:t>
            </w:r>
          </w:p>
        </w:tc>
      </w:tr>
      <w:tr w:rsidR="00E97880" w:rsidRPr="00E97880" w14:paraId="0706524C" w14:textId="77777777" w:rsidTr="00E97880">
        <w:tc>
          <w:tcPr>
            <w:tcW w:w="0" w:type="auto"/>
            <w:hideMark/>
          </w:tcPr>
          <w:p w14:paraId="7337D589" w14:textId="77777777" w:rsidR="00E97880" w:rsidRPr="00E97880" w:rsidRDefault="00E97880" w:rsidP="00E97880">
            <w:pPr>
              <w:spacing w:after="160" w:line="259" w:lineRule="auto"/>
              <w:rPr>
                <w:rFonts w:cs="Arial"/>
              </w:rPr>
            </w:pPr>
            <w:r w:rsidRPr="00E97880">
              <w:rPr>
                <w:rFonts w:cs="Arial"/>
              </w:rPr>
              <w:t>A + B</w:t>
            </w:r>
          </w:p>
        </w:tc>
        <w:tc>
          <w:tcPr>
            <w:tcW w:w="0" w:type="auto"/>
            <w:hideMark/>
          </w:tcPr>
          <w:p w14:paraId="4007D1BF" w14:textId="77777777" w:rsidR="00E97880" w:rsidRPr="00E97880" w:rsidRDefault="00E97880" w:rsidP="00E97880">
            <w:pPr>
              <w:spacing w:after="160" w:line="259" w:lineRule="auto"/>
              <w:rPr>
                <w:rFonts w:cs="Arial"/>
              </w:rPr>
            </w:pPr>
            <w:r w:rsidRPr="00E97880">
              <w:rPr>
                <w:rFonts w:cs="Arial"/>
              </w:rPr>
              <w:t>-16.99</w:t>
            </w:r>
          </w:p>
        </w:tc>
      </w:tr>
      <w:tr w:rsidR="00E97880" w:rsidRPr="00E97880" w14:paraId="05AD34CD" w14:textId="77777777" w:rsidTr="00E97880">
        <w:tc>
          <w:tcPr>
            <w:tcW w:w="0" w:type="auto"/>
            <w:hideMark/>
          </w:tcPr>
          <w:p w14:paraId="188FF325" w14:textId="77777777" w:rsidR="00E97880" w:rsidRPr="00E97880" w:rsidRDefault="00E97880" w:rsidP="00E97880">
            <w:pPr>
              <w:spacing w:after="160" w:line="259" w:lineRule="auto"/>
              <w:rPr>
                <w:rFonts w:cs="Arial"/>
              </w:rPr>
            </w:pPr>
            <w:r w:rsidRPr="00E97880">
              <w:rPr>
                <w:rFonts w:cs="Arial"/>
              </w:rPr>
              <w:t>B + C</w:t>
            </w:r>
          </w:p>
        </w:tc>
        <w:tc>
          <w:tcPr>
            <w:tcW w:w="0" w:type="auto"/>
            <w:hideMark/>
          </w:tcPr>
          <w:p w14:paraId="656F9B7F" w14:textId="77777777" w:rsidR="00E97880" w:rsidRPr="00E97880" w:rsidRDefault="00E97880" w:rsidP="00E97880">
            <w:pPr>
              <w:spacing w:after="160" w:line="259" w:lineRule="auto"/>
              <w:rPr>
                <w:rFonts w:cs="Arial"/>
              </w:rPr>
            </w:pPr>
            <w:r w:rsidRPr="00E97880">
              <w:rPr>
                <w:rFonts w:cs="Arial"/>
              </w:rPr>
              <w:t>-10.30</w:t>
            </w:r>
          </w:p>
        </w:tc>
      </w:tr>
      <w:tr w:rsidR="00E97880" w:rsidRPr="00E97880" w14:paraId="7F147AD2" w14:textId="77777777" w:rsidTr="00E97880">
        <w:tc>
          <w:tcPr>
            <w:tcW w:w="0" w:type="auto"/>
            <w:hideMark/>
          </w:tcPr>
          <w:p w14:paraId="60CF51E5" w14:textId="77777777" w:rsidR="00E97880" w:rsidRPr="00E97880" w:rsidRDefault="00E97880" w:rsidP="00E97880">
            <w:pPr>
              <w:spacing w:after="160" w:line="259" w:lineRule="auto"/>
              <w:rPr>
                <w:rFonts w:cs="Arial"/>
              </w:rPr>
            </w:pPr>
            <w:r w:rsidRPr="00E97880">
              <w:rPr>
                <w:rFonts w:cs="Arial"/>
              </w:rPr>
              <w:t>A + C</w:t>
            </w:r>
          </w:p>
        </w:tc>
        <w:tc>
          <w:tcPr>
            <w:tcW w:w="0" w:type="auto"/>
            <w:hideMark/>
          </w:tcPr>
          <w:p w14:paraId="0C85AB97" w14:textId="77777777" w:rsidR="00E97880" w:rsidRPr="00E97880" w:rsidRDefault="00E97880" w:rsidP="00E97880">
            <w:pPr>
              <w:spacing w:after="160" w:line="259" w:lineRule="auto"/>
              <w:rPr>
                <w:rFonts w:cs="Arial"/>
              </w:rPr>
            </w:pPr>
            <w:r w:rsidRPr="00E97880">
              <w:rPr>
                <w:rFonts w:cs="Arial"/>
              </w:rPr>
              <w:t>-10.67</w:t>
            </w:r>
          </w:p>
        </w:tc>
      </w:tr>
    </w:tbl>
    <w:p w14:paraId="4FB8C89E" w14:textId="77777777" w:rsidR="00E97880" w:rsidRPr="00E97880" w:rsidRDefault="00E97880" w:rsidP="00E97880">
      <w:pPr>
        <w:rPr>
          <w:rFonts w:cs="Arial"/>
        </w:rPr>
      </w:pPr>
      <w:r w:rsidRPr="00E97880">
        <w:rPr>
          <w:rFonts w:cs="Arial"/>
        </w:rPr>
        <w:t>Recommended Financial Decision: Reject all projects under current assumptions.</w:t>
      </w:r>
    </w:p>
    <w:p w14:paraId="3EC2C4E1" w14:textId="77777777" w:rsidR="008801B5" w:rsidRDefault="008801B5" w:rsidP="00E97880">
      <w:pPr>
        <w:rPr>
          <w:rFonts w:cs="Arial"/>
        </w:rPr>
      </w:pPr>
    </w:p>
    <w:p w14:paraId="34167AB6" w14:textId="77777777" w:rsidR="008801B5" w:rsidRDefault="008801B5" w:rsidP="00E97880">
      <w:pPr>
        <w:rPr>
          <w:rFonts w:cs="Arial"/>
        </w:rPr>
      </w:pPr>
    </w:p>
    <w:p w14:paraId="385A2951" w14:textId="5107D22A" w:rsidR="00E97880" w:rsidRPr="00E97880" w:rsidRDefault="00E97880" w:rsidP="00E97880">
      <w:pPr>
        <w:rPr>
          <w:rFonts w:cs="Arial"/>
        </w:rPr>
      </w:pPr>
      <w:r w:rsidRPr="00E97880">
        <w:rPr>
          <w:rFonts w:cs="Arial"/>
        </w:rPr>
        <w:br/>
        <w:t>Appendix D:</w:t>
      </w:r>
      <w:r w:rsidRPr="00E97880">
        <w:rPr>
          <w:rFonts w:cs="Arial"/>
        </w:rPr>
        <w:br/>
        <w:t>Figure D1: Revenue Trend (¥ tn)</w:t>
      </w:r>
    </w:p>
    <w:p w14:paraId="066DFE37" w14:textId="3AB002D5" w:rsidR="00E97880" w:rsidRPr="00E97880" w:rsidRDefault="00E97880" w:rsidP="00E97880">
      <w:pPr>
        <w:rPr>
          <w:rFonts w:cs="Arial"/>
        </w:rPr>
      </w:pPr>
      <w:r w:rsidRPr="00E97880">
        <w:rPr>
          <w:rFonts w:cs="Arial"/>
        </w:rPr>
        <w:drawing>
          <wp:inline distT="0" distB="0" distL="0" distR="0" wp14:anchorId="0D698644" wp14:editId="554F67A3">
            <wp:extent cx="5486400" cy="3200400"/>
            <wp:effectExtent l="0" t="0" r="0" b="0"/>
            <wp:docPr id="160772273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FA1BDD7" w14:textId="6B5E0C0F" w:rsidR="00E97880" w:rsidRPr="00E97880" w:rsidRDefault="00E97880" w:rsidP="00E97880">
      <w:pPr>
        <w:rPr>
          <w:rFonts w:cs="Arial"/>
        </w:rPr>
      </w:pPr>
      <w:r w:rsidRPr="00E97880">
        <w:rPr>
          <w:rFonts w:cs="Arial"/>
        </w:rPr>
        <w:t>Figure D2: ROCE Trend (%)</w:t>
      </w:r>
    </w:p>
    <w:p w14:paraId="1C381546" w14:textId="76C54F61" w:rsidR="00E97880" w:rsidRPr="00E97880" w:rsidRDefault="00E97880" w:rsidP="00E97880">
      <w:pPr>
        <w:rPr>
          <w:rFonts w:cs="Arial"/>
        </w:rPr>
      </w:pPr>
      <w:r w:rsidRPr="00E97880">
        <w:rPr>
          <w:rFonts w:cs="Arial"/>
        </w:rPr>
        <w:drawing>
          <wp:inline distT="0" distB="0" distL="0" distR="0" wp14:anchorId="0A833A45" wp14:editId="2D8EA2BC">
            <wp:extent cx="4857750" cy="2943225"/>
            <wp:effectExtent l="0" t="0" r="0" b="9525"/>
            <wp:docPr id="1781234153"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73D56EF" w14:textId="77777777" w:rsidR="00E97880" w:rsidRPr="00E97880" w:rsidRDefault="00E97880" w:rsidP="00E97880">
      <w:pPr>
        <w:rPr>
          <w:rFonts w:cs="Arial"/>
        </w:rPr>
      </w:pPr>
    </w:p>
    <w:p w14:paraId="70C0598E" w14:textId="77777777" w:rsidR="008801B5" w:rsidRDefault="008801B5">
      <w:pPr>
        <w:jc w:val="left"/>
        <w:rPr>
          <w:rFonts w:cs="Arial"/>
        </w:rPr>
      </w:pPr>
      <w:r>
        <w:rPr>
          <w:rFonts w:cs="Arial"/>
        </w:rPr>
        <w:br w:type="page"/>
      </w:r>
    </w:p>
    <w:p w14:paraId="1FBE1204" w14:textId="5D6E6FB5" w:rsidR="00E97880" w:rsidRPr="00E97880" w:rsidRDefault="00E97880" w:rsidP="00E97880">
      <w:pPr>
        <w:rPr>
          <w:rFonts w:cs="Arial"/>
        </w:rPr>
      </w:pPr>
      <w:r w:rsidRPr="00E97880">
        <w:rPr>
          <w:rFonts w:cs="Arial"/>
        </w:rPr>
        <w:t>Figure D3: Cash Conversion Cycle (Days)</w:t>
      </w:r>
    </w:p>
    <w:p w14:paraId="475549B0" w14:textId="3FD4DBF5" w:rsidR="00E97880" w:rsidRPr="00E97880" w:rsidRDefault="00E97880" w:rsidP="00E97880">
      <w:pPr>
        <w:rPr>
          <w:rFonts w:cs="Arial"/>
        </w:rPr>
      </w:pPr>
      <w:r w:rsidRPr="00E97880">
        <w:rPr>
          <w:rFonts w:cs="Arial"/>
        </w:rPr>
        <w:drawing>
          <wp:inline distT="0" distB="0" distL="0" distR="0" wp14:anchorId="64071EA4" wp14:editId="064F355B">
            <wp:extent cx="5486400" cy="3200400"/>
            <wp:effectExtent l="0" t="0" r="0" b="0"/>
            <wp:docPr id="14031890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A31B02C" w14:textId="7D27BB76" w:rsidR="00E97880" w:rsidRPr="00E97880" w:rsidRDefault="00E97880" w:rsidP="00E97880">
      <w:pPr>
        <w:rPr>
          <w:rFonts w:cs="Arial"/>
        </w:rPr>
      </w:pPr>
      <w:r w:rsidRPr="00E97880">
        <w:rPr>
          <w:rFonts w:cs="Arial"/>
        </w:rPr>
        <w:t>Figure D4: Debt-to-Equity Trend</w:t>
      </w:r>
    </w:p>
    <w:p w14:paraId="5363EFFD" w14:textId="16B57E17" w:rsidR="00E97880" w:rsidRPr="00E97880" w:rsidRDefault="00E97880" w:rsidP="00E97880">
      <w:pPr>
        <w:rPr>
          <w:rFonts w:cs="Arial"/>
        </w:rPr>
      </w:pPr>
      <w:r w:rsidRPr="00E97880">
        <w:rPr>
          <w:rFonts w:cs="Arial"/>
        </w:rPr>
        <w:drawing>
          <wp:inline distT="0" distB="0" distL="0" distR="0" wp14:anchorId="4BB2F2F3" wp14:editId="5313142D">
            <wp:extent cx="5486400" cy="3200400"/>
            <wp:effectExtent l="0" t="0" r="0" b="0"/>
            <wp:docPr id="182372898"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sectPr w:rsidR="00E97880" w:rsidRPr="00E97880" w:rsidSect="00E97880">
      <w:footerReference w:type="default" r:id="rId13"/>
      <w:footerReference w:type="first" r:id="rId1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07229C" w14:textId="77777777" w:rsidR="00090277" w:rsidRDefault="00090277" w:rsidP="00E97880">
      <w:pPr>
        <w:spacing w:after="0" w:line="240" w:lineRule="auto"/>
      </w:pPr>
      <w:r>
        <w:separator/>
      </w:r>
    </w:p>
  </w:endnote>
  <w:endnote w:type="continuationSeparator" w:id="0">
    <w:p w14:paraId="0879EFB5" w14:textId="77777777" w:rsidR="00090277" w:rsidRDefault="00090277" w:rsidP="00E978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597563606"/>
      <w:docPartObj>
        <w:docPartGallery w:val="Page Numbers (Bottom of Page)"/>
        <w:docPartUnique/>
      </w:docPartObj>
    </w:sdtPr>
    <w:sdtEndPr>
      <w:rPr>
        <w:noProof/>
        <w:color w:val="7F7F7F" w:themeColor="background1" w:themeShade="7F"/>
        <w:spacing w:val="60"/>
      </w:rPr>
    </w:sdtEndPr>
    <w:sdtContent>
      <w:p w14:paraId="546991B5" w14:textId="77777777" w:rsidR="00E97880" w:rsidRDefault="00E97880">
        <w:pPr>
          <w:pStyle w:val="Footer"/>
          <w:pBdr>
            <w:top w:val="single" w:sz="4" w:space="1" w:color="D9D9D9" w:themeColor="background1" w:themeShade="D9"/>
          </w:pBdr>
          <w:rPr>
            <w:b/>
            <w:bCs/>
          </w:rPr>
        </w:pPr>
        <w:r>
          <w:rPr>
            <w:noProof w:val="0"/>
          </w:rPr>
          <w:fldChar w:fldCharType="begin"/>
        </w:r>
        <w:r>
          <w:instrText xml:space="preserve"> PAGE   \* MERGEFORMAT </w:instrText>
        </w:r>
        <w:r>
          <w:rPr>
            <w:noProof w:val="0"/>
          </w:rP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107A731" w14:textId="77777777" w:rsidR="00E97880" w:rsidRDefault="00E978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550768867"/>
      <w:docPartObj>
        <w:docPartGallery w:val="Page Numbers (Bottom of Page)"/>
        <w:docPartUnique/>
      </w:docPartObj>
    </w:sdtPr>
    <w:sdtEndPr>
      <w:rPr>
        <w:noProof/>
        <w:color w:val="7F7F7F" w:themeColor="background1" w:themeShade="7F"/>
        <w:spacing w:val="60"/>
      </w:rPr>
    </w:sdtEndPr>
    <w:sdtContent>
      <w:p w14:paraId="20BC1AF3" w14:textId="44FE6C88" w:rsidR="00E97880" w:rsidRDefault="00E97880">
        <w:pPr>
          <w:pStyle w:val="Footer"/>
          <w:pBdr>
            <w:top w:val="single" w:sz="4" w:space="1" w:color="D9D9D9" w:themeColor="background1" w:themeShade="D9"/>
          </w:pBdr>
          <w:rPr>
            <w:b/>
            <w:bCs/>
          </w:rPr>
        </w:pPr>
        <w:r>
          <w:rPr>
            <w:noProof w:val="0"/>
          </w:rPr>
          <w:fldChar w:fldCharType="begin"/>
        </w:r>
        <w:r>
          <w:instrText xml:space="preserve"> PAGE   \* MERGEFORMAT </w:instrText>
        </w:r>
        <w:r>
          <w:rPr>
            <w:noProof w:val="0"/>
          </w:rP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0E4F48F4" w14:textId="77777777" w:rsidR="00E97880" w:rsidRDefault="00E97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45360" w14:textId="77777777" w:rsidR="00090277" w:rsidRDefault="00090277" w:rsidP="00E97880">
      <w:pPr>
        <w:spacing w:after="0" w:line="240" w:lineRule="auto"/>
      </w:pPr>
      <w:r>
        <w:separator/>
      </w:r>
    </w:p>
  </w:footnote>
  <w:footnote w:type="continuationSeparator" w:id="0">
    <w:p w14:paraId="4AD14C28" w14:textId="77777777" w:rsidR="00090277" w:rsidRDefault="00090277" w:rsidP="00E978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47549"/>
    <w:multiLevelType w:val="multilevel"/>
    <w:tmpl w:val="7CF06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C1649"/>
    <w:multiLevelType w:val="hybridMultilevel"/>
    <w:tmpl w:val="43C8AE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4FC611F"/>
    <w:multiLevelType w:val="multilevel"/>
    <w:tmpl w:val="57166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0200F8"/>
    <w:multiLevelType w:val="multilevel"/>
    <w:tmpl w:val="91E8FF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225F07"/>
    <w:multiLevelType w:val="multilevel"/>
    <w:tmpl w:val="D1786F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7E6372"/>
    <w:multiLevelType w:val="multilevel"/>
    <w:tmpl w:val="C1766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9431E8"/>
    <w:multiLevelType w:val="multilevel"/>
    <w:tmpl w:val="B53EC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9C2112B"/>
    <w:multiLevelType w:val="multilevel"/>
    <w:tmpl w:val="81F87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AE22D0F"/>
    <w:multiLevelType w:val="multilevel"/>
    <w:tmpl w:val="C1FA3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DBC0BAE"/>
    <w:multiLevelType w:val="multilevel"/>
    <w:tmpl w:val="71D44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EDF3C10"/>
    <w:multiLevelType w:val="multilevel"/>
    <w:tmpl w:val="D388C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EE76F51"/>
    <w:multiLevelType w:val="multilevel"/>
    <w:tmpl w:val="9CEA3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3EF6C61"/>
    <w:multiLevelType w:val="multilevel"/>
    <w:tmpl w:val="090A44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50A535D"/>
    <w:multiLevelType w:val="multilevel"/>
    <w:tmpl w:val="A5229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043847"/>
    <w:multiLevelType w:val="multilevel"/>
    <w:tmpl w:val="64708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FE5582F"/>
    <w:multiLevelType w:val="multilevel"/>
    <w:tmpl w:val="7944B8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1613477"/>
    <w:multiLevelType w:val="multilevel"/>
    <w:tmpl w:val="D63EA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1AC0783"/>
    <w:multiLevelType w:val="multilevel"/>
    <w:tmpl w:val="BF0A6CF0"/>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50B60AF"/>
    <w:multiLevelType w:val="hybridMultilevel"/>
    <w:tmpl w:val="BDE221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25F6074C"/>
    <w:multiLevelType w:val="multilevel"/>
    <w:tmpl w:val="23582F6C"/>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A58216C"/>
    <w:multiLevelType w:val="multilevel"/>
    <w:tmpl w:val="DEAAC4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F021365"/>
    <w:multiLevelType w:val="multilevel"/>
    <w:tmpl w:val="80B40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39050CA"/>
    <w:multiLevelType w:val="multilevel"/>
    <w:tmpl w:val="3976D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5A822D8"/>
    <w:multiLevelType w:val="multilevel"/>
    <w:tmpl w:val="055C1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A480F35"/>
    <w:multiLevelType w:val="multilevel"/>
    <w:tmpl w:val="3DD80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28B1D1D"/>
    <w:multiLevelType w:val="hybridMultilevel"/>
    <w:tmpl w:val="3EE8B48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42EB61ED"/>
    <w:multiLevelType w:val="multilevel"/>
    <w:tmpl w:val="24E48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A80BA3"/>
    <w:multiLevelType w:val="multilevel"/>
    <w:tmpl w:val="28361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DE4543"/>
    <w:multiLevelType w:val="multilevel"/>
    <w:tmpl w:val="DFD0C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383D6C"/>
    <w:multiLevelType w:val="multilevel"/>
    <w:tmpl w:val="35B27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27E6792"/>
    <w:multiLevelType w:val="multilevel"/>
    <w:tmpl w:val="20082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3466BB0"/>
    <w:multiLevelType w:val="multilevel"/>
    <w:tmpl w:val="02689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38846D3"/>
    <w:multiLevelType w:val="multilevel"/>
    <w:tmpl w:val="98E65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5CD5E6C"/>
    <w:multiLevelType w:val="multilevel"/>
    <w:tmpl w:val="1E88B2A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99033CC"/>
    <w:multiLevelType w:val="multilevel"/>
    <w:tmpl w:val="B1162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C47757"/>
    <w:multiLevelType w:val="hybridMultilevel"/>
    <w:tmpl w:val="180026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62B62211"/>
    <w:multiLevelType w:val="multilevel"/>
    <w:tmpl w:val="391E9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CA0910"/>
    <w:multiLevelType w:val="multilevel"/>
    <w:tmpl w:val="A4CE1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5C58AF"/>
    <w:multiLevelType w:val="multilevel"/>
    <w:tmpl w:val="152A36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BF27F9F"/>
    <w:multiLevelType w:val="multilevel"/>
    <w:tmpl w:val="91304D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F6672B5"/>
    <w:multiLevelType w:val="multilevel"/>
    <w:tmpl w:val="CC72D5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5102BA7"/>
    <w:multiLevelType w:val="multilevel"/>
    <w:tmpl w:val="BF247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5502FA"/>
    <w:multiLevelType w:val="hybridMultilevel"/>
    <w:tmpl w:val="DCFA11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3" w15:restartNumberingAfterBreak="0">
    <w:nsid w:val="756C03DA"/>
    <w:multiLevelType w:val="multilevel"/>
    <w:tmpl w:val="DD3E5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6974A41"/>
    <w:multiLevelType w:val="multilevel"/>
    <w:tmpl w:val="E0827F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8E700E4"/>
    <w:multiLevelType w:val="multilevel"/>
    <w:tmpl w:val="B486F68C"/>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9075FC5"/>
    <w:multiLevelType w:val="multilevel"/>
    <w:tmpl w:val="CBDE9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C813BA4"/>
    <w:multiLevelType w:val="multilevel"/>
    <w:tmpl w:val="A0405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5194270">
    <w:abstractNumId w:val="38"/>
  </w:num>
  <w:num w:numId="2" w16cid:durableId="1965111395">
    <w:abstractNumId w:val="20"/>
  </w:num>
  <w:num w:numId="3" w16cid:durableId="557281634">
    <w:abstractNumId w:val="43"/>
  </w:num>
  <w:num w:numId="4" w16cid:durableId="1121460838">
    <w:abstractNumId w:val="10"/>
  </w:num>
  <w:num w:numId="5" w16cid:durableId="1394424885">
    <w:abstractNumId w:val="27"/>
  </w:num>
  <w:num w:numId="6" w16cid:durableId="1334452430">
    <w:abstractNumId w:val="3"/>
  </w:num>
  <w:num w:numId="7" w16cid:durableId="989166501">
    <w:abstractNumId w:val="26"/>
  </w:num>
  <w:num w:numId="8" w16cid:durableId="1953131134">
    <w:abstractNumId w:val="21"/>
  </w:num>
  <w:num w:numId="9" w16cid:durableId="1116102015">
    <w:abstractNumId w:val="16"/>
  </w:num>
  <w:num w:numId="10" w16cid:durableId="1471246141">
    <w:abstractNumId w:val="8"/>
  </w:num>
  <w:num w:numId="11" w16cid:durableId="754472836">
    <w:abstractNumId w:val="34"/>
  </w:num>
  <w:num w:numId="12" w16cid:durableId="1181092664">
    <w:abstractNumId w:val="24"/>
  </w:num>
  <w:num w:numId="13" w16cid:durableId="1460103281">
    <w:abstractNumId w:val="2"/>
  </w:num>
  <w:num w:numId="14" w16cid:durableId="789782999">
    <w:abstractNumId w:val="47"/>
  </w:num>
  <w:num w:numId="15" w16cid:durableId="753547237">
    <w:abstractNumId w:val="39"/>
  </w:num>
  <w:num w:numId="16" w16cid:durableId="1419984309">
    <w:abstractNumId w:val="13"/>
  </w:num>
  <w:num w:numId="17" w16cid:durableId="1508054273">
    <w:abstractNumId w:val="44"/>
  </w:num>
  <w:num w:numId="18" w16cid:durableId="1420325078">
    <w:abstractNumId w:val="5"/>
  </w:num>
  <w:num w:numId="19" w16cid:durableId="1276015813">
    <w:abstractNumId w:val="11"/>
  </w:num>
  <w:num w:numId="20" w16cid:durableId="2128964998">
    <w:abstractNumId w:val="40"/>
  </w:num>
  <w:num w:numId="21" w16cid:durableId="912928924">
    <w:abstractNumId w:val="4"/>
  </w:num>
  <w:num w:numId="22" w16cid:durableId="1707176883">
    <w:abstractNumId w:val="12"/>
  </w:num>
  <w:num w:numId="23" w16cid:durableId="98916716">
    <w:abstractNumId w:val="41"/>
  </w:num>
  <w:num w:numId="24" w16cid:durableId="1832872002">
    <w:abstractNumId w:val="30"/>
  </w:num>
  <w:num w:numId="25" w16cid:durableId="1030565954">
    <w:abstractNumId w:val="6"/>
  </w:num>
  <w:num w:numId="26" w16cid:durableId="1643776167">
    <w:abstractNumId w:val="9"/>
  </w:num>
  <w:num w:numId="27" w16cid:durableId="993684260">
    <w:abstractNumId w:val="15"/>
  </w:num>
  <w:num w:numId="28" w16cid:durableId="595288448">
    <w:abstractNumId w:val="14"/>
  </w:num>
  <w:num w:numId="29" w16cid:durableId="866331863">
    <w:abstractNumId w:val="22"/>
  </w:num>
  <w:num w:numId="30" w16cid:durableId="1364205678">
    <w:abstractNumId w:val="7"/>
  </w:num>
  <w:num w:numId="31" w16cid:durableId="970090755">
    <w:abstractNumId w:val="33"/>
  </w:num>
  <w:num w:numId="32" w16cid:durableId="1845827105">
    <w:abstractNumId w:val="45"/>
  </w:num>
  <w:num w:numId="33" w16cid:durableId="1288470006">
    <w:abstractNumId w:val="19"/>
  </w:num>
  <w:num w:numId="34" w16cid:durableId="1259213532">
    <w:abstractNumId w:val="17"/>
  </w:num>
  <w:num w:numId="35" w16cid:durableId="1771662348">
    <w:abstractNumId w:val="37"/>
  </w:num>
  <w:num w:numId="36" w16cid:durableId="528615145">
    <w:abstractNumId w:val="46"/>
  </w:num>
  <w:num w:numId="37" w16cid:durableId="1287732048">
    <w:abstractNumId w:val="28"/>
  </w:num>
  <w:num w:numId="38" w16cid:durableId="2015261030">
    <w:abstractNumId w:val="36"/>
  </w:num>
  <w:num w:numId="39" w16cid:durableId="1373116138">
    <w:abstractNumId w:val="0"/>
  </w:num>
  <w:num w:numId="40" w16cid:durableId="796993963">
    <w:abstractNumId w:val="31"/>
  </w:num>
  <w:num w:numId="41" w16cid:durableId="32004297">
    <w:abstractNumId w:val="23"/>
  </w:num>
  <w:num w:numId="42" w16cid:durableId="1126116306">
    <w:abstractNumId w:val="29"/>
  </w:num>
  <w:num w:numId="43" w16cid:durableId="1034119570">
    <w:abstractNumId w:val="32"/>
  </w:num>
  <w:num w:numId="44" w16cid:durableId="478570903">
    <w:abstractNumId w:val="18"/>
  </w:num>
  <w:num w:numId="45" w16cid:durableId="1458184760">
    <w:abstractNumId w:val="42"/>
  </w:num>
  <w:num w:numId="46" w16cid:durableId="1297567247">
    <w:abstractNumId w:val="35"/>
  </w:num>
  <w:num w:numId="47" w16cid:durableId="1433823909">
    <w:abstractNumId w:val="1"/>
  </w:num>
  <w:num w:numId="48" w16cid:durableId="561211273">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9"/>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C08"/>
    <w:rsid w:val="000259EF"/>
    <w:rsid w:val="00076269"/>
    <w:rsid w:val="00090277"/>
    <w:rsid w:val="002275A3"/>
    <w:rsid w:val="005B7BBD"/>
    <w:rsid w:val="006B01C2"/>
    <w:rsid w:val="006E7942"/>
    <w:rsid w:val="007F281F"/>
    <w:rsid w:val="008801B5"/>
    <w:rsid w:val="009C7C08"/>
    <w:rsid w:val="00A955EC"/>
    <w:rsid w:val="00B400B4"/>
    <w:rsid w:val="00D50000"/>
    <w:rsid w:val="00D91C68"/>
    <w:rsid w:val="00E16342"/>
    <w:rsid w:val="00E27655"/>
    <w:rsid w:val="00E72DB3"/>
    <w:rsid w:val="00E978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5E49D"/>
  <w15:chartTrackingRefBased/>
  <w15:docId w15:val="{DA3A4C94-38E0-4D5C-AD5A-93AF2EA41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880"/>
    <w:pPr>
      <w:jc w:val="both"/>
    </w:pPr>
    <w:rPr>
      <w:rFonts w:ascii="Arial" w:hAnsi="Arial"/>
      <w:noProof/>
    </w:rPr>
  </w:style>
  <w:style w:type="paragraph" w:styleId="Heading1">
    <w:name w:val="heading 1"/>
    <w:basedOn w:val="Normal"/>
    <w:next w:val="Normal"/>
    <w:link w:val="Heading1Char"/>
    <w:uiPriority w:val="9"/>
    <w:qFormat/>
    <w:rsid w:val="00E97880"/>
    <w:pPr>
      <w:keepNext/>
      <w:keepLines/>
      <w:spacing w:before="360" w:after="80"/>
      <w:jc w:val="left"/>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E97880"/>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9C7C0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C7C0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C7C0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C7C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7C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7C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7C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880"/>
    <w:rPr>
      <w:rFonts w:ascii="Arial" w:eastAsiaTheme="majorEastAsia" w:hAnsi="Arial" w:cstheme="majorBidi"/>
      <w:b/>
      <w:noProof/>
      <w:color w:val="000000" w:themeColor="text1"/>
      <w:sz w:val="32"/>
      <w:szCs w:val="40"/>
    </w:rPr>
  </w:style>
  <w:style w:type="character" w:customStyle="1" w:styleId="Heading2Char">
    <w:name w:val="Heading 2 Char"/>
    <w:basedOn w:val="DefaultParagraphFont"/>
    <w:link w:val="Heading2"/>
    <w:uiPriority w:val="9"/>
    <w:rsid w:val="00E97880"/>
    <w:rPr>
      <w:rFonts w:ascii="Arial" w:eastAsiaTheme="majorEastAsia" w:hAnsi="Arial" w:cstheme="majorBidi"/>
      <w:b/>
      <w:noProof/>
      <w:color w:val="000000" w:themeColor="text1"/>
      <w:sz w:val="28"/>
      <w:szCs w:val="32"/>
    </w:rPr>
  </w:style>
  <w:style w:type="character" w:customStyle="1" w:styleId="Heading3Char">
    <w:name w:val="Heading 3 Char"/>
    <w:basedOn w:val="DefaultParagraphFont"/>
    <w:link w:val="Heading3"/>
    <w:uiPriority w:val="9"/>
    <w:semiHidden/>
    <w:rsid w:val="009C7C08"/>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9C7C08"/>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9C7C08"/>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9C7C08"/>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9C7C08"/>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9C7C08"/>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9C7C08"/>
    <w:rPr>
      <w:rFonts w:eastAsiaTheme="majorEastAsia" w:cstheme="majorBidi"/>
      <w:noProof/>
      <w:color w:val="272727" w:themeColor="text1" w:themeTint="D8"/>
    </w:rPr>
  </w:style>
  <w:style w:type="paragraph" w:styleId="Title">
    <w:name w:val="Title"/>
    <w:basedOn w:val="Normal"/>
    <w:next w:val="Normal"/>
    <w:link w:val="TitleChar"/>
    <w:uiPriority w:val="10"/>
    <w:qFormat/>
    <w:rsid w:val="009C7C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7C08"/>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9C7C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7C08"/>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9C7C08"/>
    <w:pPr>
      <w:spacing w:before="160"/>
      <w:jc w:val="center"/>
    </w:pPr>
    <w:rPr>
      <w:i/>
      <w:iCs/>
      <w:color w:val="404040" w:themeColor="text1" w:themeTint="BF"/>
    </w:rPr>
  </w:style>
  <w:style w:type="character" w:customStyle="1" w:styleId="QuoteChar">
    <w:name w:val="Quote Char"/>
    <w:basedOn w:val="DefaultParagraphFont"/>
    <w:link w:val="Quote"/>
    <w:uiPriority w:val="29"/>
    <w:rsid w:val="009C7C08"/>
    <w:rPr>
      <w:i/>
      <w:iCs/>
      <w:noProof/>
      <w:color w:val="404040" w:themeColor="text1" w:themeTint="BF"/>
    </w:rPr>
  </w:style>
  <w:style w:type="paragraph" w:styleId="ListParagraph">
    <w:name w:val="List Paragraph"/>
    <w:basedOn w:val="Normal"/>
    <w:uiPriority w:val="34"/>
    <w:qFormat/>
    <w:rsid w:val="009C7C08"/>
    <w:pPr>
      <w:ind w:left="720"/>
      <w:contextualSpacing/>
    </w:pPr>
  </w:style>
  <w:style w:type="character" w:styleId="IntenseEmphasis">
    <w:name w:val="Intense Emphasis"/>
    <w:basedOn w:val="DefaultParagraphFont"/>
    <w:uiPriority w:val="21"/>
    <w:qFormat/>
    <w:rsid w:val="009C7C08"/>
    <w:rPr>
      <w:i/>
      <w:iCs/>
      <w:color w:val="2F5496" w:themeColor="accent1" w:themeShade="BF"/>
    </w:rPr>
  </w:style>
  <w:style w:type="paragraph" w:styleId="IntenseQuote">
    <w:name w:val="Intense Quote"/>
    <w:basedOn w:val="Normal"/>
    <w:next w:val="Normal"/>
    <w:link w:val="IntenseQuoteChar"/>
    <w:uiPriority w:val="30"/>
    <w:qFormat/>
    <w:rsid w:val="009C7C0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C7C08"/>
    <w:rPr>
      <w:i/>
      <w:iCs/>
      <w:noProof/>
      <w:color w:val="2F5496" w:themeColor="accent1" w:themeShade="BF"/>
    </w:rPr>
  </w:style>
  <w:style w:type="character" w:styleId="IntenseReference">
    <w:name w:val="Intense Reference"/>
    <w:basedOn w:val="DefaultParagraphFont"/>
    <w:uiPriority w:val="32"/>
    <w:qFormat/>
    <w:rsid w:val="009C7C08"/>
    <w:rPr>
      <w:b/>
      <w:bCs/>
      <w:smallCaps/>
      <w:color w:val="2F5496" w:themeColor="accent1" w:themeShade="BF"/>
      <w:spacing w:val="5"/>
    </w:rPr>
  </w:style>
  <w:style w:type="table" w:styleId="TableGrid">
    <w:name w:val="Table Grid"/>
    <w:basedOn w:val="TableNormal"/>
    <w:uiPriority w:val="39"/>
    <w:rsid w:val="00E978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E9788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E9788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E97880"/>
    <w:pPr>
      <w:spacing w:before="240" w:after="0"/>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E97880"/>
    <w:pPr>
      <w:spacing w:after="100"/>
    </w:pPr>
  </w:style>
  <w:style w:type="paragraph" w:styleId="TOC2">
    <w:name w:val="toc 2"/>
    <w:basedOn w:val="Normal"/>
    <w:next w:val="Normal"/>
    <w:autoRedefine/>
    <w:uiPriority w:val="39"/>
    <w:unhideWhenUsed/>
    <w:rsid w:val="00E97880"/>
    <w:pPr>
      <w:spacing w:after="100"/>
      <w:ind w:left="220"/>
    </w:pPr>
  </w:style>
  <w:style w:type="character" w:styleId="Hyperlink">
    <w:name w:val="Hyperlink"/>
    <w:basedOn w:val="DefaultParagraphFont"/>
    <w:uiPriority w:val="99"/>
    <w:unhideWhenUsed/>
    <w:rsid w:val="00E97880"/>
    <w:rPr>
      <w:color w:val="0563C1" w:themeColor="hyperlink"/>
      <w:u w:val="single"/>
    </w:rPr>
  </w:style>
  <w:style w:type="paragraph" w:styleId="Header">
    <w:name w:val="header"/>
    <w:basedOn w:val="Normal"/>
    <w:link w:val="HeaderChar"/>
    <w:uiPriority w:val="99"/>
    <w:unhideWhenUsed/>
    <w:rsid w:val="00E978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7880"/>
    <w:rPr>
      <w:rFonts w:ascii="Arial" w:hAnsi="Arial"/>
      <w:noProof/>
    </w:rPr>
  </w:style>
  <w:style w:type="paragraph" w:styleId="Footer">
    <w:name w:val="footer"/>
    <w:basedOn w:val="Normal"/>
    <w:link w:val="FooterChar"/>
    <w:uiPriority w:val="99"/>
    <w:unhideWhenUsed/>
    <w:rsid w:val="00E978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7880"/>
    <w:rPr>
      <w:rFonts w:ascii="Arial" w:hAnsi="Arial"/>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chart" Target="charts/chart4.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3.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chart" Target="charts/chart2.xml" /><Relationship Id="rId4" Type="http://schemas.openxmlformats.org/officeDocument/2006/relationships/settings" Target="settings.xml" /><Relationship Id="rId9" Type="http://schemas.openxmlformats.org/officeDocument/2006/relationships/chart" Target="charts/chart1.xml" /><Relationship Id="rId14" Type="http://schemas.openxmlformats.org/officeDocument/2006/relationships/footer" Target="footer2.xml"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 /><Relationship Id="rId2" Type="http://schemas.microsoft.com/office/2011/relationships/chartColorStyle" Target="colors4.xml" /><Relationship Id="rId1" Type="http://schemas.microsoft.com/office/2011/relationships/chartStyle" Target="style4.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Revenue</c:v>
                </c:pt>
              </c:strCache>
            </c:strRef>
          </c:tx>
          <c:spPr>
            <a:ln w="28575" cap="rnd">
              <a:solidFill>
                <a:schemeClr val="accent1"/>
              </a:solidFill>
              <a:round/>
            </a:ln>
            <a:effectLst/>
          </c:spPr>
          <c:marker>
            <c:symbol val="none"/>
          </c:marker>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29.9</c:v>
                </c:pt>
                <c:pt idx="1">
                  <c:v>27.2</c:v>
                </c:pt>
                <c:pt idx="2">
                  <c:v>31.4</c:v>
                </c:pt>
                <c:pt idx="3">
                  <c:v>37.200000000000003</c:v>
                </c:pt>
                <c:pt idx="4">
                  <c:v>45.1</c:v>
                </c:pt>
              </c:numCache>
            </c:numRef>
          </c:val>
          <c:smooth val="0"/>
          <c:extLst>
            <c:ext xmlns:c16="http://schemas.microsoft.com/office/drawing/2014/chart" uri="{C3380CC4-5D6E-409C-BE32-E72D297353CC}">
              <c16:uniqueId val="{00000000-21F3-486C-92DB-CA2CB3BB09FA}"/>
            </c:ext>
          </c:extLst>
        </c:ser>
        <c:dLbls>
          <c:showLegendKey val="0"/>
          <c:showVal val="0"/>
          <c:showCatName val="0"/>
          <c:showSerName val="0"/>
          <c:showPercent val="0"/>
          <c:showBubbleSize val="0"/>
        </c:dLbls>
        <c:smooth val="0"/>
        <c:axId val="365385887"/>
        <c:axId val="365402687"/>
      </c:lineChart>
      <c:catAx>
        <c:axId val="3653858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402687"/>
        <c:crosses val="autoZero"/>
        <c:auto val="1"/>
        <c:lblAlgn val="ctr"/>
        <c:lblOffset val="100"/>
        <c:noMultiLvlLbl val="0"/>
      </c:catAx>
      <c:valAx>
        <c:axId val="3654026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3858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ROCE</c:v>
                </c:pt>
              </c:strCache>
            </c:strRef>
          </c:tx>
          <c:spPr>
            <a:ln w="28575" cap="rnd">
              <a:solidFill>
                <a:schemeClr val="accent1"/>
              </a:solidFill>
              <a:round/>
            </a:ln>
            <a:effectLst/>
          </c:spPr>
          <c:marker>
            <c:symbol val="none"/>
          </c:marker>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8.5</c:v>
                </c:pt>
                <c:pt idx="1">
                  <c:v>8</c:v>
                </c:pt>
                <c:pt idx="2">
                  <c:v>9.1999999999999993</c:v>
                </c:pt>
                <c:pt idx="3">
                  <c:v>8.6</c:v>
                </c:pt>
                <c:pt idx="4">
                  <c:v>10.199999999999999</c:v>
                </c:pt>
              </c:numCache>
            </c:numRef>
          </c:val>
          <c:smooth val="0"/>
          <c:extLst>
            <c:ext xmlns:c16="http://schemas.microsoft.com/office/drawing/2014/chart" uri="{C3380CC4-5D6E-409C-BE32-E72D297353CC}">
              <c16:uniqueId val="{00000000-4B72-423C-90E0-588C853E9382}"/>
            </c:ext>
          </c:extLst>
        </c:ser>
        <c:dLbls>
          <c:showLegendKey val="0"/>
          <c:showVal val="0"/>
          <c:showCatName val="0"/>
          <c:showSerName val="0"/>
          <c:showPercent val="0"/>
          <c:showBubbleSize val="0"/>
        </c:dLbls>
        <c:smooth val="0"/>
        <c:axId val="365419487"/>
        <c:axId val="365416607"/>
      </c:lineChart>
      <c:catAx>
        <c:axId val="3654194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416607"/>
        <c:crosses val="autoZero"/>
        <c:auto val="1"/>
        <c:lblAlgn val="ctr"/>
        <c:lblOffset val="100"/>
        <c:noMultiLvlLbl val="0"/>
      </c:catAx>
      <c:valAx>
        <c:axId val="3654166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4194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CCC</c:v>
                </c:pt>
              </c:strCache>
            </c:strRef>
          </c:tx>
          <c:spPr>
            <a:ln w="28575" cap="rnd">
              <a:solidFill>
                <a:schemeClr val="accent1"/>
              </a:solidFill>
              <a:round/>
            </a:ln>
            <a:effectLst/>
          </c:spPr>
          <c:marker>
            <c:symbol val="none"/>
          </c:marker>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40</c:v>
                </c:pt>
                <c:pt idx="1">
                  <c:v>43</c:v>
                </c:pt>
                <c:pt idx="2">
                  <c:v>44</c:v>
                </c:pt>
                <c:pt idx="3">
                  <c:v>46</c:v>
                </c:pt>
                <c:pt idx="4">
                  <c:v>48</c:v>
                </c:pt>
              </c:numCache>
            </c:numRef>
          </c:val>
          <c:smooth val="0"/>
          <c:extLst>
            <c:ext xmlns:c16="http://schemas.microsoft.com/office/drawing/2014/chart" uri="{C3380CC4-5D6E-409C-BE32-E72D297353CC}">
              <c16:uniqueId val="{00000000-2D80-4CB3-BC46-9449EE540DA7}"/>
            </c:ext>
          </c:extLst>
        </c:ser>
        <c:dLbls>
          <c:showLegendKey val="0"/>
          <c:showVal val="0"/>
          <c:showCatName val="0"/>
          <c:showSerName val="0"/>
          <c:showPercent val="0"/>
          <c:showBubbleSize val="0"/>
        </c:dLbls>
        <c:smooth val="0"/>
        <c:axId val="365364287"/>
        <c:axId val="365360927"/>
      </c:lineChart>
      <c:catAx>
        <c:axId val="3653642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360927"/>
        <c:crosses val="autoZero"/>
        <c:auto val="1"/>
        <c:lblAlgn val="ctr"/>
        <c:lblOffset val="100"/>
        <c:noMultiLvlLbl val="0"/>
      </c:catAx>
      <c:valAx>
        <c:axId val="3653609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3642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Debt/Equity</c:v>
                </c:pt>
              </c:strCache>
            </c:strRef>
          </c:tx>
          <c:spPr>
            <a:solidFill>
              <a:schemeClr val="accent1"/>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1.1000000000000001</c:v>
                </c:pt>
                <c:pt idx="1">
                  <c:v>1.1499999999999999</c:v>
                </c:pt>
                <c:pt idx="2">
                  <c:v>1.2</c:v>
                </c:pt>
                <c:pt idx="3">
                  <c:v>1.18</c:v>
                </c:pt>
                <c:pt idx="4">
                  <c:v>1.1200000000000001</c:v>
                </c:pt>
              </c:numCache>
            </c:numRef>
          </c:val>
          <c:extLst>
            <c:ext xmlns:c16="http://schemas.microsoft.com/office/drawing/2014/chart" uri="{C3380CC4-5D6E-409C-BE32-E72D297353CC}">
              <c16:uniqueId val="{00000000-4461-48AE-96E9-FD8697A4D4EB}"/>
            </c:ext>
          </c:extLst>
        </c:ser>
        <c:dLbls>
          <c:showLegendKey val="0"/>
          <c:showVal val="0"/>
          <c:showCatName val="0"/>
          <c:showSerName val="0"/>
          <c:showPercent val="0"/>
          <c:showBubbleSize val="0"/>
        </c:dLbls>
        <c:gapWidth val="219"/>
        <c:overlap val="-27"/>
        <c:axId val="365355167"/>
        <c:axId val="365368127"/>
      </c:barChart>
      <c:catAx>
        <c:axId val="3653551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368127"/>
        <c:crosses val="autoZero"/>
        <c:auto val="1"/>
        <c:lblAlgn val="ctr"/>
        <c:lblOffset val="100"/>
        <c:noMultiLvlLbl val="0"/>
      </c:catAx>
      <c:valAx>
        <c:axId val="3653681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3551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AA7E79-6EAF-49F1-9BFF-AEC16EEF404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6973</Words>
  <Characters>39750</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Avani Kasundra</dc:creator>
  <cp:keywords/>
  <dc:description/>
  <cp:lastModifiedBy>Shubham Sanjaybhai Dudhat (2526722)</cp:lastModifiedBy>
  <cp:revision>2</cp:revision>
  <dcterms:created xsi:type="dcterms:W3CDTF">2026-04-24T00:31:00Z</dcterms:created>
  <dcterms:modified xsi:type="dcterms:W3CDTF">2026-04-24T00:31:00Z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8a1215b7-86e2-45a1-b9bd-46f701163ec8</vt:lpwstr>
  </property>
</Properties>
</file>