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994AC" w14:textId="77777777" w:rsidR="009B56DD" w:rsidRPr="00F7119D" w:rsidRDefault="009B56DD" w:rsidP="009B56DD">
      <w:pPr>
        <w:spacing w:line="360" w:lineRule="auto"/>
        <w:rPr>
          <w:rFonts w:ascii="Arial" w:hAnsi="Arial" w:cs="Arial"/>
          <w:b/>
          <w:bCs/>
          <w:sz w:val="32"/>
          <w:szCs w:val="32"/>
        </w:rPr>
      </w:pPr>
      <w:r w:rsidRPr="00F7119D">
        <w:rPr>
          <w:rFonts w:ascii="Arial" w:hAnsi="Arial" w:cs="Arial"/>
          <w:b/>
          <w:bCs/>
          <w:sz w:val="32"/>
          <w:szCs w:val="32"/>
        </w:rPr>
        <w:t>Student name: Shazad Hussain Shah</w:t>
      </w:r>
    </w:p>
    <w:p w14:paraId="45A9654C" w14:textId="77777777" w:rsidR="009B56DD" w:rsidRPr="00F7119D" w:rsidRDefault="009B56DD" w:rsidP="009B56DD">
      <w:pPr>
        <w:spacing w:line="360" w:lineRule="auto"/>
        <w:rPr>
          <w:rFonts w:ascii="Arial" w:hAnsi="Arial" w:cs="Arial"/>
          <w:b/>
          <w:bCs/>
          <w:sz w:val="32"/>
          <w:szCs w:val="32"/>
        </w:rPr>
      </w:pPr>
      <w:r w:rsidRPr="00F7119D">
        <w:rPr>
          <w:rFonts w:ascii="Arial" w:hAnsi="Arial" w:cs="Arial"/>
          <w:b/>
          <w:bCs/>
          <w:sz w:val="32"/>
          <w:szCs w:val="32"/>
        </w:rPr>
        <w:t>Student ID number: 2311387</w:t>
      </w:r>
    </w:p>
    <w:p w14:paraId="0E9FF425" w14:textId="017F2CEC" w:rsidR="009B56DD" w:rsidRPr="00F7119D" w:rsidRDefault="009B56DD" w:rsidP="009B56DD">
      <w:pPr>
        <w:spacing w:line="360" w:lineRule="auto"/>
        <w:rPr>
          <w:rFonts w:ascii="Arial" w:hAnsi="Arial" w:cs="Arial"/>
          <w:b/>
          <w:bCs/>
          <w:sz w:val="32"/>
          <w:szCs w:val="32"/>
        </w:rPr>
      </w:pPr>
      <w:r w:rsidRPr="00F7119D">
        <w:rPr>
          <w:rFonts w:ascii="Arial" w:hAnsi="Arial" w:cs="Arial"/>
          <w:b/>
          <w:bCs/>
          <w:sz w:val="32"/>
          <w:szCs w:val="32"/>
        </w:rPr>
        <w:t xml:space="preserve">Module: </w:t>
      </w:r>
      <w:r w:rsidR="00BA1238" w:rsidRPr="00BA1238">
        <w:rPr>
          <w:rFonts w:ascii="Arial" w:hAnsi="Arial" w:cs="Arial"/>
          <w:b/>
          <w:bCs/>
          <w:sz w:val="32"/>
          <w:szCs w:val="32"/>
        </w:rPr>
        <w:t>Principles of Marketing</w:t>
      </w:r>
    </w:p>
    <w:p w14:paraId="2965F99F" w14:textId="581CB6BF" w:rsidR="009B56DD" w:rsidRPr="00F7119D" w:rsidRDefault="009B56DD" w:rsidP="009B56DD">
      <w:pPr>
        <w:spacing w:line="360" w:lineRule="auto"/>
        <w:rPr>
          <w:rFonts w:ascii="Arial" w:hAnsi="Arial" w:cs="Arial"/>
          <w:b/>
          <w:bCs/>
          <w:sz w:val="32"/>
          <w:szCs w:val="32"/>
        </w:rPr>
      </w:pPr>
      <w:r w:rsidRPr="00F7119D">
        <w:rPr>
          <w:rFonts w:ascii="Arial" w:hAnsi="Arial" w:cs="Arial"/>
          <w:b/>
          <w:bCs/>
          <w:sz w:val="32"/>
          <w:szCs w:val="32"/>
        </w:rPr>
        <w:t xml:space="preserve">Module code: </w:t>
      </w:r>
      <w:r w:rsidRPr="008C5005">
        <w:rPr>
          <w:rFonts w:ascii="Arial" w:hAnsi="Arial" w:cs="Arial"/>
          <w:b/>
          <w:bCs/>
          <w:sz w:val="32"/>
          <w:szCs w:val="32"/>
        </w:rPr>
        <w:t>LCBB501</w:t>
      </w:r>
      <w:r w:rsidR="00C137AF">
        <w:rPr>
          <w:rFonts w:ascii="Arial" w:hAnsi="Arial" w:cs="Arial"/>
          <w:b/>
          <w:bCs/>
          <w:sz w:val="32"/>
          <w:szCs w:val="32"/>
        </w:rPr>
        <w:t>5</w:t>
      </w:r>
    </w:p>
    <w:p w14:paraId="48261BDB" w14:textId="5F106C70" w:rsidR="009B56DD" w:rsidRPr="00F7119D" w:rsidRDefault="009B56DD" w:rsidP="009B56DD">
      <w:pPr>
        <w:spacing w:line="360" w:lineRule="auto"/>
        <w:rPr>
          <w:rFonts w:ascii="Arial" w:hAnsi="Arial" w:cs="Arial"/>
          <w:b/>
          <w:bCs/>
          <w:sz w:val="32"/>
          <w:szCs w:val="32"/>
        </w:rPr>
      </w:pPr>
      <w:r w:rsidRPr="00F7119D">
        <w:rPr>
          <w:rFonts w:ascii="Arial" w:hAnsi="Arial" w:cs="Arial"/>
          <w:b/>
          <w:bCs/>
          <w:sz w:val="32"/>
          <w:szCs w:val="32"/>
        </w:rPr>
        <w:t xml:space="preserve">Lecturer name: </w:t>
      </w:r>
      <w:r w:rsidR="002B3A3B">
        <w:rPr>
          <w:rFonts w:ascii="Arial" w:hAnsi="Arial" w:cs="Arial"/>
          <w:b/>
          <w:bCs/>
          <w:sz w:val="32"/>
          <w:szCs w:val="32"/>
        </w:rPr>
        <w:t xml:space="preserve">Mohammed Ashikul </w:t>
      </w:r>
      <w:r w:rsidR="00091D6D">
        <w:rPr>
          <w:rFonts w:ascii="Arial" w:hAnsi="Arial" w:cs="Arial"/>
          <w:b/>
          <w:bCs/>
          <w:sz w:val="32"/>
          <w:szCs w:val="32"/>
        </w:rPr>
        <w:t>Khan</w:t>
      </w:r>
    </w:p>
    <w:p w14:paraId="79078B41" w14:textId="77777777" w:rsidR="009B56DD" w:rsidRDefault="009B56DD" w:rsidP="009B56DD">
      <w:pPr>
        <w:spacing w:line="360" w:lineRule="auto"/>
        <w:rPr>
          <w:rFonts w:ascii="Arial" w:hAnsi="Arial" w:cs="Arial"/>
          <w:b/>
          <w:bCs/>
          <w:sz w:val="32"/>
          <w:szCs w:val="32"/>
        </w:rPr>
      </w:pPr>
      <w:r w:rsidRPr="00F7119D">
        <w:rPr>
          <w:rFonts w:ascii="Arial" w:hAnsi="Arial" w:cs="Arial"/>
          <w:b/>
          <w:bCs/>
          <w:sz w:val="32"/>
          <w:szCs w:val="32"/>
        </w:rPr>
        <w:t xml:space="preserve">Assignment Title: </w:t>
      </w:r>
      <w:r w:rsidRPr="00FF3B87">
        <w:rPr>
          <w:rFonts w:ascii="Arial" w:hAnsi="Arial" w:cs="Arial"/>
          <w:b/>
          <w:bCs/>
          <w:sz w:val="32"/>
          <w:szCs w:val="32"/>
        </w:rPr>
        <w:t xml:space="preserve">Component 1: Coursework: Individual Report </w:t>
      </w:r>
    </w:p>
    <w:p w14:paraId="31762FA1" w14:textId="74460ED6" w:rsidR="009B56DD" w:rsidRPr="00F7119D" w:rsidRDefault="009B56DD" w:rsidP="009B56DD">
      <w:pPr>
        <w:spacing w:line="360" w:lineRule="auto"/>
        <w:rPr>
          <w:rFonts w:ascii="Arial" w:hAnsi="Arial" w:cs="Arial"/>
          <w:b/>
          <w:bCs/>
          <w:sz w:val="32"/>
          <w:szCs w:val="32"/>
        </w:rPr>
      </w:pPr>
      <w:r w:rsidRPr="00F7119D">
        <w:rPr>
          <w:rFonts w:ascii="Arial" w:hAnsi="Arial" w:cs="Arial"/>
          <w:b/>
          <w:bCs/>
          <w:sz w:val="32"/>
          <w:szCs w:val="32"/>
        </w:rPr>
        <w:t xml:space="preserve">Company: </w:t>
      </w:r>
      <w:r w:rsidR="0063014B">
        <w:rPr>
          <w:rFonts w:ascii="Arial" w:hAnsi="Arial" w:cs="Arial"/>
          <w:b/>
          <w:bCs/>
          <w:sz w:val="32"/>
          <w:szCs w:val="32"/>
        </w:rPr>
        <w:t>Tesco PLC</w:t>
      </w:r>
    </w:p>
    <w:p w14:paraId="5786D6B3" w14:textId="143B8368" w:rsidR="00811E15" w:rsidRDefault="00811E15" w:rsidP="00336238">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p>
    <w:p w14:paraId="4A2CF96F" w14:textId="77777777" w:rsidR="00811E15" w:rsidRDefault="00811E15">
      <w:pPr>
        <w:rPr>
          <w:rFonts w:ascii="Arial" w:eastAsia="Times New Roman" w:hAnsi="Arial" w:cs="Arial"/>
          <w:b/>
          <w:bCs/>
          <w:kern w:val="36"/>
          <w:sz w:val="48"/>
          <w:szCs w:val="48"/>
          <w:lang w:eastAsia="en-GB"/>
          <w14:ligatures w14:val="none"/>
        </w:rPr>
      </w:pPr>
      <w:r>
        <w:rPr>
          <w:rFonts w:ascii="Arial" w:eastAsia="Times New Roman" w:hAnsi="Arial" w:cs="Arial"/>
          <w:b/>
          <w:bCs/>
          <w:kern w:val="36"/>
          <w:sz w:val="48"/>
          <w:szCs w:val="48"/>
          <w:lang w:eastAsia="en-GB"/>
          <w14:ligatures w14:val="none"/>
        </w:rPr>
        <w:br w:type="page"/>
      </w:r>
    </w:p>
    <w:sdt>
      <w:sdtPr>
        <w:id w:val="-197528165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3076D85" w14:textId="5547F8D7" w:rsidR="00DB4294" w:rsidRDefault="00DB4294">
          <w:pPr>
            <w:pStyle w:val="TOCHeading"/>
          </w:pPr>
          <w:r>
            <w:t>Table of Contents</w:t>
          </w:r>
        </w:p>
        <w:p w14:paraId="39127AE2" w14:textId="0E999D31" w:rsidR="007858D4" w:rsidRDefault="00DB429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1165202" w:history="1">
            <w:r w:rsidR="007858D4" w:rsidRPr="005F1481">
              <w:rPr>
                <w:rStyle w:val="Hyperlink"/>
                <w:rFonts w:ascii="Arial" w:eastAsia="Times New Roman" w:hAnsi="Arial" w:cs="Arial"/>
                <w:noProof/>
                <w:lang w:eastAsia="en-GB"/>
              </w:rPr>
              <w:t>1. Introduction</w:t>
            </w:r>
            <w:r w:rsidR="007858D4">
              <w:rPr>
                <w:noProof/>
                <w:webHidden/>
              </w:rPr>
              <w:tab/>
            </w:r>
            <w:r w:rsidR="007858D4">
              <w:rPr>
                <w:noProof/>
                <w:webHidden/>
              </w:rPr>
              <w:fldChar w:fldCharType="begin"/>
            </w:r>
            <w:r w:rsidR="007858D4">
              <w:rPr>
                <w:noProof/>
                <w:webHidden/>
              </w:rPr>
              <w:instrText xml:space="preserve"> PAGEREF _Toc211165202 \h </w:instrText>
            </w:r>
            <w:r w:rsidR="007858D4">
              <w:rPr>
                <w:noProof/>
                <w:webHidden/>
              </w:rPr>
            </w:r>
            <w:r w:rsidR="007858D4">
              <w:rPr>
                <w:noProof/>
                <w:webHidden/>
              </w:rPr>
              <w:fldChar w:fldCharType="separate"/>
            </w:r>
            <w:r w:rsidR="007858D4">
              <w:rPr>
                <w:noProof/>
                <w:webHidden/>
              </w:rPr>
              <w:t>3</w:t>
            </w:r>
            <w:r w:rsidR="007858D4">
              <w:rPr>
                <w:noProof/>
                <w:webHidden/>
              </w:rPr>
              <w:fldChar w:fldCharType="end"/>
            </w:r>
          </w:hyperlink>
        </w:p>
        <w:p w14:paraId="1500F437" w14:textId="6C58E70B" w:rsidR="007858D4" w:rsidRDefault="007858D4">
          <w:pPr>
            <w:pStyle w:val="TOC3"/>
            <w:tabs>
              <w:tab w:val="right" w:leader="dot" w:pos="9016"/>
            </w:tabs>
            <w:rPr>
              <w:rFonts w:eastAsiaTheme="minorEastAsia"/>
              <w:noProof/>
              <w:sz w:val="24"/>
              <w:szCs w:val="24"/>
              <w:lang w:eastAsia="en-GB"/>
            </w:rPr>
          </w:pPr>
          <w:hyperlink w:anchor="_Toc211165203" w:history="1">
            <w:r w:rsidRPr="005F1481">
              <w:rPr>
                <w:rStyle w:val="Hyperlink"/>
                <w:rFonts w:ascii="Arial" w:eastAsia="Times New Roman" w:hAnsi="Arial" w:cs="Arial"/>
                <w:b/>
                <w:bCs/>
                <w:noProof/>
                <w:kern w:val="0"/>
                <w:lang w:eastAsia="en-GB"/>
                <w14:ligatures w14:val="none"/>
              </w:rPr>
              <w:t>Organisation Overview</w:t>
            </w:r>
            <w:r>
              <w:rPr>
                <w:noProof/>
                <w:webHidden/>
              </w:rPr>
              <w:tab/>
            </w:r>
            <w:r>
              <w:rPr>
                <w:noProof/>
                <w:webHidden/>
              </w:rPr>
              <w:fldChar w:fldCharType="begin"/>
            </w:r>
            <w:r>
              <w:rPr>
                <w:noProof/>
                <w:webHidden/>
              </w:rPr>
              <w:instrText xml:space="preserve"> PAGEREF _Toc211165203 \h </w:instrText>
            </w:r>
            <w:r>
              <w:rPr>
                <w:noProof/>
                <w:webHidden/>
              </w:rPr>
            </w:r>
            <w:r>
              <w:rPr>
                <w:noProof/>
                <w:webHidden/>
              </w:rPr>
              <w:fldChar w:fldCharType="separate"/>
            </w:r>
            <w:r>
              <w:rPr>
                <w:noProof/>
                <w:webHidden/>
              </w:rPr>
              <w:t>3</w:t>
            </w:r>
            <w:r>
              <w:rPr>
                <w:noProof/>
                <w:webHidden/>
              </w:rPr>
              <w:fldChar w:fldCharType="end"/>
            </w:r>
          </w:hyperlink>
        </w:p>
        <w:p w14:paraId="60A599BA" w14:textId="252D33B3" w:rsidR="007858D4" w:rsidRDefault="007858D4">
          <w:pPr>
            <w:pStyle w:val="TOC3"/>
            <w:tabs>
              <w:tab w:val="right" w:leader="dot" w:pos="9016"/>
            </w:tabs>
            <w:rPr>
              <w:rFonts w:eastAsiaTheme="minorEastAsia"/>
              <w:noProof/>
              <w:sz w:val="24"/>
              <w:szCs w:val="24"/>
              <w:lang w:eastAsia="en-GB"/>
            </w:rPr>
          </w:pPr>
          <w:hyperlink w:anchor="_Toc211165204" w:history="1">
            <w:r w:rsidRPr="005F1481">
              <w:rPr>
                <w:rStyle w:val="Hyperlink"/>
                <w:rFonts w:ascii="Arial" w:eastAsia="Times New Roman" w:hAnsi="Arial" w:cs="Arial"/>
                <w:b/>
                <w:bCs/>
                <w:noProof/>
                <w:kern w:val="0"/>
                <w:lang w:eastAsia="en-GB"/>
                <w14:ligatures w14:val="none"/>
              </w:rPr>
              <w:t>4Vs Analysis of Tesco:</w:t>
            </w:r>
            <w:r>
              <w:rPr>
                <w:noProof/>
                <w:webHidden/>
              </w:rPr>
              <w:tab/>
            </w:r>
            <w:r>
              <w:rPr>
                <w:noProof/>
                <w:webHidden/>
              </w:rPr>
              <w:fldChar w:fldCharType="begin"/>
            </w:r>
            <w:r>
              <w:rPr>
                <w:noProof/>
                <w:webHidden/>
              </w:rPr>
              <w:instrText xml:space="preserve"> PAGEREF _Toc211165204 \h </w:instrText>
            </w:r>
            <w:r>
              <w:rPr>
                <w:noProof/>
                <w:webHidden/>
              </w:rPr>
            </w:r>
            <w:r>
              <w:rPr>
                <w:noProof/>
                <w:webHidden/>
              </w:rPr>
              <w:fldChar w:fldCharType="separate"/>
            </w:r>
            <w:r>
              <w:rPr>
                <w:noProof/>
                <w:webHidden/>
              </w:rPr>
              <w:t>3</w:t>
            </w:r>
            <w:r>
              <w:rPr>
                <w:noProof/>
                <w:webHidden/>
              </w:rPr>
              <w:fldChar w:fldCharType="end"/>
            </w:r>
          </w:hyperlink>
        </w:p>
        <w:p w14:paraId="4C0753CE" w14:textId="74136D8E" w:rsidR="007858D4" w:rsidRDefault="007858D4">
          <w:pPr>
            <w:pStyle w:val="TOC3"/>
            <w:tabs>
              <w:tab w:val="right" w:leader="dot" w:pos="9016"/>
            </w:tabs>
            <w:rPr>
              <w:rFonts w:eastAsiaTheme="minorEastAsia"/>
              <w:noProof/>
              <w:sz w:val="24"/>
              <w:szCs w:val="24"/>
              <w:lang w:eastAsia="en-GB"/>
            </w:rPr>
          </w:pPr>
          <w:hyperlink w:anchor="_Toc211165205" w:history="1">
            <w:r w:rsidRPr="005F1481">
              <w:rPr>
                <w:rStyle w:val="Hyperlink"/>
                <w:rFonts w:ascii="Arial" w:eastAsia="Times New Roman" w:hAnsi="Arial" w:cs="Arial"/>
                <w:b/>
                <w:bCs/>
                <w:noProof/>
                <w:kern w:val="0"/>
                <w:lang w:eastAsia="en-GB"/>
                <w14:ligatures w14:val="none"/>
              </w:rPr>
              <w:t>Purpose and Model Choice</w:t>
            </w:r>
            <w:r>
              <w:rPr>
                <w:noProof/>
                <w:webHidden/>
              </w:rPr>
              <w:tab/>
            </w:r>
            <w:r>
              <w:rPr>
                <w:noProof/>
                <w:webHidden/>
              </w:rPr>
              <w:fldChar w:fldCharType="begin"/>
            </w:r>
            <w:r>
              <w:rPr>
                <w:noProof/>
                <w:webHidden/>
              </w:rPr>
              <w:instrText xml:space="preserve"> PAGEREF _Toc211165205 \h </w:instrText>
            </w:r>
            <w:r>
              <w:rPr>
                <w:noProof/>
                <w:webHidden/>
              </w:rPr>
            </w:r>
            <w:r>
              <w:rPr>
                <w:noProof/>
                <w:webHidden/>
              </w:rPr>
              <w:fldChar w:fldCharType="separate"/>
            </w:r>
            <w:r>
              <w:rPr>
                <w:noProof/>
                <w:webHidden/>
              </w:rPr>
              <w:t>4</w:t>
            </w:r>
            <w:r>
              <w:rPr>
                <w:noProof/>
                <w:webHidden/>
              </w:rPr>
              <w:fldChar w:fldCharType="end"/>
            </w:r>
          </w:hyperlink>
        </w:p>
        <w:p w14:paraId="5026DA81" w14:textId="5B35D34E" w:rsidR="007858D4" w:rsidRDefault="007858D4">
          <w:pPr>
            <w:pStyle w:val="TOC1"/>
            <w:tabs>
              <w:tab w:val="right" w:leader="dot" w:pos="9016"/>
            </w:tabs>
            <w:rPr>
              <w:rFonts w:eastAsiaTheme="minorEastAsia"/>
              <w:noProof/>
              <w:sz w:val="24"/>
              <w:szCs w:val="24"/>
              <w:lang w:eastAsia="en-GB"/>
            </w:rPr>
          </w:pPr>
          <w:hyperlink w:anchor="_Toc211165206" w:history="1">
            <w:r w:rsidRPr="005F1481">
              <w:rPr>
                <w:rStyle w:val="Hyperlink"/>
                <w:rFonts w:ascii="Arial" w:eastAsia="Times New Roman" w:hAnsi="Arial" w:cs="Arial"/>
                <w:noProof/>
                <w:lang w:eastAsia="en-GB"/>
              </w:rPr>
              <w:t>2. Situational Analysis, SWOT</w:t>
            </w:r>
            <w:r>
              <w:rPr>
                <w:noProof/>
                <w:webHidden/>
              </w:rPr>
              <w:tab/>
            </w:r>
            <w:r>
              <w:rPr>
                <w:noProof/>
                <w:webHidden/>
              </w:rPr>
              <w:fldChar w:fldCharType="begin"/>
            </w:r>
            <w:r>
              <w:rPr>
                <w:noProof/>
                <w:webHidden/>
              </w:rPr>
              <w:instrText xml:space="preserve"> PAGEREF _Toc211165206 \h </w:instrText>
            </w:r>
            <w:r>
              <w:rPr>
                <w:noProof/>
                <w:webHidden/>
              </w:rPr>
            </w:r>
            <w:r>
              <w:rPr>
                <w:noProof/>
                <w:webHidden/>
              </w:rPr>
              <w:fldChar w:fldCharType="separate"/>
            </w:r>
            <w:r>
              <w:rPr>
                <w:noProof/>
                <w:webHidden/>
              </w:rPr>
              <w:t>4</w:t>
            </w:r>
            <w:r>
              <w:rPr>
                <w:noProof/>
                <w:webHidden/>
              </w:rPr>
              <w:fldChar w:fldCharType="end"/>
            </w:r>
          </w:hyperlink>
        </w:p>
        <w:p w14:paraId="7D996A71" w14:textId="5DC8856D" w:rsidR="007858D4" w:rsidRDefault="007858D4">
          <w:pPr>
            <w:pStyle w:val="TOC3"/>
            <w:tabs>
              <w:tab w:val="right" w:leader="dot" w:pos="9016"/>
            </w:tabs>
            <w:rPr>
              <w:rFonts w:eastAsiaTheme="minorEastAsia"/>
              <w:noProof/>
              <w:sz w:val="24"/>
              <w:szCs w:val="24"/>
              <w:lang w:eastAsia="en-GB"/>
            </w:rPr>
          </w:pPr>
          <w:hyperlink w:anchor="_Toc211165207" w:history="1">
            <w:r w:rsidRPr="005F1481">
              <w:rPr>
                <w:rStyle w:val="Hyperlink"/>
                <w:rFonts w:ascii="Arial" w:eastAsia="Times New Roman" w:hAnsi="Arial" w:cs="Arial"/>
                <w:b/>
                <w:bCs/>
                <w:noProof/>
                <w:kern w:val="0"/>
                <w:lang w:eastAsia="en-GB"/>
                <w14:ligatures w14:val="none"/>
              </w:rPr>
              <w:t>Strengths</w:t>
            </w:r>
            <w:r>
              <w:rPr>
                <w:noProof/>
                <w:webHidden/>
              </w:rPr>
              <w:tab/>
            </w:r>
            <w:r>
              <w:rPr>
                <w:noProof/>
                <w:webHidden/>
              </w:rPr>
              <w:fldChar w:fldCharType="begin"/>
            </w:r>
            <w:r>
              <w:rPr>
                <w:noProof/>
                <w:webHidden/>
              </w:rPr>
              <w:instrText xml:space="preserve"> PAGEREF _Toc211165207 \h </w:instrText>
            </w:r>
            <w:r>
              <w:rPr>
                <w:noProof/>
                <w:webHidden/>
              </w:rPr>
            </w:r>
            <w:r>
              <w:rPr>
                <w:noProof/>
                <w:webHidden/>
              </w:rPr>
              <w:fldChar w:fldCharType="separate"/>
            </w:r>
            <w:r>
              <w:rPr>
                <w:noProof/>
                <w:webHidden/>
              </w:rPr>
              <w:t>4</w:t>
            </w:r>
            <w:r>
              <w:rPr>
                <w:noProof/>
                <w:webHidden/>
              </w:rPr>
              <w:fldChar w:fldCharType="end"/>
            </w:r>
          </w:hyperlink>
        </w:p>
        <w:p w14:paraId="01955A41" w14:textId="3127FC4D" w:rsidR="007858D4" w:rsidRDefault="007858D4">
          <w:pPr>
            <w:pStyle w:val="TOC3"/>
            <w:tabs>
              <w:tab w:val="right" w:leader="dot" w:pos="9016"/>
            </w:tabs>
            <w:rPr>
              <w:rFonts w:eastAsiaTheme="minorEastAsia"/>
              <w:noProof/>
              <w:sz w:val="24"/>
              <w:szCs w:val="24"/>
              <w:lang w:eastAsia="en-GB"/>
            </w:rPr>
          </w:pPr>
          <w:hyperlink w:anchor="_Toc211165208" w:history="1">
            <w:r w:rsidRPr="005F1481">
              <w:rPr>
                <w:rStyle w:val="Hyperlink"/>
                <w:rFonts w:ascii="Arial" w:eastAsia="Times New Roman" w:hAnsi="Arial" w:cs="Arial"/>
                <w:b/>
                <w:bCs/>
                <w:noProof/>
                <w:kern w:val="0"/>
                <w:lang w:eastAsia="en-GB"/>
                <w14:ligatures w14:val="none"/>
              </w:rPr>
              <w:t>Weaknesses</w:t>
            </w:r>
            <w:r>
              <w:rPr>
                <w:noProof/>
                <w:webHidden/>
              </w:rPr>
              <w:tab/>
            </w:r>
            <w:r>
              <w:rPr>
                <w:noProof/>
                <w:webHidden/>
              </w:rPr>
              <w:fldChar w:fldCharType="begin"/>
            </w:r>
            <w:r>
              <w:rPr>
                <w:noProof/>
                <w:webHidden/>
              </w:rPr>
              <w:instrText xml:space="preserve"> PAGEREF _Toc211165208 \h </w:instrText>
            </w:r>
            <w:r>
              <w:rPr>
                <w:noProof/>
                <w:webHidden/>
              </w:rPr>
            </w:r>
            <w:r>
              <w:rPr>
                <w:noProof/>
                <w:webHidden/>
              </w:rPr>
              <w:fldChar w:fldCharType="separate"/>
            </w:r>
            <w:r>
              <w:rPr>
                <w:noProof/>
                <w:webHidden/>
              </w:rPr>
              <w:t>4</w:t>
            </w:r>
            <w:r>
              <w:rPr>
                <w:noProof/>
                <w:webHidden/>
              </w:rPr>
              <w:fldChar w:fldCharType="end"/>
            </w:r>
          </w:hyperlink>
        </w:p>
        <w:p w14:paraId="59B423FD" w14:textId="30E06A9E" w:rsidR="007858D4" w:rsidRDefault="007858D4">
          <w:pPr>
            <w:pStyle w:val="TOC3"/>
            <w:tabs>
              <w:tab w:val="right" w:leader="dot" w:pos="9016"/>
            </w:tabs>
            <w:rPr>
              <w:rFonts w:eastAsiaTheme="minorEastAsia"/>
              <w:noProof/>
              <w:sz w:val="24"/>
              <w:szCs w:val="24"/>
              <w:lang w:eastAsia="en-GB"/>
            </w:rPr>
          </w:pPr>
          <w:hyperlink w:anchor="_Toc211165209" w:history="1">
            <w:r w:rsidRPr="005F1481">
              <w:rPr>
                <w:rStyle w:val="Hyperlink"/>
                <w:rFonts w:ascii="Arial" w:eastAsia="Times New Roman" w:hAnsi="Arial" w:cs="Arial"/>
                <w:b/>
                <w:bCs/>
                <w:noProof/>
                <w:kern w:val="0"/>
                <w:lang w:eastAsia="en-GB"/>
                <w14:ligatures w14:val="none"/>
              </w:rPr>
              <w:t>Opportunities</w:t>
            </w:r>
            <w:r>
              <w:rPr>
                <w:noProof/>
                <w:webHidden/>
              </w:rPr>
              <w:tab/>
            </w:r>
            <w:r>
              <w:rPr>
                <w:noProof/>
                <w:webHidden/>
              </w:rPr>
              <w:fldChar w:fldCharType="begin"/>
            </w:r>
            <w:r>
              <w:rPr>
                <w:noProof/>
                <w:webHidden/>
              </w:rPr>
              <w:instrText xml:space="preserve"> PAGEREF _Toc211165209 \h </w:instrText>
            </w:r>
            <w:r>
              <w:rPr>
                <w:noProof/>
                <w:webHidden/>
              </w:rPr>
            </w:r>
            <w:r>
              <w:rPr>
                <w:noProof/>
                <w:webHidden/>
              </w:rPr>
              <w:fldChar w:fldCharType="separate"/>
            </w:r>
            <w:r>
              <w:rPr>
                <w:noProof/>
                <w:webHidden/>
              </w:rPr>
              <w:t>5</w:t>
            </w:r>
            <w:r>
              <w:rPr>
                <w:noProof/>
                <w:webHidden/>
              </w:rPr>
              <w:fldChar w:fldCharType="end"/>
            </w:r>
          </w:hyperlink>
        </w:p>
        <w:p w14:paraId="6ED57979" w14:textId="074A814D" w:rsidR="007858D4" w:rsidRDefault="007858D4">
          <w:pPr>
            <w:pStyle w:val="TOC3"/>
            <w:tabs>
              <w:tab w:val="right" w:leader="dot" w:pos="9016"/>
            </w:tabs>
            <w:rPr>
              <w:rFonts w:eastAsiaTheme="minorEastAsia"/>
              <w:noProof/>
              <w:sz w:val="24"/>
              <w:szCs w:val="24"/>
              <w:lang w:eastAsia="en-GB"/>
            </w:rPr>
          </w:pPr>
          <w:hyperlink w:anchor="_Toc211165210" w:history="1">
            <w:r w:rsidRPr="005F1481">
              <w:rPr>
                <w:rStyle w:val="Hyperlink"/>
                <w:rFonts w:ascii="Arial" w:eastAsia="Times New Roman" w:hAnsi="Arial" w:cs="Arial"/>
                <w:b/>
                <w:bCs/>
                <w:noProof/>
                <w:kern w:val="0"/>
                <w:lang w:eastAsia="en-GB"/>
                <w14:ligatures w14:val="none"/>
              </w:rPr>
              <w:t>Threats</w:t>
            </w:r>
            <w:r>
              <w:rPr>
                <w:noProof/>
                <w:webHidden/>
              </w:rPr>
              <w:tab/>
            </w:r>
            <w:r>
              <w:rPr>
                <w:noProof/>
                <w:webHidden/>
              </w:rPr>
              <w:fldChar w:fldCharType="begin"/>
            </w:r>
            <w:r>
              <w:rPr>
                <w:noProof/>
                <w:webHidden/>
              </w:rPr>
              <w:instrText xml:space="preserve"> PAGEREF _Toc211165210 \h </w:instrText>
            </w:r>
            <w:r>
              <w:rPr>
                <w:noProof/>
                <w:webHidden/>
              </w:rPr>
            </w:r>
            <w:r>
              <w:rPr>
                <w:noProof/>
                <w:webHidden/>
              </w:rPr>
              <w:fldChar w:fldCharType="separate"/>
            </w:r>
            <w:r>
              <w:rPr>
                <w:noProof/>
                <w:webHidden/>
              </w:rPr>
              <w:t>5</w:t>
            </w:r>
            <w:r>
              <w:rPr>
                <w:noProof/>
                <w:webHidden/>
              </w:rPr>
              <w:fldChar w:fldCharType="end"/>
            </w:r>
          </w:hyperlink>
        </w:p>
        <w:p w14:paraId="0EA21716" w14:textId="07C767A8" w:rsidR="007858D4" w:rsidRDefault="007858D4">
          <w:pPr>
            <w:pStyle w:val="TOC1"/>
            <w:tabs>
              <w:tab w:val="right" w:leader="dot" w:pos="9016"/>
            </w:tabs>
            <w:rPr>
              <w:rFonts w:eastAsiaTheme="minorEastAsia"/>
              <w:noProof/>
              <w:sz w:val="24"/>
              <w:szCs w:val="24"/>
              <w:lang w:eastAsia="en-GB"/>
            </w:rPr>
          </w:pPr>
          <w:hyperlink w:anchor="_Toc211165211" w:history="1">
            <w:r w:rsidRPr="005F1481">
              <w:rPr>
                <w:rStyle w:val="Hyperlink"/>
                <w:rFonts w:ascii="Arial" w:eastAsia="Times New Roman" w:hAnsi="Arial" w:cs="Arial"/>
                <w:noProof/>
                <w:lang w:eastAsia="en-GB"/>
              </w:rPr>
              <w:t>3. Critical Analysis and Evaluation</w:t>
            </w:r>
            <w:r>
              <w:rPr>
                <w:noProof/>
                <w:webHidden/>
              </w:rPr>
              <w:tab/>
            </w:r>
            <w:r>
              <w:rPr>
                <w:noProof/>
                <w:webHidden/>
              </w:rPr>
              <w:fldChar w:fldCharType="begin"/>
            </w:r>
            <w:r>
              <w:rPr>
                <w:noProof/>
                <w:webHidden/>
              </w:rPr>
              <w:instrText xml:space="preserve"> PAGEREF _Toc211165211 \h </w:instrText>
            </w:r>
            <w:r>
              <w:rPr>
                <w:noProof/>
                <w:webHidden/>
              </w:rPr>
            </w:r>
            <w:r>
              <w:rPr>
                <w:noProof/>
                <w:webHidden/>
              </w:rPr>
              <w:fldChar w:fldCharType="separate"/>
            </w:r>
            <w:r>
              <w:rPr>
                <w:noProof/>
                <w:webHidden/>
              </w:rPr>
              <w:t>6</w:t>
            </w:r>
            <w:r>
              <w:rPr>
                <w:noProof/>
                <w:webHidden/>
              </w:rPr>
              <w:fldChar w:fldCharType="end"/>
            </w:r>
          </w:hyperlink>
        </w:p>
        <w:p w14:paraId="7B5C71D8" w14:textId="44053D28" w:rsidR="007858D4" w:rsidRDefault="007858D4">
          <w:pPr>
            <w:pStyle w:val="TOC3"/>
            <w:tabs>
              <w:tab w:val="right" w:leader="dot" w:pos="9016"/>
            </w:tabs>
            <w:rPr>
              <w:rFonts w:eastAsiaTheme="minorEastAsia"/>
              <w:noProof/>
              <w:sz w:val="24"/>
              <w:szCs w:val="24"/>
              <w:lang w:eastAsia="en-GB"/>
            </w:rPr>
          </w:pPr>
          <w:hyperlink w:anchor="_Toc211165212" w:history="1">
            <w:r w:rsidRPr="005F1481">
              <w:rPr>
                <w:rStyle w:val="Hyperlink"/>
                <w:rFonts w:ascii="Arial" w:eastAsia="Times New Roman" w:hAnsi="Arial" w:cs="Arial"/>
                <w:b/>
                <w:bCs/>
                <w:noProof/>
                <w:kern w:val="0"/>
                <w:lang w:eastAsia="en-GB"/>
                <w14:ligatures w14:val="none"/>
              </w:rPr>
              <w:t>Integrating SWOT Findings</w:t>
            </w:r>
            <w:r>
              <w:rPr>
                <w:noProof/>
                <w:webHidden/>
              </w:rPr>
              <w:tab/>
            </w:r>
            <w:r>
              <w:rPr>
                <w:noProof/>
                <w:webHidden/>
              </w:rPr>
              <w:fldChar w:fldCharType="begin"/>
            </w:r>
            <w:r>
              <w:rPr>
                <w:noProof/>
                <w:webHidden/>
              </w:rPr>
              <w:instrText xml:space="preserve"> PAGEREF _Toc211165212 \h </w:instrText>
            </w:r>
            <w:r>
              <w:rPr>
                <w:noProof/>
                <w:webHidden/>
              </w:rPr>
            </w:r>
            <w:r>
              <w:rPr>
                <w:noProof/>
                <w:webHidden/>
              </w:rPr>
              <w:fldChar w:fldCharType="separate"/>
            </w:r>
            <w:r>
              <w:rPr>
                <w:noProof/>
                <w:webHidden/>
              </w:rPr>
              <w:t>6</w:t>
            </w:r>
            <w:r>
              <w:rPr>
                <w:noProof/>
                <w:webHidden/>
              </w:rPr>
              <w:fldChar w:fldCharType="end"/>
            </w:r>
          </w:hyperlink>
        </w:p>
        <w:p w14:paraId="248856EB" w14:textId="04ADFC42" w:rsidR="007858D4" w:rsidRDefault="007858D4">
          <w:pPr>
            <w:pStyle w:val="TOC3"/>
            <w:tabs>
              <w:tab w:val="right" w:leader="dot" w:pos="9016"/>
            </w:tabs>
            <w:rPr>
              <w:rFonts w:eastAsiaTheme="minorEastAsia"/>
              <w:noProof/>
              <w:sz w:val="24"/>
              <w:szCs w:val="24"/>
              <w:lang w:eastAsia="en-GB"/>
            </w:rPr>
          </w:pPr>
          <w:hyperlink w:anchor="_Toc211165213" w:history="1">
            <w:r w:rsidRPr="005F1481">
              <w:rPr>
                <w:rStyle w:val="Hyperlink"/>
                <w:rFonts w:ascii="Arial" w:eastAsia="Times New Roman" w:hAnsi="Arial" w:cs="Arial"/>
                <w:b/>
                <w:bCs/>
                <w:noProof/>
                <w:kern w:val="0"/>
                <w:lang w:eastAsia="en-GB"/>
                <w14:ligatures w14:val="none"/>
              </w:rPr>
              <w:t>Strategic and Marketing Implications</w:t>
            </w:r>
            <w:r>
              <w:rPr>
                <w:noProof/>
                <w:webHidden/>
              </w:rPr>
              <w:tab/>
            </w:r>
            <w:r>
              <w:rPr>
                <w:noProof/>
                <w:webHidden/>
              </w:rPr>
              <w:fldChar w:fldCharType="begin"/>
            </w:r>
            <w:r>
              <w:rPr>
                <w:noProof/>
                <w:webHidden/>
              </w:rPr>
              <w:instrText xml:space="preserve"> PAGEREF _Toc211165213 \h </w:instrText>
            </w:r>
            <w:r>
              <w:rPr>
                <w:noProof/>
                <w:webHidden/>
              </w:rPr>
            </w:r>
            <w:r>
              <w:rPr>
                <w:noProof/>
                <w:webHidden/>
              </w:rPr>
              <w:fldChar w:fldCharType="separate"/>
            </w:r>
            <w:r>
              <w:rPr>
                <w:noProof/>
                <w:webHidden/>
              </w:rPr>
              <w:t>6</w:t>
            </w:r>
            <w:r>
              <w:rPr>
                <w:noProof/>
                <w:webHidden/>
              </w:rPr>
              <w:fldChar w:fldCharType="end"/>
            </w:r>
          </w:hyperlink>
        </w:p>
        <w:p w14:paraId="1D7B3B22" w14:textId="715B1FB0" w:rsidR="007858D4" w:rsidRDefault="007858D4">
          <w:pPr>
            <w:pStyle w:val="TOC3"/>
            <w:tabs>
              <w:tab w:val="right" w:leader="dot" w:pos="9016"/>
            </w:tabs>
            <w:rPr>
              <w:rFonts w:eastAsiaTheme="minorEastAsia"/>
              <w:noProof/>
              <w:sz w:val="24"/>
              <w:szCs w:val="24"/>
              <w:lang w:eastAsia="en-GB"/>
            </w:rPr>
          </w:pPr>
          <w:hyperlink w:anchor="_Toc211165214" w:history="1">
            <w:r w:rsidRPr="005F1481">
              <w:rPr>
                <w:rStyle w:val="Hyperlink"/>
                <w:rFonts w:ascii="Arial" w:eastAsia="Times New Roman" w:hAnsi="Arial" w:cs="Arial"/>
                <w:b/>
                <w:bCs/>
                <w:noProof/>
                <w:kern w:val="0"/>
                <w:lang w:eastAsia="en-GB"/>
                <w14:ligatures w14:val="none"/>
              </w:rPr>
              <w:t>Evaluation of SWOT Framework</w:t>
            </w:r>
            <w:r>
              <w:rPr>
                <w:noProof/>
                <w:webHidden/>
              </w:rPr>
              <w:tab/>
            </w:r>
            <w:r>
              <w:rPr>
                <w:noProof/>
                <w:webHidden/>
              </w:rPr>
              <w:fldChar w:fldCharType="begin"/>
            </w:r>
            <w:r>
              <w:rPr>
                <w:noProof/>
                <w:webHidden/>
              </w:rPr>
              <w:instrText xml:space="preserve"> PAGEREF _Toc211165214 \h </w:instrText>
            </w:r>
            <w:r>
              <w:rPr>
                <w:noProof/>
                <w:webHidden/>
              </w:rPr>
            </w:r>
            <w:r>
              <w:rPr>
                <w:noProof/>
                <w:webHidden/>
              </w:rPr>
              <w:fldChar w:fldCharType="separate"/>
            </w:r>
            <w:r>
              <w:rPr>
                <w:noProof/>
                <w:webHidden/>
              </w:rPr>
              <w:t>7</w:t>
            </w:r>
            <w:r>
              <w:rPr>
                <w:noProof/>
                <w:webHidden/>
              </w:rPr>
              <w:fldChar w:fldCharType="end"/>
            </w:r>
          </w:hyperlink>
        </w:p>
        <w:p w14:paraId="1B983EF3" w14:textId="369E7E61" w:rsidR="007858D4" w:rsidRDefault="007858D4">
          <w:pPr>
            <w:pStyle w:val="TOC3"/>
            <w:tabs>
              <w:tab w:val="right" w:leader="dot" w:pos="9016"/>
            </w:tabs>
            <w:rPr>
              <w:rFonts w:eastAsiaTheme="minorEastAsia"/>
              <w:noProof/>
              <w:sz w:val="24"/>
              <w:szCs w:val="24"/>
              <w:lang w:eastAsia="en-GB"/>
            </w:rPr>
          </w:pPr>
          <w:hyperlink w:anchor="_Toc211165215" w:history="1">
            <w:r w:rsidRPr="005F1481">
              <w:rPr>
                <w:rStyle w:val="Hyperlink"/>
                <w:rFonts w:ascii="Arial" w:eastAsia="Times New Roman" w:hAnsi="Arial" w:cs="Arial"/>
                <w:b/>
                <w:bCs/>
                <w:noProof/>
                <w:kern w:val="0"/>
                <w:lang w:eastAsia="en-GB"/>
                <w14:ligatures w14:val="none"/>
              </w:rPr>
              <w:t>Comparative Insight</w:t>
            </w:r>
            <w:r>
              <w:rPr>
                <w:noProof/>
                <w:webHidden/>
              </w:rPr>
              <w:tab/>
            </w:r>
            <w:r>
              <w:rPr>
                <w:noProof/>
                <w:webHidden/>
              </w:rPr>
              <w:fldChar w:fldCharType="begin"/>
            </w:r>
            <w:r>
              <w:rPr>
                <w:noProof/>
                <w:webHidden/>
              </w:rPr>
              <w:instrText xml:space="preserve"> PAGEREF _Toc211165215 \h </w:instrText>
            </w:r>
            <w:r>
              <w:rPr>
                <w:noProof/>
                <w:webHidden/>
              </w:rPr>
            </w:r>
            <w:r>
              <w:rPr>
                <w:noProof/>
                <w:webHidden/>
              </w:rPr>
              <w:fldChar w:fldCharType="separate"/>
            </w:r>
            <w:r>
              <w:rPr>
                <w:noProof/>
                <w:webHidden/>
              </w:rPr>
              <w:t>7</w:t>
            </w:r>
            <w:r>
              <w:rPr>
                <w:noProof/>
                <w:webHidden/>
              </w:rPr>
              <w:fldChar w:fldCharType="end"/>
            </w:r>
          </w:hyperlink>
        </w:p>
        <w:p w14:paraId="3AB3C193" w14:textId="6BB5DB3D" w:rsidR="007858D4" w:rsidRDefault="007858D4">
          <w:pPr>
            <w:pStyle w:val="TOC1"/>
            <w:tabs>
              <w:tab w:val="right" w:leader="dot" w:pos="9016"/>
            </w:tabs>
            <w:rPr>
              <w:rFonts w:eastAsiaTheme="minorEastAsia"/>
              <w:noProof/>
              <w:sz w:val="24"/>
              <w:szCs w:val="24"/>
              <w:lang w:eastAsia="en-GB"/>
            </w:rPr>
          </w:pPr>
          <w:hyperlink w:anchor="_Toc211165216" w:history="1">
            <w:r w:rsidRPr="005F1481">
              <w:rPr>
                <w:rStyle w:val="Hyperlink"/>
                <w:rFonts w:eastAsia="Times New Roman"/>
                <w:noProof/>
                <w:lang w:eastAsia="en-GB"/>
              </w:rPr>
              <w:t>4. Conclusion and Recommendations</w:t>
            </w:r>
            <w:r>
              <w:rPr>
                <w:noProof/>
                <w:webHidden/>
              </w:rPr>
              <w:tab/>
            </w:r>
            <w:r>
              <w:rPr>
                <w:noProof/>
                <w:webHidden/>
              </w:rPr>
              <w:fldChar w:fldCharType="begin"/>
            </w:r>
            <w:r>
              <w:rPr>
                <w:noProof/>
                <w:webHidden/>
              </w:rPr>
              <w:instrText xml:space="preserve"> PAGEREF _Toc211165216 \h </w:instrText>
            </w:r>
            <w:r>
              <w:rPr>
                <w:noProof/>
                <w:webHidden/>
              </w:rPr>
            </w:r>
            <w:r>
              <w:rPr>
                <w:noProof/>
                <w:webHidden/>
              </w:rPr>
              <w:fldChar w:fldCharType="separate"/>
            </w:r>
            <w:r>
              <w:rPr>
                <w:noProof/>
                <w:webHidden/>
              </w:rPr>
              <w:t>8</w:t>
            </w:r>
            <w:r>
              <w:rPr>
                <w:noProof/>
                <w:webHidden/>
              </w:rPr>
              <w:fldChar w:fldCharType="end"/>
            </w:r>
          </w:hyperlink>
        </w:p>
        <w:p w14:paraId="1D160151" w14:textId="717AB09F" w:rsidR="007858D4" w:rsidRDefault="007858D4">
          <w:pPr>
            <w:pStyle w:val="TOC3"/>
            <w:tabs>
              <w:tab w:val="right" w:leader="dot" w:pos="9016"/>
            </w:tabs>
            <w:rPr>
              <w:rFonts w:eastAsiaTheme="minorEastAsia"/>
              <w:noProof/>
              <w:sz w:val="24"/>
              <w:szCs w:val="24"/>
              <w:lang w:eastAsia="en-GB"/>
            </w:rPr>
          </w:pPr>
          <w:hyperlink w:anchor="_Toc211165217" w:history="1">
            <w:r w:rsidRPr="005F1481">
              <w:rPr>
                <w:rStyle w:val="Hyperlink"/>
                <w:rFonts w:ascii="Arial" w:eastAsia="Times New Roman" w:hAnsi="Arial" w:cs="Arial"/>
                <w:b/>
                <w:bCs/>
                <w:noProof/>
                <w:kern w:val="0"/>
                <w:lang w:eastAsia="en-GB"/>
                <w14:ligatures w14:val="none"/>
              </w:rPr>
              <w:t>Recommendations</w:t>
            </w:r>
            <w:r>
              <w:rPr>
                <w:noProof/>
                <w:webHidden/>
              </w:rPr>
              <w:tab/>
            </w:r>
            <w:r>
              <w:rPr>
                <w:noProof/>
                <w:webHidden/>
              </w:rPr>
              <w:fldChar w:fldCharType="begin"/>
            </w:r>
            <w:r>
              <w:rPr>
                <w:noProof/>
                <w:webHidden/>
              </w:rPr>
              <w:instrText xml:space="preserve"> PAGEREF _Toc211165217 \h </w:instrText>
            </w:r>
            <w:r>
              <w:rPr>
                <w:noProof/>
                <w:webHidden/>
              </w:rPr>
            </w:r>
            <w:r>
              <w:rPr>
                <w:noProof/>
                <w:webHidden/>
              </w:rPr>
              <w:fldChar w:fldCharType="separate"/>
            </w:r>
            <w:r>
              <w:rPr>
                <w:noProof/>
                <w:webHidden/>
              </w:rPr>
              <w:t>8</w:t>
            </w:r>
            <w:r>
              <w:rPr>
                <w:noProof/>
                <w:webHidden/>
              </w:rPr>
              <w:fldChar w:fldCharType="end"/>
            </w:r>
          </w:hyperlink>
        </w:p>
        <w:p w14:paraId="703D3CE4" w14:textId="691DAF73" w:rsidR="007858D4" w:rsidRDefault="007858D4">
          <w:pPr>
            <w:pStyle w:val="TOC3"/>
            <w:tabs>
              <w:tab w:val="right" w:leader="dot" w:pos="9016"/>
            </w:tabs>
            <w:rPr>
              <w:rFonts w:eastAsiaTheme="minorEastAsia"/>
              <w:noProof/>
              <w:sz w:val="24"/>
              <w:szCs w:val="24"/>
              <w:lang w:eastAsia="en-GB"/>
            </w:rPr>
          </w:pPr>
          <w:hyperlink w:anchor="_Toc211165218" w:history="1">
            <w:r w:rsidRPr="005F1481">
              <w:rPr>
                <w:rStyle w:val="Hyperlink"/>
                <w:rFonts w:ascii="Arial" w:eastAsia="Times New Roman" w:hAnsi="Arial" w:cs="Arial"/>
                <w:b/>
                <w:bCs/>
                <w:noProof/>
                <w:kern w:val="0"/>
                <w:lang w:eastAsia="en-GB"/>
                <w14:ligatures w14:val="none"/>
              </w:rPr>
              <w:t>Reflection</w:t>
            </w:r>
            <w:r>
              <w:rPr>
                <w:noProof/>
                <w:webHidden/>
              </w:rPr>
              <w:tab/>
            </w:r>
            <w:r>
              <w:rPr>
                <w:noProof/>
                <w:webHidden/>
              </w:rPr>
              <w:fldChar w:fldCharType="begin"/>
            </w:r>
            <w:r>
              <w:rPr>
                <w:noProof/>
                <w:webHidden/>
              </w:rPr>
              <w:instrText xml:space="preserve"> PAGEREF _Toc211165218 \h </w:instrText>
            </w:r>
            <w:r>
              <w:rPr>
                <w:noProof/>
                <w:webHidden/>
              </w:rPr>
            </w:r>
            <w:r>
              <w:rPr>
                <w:noProof/>
                <w:webHidden/>
              </w:rPr>
              <w:fldChar w:fldCharType="separate"/>
            </w:r>
            <w:r>
              <w:rPr>
                <w:noProof/>
                <w:webHidden/>
              </w:rPr>
              <w:t>8</w:t>
            </w:r>
            <w:r>
              <w:rPr>
                <w:noProof/>
                <w:webHidden/>
              </w:rPr>
              <w:fldChar w:fldCharType="end"/>
            </w:r>
          </w:hyperlink>
        </w:p>
        <w:p w14:paraId="7855E711" w14:textId="70442079" w:rsidR="007858D4" w:rsidRDefault="007858D4">
          <w:pPr>
            <w:pStyle w:val="TOC1"/>
            <w:tabs>
              <w:tab w:val="right" w:leader="dot" w:pos="9016"/>
            </w:tabs>
            <w:rPr>
              <w:rFonts w:eastAsiaTheme="minorEastAsia"/>
              <w:noProof/>
              <w:sz w:val="24"/>
              <w:szCs w:val="24"/>
              <w:lang w:eastAsia="en-GB"/>
            </w:rPr>
          </w:pPr>
          <w:hyperlink w:anchor="_Toc211165219" w:history="1">
            <w:r w:rsidRPr="005F148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_Toc211165219 \h </w:instrText>
            </w:r>
            <w:r>
              <w:rPr>
                <w:noProof/>
                <w:webHidden/>
              </w:rPr>
            </w:r>
            <w:r>
              <w:rPr>
                <w:noProof/>
                <w:webHidden/>
              </w:rPr>
              <w:fldChar w:fldCharType="separate"/>
            </w:r>
            <w:r>
              <w:rPr>
                <w:noProof/>
                <w:webHidden/>
              </w:rPr>
              <w:t>9</w:t>
            </w:r>
            <w:r>
              <w:rPr>
                <w:noProof/>
                <w:webHidden/>
              </w:rPr>
              <w:fldChar w:fldCharType="end"/>
            </w:r>
          </w:hyperlink>
        </w:p>
        <w:p w14:paraId="1F0138FF" w14:textId="128E7B47" w:rsidR="00DB4294" w:rsidRDefault="00DB4294">
          <w:r>
            <w:rPr>
              <w:b/>
              <w:bCs/>
              <w:noProof/>
            </w:rPr>
            <w:fldChar w:fldCharType="end"/>
          </w:r>
        </w:p>
      </w:sdtContent>
    </w:sdt>
    <w:p w14:paraId="7657754A" w14:textId="77777777" w:rsidR="00811E15" w:rsidRDefault="00811E15" w:rsidP="00336238">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p>
    <w:p w14:paraId="4CF2A1B0" w14:textId="77777777" w:rsidR="00811E15" w:rsidRDefault="00811E15">
      <w:pPr>
        <w:rPr>
          <w:rFonts w:ascii="Arial" w:eastAsia="Times New Roman" w:hAnsi="Arial" w:cs="Arial"/>
          <w:b/>
          <w:bCs/>
          <w:kern w:val="36"/>
          <w:sz w:val="48"/>
          <w:szCs w:val="48"/>
          <w:lang w:eastAsia="en-GB"/>
          <w14:ligatures w14:val="none"/>
        </w:rPr>
      </w:pPr>
      <w:r>
        <w:rPr>
          <w:rFonts w:ascii="Arial" w:eastAsia="Times New Roman" w:hAnsi="Arial" w:cs="Arial"/>
          <w:b/>
          <w:bCs/>
          <w:kern w:val="36"/>
          <w:sz w:val="48"/>
          <w:szCs w:val="48"/>
          <w:lang w:eastAsia="en-GB"/>
          <w14:ligatures w14:val="none"/>
        </w:rPr>
        <w:br w:type="page"/>
      </w:r>
    </w:p>
    <w:p w14:paraId="4D7DC92E" w14:textId="6AE777FA" w:rsidR="00336238" w:rsidRPr="00DB4294" w:rsidRDefault="00336238" w:rsidP="00DB4294">
      <w:pPr>
        <w:rPr>
          <w:rFonts w:ascii="Arial" w:hAnsi="Arial" w:cs="Arial"/>
          <w:sz w:val="44"/>
          <w:szCs w:val="44"/>
          <w:lang w:eastAsia="en-GB"/>
        </w:rPr>
      </w:pPr>
      <w:r w:rsidRPr="00DB4294">
        <w:rPr>
          <w:rFonts w:ascii="Arial" w:hAnsi="Arial" w:cs="Arial"/>
          <w:sz w:val="44"/>
          <w:szCs w:val="44"/>
          <w:lang w:eastAsia="en-GB"/>
        </w:rPr>
        <w:lastRenderedPageBreak/>
        <w:t>Situational Analysis Report: Tesco PLC (SWOT Model)</w:t>
      </w:r>
    </w:p>
    <w:p w14:paraId="6D9BBA7B" w14:textId="77777777" w:rsidR="00336238" w:rsidRPr="00C508E1" w:rsidRDefault="00336238" w:rsidP="00C508E1">
      <w:pPr>
        <w:pStyle w:val="Heading1"/>
        <w:rPr>
          <w:rFonts w:ascii="Arial" w:eastAsia="Times New Roman" w:hAnsi="Arial" w:cs="Arial"/>
          <w:lang w:eastAsia="en-GB"/>
        </w:rPr>
      </w:pPr>
      <w:bookmarkStart w:id="0" w:name="_Toc211165202"/>
      <w:r w:rsidRPr="00C508E1">
        <w:rPr>
          <w:rFonts w:ascii="Arial" w:eastAsia="Times New Roman" w:hAnsi="Arial" w:cs="Arial"/>
          <w:lang w:eastAsia="en-GB"/>
        </w:rPr>
        <w:t>1. Introduction</w:t>
      </w:r>
      <w:bookmarkEnd w:id="0"/>
    </w:p>
    <w:p w14:paraId="0A4DF98C"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1" w:name="_Toc211165203"/>
      <w:r w:rsidRPr="00C508E1">
        <w:rPr>
          <w:rFonts w:ascii="Arial" w:eastAsia="Times New Roman" w:hAnsi="Arial" w:cs="Arial"/>
          <w:b/>
          <w:bCs/>
          <w:kern w:val="0"/>
          <w:sz w:val="27"/>
          <w:szCs w:val="27"/>
          <w:lang w:eastAsia="en-GB"/>
          <w14:ligatures w14:val="none"/>
        </w:rPr>
        <w:t>Organisation Overview</w:t>
      </w:r>
      <w:bookmarkEnd w:id="1"/>
    </w:p>
    <w:p w14:paraId="6C6B22E2" w14:textId="77777777" w:rsidR="00336238" w:rsidRDefault="00336238" w:rsidP="00C508E1">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Tesco PLC is the largest supermarket retailer in the United Kingdom, operating within the grocery and general merchandise industry. Founded in 1919, it has developed from a domestic grocery chain into a diversified business offering food, clothing, home goods and financial services through Tesco Bank. As of 2025, Tesco holds approximately 28.3 % of the UK grocery market, ahead of Sainsbury’s, Asda and Aldi (Kantar, 2025). The company’s portfolio includes Tesco Extra, Tesco Superstore, and Tesco Express outlets, supported by a strong online grocery platform (ResearchGate, 2025).</w:t>
      </w:r>
    </w:p>
    <w:p w14:paraId="505A7AFA" w14:textId="762A50AD" w:rsidR="0018616D" w:rsidRPr="007858D4" w:rsidRDefault="0018616D" w:rsidP="007858D4">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2" w:name="_Toc211165204"/>
      <w:r w:rsidRPr="007858D4">
        <w:rPr>
          <w:rFonts w:ascii="Arial" w:eastAsia="Times New Roman" w:hAnsi="Arial" w:cs="Arial"/>
          <w:b/>
          <w:bCs/>
          <w:kern w:val="0"/>
          <w:sz w:val="27"/>
          <w:szCs w:val="27"/>
          <w:lang w:eastAsia="en-GB"/>
          <w14:ligatures w14:val="none"/>
        </w:rPr>
        <w:t>4Vs Analysis of Tesco</w:t>
      </w:r>
      <w:r w:rsidRPr="007858D4">
        <w:rPr>
          <w:rFonts w:ascii="Arial" w:eastAsia="Times New Roman" w:hAnsi="Arial" w:cs="Arial"/>
          <w:b/>
          <w:bCs/>
          <w:kern w:val="0"/>
          <w:sz w:val="27"/>
          <w:szCs w:val="27"/>
          <w:lang w:eastAsia="en-GB"/>
          <w14:ligatures w14:val="none"/>
        </w:rPr>
        <w:t>:</w:t>
      </w:r>
      <w:bookmarkEnd w:id="2"/>
    </w:p>
    <w:tbl>
      <w:tblPr>
        <w:tblStyle w:val="PlainTable1"/>
        <w:tblW w:w="0" w:type="auto"/>
        <w:tblLook w:val="04A0" w:firstRow="1" w:lastRow="0" w:firstColumn="1" w:lastColumn="0" w:noHBand="0" w:noVBand="1"/>
      </w:tblPr>
      <w:tblGrid>
        <w:gridCol w:w="1558"/>
        <w:gridCol w:w="3977"/>
        <w:gridCol w:w="3481"/>
      </w:tblGrid>
      <w:tr w:rsidR="0006345B" w:rsidRPr="0006345B" w14:paraId="3939252E" w14:textId="77777777" w:rsidTr="000634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76555A" w14:textId="77777777" w:rsidR="0006345B" w:rsidRPr="0006345B" w:rsidRDefault="0006345B" w:rsidP="0006345B">
            <w:pPr>
              <w:spacing w:before="100" w:beforeAutospacing="1" w:after="100" w:afterAutospacing="1" w:line="360" w:lineRule="auto"/>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Dimension</w:t>
            </w:r>
          </w:p>
        </w:tc>
        <w:tc>
          <w:tcPr>
            <w:tcW w:w="0" w:type="auto"/>
            <w:hideMark/>
          </w:tcPr>
          <w:p w14:paraId="62B5658A" w14:textId="77777777" w:rsidR="0006345B" w:rsidRPr="0006345B" w:rsidRDefault="0006345B" w:rsidP="0006345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Description</w:t>
            </w:r>
          </w:p>
        </w:tc>
        <w:tc>
          <w:tcPr>
            <w:tcW w:w="0" w:type="auto"/>
            <w:hideMark/>
          </w:tcPr>
          <w:p w14:paraId="6405451C" w14:textId="77777777" w:rsidR="0006345B" w:rsidRPr="0006345B" w:rsidRDefault="0006345B" w:rsidP="0006345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Implications for Marketing and Operations</w:t>
            </w:r>
          </w:p>
        </w:tc>
      </w:tr>
      <w:tr w:rsidR="0006345B" w:rsidRPr="0006345B" w14:paraId="0EFCE65F" w14:textId="77777777" w:rsidTr="000634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541FAA" w14:textId="77777777" w:rsidR="0006345B" w:rsidRPr="0006345B" w:rsidRDefault="0006345B" w:rsidP="0006345B">
            <w:pPr>
              <w:spacing w:before="100" w:beforeAutospacing="1" w:after="100" w:afterAutospacing="1" w:line="360" w:lineRule="auto"/>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Volume</w:t>
            </w:r>
          </w:p>
        </w:tc>
        <w:tc>
          <w:tcPr>
            <w:tcW w:w="0" w:type="auto"/>
            <w:hideMark/>
          </w:tcPr>
          <w:p w14:paraId="164FA150" w14:textId="77777777" w:rsidR="0006345B" w:rsidRPr="0006345B" w:rsidRDefault="0006345B" w:rsidP="0006345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Tesco operates at very high volume, serving millions of customers weekly across over 3,400 UK stores and online.</w:t>
            </w:r>
          </w:p>
        </w:tc>
        <w:tc>
          <w:tcPr>
            <w:tcW w:w="0" w:type="auto"/>
            <w:hideMark/>
          </w:tcPr>
          <w:p w14:paraId="07EC4AC4" w14:textId="77777777" w:rsidR="0006345B" w:rsidRPr="0006345B" w:rsidRDefault="0006345B" w:rsidP="0006345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High volume creates economies of scale and supports national pricing and promotional strategies.</w:t>
            </w:r>
          </w:p>
        </w:tc>
      </w:tr>
      <w:tr w:rsidR="0006345B" w:rsidRPr="0006345B" w14:paraId="6E096346" w14:textId="77777777" w:rsidTr="0006345B">
        <w:tc>
          <w:tcPr>
            <w:cnfStyle w:val="001000000000" w:firstRow="0" w:lastRow="0" w:firstColumn="1" w:lastColumn="0" w:oddVBand="0" w:evenVBand="0" w:oddHBand="0" w:evenHBand="0" w:firstRowFirstColumn="0" w:firstRowLastColumn="0" w:lastRowFirstColumn="0" w:lastRowLastColumn="0"/>
            <w:tcW w:w="0" w:type="auto"/>
            <w:hideMark/>
          </w:tcPr>
          <w:p w14:paraId="171E8196" w14:textId="77777777" w:rsidR="0006345B" w:rsidRPr="0006345B" w:rsidRDefault="0006345B" w:rsidP="0006345B">
            <w:pPr>
              <w:spacing w:before="100" w:beforeAutospacing="1" w:after="100" w:afterAutospacing="1" w:line="360" w:lineRule="auto"/>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Variety</w:t>
            </w:r>
          </w:p>
        </w:tc>
        <w:tc>
          <w:tcPr>
            <w:tcW w:w="0" w:type="auto"/>
            <w:hideMark/>
          </w:tcPr>
          <w:p w14:paraId="085E1E61" w14:textId="77777777" w:rsidR="0006345B" w:rsidRPr="0006345B" w:rsidRDefault="0006345B" w:rsidP="0006345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Offers a broad range of groceries, clothing, electronics, and financial services.</w:t>
            </w:r>
          </w:p>
        </w:tc>
        <w:tc>
          <w:tcPr>
            <w:tcW w:w="0" w:type="auto"/>
            <w:hideMark/>
          </w:tcPr>
          <w:p w14:paraId="1DC01C46" w14:textId="77777777" w:rsidR="0006345B" w:rsidRPr="0006345B" w:rsidRDefault="0006345B" w:rsidP="0006345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Wide variety appeals to many segments but increases marketing complexity and supply-chain coordination.</w:t>
            </w:r>
          </w:p>
        </w:tc>
      </w:tr>
      <w:tr w:rsidR="0006345B" w:rsidRPr="0006345B" w14:paraId="2D0B4C3B" w14:textId="77777777" w:rsidTr="000634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3256F5" w14:textId="77777777" w:rsidR="0006345B" w:rsidRPr="0006345B" w:rsidRDefault="0006345B" w:rsidP="0006345B">
            <w:pPr>
              <w:spacing w:before="100" w:beforeAutospacing="1" w:after="100" w:afterAutospacing="1" w:line="360" w:lineRule="auto"/>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Variation in Demand</w:t>
            </w:r>
          </w:p>
        </w:tc>
        <w:tc>
          <w:tcPr>
            <w:tcW w:w="0" w:type="auto"/>
            <w:hideMark/>
          </w:tcPr>
          <w:p w14:paraId="1B3EEFD0" w14:textId="77777777" w:rsidR="0006345B" w:rsidRPr="0006345B" w:rsidRDefault="0006345B" w:rsidP="0006345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Demand fluctuates seasonally (e.g. Christmas) and economically, while online and convenience shopping peak at different times.</w:t>
            </w:r>
          </w:p>
        </w:tc>
        <w:tc>
          <w:tcPr>
            <w:tcW w:w="0" w:type="auto"/>
            <w:hideMark/>
          </w:tcPr>
          <w:p w14:paraId="5882CD50" w14:textId="77777777" w:rsidR="0006345B" w:rsidRPr="0006345B" w:rsidRDefault="0006345B" w:rsidP="0006345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Marketing must anticipate variation through dynamic pricing, stock planning, and targeted campaigns.</w:t>
            </w:r>
          </w:p>
        </w:tc>
      </w:tr>
      <w:tr w:rsidR="0006345B" w:rsidRPr="0006345B" w14:paraId="474D4235" w14:textId="77777777" w:rsidTr="0006345B">
        <w:tc>
          <w:tcPr>
            <w:cnfStyle w:val="001000000000" w:firstRow="0" w:lastRow="0" w:firstColumn="1" w:lastColumn="0" w:oddVBand="0" w:evenVBand="0" w:oddHBand="0" w:evenHBand="0" w:firstRowFirstColumn="0" w:firstRowLastColumn="0" w:lastRowFirstColumn="0" w:lastRowLastColumn="0"/>
            <w:tcW w:w="0" w:type="auto"/>
            <w:hideMark/>
          </w:tcPr>
          <w:p w14:paraId="257848EE" w14:textId="77777777" w:rsidR="0006345B" w:rsidRPr="0006345B" w:rsidRDefault="0006345B" w:rsidP="0006345B">
            <w:pPr>
              <w:spacing w:before="100" w:beforeAutospacing="1" w:after="100" w:afterAutospacing="1" w:line="360" w:lineRule="auto"/>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Visibility</w:t>
            </w:r>
          </w:p>
        </w:tc>
        <w:tc>
          <w:tcPr>
            <w:tcW w:w="0" w:type="auto"/>
            <w:hideMark/>
          </w:tcPr>
          <w:p w14:paraId="12928F9B" w14:textId="77777777" w:rsidR="0006345B" w:rsidRPr="0006345B" w:rsidRDefault="0006345B" w:rsidP="0006345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High customer contact through stores, online platforms, and customer service.</w:t>
            </w:r>
          </w:p>
        </w:tc>
        <w:tc>
          <w:tcPr>
            <w:tcW w:w="0" w:type="auto"/>
            <w:hideMark/>
          </w:tcPr>
          <w:p w14:paraId="1B9BE92E" w14:textId="77777777" w:rsidR="0006345B" w:rsidRPr="0006345B" w:rsidRDefault="0006345B" w:rsidP="0006345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High visibility requires consistent branding and service quality; poor experiences quickly affect reputation.</w:t>
            </w:r>
          </w:p>
        </w:tc>
      </w:tr>
    </w:tbl>
    <w:p w14:paraId="42C41D87" w14:textId="74E2FF4C" w:rsidR="0018616D" w:rsidRPr="0018616D" w:rsidRDefault="0018616D" w:rsidP="0018616D">
      <w:pPr>
        <w:spacing w:before="100" w:beforeAutospacing="1" w:after="100" w:afterAutospacing="1" w:line="360" w:lineRule="auto"/>
        <w:rPr>
          <w:rFonts w:ascii="Arial" w:eastAsia="Times New Roman" w:hAnsi="Arial" w:cs="Arial"/>
          <w:i/>
          <w:iCs/>
          <w:kern w:val="0"/>
          <w:lang w:eastAsia="en-GB"/>
          <w14:ligatures w14:val="none"/>
        </w:rPr>
      </w:pPr>
      <w:r w:rsidRPr="0018616D">
        <w:rPr>
          <w:rFonts w:ascii="Arial" w:eastAsia="Times New Roman" w:hAnsi="Arial" w:cs="Arial"/>
          <w:i/>
          <w:iCs/>
          <w:kern w:val="0"/>
          <w:lang w:eastAsia="en-GB"/>
          <w14:ligatures w14:val="none"/>
        </w:rPr>
        <w:t>Source: Adapted from Slack, Chambers and Johnston (2010)</w:t>
      </w:r>
    </w:p>
    <w:p w14:paraId="65262CB0" w14:textId="4DA4B51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3" w:name="_Toc211165205"/>
      <w:r w:rsidRPr="00C508E1">
        <w:rPr>
          <w:rFonts w:ascii="Arial" w:eastAsia="Times New Roman" w:hAnsi="Arial" w:cs="Arial"/>
          <w:b/>
          <w:bCs/>
          <w:kern w:val="0"/>
          <w:sz w:val="27"/>
          <w:szCs w:val="27"/>
          <w:lang w:eastAsia="en-GB"/>
          <w14:ligatures w14:val="none"/>
        </w:rPr>
        <w:lastRenderedPageBreak/>
        <w:t>Purpose and Model Choice</w:t>
      </w:r>
      <w:bookmarkEnd w:id="3"/>
    </w:p>
    <w:p w14:paraId="3BF83B10" w14:textId="50660537" w:rsidR="00336238" w:rsidRPr="0018616D" w:rsidRDefault="00336238" w:rsidP="0018616D">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This report performs a situational analysis to inform Tesco’s marketing decision-making. The SWOT model (Strengths, Weaknesses, Opportunities, Threats) is applied to assess internal and external influences on performance. The framework assists organisations in identifying strategic priorities by aligning internal capabilities with environmental conditions (Gürel and Tat, 2017).</w:t>
      </w:r>
    </w:p>
    <w:p w14:paraId="3CFEB5B2" w14:textId="219FC249" w:rsidR="00336238" w:rsidRPr="00C508E1" w:rsidRDefault="00336238" w:rsidP="00C508E1">
      <w:pPr>
        <w:pStyle w:val="Heading1"/>
        <w:rPr>
          <w:rFonts w:ascii="Arial" w:eastAsia="Times New Roman" w:hAnsi="Arial" w:cs="Arial"/>
          <w:lang w:eastAsia="en-GB"/>
        </w:rPr>
      </w:pPr>
      <w:bookmarkStart w:id="4" w:name="_Toc211165206"/>
      <w:r w:rsidRPr="00C508E1">
        <w:rPr>
          <w:rFonts w:ascii="Arial" w:eastAsia="Times New Roman" w:hAnsi="Arial" w:cs="Arial"/>
          <w:lang w:eastAsia="en-GB"/>
        </w:rPr>
        <w:t>2. Situational Analysis</w:t>
      </w:r>
      <w:r w:rsidR="003E3EA8">
        <w:rPr>
          <w:rFonts w:ascii="Arial" w:eastAsia="Times New Roman" w:hAnsi="Arial" w:cs="Arial"/>
          <w:lang w:eastAsia="en-GB"/>
        </w:rPr>
        <w:t xml:space="preserve">, </w:t>
      </w:r>
      <w:r w:rsidRPr="00C508E1">
        <w:rPr>
          <w:rFonts w:ascii="Arial" w:eastAsia="Times New Roman" w:hAnsi="Arial" w:cs="Arial"/>
          <w:lang w:eastAsia="en-GB"/>
        </w:rPr>
        <w:t>SWOT</w:t>
      </w:r>
      <w:bookmarkEnd w:id="4"/>
    </w:p>
    <w:p w14:paraId="128D4230"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5" w:name="_Toc211165207"/>
      <w:r w:rsidRPr="00C508E1">
        <w:rPr>
          <w:rFonts w:ascii="Arial" w:eastAsia="Times New Roman" w:hAnsi="Arial" w:cs="Arial"/>
          <w:b/>
          <w:bCs/>
          <w:kern w:val="0"/>
          <w:sz w:val="27"/>
          <w:szCs w:val="27"/>
          <w:lang w:eastAsia="en-GB"/>
          <w14:ligatures w14:val="none"/>
        </w:rPr>
        <w:t>Strengths</w:t>
      </w:r>
      <w:bookmarkEnd w:id="5"/>
    </w:p>
    <w:p w14:paraId="5030DAB7" w14:textId="77777777" w:rsidR="00336238" w:rsidRPr="00C508E1" w:rsidRDefault="00336238" w:rsidP="00C508E1">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 xml:space="preserve">Tesco benefits from significant </w:t>
      </w:r>
      <w:r w:rsidRPr="000042B1">
        <w:rPr>
          <w:rFonts w:ascii="Arial" w:eastAsia="Times New Roman" w:hAnsi="Arial" w:cs="Arial"/>
          <w:kern w:val="0"/>
          <w:lang w:eastAsia="en-GB"/>
          <w14:ligatures w14:val="none"/>
        </w:rPr>
        <w:t>brand power, scale</w:t>
      </w:r>
      <w:r w:rsidRPr="00C508E1">
        <w:rPr>
          <w:rFonts w:ascii="Arial" w:eastAsia="Times New Roman" w:hAnsi="Arial" w:cs="Arial"/>
          <w:kern w:val="0"/>
          <w:lang w:eastAsia="en-GB"/>
          <w14:ligatures w14:val="none"/>
        </w:rPr>
        <w:t xml:space="preserve">, and </w:t>
      </w:r>
      <w:r w:rsidRPr="000042B1">
        <w:rPr>
          <w:rFonts w:ascii="Arial" w:eastAsia="Times New Roman" w:hAnsi="Arial" w:cs="Arial"/>
          <w:kern w:val="0"/>
          <w:lang w:eastAsia="en-GB"/>
          <w14:ligatures w14:val="none"/>
        </w:rPr>
        <w:t>data-driven marketing capabilities.</w:t>
      </w:r>
    </w:p>
    <w:p w14:paraId="7D438FEB" w14:textId="77777777" w:rsidR="00336238" w:rsidRPr="00C508E1" w:rsidRDefault="00336238" w:rsidP="00C508E1">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Brand Leadership and Market Position</w:t>
      </w:r>
      <w:r w:rsidRPr="00C508E1">
        <w:rPr>
          <w:rFonts w:ascii="Arial" w:eastAsia="Times New Roman" w:hAnsi="Arial" w:cs="Arial"/>
          <w:kern w:val="0"/>
          <w:lang w:eastAsia="en-GB"/>
          <w14:ligatures w14:val="none"/>
        </w:rPr>
        <w:t xml:space="preserve"> – Tesco’s brand equity and nationwide presence secure its dominant market share (Kantar, 2025).</w:t>
      </w:r>
    </w:p>
    <w:p w14:paraId="23F52ABA" w14:textId="77777777" w:rsidR="00336238" w:rsidRPr="00C508E1" w:rsidRDefault="00336238" w:rsidP="00C508E1">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Omnichannel Reach</w:t>
      </w:r>
      <w:r w:rsidRPr="00C508E1">
        <w:rPr>
          <w:rFonts w:ascii="Arial" w:eastAsia="Times New Roman" w:hAnsi="Arial" w:cs="Arial"/>
          <w:kern w:val="0"/>
          <w:lang w:eastAsia="en-GB"/>
          <w14:ligatures w14:val="none"/>
        </w:rPr>
        <w:t xml:space="preserve"> – An integrated network of physical stores and digital platforms enhances accessibility and customer convenience (ResearchGate, 2025).</w:t>
      </w:r>
    </w:p>
    <w:p w14:paraId="0F74DAE5" w14:textId="77777777" w:rsidR="00336238" w:rsidRPr="00C508E1" w:rsidRDefault="00336238" w:rsidP="00C508E1">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Supply Chain Efficiency</w:t>
      </w:r>
      <w:r w:rsidRPr="00C508E1">
        <w:rPr>
          <w:rFonts w:ascii="Arial" w:eastAsia="Times New Roman" w:hAnsi="Arial" w:cs="Arial"/>
          <w:kern w:val="0"/>
          <w:lang w:eastAsia="en-GB"/>
          <w14:ligatures w14:val="none"/>
        </w:rPr>
        <w:t xml:space="preserve"> – Advanced logistics, distribution, and private-label operations ensure reliability and cost control (E-Research Siam, 2023).</w:t>
      </w:r>
    </w:p>
    <w:p w14:paraId="10FE34F2" w14:textId="77777777" w:rsidR="00336238" w:rsidRPr="00C508E1" w:rsidRDefault="00336238" w:rsidP="00C508E1">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Customer Loyalty and Data</w:t>
      </w:r>
      <w:r w:rsidRPr="00C508E1">
        <w:rPr>
          <w:rFonts w:ascii="Arial" w:eastAsia="Times New Roman" w:hAnsi="Arial" w:cs="Arial"/>
          <w:kern w:val="0"/>
          <w:lang w:eastAsia="en-GB"/>
          <w14:ligatures w14:val="none"/>
        </w:rPr>
        <w:t xml:space="preserve"> – The </w:t>
      </w:r>
      <w:r w:rsidRPr="000042B1">
        <w:rPr>
          <w:rFonts w:ascii="Arial" w:eastAsia="Times New Roman" w:hAnsi="Arial" w:cs="Arial"/>
          <w:kern w:val="0"/>
          <w:lang w:eastAsia="en-GB"/>
          <w14:ligatures w14:val="none"/>
        </w:rPr>
        <w:t>Clubcard</w:t>
      </w:r>
      <w:r w:rsidRPr="00C508E1">
        <w:rPr>
          <w:rFonts w:ascii="Arial" w:eastAsia="Times New Roman" w:hAnsi="Arial" w:cs="Arial"/>
          <w:kern w:val="0"/>
          <w:lang w:eastAsia="en-GB"/>
          <w14:ligatures w14:val="none"/>
        </w:rPr>
        <w:t xml:space="preserve"> programme enables targeted promotions and customer insight (</w:t>
      </w:r>
      <w:proofErr w:type="spellStart"/>
      <w:r w:rsidRPr="00C508E1">
        <w:rPr>
          <w:rFonts w:ascii="Arial" w:eastAsia="Times New Roman" w:hAnsi="Arial" w:cs="Arial"/>
          <w:kern w:val="0"/>
          <w:lang w:eastAsia="en-GB"/>
          <w14:ligatures w14:val="none"/>
        </w:rPr>
        <w:t>Puyt</w:t>
      </w:r>
      <w:proofErr w:type="spellEnd"/>
      <w:r w:rsidRPr="00C508E1">
        <w:rPr>
          <w:rFonts w:ascii="Arial" w:eastAsia="Times New Roman" w:hAnsi="Arial" w:cs="Arial"/>
          <w:kern w:val="0"/>
          <w:lang w:eastAsia="en-GB"/>
          <w14:ligatures w14:val="none"/>
        </w:rPr>
        <w:t>, 2023).</w:t>
      </w:r>
    </w:p>
    <w:p w14:paraId="0341F2C5" w14:textId="7F099445" w:rsidR="00336238" w:rsidRPr="00C508E1" w:rsidRDefault="00336238" w:rsidP="00C508E1">
      <w:pPr>
        <w:numPr>
          <w:ilvl w:val="0"/>
          <w:numId w:val="1"/>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Financial Strength</w:t>
      </w:r>
      <w:r w:rsidRPr="00C508E1">
        <w:rPr>
          <w:rFonts w:ascii="Arial" w:eastAsia="Times New Roman" w:hAnsi="Arial" w:cs="Arial"/>
          <w:kern w:val="0"/>
          <w:lang w:eastAsia="en-GB"/>
          <w14:ligatures w14:val="none"/>
        </w:rPr>
        <w:t xml:space="preserve"> – Tesco’s profitability and resources support ongoing investment in innovation (Reuters, 2025).</w:t>
      </w:r>
    </w:p>
    <w:p w14:paraId="140B34A7"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6" w:name="_Toc211165208"/>
      <w:r w:rsidRPr="00C508E1">
        <w:rPr>
          <w:rFonts w:ascii="Arial" w:eastAsia="Times New Roman" w:hAnsi="Arial" w:cs="Arial"/>
          <w:b/>
          <w:bCs/>
          <w:kern w:val="0"/>
          <w:sz w:val="27"/>
          <w:szCs w:val="27"/>
          <w:lang w:eastAsia="en-GB"/>
          <w14:ligatures w14:val="none"/>
        </w:rPr>
        <w:t>Weaknesses</w:t>
      </w:r>
      <w:bookmarkEnd w:id="6"/>
    </w:p>
    <w:p w14:paraId="0CEFB048" w14:textId="2B127B1B" w:rsidR="00336238" w:rsidRPr="00C508E1" w:rsidRDefault="00336238" w:rsidP="00C508E1">
      <w:pPr>
        <w:numPr>
          <w:ilvl w:val="0"/>
          <w:numId w:val="2"/>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High Operating Costs</w:t>
      </w:r>
      <w:r w:rsidRPr="00C508E1">
        <w:rPr>
          <w:rFonts w:ascii="Arial" w:eastAsia="Times New Roman" w:hAnsi="Arial" w:cs="Arial"/>
          <w:kern w:val="0"/>
          <w:lang w:eastAsia="en-GB"/>
          <w14:ligatures w14:val="none"/>
        </w:rPr>
        <w:t xml:space="preserve"> – Energy, labour and logistics inflation raise Tesco’s structural costs (Reuters, 2025).</w:t>
      </w:r>
    </w:p>
    <w:p w14:paraId="624A7AD1" w14:textId="77777777" w:rsidR="00336238" w:rsidRPr="00C508E1" w:rsidRDefault="00336238" w:rsidP="00C508E1">
      <w:pPr>
        <w:numPr>
          <w:ilvl w:val="0"/>
          <w:numId w:val="2"/>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UK Market Dependence</w:t>
      </w:r>
      <w:r w:rsidRPr="00C508E1">
        <w:rPr>
          <w:rFonts w:ascii="Arial" w:eastAsia="Times New Roman" w:hAnsi="Arial" w:cs="Arial"/>
          <w:kern w:val="0"/>
          <w:lang w:eastAsia="en-GB"/>
          <w14:ligatures w14:val="none"/>
        </w:rPr>
        <w:t xml:space="preserve"> – A large proportion of income comes from the domestic market (E-Research Siam, 2023).</w:t>
      </w:r>
    </w:p>
    <w:p w14:paraId="5E569AC3" w14:textId="77777777" w:rsidR="00336238" w:rsidRPr="00C508E1" w:rsidRDefault="00336238" w:rsidP="00C508E1">
      <w:pPr>
        <w:numPr>
          <w:ilvl w:val="0"/>
          <w:numId w:val="2"/>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Operational Complexity</w:t>
      </w:r>
      <w:r w:rsidRPr="00C508E1">
        <w:rPr>
          <w:rFonts w:ascii="Arial" w:eastAsia="Times New Roman" w:hAnsi="Arial" w:cs="Arial"/>
          <w:kern w:val="0"/>
          <w:lang w:eastAsia="en-GB"/>
          <w14:ligatures w14:val="none"/>
        </w:rPr>
        <w:t xml:space="preserve"> – Multiformat management complicates coordination (Business Case Studies, 2024).</w:t>
      </w:r>
    </w:p>
    <w:p w14:paraId="3B7C07D4" w14:textId="77777777" w:rsidR="00336238" w:rsidRPr="00C508E1" w:rsidRDefault="00336238" w:rsidP="00C508E1">
      <w:pPr>
        <w:numPr>
          <w:ilvl w:val="0"/>
          <w:numId w:val="2"/>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Reputation and Regulatory Risk</w:t>
      </w:r>
      <w:r w:rsidRPr="00C508E1">
        <w:rPr>
          <w:rFonts w:ascii="Arial" w:eastAsia="Times New Roman" w:hAnsi="Arial" w:cs="Arial"/>
          <w:kern w:val="0"/>
          <w:lang w:eastAsia="en-GB"/>
          <w14:ligatures w14:val="none"/>
        </w:rPr>
        <w:t xml:space="preserve"> – Tesco has been criticised for pricing and supplier practices, drawing scrutiny from the Groceries Code Adjudicator (SupplyChain247, 2015).</w:t>
      </w:r>
    </w:p>
    <w:p w14:paraId="20451374" w14:textId="77777777" w:rsidR="00336238" w:rsidRPr="00C508E1" w:rsidRDefault="00336238" w:rsidP="00C508E1">
      <w:pPr>
        <w:numPr>
          <w:ilvl w:val="0"/>
          <w:numId w:val="2"/>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Innovation Lag</w:t>
      </w:r>
      <w:r w:rsidRPr="00C508E1">
        <w:rPr>
          <w:rFonts w:ascii="Arial" w:eastAsia="Times New Roman" w:hAnsi="Arial" w:cs="Arial"/>
          <w:kern w:val="0"/>
          <w:lang w:eastAsia="en-GB"/>
          <w14:ligatures w14:val="none"/>
        </w:rPr>
        <w:t xml:space="preserve"> – Competitors have been faster in deploying digital retail technology (Savills, 2025).</w:t>
      </w:r>
    </w:p>
    <w:p w14:paraId="15080EE7"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7" w:name="_Toc211165209"/>
      <w:r w:rsidRPr="00C508E1">
        <w:rPr>
          <w:rFonts w:ascii="Arial" w:eastAsia="Times New Roman" w:hAnsi="Arial" w:cs="Arial"/>
          <w:b/>
          <w:bCs/>
          <w:kern w:val="0"/>
          <w:sz w:val="27"/>
          <w:szCs w:val="27"/>
          <w:lang w:eastAsia="en-GB"/>
          <w14:ligatures w14:val="none"/>
        </w:rPr>
        <w:lastRenderedPageBreak/>
        <w:t>Opportunities</w:t>
      </w:r>
      <w:bookmarkEnd w:id="7"/>
    </w:p>
    <w:p w14:paraId="71306B83" w14:textId="77777777" w:rsidR="00336238" w:rsidRPr="00C508E1" w:rsidRDefault="00336238" w:rsidP="00C508E1">
      <w:pPr>
        <w:numPr>
          <w:ilvl w:val="0"/>
          <w:numId w:val="3"/>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Online and Convenience Growth</w:t>
      </w:r>
      <w:r w:rsidRPr="00C508E1">
        <w:rPr>
          <w:rFonts w:ascii="Arial" w:eastAsia="Times New Roman" w:hAnsi="Arial" w:cs="Arial"/>
          <w:kern w:val="0"/>
          <w:lang w:eastAsia="en-GB"/>
          <w14:ligatures w14:val="none"/>
        </w:rPr>
        <w:t xml:space="preserve"> – Post-pandemic consumer habits favour rapid delivery and smaller basket shopping (</w:t>
      </w:r>
      <w:proofErr w:type="spellStart"/>
      <w:r w:rsidRPr="00C508E1">
        <w:rPr>
          <w:rFonts w:ascii="Arial" w:eastAsia="Times New Roman" w:hAnsi="Arial" w:cs="Arial"/>
          <w:kern w:val="0"/>
          <w:lang w:eastAsia="en-GB"/>
          <w14:ligatures w14:val="none"/>
        </w:rPr>
        <w:t>GlobalData</w:t>
      </w:r>
      <w:proofErr w:type="spellEnd"/>
      <w:r w:rsidRPr="00C508E1">
        <w:rPr>
          <w:rFonts w:ascii="Arial" w:eastAsia="Times New Roman" w:hAnsi="Arial" w:cs="Arial"/>
          <w:kern w:val="0"/>
          <w:lang w:eastAsia="en-GB"/>
          <w14:ligatures w14:val="none"/>
        </w:rPr>
        <w:t>, 2024).</w:t>
      </w:r>
    </w:p>
    <w:p w14:paraId="69997840" w14:textId="77777777" w:rsidR="00336238" w:rsidRPr="00C508E1" w:rsidRDefault="00336238" w:rsidP="00C508E1">
      <w:pPr>
        <w:numPr>
          <w:ilvl w:val="0"/>
          <w:numId w:val="3"/>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AI and Analytics</w:t>
      </w:r>
      <w:r w:rsidRPr="00C508E1">
        <w:rPr>
          <w:rFonts w:ascii="Arial" w:eastAsia="Times New Roman" w:hAnsi="Arial" w:cs="Arial"/>
          <w:kern w:val="0"/>
          <w:lang w:eastAsia="en-GB"/>
          <w14:ligatures w14:val="none"/>
        </w:rPr>
        <w:t xml:space="preserve"> – Predictive algorithms can improve pricing and reduce waste (</w:t>
      </w:r>
      <w:proofErr w:type="spellStart"/>
      <w:r w:rsidRPr="00C508E1">
        <w:rPr>
          <w:rFonts w:ascii="Arial" w:eastAsia="Times New Roman" w:hAnsi="Arial" w:cs="Arial"/>
          <w:kern w:val="0"/>
          <w:lang w:eastAsia="en-GB"/>
          <w14:ligatures w14:val="none"/>
        </w:rPr>
        <w:t>Arxiv</w:t>
      </w:r>
      <w:proofErr w:type="spellEnd"/>
      <w:r w:rsidRPr="00C508E1">
        <w:rPr>
          <w:rFonts w:ascii="Arial" w:eastAsia="Times New Roman" w:hAnsi="Arial" w:cs="Arial"/>
          <w:kern w:val="0"/>
          <w:lang w:eastAsia="en-GB"/>
          <w14:ligatures w14:val="none"/>
        </w:rPr>
        <w:t>, 2024).</w:t>
      </w:r>
    </w:p>
    <w:p w14:paraId="3FA70C3D" w14:textId="77777777" w:rsidR="00336238" w:rsidRPr="00C508E1" w:rsidRDefault="00336238" w:rsidP="00C508E1">
      <w:pPr>
        <w:numPr>
          <w:ilvl w:val="0"/>
          <w:numId w:val="3"/>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Private Label Development</w:t>
      </w:r>
      <w:r w:rsidRPr="00C508E1">
        <w:rPr>
          <w:rFonts w:ascii="Arial" w:eastAsia="Times New Roman" w:hAnsi="Arial" w:cs="Arial"/>
          <w:kern w:val="0"/>
          <w:lang w:eastAsia="en-GB"/>
          <w14:ligatures w14:val="none"/>
        </w:rPr>
        <w:t xml:space="preserve"> – Expanding premium and sustainable own-brand ranges drives margin growth (ResearchGate, 2025).</w:t>
      </w:r>
    </w:p>
    <w:p w14:paraId="068D4399" w14:textId="77777777" w:rsidR="00336238" w:rsidRPr="00C508E1" w:rsidRDefault="00336238" w:rsidP="00C508E1">
      <w:pPr>
        <w:numPr>
          <w:ilvl w:val="0"/>
          <w:numId w:val="3"/>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Sustainability Trends</w:t>
      </w:r>
      <w:r w:rsidRPr="00C508E1">
        <w:rPr>
          <w:rFonts w:ascii="Arial" w:eastAsia="Times New Roman" w:hAnsi="Arial" w:cs="Arial"/>
          <w:kern w:val="0"/>
          <w:lang w:eastAsia="en-GB"/>
          <w14:ligatures w14:val="none"/>
        </w:rPr>
        <w:t xml:space="preserve"> – Environmental commitments enhance reputation (</w:t>
      </w:r>
      <w:proofErr w:type="spellStart"/>
      <w:r w:rsidRPr="00C508E1">
        <w:rPr>
          <w:rFonts w:ascii="Arial" w:eastAsia="Times New Roman" w:hAnsi="Arial" w:cs="Arial"/>
          <w:kern w:val="0"/>
          <w:lang w:eastAsia="en-GB"/>
          <w14:ligatures w14:val="none"/>
        </w:rPr>
        <w:t>Nibusinessinfo</w:t>
      </w:r>
      <w:proofErr w:type="spellEnd"/>
      <w:r w:rsidRPr="00C508E1">
        <w:rPr>
          <w:rFonts w:ascii="Arial" w:eastAsia="Times New Roman" w:hAnsi="Arial" w:cs="Arial"/>
          <w:kern w:val="0"/>
          <w:lang w:eastAsia="en-GB"/>
          <w14:ligatures w14:val="none"/>
        </w:rPr>
        <w:t>, 2025).</w:t>
      </w:r>
    </w:p>
    <w:p w14:paraId="74670A56" w14:textId="77777777" w:rsidR="00336238" w:rsidRPr="00C508E1" w:rsidRDefault="00336238" w:rsidP="00C508E1">
      <w:pPr>
        <w:numPr>
          <w:ilvl w:val="0"/>
          <w:numId w:val="3"/>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Partnerships and Diversification</w:t>
      </w:r>
      <w:r w:rsidRPr="00C508E1">
        <w:rPr>
          <w:rFonts w:ascii="Arial" w:eastAsia="Times New Roman" w:hAnsi="Arial" w:cs="Arial"/>
          <w:kern w:val="0"/>
          <w:lang w:eastAsia="en-GB"/>
          <w14:ligatures w14:val="none"/>
        </w:rPr>
        <w:t xml:space="preserve"> – Collaboration with fintech or logistics firms extends Tesco’s ecosystem (Savills, 2025).</w:t>
      </w:r>
    </w:p>
    <w:p w14:paraId="30048991"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8" w:name="_Toc211165210"/>
      <w:r w:rsidRPr="00C508E1">
        <w:rPr>
          <w:rFonts w:ascii="Arial" w:eastAsia="Times New Roman" w:hAnsi="Arial" w:cs="Arial"/>
          <w:b/>
          <w:bCs/>
          <w:kern w:val="0"/>
          <w:sz w:val="27"/>
          <w:szCs w:val="27"/>
          <w:lang w:eastAsia="en-GB"/>
          <w14:ligatures w14:val="none"/>
        </w:rPr>
        <w:t>Threats</w:t>
      </w:r>
      <w:bookmarkEnd w:id="8"/>
    </w:p>
    <w:p w14:paraId="391E5120" w14:textId="4368EB2A" w:rsidR="00336238" w:rsidRPr="0006345B" w:rsidRDefault="00336238" w:rsidP="00C508E1">
      <w:pPr>
        <w:numPr>
          <w:ilvl w:val="0"/>
          <w:numId w:val="4"/>
        </w:numPr>
        <w:spacing w:before="100" w:beforeAutospacing="1" w:after="100" w:afterAutospacing="1" w:line="360" w:lineRule="auto"/>
        <w:ind w:left="714" w:hanging="357"/>
        <w:rPr>
          <w:rFonts w:ascii="Arial" w:eastAsia="Times New Roman" w:hAnsi="Arial" w:cs="Arial"/>
          <w:kern w:val="0"/>
          <w:lang w:eastAsia="en-GB"/>
          <w14:ligatures w14:val="none"/>
        </w:rPr>
      </w:pPr>
      <w:r w:rsidRPr="0006345B">
        <w:rPr>
          <w:rFonts w:ascii="Arial" w:eastAsia="Times New Roman" w:hAnsi="Arial" w:cs="Arial"/>
          <w:b/>
          <w:bCs/>
          <w:kern w:val="0"/>
          <w:sz w:val="24"/>
          <w:szCs w:val="24"/>
          <w:lang w:eastAsia="en-GB"/>
          <w14:ligatures w14:val="none"/>
        </w:rPr>
        <w:t>Discounters’ Competition</w:t>
      </w:r>
      <w:r w:rsidRPr="0006345B">
        <w:rPr>
          <w:rFonts w:ascii="Arial" w:eastAsia="Times New Roman" w:hAnsi="Arial" w:cs="Arial"/>
          <w:kern w:val="0"/>
          <w:sz w:val="24"/>
          <w:szCs w:val="24"/>
          <w:lang w:eastAsia="en-GB"/>
          <w14:ligatures w14:val="none"/>
        </w:rPr>
        <w:t xml:space="preserve"> – Aldi and Lidl continue to erode market share through </w:t>
      </w:r>
      <w:r w:rsidRPr="0006345B">
        <w:rPr>
          <w:rFonts w:ascii="Arial" w:eastAsia="Times New Roman" w:hAnsi="Arial" w:cs="Arial"/>
          <w:kern w:val="0"/>
          <w:lang w:eastAsia="en-GB"/>
          <w14:ligatures w14:val="none"/>
        </w:rPr>
        <w:t>price leadership (Reuters, 2025).</w:t>
      </w:r>
    </w:p>
    <w:p w14:paraId="5B1AFD1C" w14:textId="77777777" w:rsidR="00336238" w:rsidRPr="00C508E1" w:rsidRDefault="00336238" w:rsidP="00C508E1">
      <w:pPr>
        <w:numPr>
          <w:ilvl w:val="0"/>
          <w:numId w:val="4"/>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Economic Instability</w:t>
      </w:r>
      <w:r w:rsidRPr="00C508E1">
        <w:rPr>
          <w:rFonts w:ascii="Arial" w:eastAsia="Times New Roman" w:hAnsi="Arial" w:cs="Arial"/>
          <w:kern w:val="0"/>
          <w:lang w:eastAsia="en-GB"/>
          <w14:ligatures w14:val="none"/>
        </w:rPr>
        <w:t xml:space="preserve"> – Inflation and the cost-of-living crisis weaken consumer spending (Reuters, 2025d).</w:t>
      </w:r>
    </w:p>
    <w:p w14:paraId="356CF5C3" w14:textId="77777777" w:rsidR="00336238" w:rsidRPr="00C508E1" w:rsidRDefault="00336238" w:rsidP="00C508E1">
      <w:pPr>
        <w:numPr>
          <w:ilvl w:val="0"/>
          <w:numId w:val="4"/>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Consumer Value Shifts</w:t>
      </w:r>
      <w:r w:rsidRPr="00C508E1">
        <w:rPr>
          <w:rFonts w:ascii="Arial" w:eastAsia="Times New Roman" w:hAnsi="Arial" w:cs="Arial"/>
          <w:kern w:val="0"/>
          <w:lang w:eastAsia="en-GB"/>
          <w14:ligatures w14:val="none"/>
        </w:rPr>
        <w:t xml:space="preserve"> – Growing preferences for healthy and ethical goods demand constant adaptation (</w:t>
      </w:r>
      <w:proofErr w:type="spellStart"/>
      <w:r w:rsidRPr="00C508E1">
        <w:rPr>
          <w:rFonts w:ascii="Arial" w:eastAsia="Times New Roman" w:hAnsi="Arial" w:cs="Arial"/>
          <w:kern w:val="0"/>
          <w:lang w:eastAsia="en-GB"/>
          <w14:ligatures w14:val="none"/>
        </w:rPr>
        <w:t>GlobalData</w:t>
      </w:r>
      <w:proofErr w:type="spellEnd"/>
      <w:r w:rsidRPr="00C508E1">
        <w:rPr>
          <w:rFonts w:ascii="Arial" w:eastAsia="Times New Roman" w:hAnsi="Arial" w:cs="Arial"/>
          <w:kern w:val="0"/>
          <w:lang w:eastAsia="en-GB"/>
          <w14:ligatures w14:val="none"/>
        </w:rPr>
        <w:t>, 2024).</w:t>
      </w:r>
    </w:p>
    <w:p w14:paraId="301D0478" w14:textId="77777777" w:rsidR="00336238" w:rsidRPr="00C508E1" w:rsidRDefault="00336238" w:rsidP="00C508E1">
      <w:pPr>
        <w:numPr>
          <w:ilvl w:val="0"/>
          <w:numId w:val="4"/>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Regulatory Pressures</w:t>
      </w:r>
      <w:r w:rsidRPr="00C508E1">
        <w:rPr>
          <w:rFonts w:ascii="Arial" w:eastAsia="Times New Roman" w:hAnsi="Arial" w:cs="Arial"/>
          <w:kern w:val="0"/>
          <w:lang w:eastAsia="en-GB"/>
          <w14:ligatures w14:val="none"/>
        </w:rPr>
        <w:t xml:space="preserve"> – Changing business rates and food standards impose additional costs (FT, 2025).</w:t>
      </w:r>
    </w:p>
    <w:p w14:paraId="64414622" w14:textId="77777777" w:rsidR="00336238" w:rsidRPr="00C508E1" w:rsidRDefault="00336238" w:rsidP="00C508E1">
      <w:pPr>
        <w:numPr>
          <w:ilvl w:val="0"/>
          <w:numId w:val="4"/>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Technological Disruption</w:t>
      </w:r>
      <w:r w:rsidRPr="00C508E1">
        <w:rPr>
          <w:rFonts w:ascii="Arial" w:eastAsia="Times New Roman" w:hAnsi="Arial" w:cs="Arial"/>
          <w:kern w:val="0"/>
          <w:lang w:eastAsia="en-GB"/>
          <w14:ligatures w14:val="none"/>
        </w:rPr>
        <w:t xml:space="preserve"> – Rapid innovation among new entrants poses competitive risk (Savills, 2025).</w:t>
      </w:r>
    </w:p>
    <w:p w14:paraId="372C7EB0" w14:textId="44DDF98B" w:rsidR="00336238" w:rsidRDefault="00336238" w:rsidP="00336238">
      <w:pPr>
        <w:spacing w:after="0" w:line="240" w:lineRule="auto"/>
        <w:rPr>
          <w:rFonts w:ascii="Times New Roman" w:eastAsia="Times New Roman" w:hAnsi="Times New Roman" w:cs="Times New Roman"/>
          <w:kern w:val="0"/>
          <w:sz w:val="24"/>
          <w:szCs w:val="24"/>
          <w:lang w:eastAsia="en-GB"/>
          <w14:ligatures w14:val="none"/>
        </w:rPr>
      </w:pPr>
    </w:p>
    <w:p w14:paraId="72AF3FC6" w14:textId="77777777" w:rsidR="0018616D" w:rsidRDefault="0018616D" w:rsidP="00336238">
      <w:pPr>
        <w:spacing w:after="0" w:line="240" w:lineRule="auto"/>
        <w:rPr>
          <w:rFonts w:ascii="Times New Roman" w:eastAsia="Times New Roman" w:hAnsi="Times New Roman" w:cs="Times New Roman"/>
          <w:kern w:val="0"/>
          <w:sz w:val="24"/>
          <w:szCs w:val="24"/>
          <w:lang w:eastAsia="en-GB"/>
          <w14:ligatures w14:val="none"/>
        </w:rPr>
      </w:pPr>
    </w:p>
    <w:p w14:paraId="3A337FC2" w14:textId="77777777" w:rsidR="0018616D" w:rsidRDefault="0018616D" w:rsidP="00336238">
      <w:pPr>
        <w:spacing w:after="0" w:line="240" w:lineRule="auto"/>
        <w:rPr>
          <w:rFonts w:ascii="Times New Roman" w:eastAsia="Times New Roman" w:hAnsi="Times New Roman" w:cs="Times New Roman"/>
          <w:kern w:val="0"/>
          <w:sz w:val="24"/>
          <w:szCs w:val="24"/>
          <w:lang w:eastAsia="en-GB"/>
          <w14:ligatures w14:val="none"/>
        </w:rPr>
      </w:pPr>
    </w:p>
    <w:p w14:paraId="2A510AD1" w14:textId="77777777" w:rsidR="0018616D" w:rsidRDefault="0018616D" w:rsidP="00336238">
      <w:pPr>
        <w:spacing w:after="0" w:line="240" w:lineRule="auto"/>
        <w:rPr>
          <w:rFonts w:ascii="Times New Roman" w:eastAsia="Times New Roman" w:hAnsi="Times New Roman" w:cs="Times New Roman"/>
          <w:kern w:val="0"/>
          <w:sz w:val="24"/>
          <w:szCs w:val="24"/>
          <w:lang w:eastAsia="en-GB"/>
          <w14:ligatures w14:val="none"/>
        </w:rPr>
      </w:pPr>
    </w:p>
    <w:p w14:paraId="08423BEE" w14:textId="77777777" w:rsidR="0018616D" w:rsidRDefault="0018616D" w:rsidP="00336238">
      <w:pPr>
        <w:spacing w:after="0" w:line="240" w:lineRule="auto"/>
        <w:rPr>
          <w:rFonts w:ascii="Times New Roman" w:eastAsia="Times New Roman" w:hAnsi="Times New Roman" w:cs="Times New Roman"/>
          <w:kern w:val="0"/>
          <w:sz w:val="24"/>
          <w:szCs w:val="24"/>
          <w:lang w:eastAsia="en-GB"/>
          <w14:ligatures w14:val="none"/>
        </w:rPr>
      </w:pPr>
    </w:p>
    <w:p w14:paraId="0D9938F4" w14:textId="77777777" w:rsidR="0018616D" w:rsidRDefault="0018616D" w:rsidP="00336238">
      <w:pPr>
        <w:spacing w:after="0" w:line="240" w:lineRule="auto"/>
        <w:rPr>
          <w:rFonts w:ascii="Times New Roman" w:eastAsia="Times New Roman" w:hAnsi="Times New Roman" w:cs="Times New Roman"/>
          <w:kern w:val="0"/>
          <w:sz w:val="24"/>
          <w:szCs w:val="24"/>
          <w:lang w:eastAsia="en-GB"/>
          <w14:ligatures w14:val="none"/>
        </w:rPr>
      </w:pPr>
    </w:p>
    <w:p w14:paraId="62BC19A7" w14:textId="77777777" w:rsidR="0018616D" w:rsidRDefault="0018616D" w:rsidP="00336238">
      <w:pPr>
        <w:spacing w:after="0" w:line="240" w:lineRule="auto"/>
        <w:rPr>
          <w:rFonts w:ascii="Times New Roman" w:eastAsia="Times New Roman" w:hAnsi="Times New Roman" w:cs="Times New Roman"/>
          <w:kern w:val="0"/>
          <w:sz w:val="24"/>
          <w:szCs w:val="24"/>
          <w:lang w:eastAsia="en-GB"/>
          <w14:ligatures w14:val="none"/>
        </w:rPr>
      </w:pPr>
    </w:p>
    <w:p w14:paraId="22304EEF" w14:textId="77777777" w:rsidR="0018616D" w:rsidRDefault="0018616D" w:rsidP="00336238">
      <w:pPr>
        <w:spacing w:after="0" w:line="240" w:lineRule="auto"/>
        <w:rPr>
          <w:rFonts w:ascii="Times New Roman" w:eastAsia="Times New Roman" w:hAnsi="Times New Roman" w:cs="Times New Roman"/>
          <w:kern w:val="0"/>
          <w:sz w:val="24"/>
          <w:szCs w:val="24"/>
          <w:lang w:eastAsia="en-GB"/>
          <w14:ligatures w14:val="none"/>
        </w:rPr>
      </w:pPr>
    </w:p>
    <w:p w14:paraId="2DBA0ED0" w14:textId="77777777" w:rsidR="000042B1" w:rsidRDefault="000042B1" w:rsidP="00336238">
      <w:pPr>
        <w:spacing w:after="0" w:line="240" w:lineRule="auto"/>
        <w:rPr>
          <w:rFonts w:ascii="Times New Roman" w:eastAsia="Times New Roman" w:hAnsi="Times New Roman" w:cs="Times New Roman"/>
          <w:kern w:val="0"/>
          <w:sz w:val="24"/>
          <w:szCs w:val="24"/>
          <w:lang w:eastAsia="en-GB"/>
          <w14:ligatures w14:val="none"/>
        </w:rPr>
      </w:pPr>
    </w:p>
    <w:p w14:paraId="35DBEBC4" w14:textId="77777777" w:rsidR="000042B1" w:rsidRDefault="000042B1" w:rsidP="00336238">
      <w:pPr>
        <w:spacing w:after="0" w:line="240" w:lineRule="auto"/>
        <w:rPr>
          <w:rFonts w:ascii="Times New Roman" w:eastAsia="Times New Roman" w:hAnsi="Times New Roman" w:cs="Times New Roman"/>
          <w:kern w:val="0"/>
          <w:sz w:val="24"/>
          <w:szCs w:val="24"/>
          <w:lang w:eastAsia="en-GB"/>
          <w14:ligatures w14:val="none"/>
        </w:rPr>
      </w:pPr>
    </w:p>
    <w:p w14:paraId="38E33138" w14:textId="77777777" w:rsidR="000042B1" w:rsidRDefault="000042B1" w:rsidP="00336238">
      <w:pPr>
        <w:spacing w:after="0" w:line="240" w:lineRule="auto"/>
        <w:rPr>
          <w:rFonts w:ascii="Times New Roman" w:eastAsia="Times New Roman" w:hAnsi="Times New Roman" w:cs="Times New Roman"/>
          <w:kern w:val="0"/>
          <w:sz w:val="24"/>
          <w:szCs w:val="24"/>
          <w:lang w:eastAsia="en-GB"/>
          <w14:ligatures w14:val="none"/>
        </w:rPr>
      </w:pPr>
    </w:p>
    <w:p w14:paraId="0F260963" w14:textId="77777777" w:rsidR="000042B1" w:rsidRPr="00336238" w:rsidRDefault="000042B1" w:rsidP="00336238">
      <w:pPr>
        <w:spacing w:after="0" w:line="240" w:lineRule="auto"/>
        <w:rPr>
          <w:rFonts w:ascii="Times New Roman" w:eastAsia="Times New Roman" w:hAnsi="Times New Roman" w:cs="Times New Roman"/>
          <w:kern w:val="0"/>
          <w:sz w:val="24"/>
          <w:szCs w:val="24"/>
          <w:lang w:eastAsia="en-GB"/>
          <w14:ligatures w14:val="none"/>
        </w:rPr>
      </w:pPr>
    </w:p>
    <w:p w14:paraId="4104F4D6" w14:textId="77777777" w:rsidR="00336238" w:rsidRPr="00C508E1" w:rsidRDefault="00336238" w:rsidP="00C508E1">
      <w:pPr>
        <w:pStyle w:val="Heading1"/>
        <w:rPr>
          <w:rFonts w:ascii="Arial" w:eastAsia="Times New Roman" w:hAnsi="Arial" w:cs="Arial"/>
          <w:lang w:eastAsia="en-GB"/>
        </w:rPr>
      </w:pPr>
      <w:bookmarkStart w:id="9" w:name="_Toc211165211"/>
      <w:r w:rsidRPr="00C508E1">
        <w:rPr>
          <w:rFonts w:ascii="Arial" w:eastAsia="Times New Roman" w:hAnsi="Arial" w:cs="Arial"/>
          <w:lang w:eastAsia="en-GB"/>
        </w:rPr>
        <w:lastRenderedPageBreak/>
        <w:t>3. Critical Analysis and Evaluation</w:t>
      </w:r>
      <w:bookmarkEnd w:id="9"/>
    </w:p>
    <w:p w14:paraId="763199D8" w14:textId="77777777" w:rsidR="00336238" w:rsidRPr="00745C2C"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10" w:name="_Toc211165212"/>
      <w:r w:rsidRPr="00745C2C">
        <w:rPr>
          <w:rFonts w:ascii="Arial" w:eastAsia="Times New Roman" w:hAnsi="Arial" w:cs="Arial"/>
          <w:b/>
          <w:bCs/>
          <w:kern w:val="0"/>
          <w:sz w:val="27"/>
          <w:szCs w:val="27"/>
          <w:lang w:eastAsia="en-GB"/>
          <w14:ligatures w14:val="none"/>
        </w:rPr>
        <w:t>Integrating SWOT Findings</w:t>
      </w:r>
      <w:bookmarkEnd w:id="10"/>
    </w:p>
    <w:p w14:paraId="67E7E715" w14:textId="77777777" w:rsidR="00336238" w:rsidRPr="00C508E1" w:rsidRDefault="00336238" w:rsidP="00C508E1">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Tesco’s strong market position and resources enable resilience, yet the analysis shows that size alone is insufficient for sustained competitive advantage. According to the resource-based view (RBV), competitive advantage depends not merely on resource ownership but on how effectively those resources are deployed and renewed (Barney, 1991). Tesco’s supply chain and data assets meet the RBV criteria of being valuable and difficult to imitate, but to remain sustainable they require continuous innovation.</w:t>
      </w:r>
    </w:p>
    <w:p w14:paraId="4698F4F5" w14:textId="231A3D2E" w:rsidR="00336238" w:rsidRPr="00C508E1" w:rsidRDefault="00336238" w:rsidP="00C508E1">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While strengths like scale and data create efficiency, they can also reduce flexibility</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a weakness in an era of agile digital competition. As Teece (2007) argues, dynamic capabilities</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the ability to integrate and reconfigure resources</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are vital for adapting to change. Tesco’s challenge is to transform its data advantage into dynamic marketing capabilities, allowing rapid response to consumer and technological shifts.</w:t>
      </w:r>
    </w:p>
    <w:p w14:paraId="74FA3D28"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11" w:name="_Toc211165213"/>
      <w:r w:rsidRPr="00C508E1">
        <w:rPr>
          <w:rFonts w:ascii="Arial" w:eastAsia="Times New Roman" w:hAnsi="Arial" w:cs="Arial"/>
          <w:b/>
          <w:bCs/>
          <w:kern w:val="0"/>
          <w:sz w:val="27"/>
          <w:szCs w:val="27"/>
          <w:lang w:eastAsia="en-GB"/>
          <w14:ligatures w14:val="none"/>
        </w:rPr>
        <w:t>Strategic and Marketing Implications</w:t>
      </w:r>
      <w:bookmarkEnd w:id="11"/>
    </w:p>
    <w:p w14:paraId="3F0925C9" w14:textId="77777777" w:rsidR="00336238" w:rsidRPr="00C508E1" w:rsidRDefault="00336238" w:rsidP="00C508E1">
      <w:pPr>
        <w:numPr>
          <w:ilvl w:val="0"/>
          <w:numId w:val="5"/>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Balancing Cost Leadership and Differentiation</w:t>
      </w:r>
      <w:r w:rsidRPr="00C508E1">
        <w:rPr>
          <w:rFonts w:ascii="Arial" w:eastAsia="Times New Roman" w:hAnsi="Arial" w:cs="Arial"/>
          <w:kern w:val="0"/>
          <w:lang w:eastAsia="en-GB"/>
          <w14:ligatures w14:val="none"/>
        </w:rPr>
        <w:br/>
        <w:t>Tesco operates in a “middle-market trap” between cost leaders (Aldi, Lidl) and niche differentiators (Waitrose). Porter (1980) cautions that being “stuck in the middle” leads to strategic vulnerability. To address this, Tesco must integrate low-cost efficiency with differentiation based on service quality, ethical sourcing, and data-driven personalisation.</w:t>
      </w:r>
    </w:p>
    <w:p w14:paraId="5CFB6C68" w14:textId="77777777" w:rsidR="00336238" w:rsidRPr="00C508E1" w:rsidRDefault="00336238" w:rsidP="00C508E1">
      <w:pPr>
        <w:numPr>
          <w:ilvl w:val="0"/>
          <w:numId w:val="5"/>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Digital Transformation and Customer Insight</w:t>
      </w:r>
      <w:r w:rsidRPr="00C508E1">
        <w:rPr>
          <w:rFonts w:ascii="Arial" w:eastAsia="Times New Roman" w:hAnsi="Arial" w:cs="Arial"/>
          <w:kern w:val="0"/>
          <w:lang w:eastAsia="en-GB"/>
          <w14:ligatures w14:val="none"/>
        </w:rPr>
        <w:br/>
        <w:t xml:space="preserve">The Clubcard programme demonstrates Tesco’s maturity in CRM, but competitive advantage arises from using these insights proactively. Adopting </w:t>
      </w:r>
      <w:r w:rsidRPr="003E3EA8">
        <w:rPr>
          <w:rFonts w:ascii="Arial" w:eastAsia="Times New Roman" w:hAnsi="Arial" w:cs="Arial"/>
          <w:kern w:val="0"/>
          <w:lang w:eastAsia="en-GB"/>
          <w14:ligatures w14:val="none"/>
        </w:rPr>
        <w:t>AI-powered personalisation</w:t>
      </w:r>
      <w:r w:rsidRPr="00C508E1">
        <w:rPr>
          <w:rFonts w:ascii="Arial" w:eastAsia="Times New Roman" w:hAnsi="Arial" w:cs="Arial"/>
          <w:kern w:val="0"/>
          <w:lang w:eastAsia="en-GB"/>
          <w14:ligatures w14:val="none"/>
        </w:rPr>
        <w:t xml:space="preserve"> can transform transactional marketing into relational marketing (</w:t>
      </w:r>
      <w:proofErr w:type="spellStart"/>
      <w:r w:rsidRPr="00C508E1">
        <w:rPr>
          <w:rFonts w:ascii="Arial" w:eastAsia="Times New Roman" w:hAnsi="Arial" w:cs="Arial"/>
          <w:kern w:val="0"/>
          <w:lang w:eastAsia="en-GB"/>
          <w14:ligatures w14:val="none"/>
        </w:rPr>
        <w:t>Arxiv</w:t>
      </w:r>
      <w:proofErr w:type="spellEnd"/>
      <w:r w:rsidRPr="00C508E1">
        <w:rPr>
          <w:rFonts w:ascii="Arial" w:eastAsia="Times New Roman" w:hAnsi="Arial" w:cs="Arial"/>
          <w:kern w:val="0"/>
          <w:lang w:eastAsia="en-GB"/>
          <w14:ligatures w14:val="none"/>
        </w:rPr>
        <w:t>, 2024). For instance, personalised recommendations and dynamic pricing can enhance customer lifetime value. However, Tesco must navigate privacy regulations and consumer scepticism towards data use.</w:t>
      </w:r>
    </w:p>
    <w:p w14:paraId="347AAA33" w14:textId="5BAAAC81" w:rsidR="00336238" w:rsidRPr="00C508E1" w:rsidRDefault="00336238" w:rsidP="00C508E1">
      <w:pPr>
        <w:numPr>
          <w:ilvl w:val="0"/>
          <w:numId w:val="5"/>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Sustainability as Strategic Differentiator</w:t>
      </w:r>
      <w:r w:rsidRPr="00C508E1">
        <w:rPr>
          <w:rFonts w:ascii="Arial" w:eastAsia="Times New Roman" w:hAnsi="Arial" w:cs="Arial"/>
          <w:kern w:val="0"/>
          <w:lang w:eastAsia="en-GB"/>
          <w14:ligatures w14:val="none"/>
        </w:rPr>
        <w:br/>
        <w:t>Environmental, Social, and Governance (ESG) performance increasingly influences brand perception. Tesco’s ongoing sustainability initiatives</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such as plastic reduction and carbon-neutral goals</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 xml:space="preserve">should shift from compliance to </w:t>
      </w:r>
      <w:r w:rsidRPr="003E3EA8">
        <w:rPr>
          <w:rFonts w:ascii="Arial" w:eastAsia="Times New Roman" w:hAnsi="Arial" w:cs="Arial"/>
          <w:kern w:val="0"/>
          <w:lang w:eastAsia="en-GB"/>
          <w14:ligatures w14:val="none"/>
        </w:rPr>
        <w:t>core brand identity</w:t>
      </w:r>
      <w:r w:rsidRPr="00C508E1">
        <w:rPr>
          <w:rFonts w:ascii="Arial" w:eastAsia="Times New Roman" w:hAnsi="Arial" w:cs="Arial"/>
          <w:kern w:val="0"/>
          <w:lang w:eastAsia="en-GB"/>
          <w14:ligatures w14:val="none"/>
        </w:rPr>
        <w:t xml:space="preserve"> (Savills, 2025). Communicating sustainability credibly through transparent reporting can build emotional loyalty and justify premium pricing.</w:t>
      </w:r>
    </w:p>
    <w:p w14:paraId="60E026E4" w14:textId="77777777" w:rsidR="00336238" w:rsidRPr="00C508E1" w:rsidRDefault="00336238" w:rsidP="00C508E1">
      <w:pPr>
        <w:numPr>
          <w:ilvl w:val="0"/>
          <w:numId w:val="5"/>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lastRenderedPageBreak/>
        <w:t>Reputation and Ethics Management</w:t>
      </w:r>
      <w:r w:rsidRPr="00C508E1">
        <w:rPr>
          <w:rFonts w:ascii="Arial" w:eastAsia="Times New Roman" w:hAnsi="Arial" w:cs="Arial"/>
          <w:kern w:val="0"/>
          <w:lang w:eastAsia="en-GB"/>
          <w14:ligatures w14:val="none"/>
        </w:rPr>
        <w:br/>
        <w:t>Historical tensions with suppliers damaged Tesco’s public image and led to investigations by the Groceries Code Adjudicator (SupplyChain247, 2015). Modern consumers equate ethical supply chains with brand integrity. Applying stakeholder theory (Freeman, 1984), Tesco must balance shareholder returns with supplier fairness and environmental stewardship to reinforce long-term trust.</w:t>
      </w:r>
    </w:p>
    <w:p w14:paraId="1240D3CB" w14:textId="3BD54CBB" w:rsidR="00336238" w:rsidRPr="00C508E1" w:rsidRDefault="00336238" w:rsidP="00C508E1">
      <w:pPr>
        <w:numPr>
          <w:ilvl w:val="0"/>
          <w:numId w:val="5"/>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Agility and Organisational Learning</w:t>
      </w:r>
      <w:r w:rsidRPr="00C508E1">
        <w:rPr>
          <w:rFonts w:ascii="Arial" w:eastAsia="Times New Roman" w:hAnsi="Arial" w:cs="Arial"/>
          <w:kern w:val="0"/>
          <w:lang w:eastAsia="en-GB"/>
          <w14:ligatures w14:val="none"/>
        </w:rPr>
        <w:br/>
        <w:t xml:space="preserve">Tesco’s hierarchical structure may inhibit fast decision-making. A flatter, cross-functional organisational model would encourage innovation and responsiveness to consumer trends. </w:t>
      </w:r>
      <w:r w:rsidRPr="003E3EA8">
        <w:rPr>
          <w:rFonts w:ascii="Arial" w:eastAsia="Times New Roman" w:hAnsi="Arial" w:cs="Arial"/>
          <w:kern w:val="0"/>
          <w:lang w:eastAsia="en-GB"/>
          <w14:ligatures w14:val="none"/>
        </w:rPr>
        <w:t>Kotter’s (2012)</w:t>
      </w:r>
      <w:r w:rsidRPr="00C508E1">
        <w:rPr>
          <w:rFonts w:ascii="Arial" w:eastAsia="Times New Roman" w:hAnsi="Arial" w:cs="Arial"/>
          <w:kern w:val="0"/>
          <w:lang w:eastAsia="en-GB"/>
          <w14:ligatures w14:val="none"/>
        </w:rPr>
        <w:t xml:space="preserve"> theory of dual operating systems</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combining stable core operations with agile innovation teams</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offers a framework for this transformation.</w:t>
      </w:r>
    </w:p>
    <w:p w14:paraId="5C09D9DA"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12" w:name="_Toc211165214"/>
      <w:r w:rsidRPr="00C508E1">
        <w:rPr>
          <w:rFonts w:ascii="Arial" w:eastAsia="Times New Roman" w:hAnsi="Arial" w:cs="Arial"/>
          <w:b/>
          <w:bCs/>
          <w:kern w:val="0"/>
          <w:sz w:val="27"/>
          <w:szCs w:val="27"/>
          <w:lang w:eastAsia="en-GB"/>
          <w14:ligatures w14:val="none"/>
        </w:rPr>
        <w:t>Evaluation of SWOT Framework</w:t>
      </w:r>
      <w:bookmarkEnd w:id="12"/>
    </w:p>
    <w:p w14:paraId="00F76880" w14:textId="77777777" w:rsidR="00336238" w:rsidRPr="00C508E1" w:rsidRDefault="00336238" w:rsidP="00C508E1">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While SWOT provides a structured overview, its simplicity limits analytical depth. Critics argue it lacks prioritisation and fails to reveal interdependencies (Helms and Nixon, 2010). Nevertheless, it remains valuable as an integrative tool when combined with other frameworks such as RBV or PESTLE. In Tesco’s case, SWOT effectively highlights strategic tensions between efficiency and adaptability, guiding where management should focus investment.</w:t>
      </w:r>
    </w:p>
    <w:p w14:paraId="2E70A3FC"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13" w:name="_Toc211165215"/>
      <w:r w:rsidRPr="00C508E1">
        <w:rPr>
          <w:rFonts w:ascii="Arial" w:eastAsia="Times New Roman" w:hAnsi="Arial" w:cs="Arial"/>
          <w:b/>
          <w:bCs/>
          <w:kern w:val="0"/>
          <w:sz w:val="27"/>
          <w:szCs w:val="27"/>
          <w:lang w:eastAsia="en-GB"/>
          <w14:ligatures w14:val="none"/>
        </w:rPr>
        <w:t>Comparative Insight</w:t>
      </w:r>
      <w:bookmarkEnd w:id="13"/>
    </w:p>
    <w:p w14:paraId="374C886A" w14:textId="3250FAD2" w:rsidR="00336238" w:rsidRDefault="00336238" w:rsidP="0018616D">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Competitors like Aldi and Lidl demonstrate the power of focused cost leadership, while Amazon Fresh illustrates digital agility. Tesco’s sustainable advantage depends on its ability to synthesise both models</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leveraging its infrastructure while evolving its customer experience. In essence, Tesco must convert its scale advantage into learning advantage, transforming resources into innovation rather than inertia.</w:t>
      </w:r>
    </w:p>
    <w:p w14:paraId="20F8A0B5" w14:textId="77777777" w:rsidR="0018616D" w:rsidRDefault="0018616D" w:rsidP="0018616D">
      <w:pPr>
        <w:spacing w:before="100" w:beforeAutospacing="1" w:after="100" w:afterAutospacing="1" w:line="360" w:lineRule="auto"/>
        <w:rPr>
          <w:rFonts w:ascii="Arial" w:eastAsia="Times New Roman" w:hAnsi="Arial" w:cs="Arial"/>
          <w:kern w:val="0"/>
          <w:lang w:eastAsia="en-GB"/>
          <w14:ligatures w14:val="none"/>
        </w:rPr>
      </w:pPr>
    </w:p>
    <w:p w14:paraId="3645ACCD" w14:textId="77777777" w:rsidR="0018616D" w:rsidRPr="0018616D" w:rsidRDefault="0018616D" w:rsidP="0018616D">
      <w:pPr>
        <w:spacing w:before="100" w:beforeAutospacing="1" w:after="100" w:afterAutospacing="1" w:line="360" w:lineRule="auto"/>
        <w:rPr>
          <w:rFonts w:ascii="Arial" w:eastAsia="Times New Roman" w:hAnsi="Arial" w:cs="Arial"/>
          <w:kern w:val="0"/>
          <w:lang w:eastAsia="en-GB"/>
          <w14:ligatures w14:val="none"/>
        </w:rPr>
      </w:pPr>
    </w:p>
    <w:p w14:paraId="0E1A096A" w14:textId="77777777" w:rsidR="00336238" w:rsidRPr="00C508E1" w:rsidRDefault="00336238" w:rsidP="00C508E1">
      <w:pPr>
        <w:pStyle w:val="Heading1"/>
        <w:rPr>
          <w:rFonts w:eastAsia="Times New Roman"/>
          <w:lang w:eastAsia="en-GB"/>
        </w:rPr>
      </w:pPr>
      <w:bookmarkStart w:id="14" w:name="_Toc211165216"/>
      <w:r w:rsidRPr="00C508E1">
        <w:rPr>
          <w:rFonts w:eastAsia="Times New Roman"/>
          <w:lang w:eastAsia="en-GB"/>
        </w:rPr>
        <w:lastRenderedPageBreak/>
        <w:t>4. Conclusion and Recommendations</w:t>
      </w:r>
      <w:bookmarkEnd w:id="14"/>
    </w:p>
    <w:p w14:paraId="5C4D50E1" w14:textId="479998CB" w:rsidR="0018616D" w:rsidRPr="00C508E1" w:rsidRDefault="00336238" w:rsidP="00C508E1">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The SWOT analysis reveals that Tesco’s market dominance is supported by brand strength, data analytics, and logistics capability. However, cost pressures, complex operations, and reputational vulnerabilities constrain performance.</w:t>
      </w:r>
    </w:p>
    <w:p w14:paraId="34B4A820"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15" w:name="_Toc211165217"/>
      <w:r w:rsidRPr="00C508E1">
        <w:rPr>
          <w:rFonts w:ascii="Arial" w:eastAsia="Times New Roman" w:hAnsi="Arial" w:cs="Arial"/>
          <w:b/>
          <w:bCs/>
          <w:kern w:val="0"/>
          <w:sz w:val="27"/>
          <w:szCs w:val="27"/>
          <w:lang w:eastAsia="en-GB"/>
          <w14:ligatures w14:val="none"/>
        </w:rPr>
        <w:t>Recommendations</w:t>
      </w:r>
      <w:bookmarkEnd w:id="15"/>
    </w:p>
    <w:p w14:paraId="11A2A380" w14:textId="77777777" w:rsidR="00336238" w:rsidRPr="003E3EA8" w:rsidRDefault="00336238" w:rsidP="00C508E1">
      <w:pPr>
        <w:numPr>
          <w:ilvl w:val="0"/>
          <w:numId w:val="6"/>
        </w:numPr>
        <w:spacing w:before="100" w:beforeAutospacing="1" w:after="100" w:afterAutospacing="1" w:line="360" w:lineRule="auto"/>
        <w:ind w:left="714" w:hanging="357"/>
        <w:rPr>
          <w:rFonts w:ascii="Arial" w:eastAsia="Times New Roman" w:hAnsi="Arial" w:cs="Arial"/>
          <w:kern w:val="0"/>
          <w:lang w:eastAsia="en-GB"/>
          <w14:ligatures w14:val="none"/>
        </w:rPr>
      </w:pPr>
      <w:r w:rsidRPr="003E3EA8">
        <w:rPr>
          <w:rFonts w:ascii="Arial" w:eastAsia="Times New Roman" w:hAnsi="Arial" w:cs="Arial"/>
          <w:b/>
          <w:bCs/>
          <w:kern w:val="0"/>
          <w:lang w:eastAsia="en-GB"/>
          <w14:ligatures w14:val="none"/>
        </w:rPr>
        <w:t>Adopt a hybrid strategy</w:t>
      </w:r>
      <w:r w:rsidRPr="003E3EA8">
        <w:rPr>
          <w:rFonts w:ascii="Arial" w:eastAsia="Times New Roman" w:hAnsi="Arial" w:cs="Arial"/>
          <w:kern w:val="0"/>
          <w:lang w:eastAsia="en-GB"/>
          <w14:ligatures w14:val="none"/>
        </w:rPr>
        <w:t xml:space="preserve"> combining efficient cost structures with brand differentiation through sustainability and data personalisation.</w:t>
      </w:r>
    </w:p>
    <w:p w14:paraId="2767311B" w14:textId="77777777" w:rsidR="00336238" w:rsidRPr="003E3EA8" w:rsidRDefault="00336238" w:rsidP="00C508E1">
      <w:pPr>
        <w:numPr>
          <w:ilvl w:val="0"/>
          <w:numId w:val="6"/>
        </w:numPr>
        <w:spacing w:before="100" w:beforeAutospacing="1" w:after="100" w:afterAutospacing="1" w:line="360" w:lineRule="auto"/>
        <w:ind w:left="714" w:hanging="357"/>
        <w:rPr>
          <w:rFonts w:ascii="Arial" w:eastAsia="Times New Roman" w:hAnsi="Arial" w:cs="Arial"/>
          <w:kern w:val="0"/>
          <w:lang w:eastAsia="en-GB"/>
          <w14:ligatures w14:val="none"/>
        </w:rPr>
      </w:pPr>
      <w:r w:rsidRPr="003E3EA8">
        <w:rPr>
          <w:rFonts w:ascii="Arial" w:eastAsia="Times New Roman" w:hAnsi="Arial" w:cs="Arial"/>
          <w:b/>
          <w:bCs/>
          <w:kern w:val="0"/>
          <w:lang w:eastAsia="en-GB"/>
          <w14:ligatures w14:val="none"/>
        </w:rPr>
        <w:t>Enhance dynamic marketing capabilities</w:t>
      </w:r>
      <w:r w:rsidRPr="003E3EA8">
        <w:rPr>
          <w:rFonts w:ascii="Arial" w:eastAsia="Times New Roman" w:hAnsi="Arial" w:cs="Arial"/>
          <w:kern w:val="0"/>
          <w:lang w:eastAsia="en-GB"/>
          <w14:ligatures w14:val="none"/>
        </w:rPr>
        <w:t xml:space="preserve"> by applying AI and predictive analytics to CRM.</w:t>
      </w:r>
    </w:p>
    <w:p w14:paraId="3CD396DA" w14:textId="77777777" w:rsidR="00336238" w:rsidRPr="003E3EA8" w:rsidRDefault="00336238" w:rsidP="00C508E1">
      <w:pPr>
        <w:numPr>
          <w:ilvl w:val="0"/>
          <w:numId w:val="6"/>
        </w:numPr>
        <w:spacing w:before="100" w:beforeAutospacing="1" w:after="100" w:afterAutospacing="1" w:line="360" w:lineRule="auto"/>
        <w:ind w:left="714" w:hanging="357"/>
        <w:rPr>
          <w:rFonts w:ascii="Arial" w:eastAsia="Times New Roman" w:hAnsi="Arial" w:cs="Arial"/>
          <w:kern w:val="0"/>
          <w:lang w:eastAsia="en-GB"/>
          <w14:ligatures w14:val="none"/>
        </w:rPr>
      </w:pPr>
      <w:r w:rsidRPr="003E3EA8">
        <w:rPr>
          <w:rFonts w:ascii="Arial" w:eastAsia="Times New Roman" w:hAnsi="Arial" w:cs="Arial"/>
          <w:b/>
          <w:bCs/>
          <w:kern w:val="0"/>
          <w:lang w:eastAsia="en-GB"/>
          <w14:ligatures w14:val="none"/>
        </w:rPr>
        <w:t>Reinforce ethical supply chain practices</w:t>
      </w:r>
      <w:r w:rsidRPr="003E3EA8">
        <w:rPr>
          <w:rFonts w:ascii="Arial" w:eastAsia="Times New Roman" w:hAnsi="Arial" w:cs="Arial"/>
          <w:kern w:val="0"/>
          <w:lang w:eastAsia="en-GB"/>
          <w14:ligatures w14:val="none"/>
        </w:rPr>
        <w:t xml:space="preserve"> to protect brand trust.</w:t>
      </w:r>
    </w:p>
    <w:p w14:paraId="1C4EEBF5" w14:textId="77777777" w:rsidR="00336238" w:rsidRPr="003E3EA8" w:rsidRDefault="00336238" w:rsidP="00C508E1">
      <w:pPr>
        <w:numPr>
          <w:ilvl w:val="0"/>
          <w:numId w:val="6"/>
        </w:numPr>
        <w:spacing w:before="100" w:beforeAutospacing="1" w:after="100" w:afterAutospacing="1" w:line="360" w:lineRule="auto"/>
        <w:ind w:left="714" w:hanging="357"/>
        <w:rPr>
          <w:rFonts w:ascii="Arial" w:eastAsia="Times New Roman" w:hAnsi="Arial" w:cs="Arial"/>
          <w:kern w:val="0"/>
          <w:lang w:eastAsia="en-GB"/>
          <w14:ligatures w14:val="none"/>
        </w:rPr>
      </w:pPr>
      <w:r w:rsidRPr="003E3EA8">
        <w:rPr>
          <w:rFonts w:ascii="Arial" w:eastAsia="Times New Roman" w:hAnsi="Arial" w:cs="Arial"/>
          <w:b/>
          <w:bCs/>
          <w:kern w:val="0"/>
          <w:lang w:eastAsia="en-GB"/>
          <w14:ligatures w14:val="none"/>
        </w:rPr>
        <w:t>Promote sustainability</w:t>
      </w:r>
      <w:r w:rsidRPr="003E3EA8">
        <w:rPr>
          <w:rFonts w:ascii="Arial" w:eastAsia="Times New Roman" w:hAnsi="Arial" w:cs="Arial"/>
          <w:kern w:val="0"/>
          <w:lang w:eastAsia="en-GB"/>
          <w14:ligatures w14:val="none"/>
        </w:rPr>
        <w:t xml:space="preserve"> as a central marketing narrative rather than an add-on.</w:t>
      </w:r>
    </w:p>
    <w:p w14:paraId="1ABEE9C7" w14:textId="77777777" w:rsidR="00336238" w:rsidRPr="003E3EA8" w:rsidRDefault="00336238" w:rsidP="00C508E1">
      <w:pPr>
        <w:numPr>
          <w:ilvl w:val="0"/>
          <w:numId w:val="6"/>
        </w:numPr>
        <w:spacing w:before="100" w:beforeAutospacing="1" w:after="100" w:afterAutospacing="1" w:line="360" w:lineRule="auto"/>
        <w:ind w:left="714" w:hanging="357"/>
        <w:rPr>
          <w:rFonts w:ascii="Arial" w:eastAsia="Times New Roman" w:hAnsi="Arial" w:cs="Arial"/>
          <w:kern w:val="0"/>
          <w:lang w:eastAsia="en-GB"/>
          <w14:ligatures w14:val="none"/>
        </w:rPr>
      </w:pPr>
      <w:r w:rsidRPr="003E3EA8">
        <w:rPr>
          <w:rFonts w:ascii="Arial" w:eastAsia="Times New Roman" w:hAnsi="Arial" w:cs="Arial"/>
          <w:b/>
          <w:bCs/>
          <w:kern w:val="0"/>
          <w:lang w:eastAsia="en-GB"/>
          <w14:ligatures w14:val="none"/>
        </w:rPr>
        <w:t>Simplify organisational structures</w:t>
      </w:r>
      <w:r w:rsidRPr="003E3EA8">
        <w:rPr>
          <w:rFonts w:ascii="Arial" w:eastAsia="Times New Roman" w:hAnsi="Arial" w:cs="Arial"/>
          <w:kern w:val="0"/>
          <w:lang w:eastAsia="en-GB"/>
          <w14:ligatures w14:val="none"/>
        </w:rPr>
        <w:t xml:space="preserve"> to improve agility and responsiveness.</w:t>
      </w:r>
    </w:p>
    <w:p w14:paraId="291B2D9E"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16" w:name="_Toc211165218"/>
      <w:r w:rsidRPr="00C508E1">
        <w:rPr>
          <w:rFonts w:ascii="Arial" w:eastAsia="Times New Roman" w:hAnsi="Arial" w:cs="Arial"/>
          <w:b/>
          <w:bCs/>
          <w:kern w:val="0"/>
          <w:sz w:val="27"/>
          <w:szCs w:val="27"/>
          <w:lang w:eastAsia="en-GB"/>
          <w14:ligatures w14:val="none"/>
        </w:rPr>
        <w:t>Reflection</w:t>
      </w:r>
      <w:bookmarkEnd w:id="16"/>
    </w:p>
    <w:p w14:paraId="12B1D454" w14:textId="77777777" w:rsidR="00336238" w:rsidRPr="00C508E1" w:rsidRDefault="00336238" w:rsidP="00C508E1">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Situational analysis such as SWOT remains a cornerstone of strategic marketing planning. For Tesco, it ensures that decision-making is grounded in a realistic understanding of internal competencies and external challenges. Continuous environmental scanning and critical evaluation foster adaptive strategies that sustain long-term competitive advantage in a volatile retail landscape.</w:t>
      </w:r>
    </w:p>
    <w:p w14:paraId="50AD26EF" w14:textId="77777777" w:rsidR="00A22519" w:rsidRDefault="00A22519"/>
    <w:p w14:paraId="105E9A33" w14:textId="77777777" w:rsidR="00336238" w:rsidRDefault="00336238"/>
    <w:p w14:paraId="0CDECC88" w14:textId="77777777" w:rsidR="00336238" w:rsidRDefault="00336238"/>
    <w:p w14:paraId="2CB7A8A0" w14:textId="77777777" w:rsidR="00336238" w:rsidRDefault="00336238"/>
    <w:p w14:paraId="78BDD44E" w14:textId="77777777" w:rsidR="00336238" w:rsidRDefault="00336238"/>
    <w:p w14:paraId="3CF0F6A2" w14:textId="77777777" w:rsidR="00336238" w:rsidRDefault="00336238"/>
    <w:p w14:paraId="44D9AAF6" w14:textId="77777777" w:rsidR="00336238" w:rsidRDefault="00336238"/>
    <w:p w14:paraId="75D921DD" w14:textId="77777777" w:rsidR="00336238" w:rsidRDefault="00336238"/>
    <w:p w14:paraId="2B940C8F" w14:textId="77777777" w:rsidR="00C508E1" w:rsidRDefault="00C508E1" w:rsidP="00336238">
      <w:pPr>
        <w:pStyle w:val="Heading1"/>
        <w:rPr>
          <w:rFonts w:ascii="Arial" w:hAnsi="Arial" w:cs="Arial"/>
        </w:rPr>
      </w:pPr>
    </w:p>
    <w:p w14:paraId="206C8488" w14:textId="77777777" w:rsidR="0018616D" w:rsidRPr="0018616D" w:rsidRDefault="0018616D" w:rsidP="0018616D"/>
    <w:p w14:paraId="6BA52157" w14:textId="03E11D80" w:rsidR="00336238" w:rsidRDefault="00336238" w:rsidP="00336238">
      <w:pPr>
        <w:pStyle w:val="Heading1"/>
        <w:rPr>
          <w:rFonts w:ascii="Arial" w:hAnsi="Arial" w:cs="Arial"/>
        </w:rPr>
      </w:pPr>
      <w:bookmarkStart w:id="17" w:name="_Toc211165219"/>
      <w:r w:rsidRPr="00336238">
        <w:rPr>
          <w:rFonts w:ascii="Arial" w:hAnsi="Arial" w:cs="Arial"/>
        </w:rPr>
        <w:lastRenderedPageBreak/>
        <w:t>References</w:t>
      </w:r>
      <w:bookmarkEnd w:id="17"/>
    </w:p>
    <w:p w14:paraId="01FAF3D2" w14:textId="77777777" w:rsidR="00C508E1" w:rsidRPr="00C508E1" w:rsidRDefault="00C508E1" w:rsidP="00C508E1"/>
    <w:p w14:paraId="38FCF906" w14:textId="77777777" w:rsidR="00336238" w:rsidRPr="00C508E1" w:rsidRDefault="00336238" w:rsidP="00C508E1">
      <w:pPr>
        <w:spacing w:line="360" w:lineRule="auto"/>
        <w:rPr>
          <w:rFonts w:ascii="Arial" w:hAnsi="Arial" w:cs="Arial"/>
        </w:rPr>
      </w:pPr>
      <w:r w:rsidRPr="00C508E1">
        <w:rPr>
          <w:rFonts w:ascii="Arial" w:hAnsi="Arial" w:cs="Arial"/>
        </w:rPr>
        <w:t>1.</w:t>
      </w:r>
      <w:r w:rsidRPr="00C508E1">
        <w:rPr>
          <w:rFonts w:ascii="Arial" w:hAnsi="Arial" w:cs="Arial"/>
        </w:rPr>
        <w:tab/>
      </w:r>
      <w:proofErr w:type="spellStart"/>
      <w:r w:rsidRPr="00C508E1">
        <w:rPr>
          <w:rFonts w:ascii="Arial" w:hAnsi="Arial" w:cs="Arial"/>
        </w:rPr>
        <w:t>Arxiv</w:t>
      </w:r>
      <w:proofErr w:type="spellEnd"/>
      <w:r w:rsidRPr="00C508E1">
        <w:rPr>
          <w:rFonts w:ascii="Arial" w:hAnsi="Arial" w:cs="Arial"/>
        </w:rPr>
        <w:t>. (2024) Clustering Algorithms for Customer Segmentation in the UK Retail Market. Available at: https://arxiv.org/abs/2402.04103 (Accessed: 3 October 2025).</w:t>
      </w:r>
    </w:p>
    <w:p w14:paraId="5BEA1CBE" w14:textId="77777777" w:rsidR="00336238" w:rsidRPr="00C508E1" w:rsidRDefault="00336238" w:rsidP="00C508E1">
      <w:pPr>
        <w:spacing w:line="360" w:lineRule="auto"/>
        <w:rPr>
          <w:rFonts w:ascii="Arial" w:hAnsi="Arial" w:cs="Arial"/>
        </w:rPr>
      </w:pPr>
      <w:r w:rsidRPr="00C508E1">
        <w:rPr>
          <w:rFonts w:ascii="Arial" w:hAnsi="Arial" w:cs="Arial"/>
        </w:rPr>
        <w:t>2.</w:t>
      </w:r>
      <w:r w:rsidRPr="00C508E1">
        <w:rPr>
          <w:rFonts w:ascii="Arial" w:hAnsi="Arial" w:cs="Arial"/>
        </w:rPr>
        <w:tab/>
        <w:t>Barney, J. (1991) ‘Firm resources and sustained competitive advantage’, Journal of Management, 17(1), pp. 99–120.</w:t>
      </w:r>
    </w:p>
    <w:p w14:paraId="3F5D7C64" w14:textId="77777777" w:rsidR="00336238" w:rsidRPr="00C508E1" w:rsidRDefault="00336238" w:rsidP="00C508E1">
      <w:pPr>
        <w:spacing w:line="360" w:lineRule="auto"/>
        <w:rPr>
          <w:rFonts w:ascii="Arial" w:hAnsi="Arial" w:cs="Arial"/>
        </w:rPr>
      </w:pPr>
      <w:r w:rsidRPr="00C508E1">
        <w:rPr>
          <w:rFonts w:ascii="Arial" w:hAnsi="Arial" w:cs="Arial"/>
        </w:rPr>
        <w:t>3.</w:t>
      </w:r>
      <w:r w:rsidRPr="00C508E1">
        <w:rPr>
          <w:rFonts w:ascii="Arial" w:hAnsi="Arial" w:cs="Arial"/>
        </w:rPr>
        <w:tab/>
        <w:t>Business Case Studies. (2024) SWOT Analysis: Key Insights for Businesses. Available at: https://businesscasestudies.co.uk/swot/ (Accessed: 3 October 2025).</w:t>
      </w:r>
    </w:p>
    <w:p w14:paraId="0079DA3B" w14:textId="77777777" w:rsidR="00336238" w:rsidRPr="00C508E1" w:rsidRDefault="00336238" w:rsidP="00C508E1">
      <w:pPr>
        <w:spacing w:line="360" w:lineRule="auto"/>
        <w:rPr>
          <w:rFonts w:ascii="Arial" w:hAnsi="Arial" w:cs="Arial"/>
        </w:rPr>
      </w:pPr>
      <w:r w:rsidRPr="00C508E1">
        <w:rPr>
          <w:rFonts w:ascii="Arial" w:hAnsi="Arial" w:cs="Arial"/>
        </w:rPr>
        <w:t>4.</w:t>
      </w:r>
      <w:r w:rsidRPr="00C508E1">
        <w:rPr>
          <w:rFonts w:ascii="Arial" w:hAnsi="Arial" w:cs="Arial"/>
        </w:rPr>
        <w:tab/>
        <w:t>E-Research Siam. (2023) A Case Study of Tesco Supermarket in the UK. Available at: https://e-research.siam.edu (Accessed: 3 October 2025).</w:t>
      </w:r>
    </w:p>
    <w:p w14:paraId="5DB5AB00" w14:textId="77777777" w:rsidR="00336238" w:rsidRPr="00C508E1" w:rsidRDefault="00336238" w:rsidP="00C508E1">
      <w:pPr>
        <w:spacing w:line="360" w:lineRule="auto"/>
        <w:rPr>
          <w:rFonts w:ascii="Arial" w:hAnsi="Arial" w:cs="Arial"/>
        </w:rPr>
      </w:pPr>
      <w:r w:rsidRPr="00C508E1">
        <w:rPr>
          <w:rFonts w:ascii="Arial" w:hAnsi="Arial" w:cs="Arial"/>
        </w:rPr>
        <w:t>5.</w:t>
      </w:r>
      <w:r w:rsidRPr="00C508E1">
        <w:rPr>
          <w:rFonts w:ascii="Arial" w:hAnsi="Arial" w:cs="Arial"/>
        </w:rPr>
        <w:tab/>
        <w:t>FT. (2025) Tesco’s Chief Warns on Business Taxes. Financial Times. Available at https://www.ft.com/content/52524b83-e660-4a0f-8007-b22f6017a022. (Accessed: 2 October 2025).</w:t>
      </w:r>
    </w:p>
    <w:p w14:paraId="1D6E073B" w14:textId="77777777" w:rsidR="00336238" w:rsidRPr="00C508E1" w:rsidRDefault="00336238" w:rsidP="00C508E1">
      <w:pPr>
        <w:spacing w:line="360" w:lineRule="auto"/>
        <w:rPr>
          <w:rFonts w:ascii="Arial" w:hAnsi="Arial" w:cs="Arial"/>
        </w:rPr>
      </w:pPr>
      <w:r w:rsidRPr="00C508E1">
        <w:rPr>
          <w:rFonts w:ascii="Arial" w:hAnsi="Arial" w:cs="Arial"/>
        </w:rPr>
        <w:t>6.</w:t>
      </w:r>
      <w:r w:rsidRPr="00C508E1">
        <w:rPr>
          <w:rFonts w:ascii="Arial" w:hAnsi="Arial" w:cs="Arial"/>
        </w:rPr>
        <w:tab/>
      </w:r>
      <w:proofErr w:type="spellStart"/>
      <w:r w:rsidRPr="00C508E1">
        <w:rPr>
          <w:rFonts w:ascii="Arial" w:hAnsi="Arial" w:cs="Arial"/>
        </w:rPr>
        <w:t>GlobalData</w:t>
      </w:r>
      <w:proofErr w:type="spellEnd"/>
      <w:r w:rsidRPr="00C508E1">
        <w:rPr>
          <w:rFonts w:ascii="Arial" w:hAnsi="Arial" w:cs="Arial"/>
        </w:rPr>
        <w:t>. (2024) United Kingdom Food and Grocery Retailing Market Analysis. Available at: https://www.globaldata.com/store/report/uk-food-and-grocery-market-analysis/ (Accessed: 3 October 2025).</w:t>
      </w:r>
    </w:p>
    <w:p w14:paraId="2118146A" w14:textId="77777777" w:rsidR="00336238" w:rsidRPr="00C508E1" w:rsidRDefault="00336238" w:rsidP="00C508E1">
      <w:pPr>
        <w:spacing w:line="360" w:lineRule="auto"/>
        <w:rPr>
          <w:rFonts w:ascii="Arial" w:hAnsi="Arial" w:cs="Arial"/>
        </w:rPr>
      </w:pPr>
      <w:r w:rsidRPr="00C508E1">
        <w:rPr>
          <w:rFonts w:ascii="Arial" w:hAnsi="Arial" w:cs="Arial"/>
        </w:rPr>
        <w:t>7.</w:t>
      </w:r>
      <w:r w:rsidRPr="00C508E1">
        <w:rPr>
          <w:rFonts w:ascii="Arial" w:hAnsi="Arial" w:cs="Arial"/>
        </w:rPr>
        <w:tab/>
        <w:t>Gürel, E. and Tat, M. (2017) ‘SWOT analysis: a theoretical review’, Journal of International Social Research, 10(51), pp. 994–1006.</w:t>
      </w:r>
    </w:p>
    <w:p w14:paraId="33D3DFE7" w14:textId="77777777" w:rsidR="00336238" w:rsidRPr="00C508E1" w:rsidRDefault="00336238" w:rsidP="00C508E1">
      <w:pPr>
        <w:spacing w:line="360" w:lineRule="auto"/>
        <w:rPr>
          <w:rFonts w:ascii="Arial" w:hAnsi="Arial" w:cs="Arial"/>
        </w:rPr>
      </w:pPr>
      <w:r w:rsidRPr="00C508E1">
        <w:rPr>
          <w:rFonts w:ascii="Arial" w:hAnsi="Arial" w:cs="Arial"/>
        </w:rPr>
        <w:t>8.</w:t>
      </w:r>
      <w:r w:rsidRPr="00C508E1">
        <w:rPr>
          <w:rFonts w:ascii="Arial" w:hAnsi="Arial" w:cs="Arial"/>
        </w:rPr>
        <w:tab/>
        <w:t>Kantar (2025) Annual grocery bills could jump by £275 as inflation hits shoppers. Available at: https://www.kantar.com/uki/inspiration/fmcg/2025-wp-annual-grocery-bills-could-jump-by-275 (Accessed: 2 October 2025)</w:t>
      </w:r>
    </w:p>
    <w:p w14:paraId="62418000" w14:textId="77777777" w:rsidR="00336238" w:rsidRPr="00C508E1" w:rsidRDefault="00336238" w:rsidP="00C508E1">
      <w:pPr>
        <w:spacing w:line="360" w:lineRule="auto"/>
        <w:rPr>
          <w:rFonts w:ascii="Arial" w:hAnsi="Arial" w:cs="Arial"/>
        </w:rPr>
      </w:pPr>
      <w:r w:rsidRPr="00C508E1">
        <w:rPr>
          <w:rFonts w:ascii="Arial" w:hAnsi="Arial" w:cs="Arial"/>
        </w:rPr>
        <w:t>9.</w:t>
      </w:r>
      <w:r w:rsidRPr="00C508E1">
        <w:rPr>
          <w:rFonts w:ascii="Arial" w:hAnsi="Arial" w:cs="Arial"/>
        </w:rPr>
        <w:tab/>
      </w:r>
      <w:proofErr w:type="spellStart"/>
      <w:r w:rsidRPr="00C508E1">
        <w:rPr>
          <w:rFonts w:ascii="Arial" w:hAnsi="Arial" w:cs="Arial"/>
        </w:rPr>
        <w:t>Nibusinessinfo</w:t>
      </w:r>
      <w:proofErr w:type="spellEnd"/>
      <w:r w:rsidRPr="00C508E1">
        <w:rPr>
          <w:rFonts w:ascii="Arial" w:hAnsi="Arial" w:cs="Arial"/>
        </w:rPr>
        <w:t>. (2025) SWOT, PESTLE and Other Models for Strategic Analysis. Available at: https://www.nibusinessinfo.co.uk/content/swot-pestle-and-other-models-strategic-analysis (Accessed: 3 October 2025).</w:t>
      </w:r>
    </w:p>
    <w:p w14:paraId="05D86D19" w14:textId="77777777" w:rsidR="00336238" w:rsidRPr="00C508E1" w:rsidRDefault="00336238" w:rsidP="00C508E1">
      <w:pPr>
        <w:spacing w:line="360" w:lineRule="auto"/>
        <w:rPr>
          <w:rFonts w:ascii="Arial" w:hAnsi="Arial" w:cs="Arial"/>
        </w:rPr>
      </w:pPr>
      <w:r w:rsidRPr="00C508E1">
        <w:rPr>
          <w:rFonts w:ascii="Arial" w:hAnsi="Arial" w:cs="Arial"/>
        </w:rPr>
        <w:t>10.</w:t>
      </w:r>
      <w:r w:rsidRPr="00C508E1">
        <w:rPr>
          <w:rFonts w:ascii="Arial" w:hAnsi="Arial" w:cs="Arial"/>
        </w:rPr>
        <w:tab/>
        <w:t>Porter, M.E. (1980) Competitive Strategy: Techniques for Analysing Industries and Competitors. New York: Free Press.</w:t>
      </w:r>
    </w:p>
    <w:p w14:paraId="5ADE1D8A" w14:textId="77777777" w:rsidR="00336238" w:rsidRPr="00C508E1" w:rsidRDefault="00336238" w:rsidP="00C508E1">
      <w:pPr>
        <w:spacing w:line="360" w:lineRule="auto"/>
        <w:rPr>
          <w:rFonts w:ascii="Arial" w:hAnsi="Arial" w:cs="Arial"/>
        </w:rPr>
      </w:pPr>
      <w:r w:rsidRPr="00C508E1">
        <w:rPr>
          <w:rFonts w:ascii="Arial" w:hAnsi="Arial" w:cs="Arial"/>
        </w:rPr>
        <w:t>11.</w:t>
      </w:r>
      <w:r w:rsidRPr="00C508E1">
        <w:rPr>
          <w:rFonts w:ascii="Arial" w:hAnsi="Arial" w:cs="Arial"/>
        </w:rPr>
        <w:tab/>
        <w:t xml:space="preserve">Puyt, R.W., Lie, F.B. and </w:t>
      </w:r>
      <w:proofErr w:type="spellStart"/>
      <w:r w:rsidRPr="00C508E1">
        <w:rPr>
          <w:rFonts w:ascii="Arial" w:hAnsi="Arial" w:cs="Arial"/>
        </w:rPr>
        <w:t>Wilderom</w:t>
      </w:r>
      <w:proofErr w:type="spellEnd"/>
      <w:r w:rsidRPr="00C508E1">
        <w:rPr>
          <w:rFonts w:ascii="Arial" w:hAnsi="Arial" w:cs="Arial"/>
        </w:rPr>
        <w:t xml:space="preserve">, C.P.M. (2023). The Origins of SWOT Analysis. Long Range Planning, 56(3), p.102304. </w:t>
      </w:r>
      <w:proofErr w:type="spellStart"/>
      <w:proofErr w:type="gramStart"/>
      <w:r w:rsidRPr="00C508E1">
        <w:rPr>
          <w:rFonts w:ascii="Arial" w:hAnsi="Arial" w:cs="Arial"/>
        </w:rPr>
        <w:t>doi:https</w:t>
      </w:r>
      <w:proofErr w:type="spellEnd"/>
      <w:r w:rsidRPr="00C508E1">
        <w:rPr>
          <w:rFonts w:ascii="Arial" w:hAnsi="Arial" w:cs="Arial"/>
        </w:rPr>
        <w:t>://doi.org/10.1016/j.lrp.2023.102304</w:t>
      </w:r>
      <w:proofErr w:type="gramEnd"/>
      <w:r w:rsidRPr="00C508E1">
        <w:rPr>
          <w:rFonts w:ascii="Arial" w:hAnsi="Arial" w:cs="Arial"/>
        </w:rPr>
        <w:t>.</w:t>
      </w:r>
    </w:p>
    <w:p w14:paraId="16201F96" w14:textId="77777777" w:rsidR="00336238" w:rsidRPr="00C508E1" w:rsidRDefault="00336238" w:rsidP="00C508E1">
      <w:pPr>
        <w:spacing w:line="360" w:lineRule="auto"/>
        <w:rPr>
          <w:rFonts w:ascii="Arial" w:hAnsi="Arial" w:cs="Arial"/>
        </w:rPr>
      </w:pPr>
      <w:r w:rsidRPr="00C508E1">
        <w:rPr>
          <w:rFonts w:ascii="Arial" w:hAnsi="Arial" w:cs="Arial"/>
        </w:rPr>
        <w:t xml:space="preserve">ResearchGate. (2025) Analysis of Business Operation Mode and Marketing Strategy of British Mainstream Supermarket: Case Study of Tesco. </w:t>
      </w:r>
    </w:p>
    <w:p w14:paraId="696878E8" w14:textId="77777777" w:rsidR="00336238" w:rsidRPr="00C508E1" w:rsidRDefault="00336238" w:rsidP="00C508E1">
      <w:pPr>
        <w:spacing w:line="360" w:lineRule="auto"/>
        <w:rPr>
          <w:rFonts w:ascii="Arial" w:hAnsi="Arial" w:cs="Arial"/>
        </w:rPr>
      </w:pPr>
      <w:r w:rsidRPr="00C508E1">
        <w:rPr>
          <w:rFonts w:ascii="Arial" w:hAnsi="Arial" w:cs="Arial"/>
        </w:rPr>
        <w:lastRenderedPageBreak/>
        <w:t>12.</w:t>
      </w:r>
      <w:r w:rsidRPr="00C508E1">
        <w:rPr>
          <w:rFonts w:ascii="Arial" w:hAnsi="Arial" w:cs="Arial"/>
        </w:rPr>
        <w:tab/>
        <w:t>Reuters. (2025) ‘Aldi Commits to £2 Billion UK Expansion’. Available at https://www.reuters.com/business/retail-consumer/aldi-uk-ramp-up-store-expansion-despite-profit-fall-2025-09-15/#:~:text=LONDON%2C%20Sept%2015%20(Reuters),21%25%20drop%20in%20annual%20profit. (Accessed: 2 October 2025).</w:t>
      </w:r>
    </w:p>
    <w:p w14:paraId="67F35E0E" w14:textId="77777777" w:rsidR="00336238" w:rsidRPr="00C508E1" w:rsidRDefault="00336238" w:rsidP="00C508E1">
      <w:pPr>
        <w:spacing w:line="360" w:lineRule="auto"/>
        <w:rPr>
          <w:rFonts w:ascii="Arial" w:hAnsi="Arial" w:cs="Arial"/>
        </w:rPr>
      </w:pPr>
    </w:p>
    <w:p w14:paraId="7E6C3000" w14:textId="77777777" w:rsidR="00336238" w:rsidRPr="00C508E1" w:rsidRDefault="00336238" w:rsidP="00C508E1">
      <w:pPr>
        <w:spacing w:line="360" w:lineRule="auto"/>
        <w:rPr>
          <w:rFonts w:ascii="Arial" w:hAnsi="Arial" w:cs="Arial"/>
        </w:rPr>
      </w:pPr>
      <w:r w:rsidRPr="00C508E1">
        <w:rPr>
          <w:rFonts w:ascii="Arial" w:hAnsi="Arial" w:cs="Arial"/>
        </w:rPr>
        <w:t>13.</w:t>
      </w:r>
      <w:r w:rsidRPr="00C508E1">
        <w:rPr>
          <w:rFonts w:ascii="Arial" w:hAnsi="Arial" w:cs="Arial"/>
        </w:rPr>
        <w:tab/>
        <w:t>Reuters. (2025) ‘Britain’s Tesco Raises Annual Profit Outlook’. Available at: https://www.reuters.com/world/uk/britains-tesco-raises-annual-profit-outlook-2025-10-02/#:~:text=Tesco%20said%20it%20now%20expected,pounds%20made%20in%202024%2F25. (Accessed: 2 October 2025).</w:t>
      </w:r>
    </w:p>
    <w:p w14:paraId="177A65F1" w14:textId="77777777" w:rsidR="00336238" w:rsidRPr="00C508E1" w:rsidRDefault="00336238" w:rsidP="00C508E1">
      <w:pPr>
        <w:spacing w:line="360" w:lineRule="auto"/>
        <w:rPr>
          <w:rFonts w:ascii="Arial" w:hAnsi="Arial" w:cs="Arial"/>
        </w:rPr>
      </w:pPr>
      <w:r w:rsidRPr="00C508E1">
        <w:rPr>
          <w:rFonts w:ascii="Arial" w:hAnsi="Arial" w:cs="Arial"/>
        </w:rPr>
        <w:t>14.</w:t>
      </w:r>
      <w:r w:rsidRPr="00C508E1">
        <w:rPr>
          <w:rFonts w:ascii="Arial" w:hAnsi="Arial" w:cs="Arial"/>
        </w:rPr>
        <w:tab/>
        <w:t>Reuters. (2025) ‘Britons’ Cost-of-Living Habits Benefit Tesco’. Available at: https://www.reuters.com/world/uk/britons-cost-of-living-crisis-habits-have-stuck-says-tesco-boss-2025-10-02/. (Accessed: 2 October 2025).</w:t>
      </w:r>
    </w:p>
    <w:p w14:paraId="4DA57E6E" w14:textId="77777777" w:rsidR="00336238" w:rsidRPr="00C508E1" w:rsidRDefault="00336238" w:rsidP="00C508E1">
      <w:pPr>
        <w:spacing w:line="360" w:lineRule="auto"/>
        <w:rPr>
          <w:rFonts w:ascii="Arial" w:hAnsi="Arial" w:cs="Arial"/>
        </w:rPr>
      </w:pPr>
      <w:r w:rsidRPr="00C508E1">
        <w:rPr>
          <w:rFonts w:ascii="Arial" w:hAnsi="Arial" w:cs="Arial"/>
        </w:rPr>
        <w:t>Savills. (2025) Spotlight: UK Grocery Report – 2025. Available at: https://www.savills.co.uk/research_articles/229130/379213-0 (Accessed: 3 October 2025).</w:t>
      </w:r>
    </w:p>
    <w:p w14:paraId="46A2625D" w14:textId="60F01E6C" w:rsidR="00336238" w:rsidRPr="00C508E1" w:rsidRDefault="00336238" w:rsidP="00C508E1">
      <w:pPr>
        <w:spacing w:line="360" w:lineRule="auto"/>
        <w:rPr>
          <w:rFonts w:ascii="Arial" w:hAnsi="Arial" w:cs="Arial"/>
        </w:rPr>
      </w:pPr>
      <w:r w:rsidRPr="00C508E1">
        <w:rPr>
          <w:rFonts w:ascii="Arial" w:hAnsi="Arial" w:cs="Arial"/>
        </w:rPr>
        <w:t>15.</w:t>
      </w:r>
      <w:r w:rsidRPr="00C508E1">
        <w:rPr>
          <w:rFonts w:ascii="Arial" w:hAnsi="Arial" w:cs="Arial"/>
        </w:rPr>
        <w:tab/>
        <w:t xml:space="preserve">SupplyChain247 (2015) Where Tesco Went Wrong </w:t>
      </w:r>
      <w:proofErr w:type="gramStart"/>
      <w:r w:rsidRPr="00C508E1">
        <w:rPr>
          <w:rFonts w:ascii="Arial" w:hAnsi="Arial" w:cs="Arial"/>
        </w:rPr>
        <w:t>With</w:t>
      </w:r>
      <w:proofErr w:type="gramEnd"/>
      <w:r w:rsidRPr="00C508E1">
        <w:rPr>
          <w:rFonts w:ascii="Arial" w:hAnsi="Arial" w:cs="Arial"/>
        </w:rPr>
        <w:t xml:space="preserve"> Its Suppliers. Available at: https://www.supplychain247.com/article/where_tesco_went_wrong_with_its_suppliers (Accessed: 2 October 2025).</w:t>
      </w:r>
    </w:p>
    <w:p w14:paraId="656ECD33" w14:textId="77777777" w:rsidR="00336238" w:rsidRDefault="00336238"/>
    <w:sectPr w:rsidR="0033623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D18831" w14:textId="77777777" w:rsidR="0063014B" w:rsidRDefault="0063014B" w:rsidP="0063014B">
      <w:pPr>
        <w:spacing w:after="0" w:line="240" w:lineRule="auto"/>
      </w:pPr>
      <w:r>
        <w:separator/>
      </w:r>
    </w:p>
  </w:endnote>
  <w:endnote w:type="continuationSeparator" w:id="0">
    <w:p w14:paraId="765339C6" w14:textId="77777777" w:rsidR="0063014B" w:rsidRDefault="0063014B" w:rsidP="00630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4988530"/>
      <w:docPartObj>
        <w:docPartGallery w:val="Page Numbers (Bottom of Page)"/>
        <w:docPartUnique/>
      </w:docPartObj>
    </w:sdtPr>
    <w:sdtEndPr>
      <w:rPr>
        <w:noProof/>
      </w:rPr>
    </w:sdtEndPr>
    <w:sdtContent>
      <w:p w14:paraId="502165DC" w14:textId="3AA9DA74" w:rsidR="0063014B" w:rsidRDefault="006301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6349F2" w14:textId="77777777" w:rsidR="0063014B" w:rsidRDefault="00630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D79E3" w14:textId="77777777" w:rsidR="0063014B" w:rsidRDefault="0063014B" w:rsidP="0063014B">
      <w:pPr>
        <w:spacing w:after="0" w:line="240" w:lineRule="auto"/>
      </w:pPr>
      <w:r>
        <w:separator/>
      </w:r>
    </w:p>
  </w:footnote>
  <w:footnote w:type="continuationSeparator" w:id="0">
    <w:p w14:paraId="3517F3E8" w14:textId="77777777" w:rsidR="0063014B" w:rsidRDefault="0063014B" w:rsidP="006301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4192D"/>
    <w:multiLevelType w:val="multilevel"/>
    <w:tmpl w:val="1A301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620A5E"/>
    <w:multiLevelType w:val="multilevel"/>
    <w:tmpl w:val="EE98E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0C7BDD"/>
    <w:multiLevelType w:val="multilevel"/>
    <w:tmpl w:val="2C3C7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1548D5"/>
    <w:multiLevelType w:val="multilevel"/>
    <w:tmpl w:val="9E604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4213EA"/>
    <w:multiLevelType w:val="multilevel"/>
    <w:tmpl w:val="657E1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A9A2E1A"/>
    <w:multiLevelType w:val="multilevel"/>
    <w:tmpl w:val="B0347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0357674">
    <w:abstractNumId w:val="4"/>
  </w:num>
  <w:num w:numId="2" w16cid:durableId="1598174112">
    <w:abstractNumId w:val="5"/>
  </w:num>
  <w:num w:numId="3" w16cid:durableId="1676691801">
    <w:abstractNumId w:val="3"/>
  </w:num>
  <w:num w:numId="4" w16cid:durableId="1462722863">
    <w:abstractNumId w:val="1"/>
  </w:num>
  <w:num w:numId="5" w16cid:durableId="1574660633">
    <w:abstractNumId w:val="2"/>
  </w:num>
  <w:num w:numId="6" w16cid:durableId="1939681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238"/>
    <w:rsid w:val="000042B1"/>
    <w:rsid w:val="0006345B"/>
    <w:rsid w:val="00091D6D"/>
    <w:rsid w:val="000B7C21"/>
    <w:rsid w:val="0018616D"/>
    <w:rsid w:val="002B3A3B"/>
    <w:rsid w:val="003323A4"/>
    <w:rsid w:val="00336238"/>
    <w:rsid w:val="003E3EA8"/>
    <w:rsid w:val="0044082A"/>
    <w:rsid w:val="005E0117"/>
    <w:rsid w:val="0063014B"/>
    <w:rsid w:val="00681D82"/>
    <w:rsid w:val="00745C2C"/>
    <w:rsid w:val="007858D4"/>
    <w:rsid w:val="00811E15"/>
    <w:rsid w:val="00923C0B"/>
    <w:rsid w:val="009B56DD"/>
    <w:rsid w:val="00A22519"/>
    <w:rsid w:val="00A22755"/>
    <w:rsid w:val="00BA1238"/>
    <w:rsid w:val="00C137AF"/>
    <w:rsid w:val="00C508E1"/>
    <w:rsid w:val="00DB4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79105"/>
  <w15:chartTrackingRefBased/>
  <w15:docId w15:val="{CB3D6013-C407-4BBF-A27E-667793743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2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62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62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62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62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62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62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62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62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2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62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62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62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62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62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62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62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6238"/>
    <w:rPr>
      <w:rFonts w:eastAsiaTheme="majorEastAsia" w:cstheme="majorBidi"/>
      <w:color w:val="272727" w:themeColor="text1" w:themeTint="D8"/>
    </w:rPr>
  </w:style>
  <w:style w:type="paragraph" w:styleId="Title">
    <w:name w:val="Title"/>
    <w:basedOn w:val="Normal"/>
    <w:next w:val="Normal"/>
    <w:link w:val="TitleChar"/>
    <w:uiPriority w:val="10"/>
    <w:qFormat/>
    <w:rsid w:val="003362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62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62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62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6238"/>
    <w:pPr>
      <w:spacing w:before="160"/>
      <w:jc w:val="center"/>
    </w:pPr>
    <w:rPr>
      <w:i/>
      <w:iCs/>
      <w:color w:val="404040" w:themeColor="text1" w:themeTint="BF"/>
    </w:rPr>
  </w:style>
  <w:style w:type="character" w:customStyle="1" w:styleId="QuoteChar">
    <w:name w:val="Quote Char"/>
    <w:basedOn w:val="DefaultParagraphFont"/>
    <w:link w:val="Quote"/>
    <w:uiPriority w:val="29"/>
    <w:rsid w:val="00336238"/>
    <w:rPr>
      <w:i/>
      <w:iCs/>
      <w:color w:val="404040" w:themeColor="text1" w:themeTint="BF"/>
    </w:rPr>
  </w:style>
  <w:style w:type="paragraph" w:styleId="ListParagraph">
    <w:name w:val="List Paragraph"/>
    <w:basedOn w:val="Normal"/>
    <w:uiPriority w:val="34"/>
    <w:qFormat/>
    <w:rsid w:val="00336238"/>
    <w:pPr>
      <w:ind w:left="720"/>
      <w:contextualSpacing/>
    </w:pPr>
  </w:style>
  <w:style w:type="character" w:styleId="IntenseEmphasis">
    <w:name w:val="Intense Emphasis"/>
    <w:basedOn w:val="DefaultParagraphFont"/>
    <w:uiPriority w:val="21"/>
    <w:qFormat/>
    <w:rsid w:val="00336238"/>
    <w:rPr>
      <w:i/>
      <w:iCs/>
      <w:color w:val="0F4761" w:themeColor="accent1" w:themeShade="BF"/>
    </w:rPr>
  </w:style>
  <w:style w:type="paragraph" w:styleId="IntenseQuote">
    <w:name w:val="Intense Quote"/>
    <w:basedOn w:val="Normal"/>
    <w:next w:val="Normal"/>
    <w:link w:val="IntenseQuoteChar"/>
    <w:uiPriority w:val="30"/>
    <w:qFormat/>
    <w:rsid w:val="003362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6238"/>
    <w:rPr>
      <w:i/>
      <w:iCs/>
      <w:color w:val="0F4761" w:themeColor="accent1" w:themeShade="BF"/>
    </w:rPr>
  </w:style>
  <w:style w:type="character" w:styleId="IntenseReference">
    <w:name w:val="Intense Reference"/>
    <w:basedOn w:val="DefaultParagraphFont"/>
    <w:uiPriority w:val="32"/>
    <w:qFormat/>
    <w:rsid w:val="00336238"/>
    <w:rPr>
      <w:b/>
      <w:bCs/>
      <w:smallCaps/>
      <w:color w:val="0F4761" w:themeColor="accent1" w:themeShade="BF"/>
      <w:spacing w:val="5"/>
    </w:rPr>
  </w:style>
  <w:style w:type="table" w:styleId="GridTable1Light-Accent1">
    <w:name w:val="Grid Table 1 Light Accent 1"/>
    <w:basedOn w:val="TableNormal"/>
    <w:uiPriority w:val="46"/>
    <w:rsid w:val="0006345B"/>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06345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630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14B"/>
  </w:style>
  <w:style w:type="paragraph" w:styleId="Footer">
    <w:name w:val="footer"/>
    <w:basedOn w:val="Normal"/>
    <w:link w:val="FooterChar"/>
    <w:uiPriority w:val="99"/>
    <w:unhideWhenUsed/>
    <w:rsid w:val="00630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14B"/>
  </w:style>
  <w:style w:type="paragraph" w:styleId="TOCHeading">
    <w:name w:val="TOC Heading"/>
    <w:basedOn w:val="Heading1"/>
    <w:next w:val="Normal"/>
    <w:uiPriority w:val="39"/>
    <w:unhideWhenUsed/>
    <w:qFormat/>
    <w:rsid w:val="0063014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3014B"/>
    <w:pPr>
      <w:spacing w:after="100"/>
    </w:pPr>
  </w:style>
  <w:style w:type="paragraph" w:styleId="TOC3">
    <w:name w:val="toc 3"/>
    <w:basedOn w:val="Normal"/>
    <w:next w:val="Normal"/>
    <w:autoRedefine/>
    <w:uiPriority w:val="39"/>
    <w:unhideWhenUsed/>
    <w:rsid w:val="0063014B"/>
    <w:pPr>
      <w:spacing w:after="100"/>
      <w:ind w:left="440"/>
    </w:pPr>
  </w:style>
  <w:style w:type="character" w:styleId="Hyperlink">
    <w:name w:val="Hyperlink"/>
    <w:basedOn w:val="DefaultParagraphFont"/>
    <w:uiPriority w:val="99"/>
    <w:unhideWhenUsed/>
    <w:rsid w:val="0063014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97DEB3-4D4A-4DCD-BF89-4417B6F9C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2204</Words>
  <Characters>12569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Jabeen (2310935)</dc:creator>
  <cp:keywords/>
  <dc:description/>
  <cp:lastModifiedBy>Syeda Jabeen (2310935)</cp:lastModifiedBy>
  <cp:revision>11</cp:revision>
  <dcterms:created xsi:type="dcterms:W3CDTF">2025-10-12T11:34:00Z</dcterms:created>
  <dcterms:modified xsi:type="dcterms:W3CDTF">2025-10-12T11:40:00Z</dcterms:modified>
</cp:coreProperties>
</file>