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8BE55" w14:textId="77777777" w:rsidR="00A80A92" w:rsidRPr="00A80A92" w:rsidRDefault="00A80A92" w:rsidP="00A80A92">
      <w:pPr>
        <w:rPr>
          <w:lang w:val="en-IN"/>
        </w:rPr>
      </w:pPr>
      <w:r w:rsidRPr="00A80A92">
        <w:rPr>
          <w:b/>
          <w:bCs/>
          <w:lang w:val="en-IN"/>
        </w:rPr>
        <w:t> </w:t>
      </w:r>
    </w:p>
    <w:p w14:paraId="163A8857" w14:textId="77777777" w:rsidR="00A80A92" w:rsidRPr="00A80A92" w:rsidRDefault="00A80A92" w:rsidP="00A80A92">
      <w:pPr>
        <w:rPr>
          <w:lang w:val="en-IN"/>
        </w:rPr>
      </w:pPr>
      <w:r w:rsidRPr="00A80A92">
        <w:rPr>
          <w:b/>
          <w:bCs/>
          <w:lang w:val="en-IN"/>
        </w:rPr>
        <w:t> </w:t>
      </w:r>
    </w:p>
    <w:p w14:paraId="5E8D33B1" w14:textId="77777777" w:rsidR="00A80A92" w:rsidRPr="00A80A92" w:rsidRDefault="00A80A92" w:rsidP="00A80A92">
      <w:pPr>
        <w:rPr>
          <w:lang w:val="en-IN"/>
        </w:rPr>
      </w:pPr>
      <w:r w:rsidRPr="00A80A92">
        <w:rPr>
          <w:b/>
          <w:bCs/>
          <w:lang w:val="en-IN"/>
        </w:rPr>
        <w:t> </w:t>
      </w:r>
    </w:p>
    <w:p w14:paraId="6A04EF14" w14:textId="77777777" w:rsidR="00A80A92" w:rsidRPr="00A80A92" w:rsidRDefault="00A80A92" w:rsidP="00A80A92">
      <w:pPr>
        <w:rPr>
          <w:lang w:val="en-IN"/>
        </w:rPr>
      </w:pPr>
      <w:r w:rsidRPr="00A80A92">
        <w:rPr>
          <w:b/>
          <w:bCs/>
          <w:lang w:val="en-IN"/>
        </w:rPr>
        <w:t> </w:t>
      </w:r>
    </w:p>
    <w:p w14:paraId="5A54D40A" w14:textId="77777777" w:rsidR="00A80A92" w:rsidRPr="00A80A92" w:rsidRDefault="00A80A92" w:rsidP="00A80A92">
      <w:pPr>
        <w:rPr>
          <w:lang w:val="en-IN"/>
        </w:rPr>
      </w:pPr>
      <w:r w:rsidRPr="00A80A92">
        <w:rPr>
          <w:b/>
          <w:bCs/>
          <w:lang w:val="en-IN"/>
        </w:rPr>
        <w:t> </w:t>
      </w:r>
    </w:p>
    <w:p w14:paraId="0357748E" w14:textId="77777777" w:rsidR="00A80A92" w:rsidRPr="00A80A92" w:rsidRDefault="00A80A92" w:rsidP="00A80A92">
      <w:pPr>
        <w:rPr>
          <w:lang w:val="en-IN"/>
        </w:rPr>
      </w:pPr>
      <w:r w:rsidRPr="00A80A92">
        <w:rPr>
          <w:b/>
          <w:bCs/>
          <w:lang w:val="en-IN"/>
        </w:rPr>
        <w:t> </w:t>
      </w:r>
    </w:p>
    <w:p w14:paraId="4D1F14CC" w14:textId="77777777" w:rsidR="00A80A92" w:rsidRPr="00A80A92" w:rsidRDefault="00A80A92" w:rsidP="00A80A92">
      <w:pPr>
        <w:jc w:val="center"/>
        <w:rPr>
          <w:sz w:val="32"/>
          <w:szCs w:val="32"/>
          <w:lang w:val="en-IN"/>
        </w:rPr>
      </w:pPr>
      <w:r w:rsidRPr="00A80A92">
        <w:rPr>
          <w:b/>
          <w:bCs/>
          <w:sz w:val="32"/>
          <w:szCs w:val="32"/>
          <w:lang w:val="en-IN"/>
        </w:rPr>
        <w:t>Programme: BSc (Hons) Health and Social Care</w:t>
      </w:r>
    </w:p>
    <w:p w14:paraId="3C6DAC34" w14:textId="77777777" w:rsidR="00A80A92" w:rsidRPr="00A80A92" w:rsidRDefault="00A80A92" w:rsidP="00A80A92">
      <w:pPr>
        <w:jc w:val="center"/>
        <w:rPr>
          <w:sz w:val="32"/>
          <w:szCs w:val="32"/>
          <w:lang w:val="en-IN"/>
        </w:rPr>
      </w:pPr>
      <w:r w:rsidRPr="00A80A92">
        <w:rPr>
          <w:b/>
          <w:bCs/>
          <w:sz w:val="32"/>
          <w:szCs w:val="32"/>
          <w:lang w:val="en-IN"/>
        </w:rPr>
        <w:t>Module: Empowering the Older Person</w:t>
      </w:r>
    </w:p>
    <w:p w14:paraId="5674156A" w14:textId="77777777" w:rsidR="00A80A92" w:rsidRPr="00A80A92" w:rsidRDefault="00A80A92" w:rsidP="00A80A92">
      <w:pPr>
        <w:jc w:val="center"/>
        <w:rPr>
          <w:sz w:val="32"/>
          <w:szCs w:val="32"/>
          <w:lang w:val="en-IN"/>
        </w:rPr>
      </w:pPr>
      <w:r w:rsidRPr="00A80A92">
        <w:rPr>
          <w:b/>
          <w:bCs/>
          <w:sz w:val="32"/>
          <w:szCs w:val="32"/>
          <w:lang w:val="en-IN"/>
        </w:rPr>
        <w:t>Module code: BMHP6027</w:t>
      </w:r>
    </w:p>
    <w:p w14:paraId="3E666B22" w14:textId="77777777" w:rsidR="00A80A92" w:rsidRPr="00A80A92" w:rsidRDefault="00A80A92" w:rsidP="00A80A92">
      <w:pPr>
        <w:jc w:val="center"/>
        <w:rPr>
          <w:sz w:val="32"/>
          <w:szCs w:val="32"/>
          <w:lang w:val="en-IN"/>
        </w:rPr>
      </w:pPr>
      <w:r w:rsidRPr="00A80A92">
        <w:rPr>
          <w:b/>
          <w:bCs/>
          <w:sz w:val="32"/>
          <w:szCs w:val="32"/>
          <w:lang w:val="en-IN"/>
        </w:rPr>
        <w:t>Assignment Title: Component 2: Debate /Discussion</w:t>
      </w:r>
    </w:p>
    <w:p w14:paraId="7A28D934" w14:textId="77777777" w:rsidR="00A80A92" w:rsidRDefault="00A80A92" w:rsidP="00A80A92">
      <w:pPr>
        <w:jc w:val="center"/>
        <w:rPr>
          <w:b/>
          <w:bCs/>
          <w:i/>
          <w:iCs/>
          <w:sz w:val="32"/>
          <w:szCs w:val="32"/>
          <w:lang w:val="en-IN"/>
        </w:rPr>
      </w:pPr>
      <w:r w:rsidRPr="00A80A92">
        <w:rPr>
          <w:b/>
          <w:bCs/>
          <w:i/>
          <w:iCs/>
          <w:sz w:val="32"/>
          <w:szCs w:val="32"/>
          <w:lang w:val="en-IN"/>
        </w:rPr>
        <w:t>Topic: Which setting better promotes empowerment in older adults: Domiciliary care or residential care?</w:t>
      </w:r>
    </w:p>
    <w:p w14:paraId="3B98B962" w14:textId="250CA222" w:rsidR="00853500" w:rsidRDefault="00853500" w:rsidP="00A80A92">
      <w:pPr>
        <w:jc w:val="center"/>
        <w:rPr>
          <w:b/>
          <w:bCs/>
          <w:i/>
          <w:iCs/>
          <w:sz w:val="32"/>
          <w:szCs w:val="32"/>
          <w:lang w:val="en-IN"/>
        </w:rPr>
      </w:pPr>
      <w:r>
        <w:rPr>
          <w:b/>
          <w:bCs/>
          <w:i/>
          <w:iCs/>
          <w:sz w:val="32"/>
          <w:szCs w:val="32"/>
          <w:lang w:val="en-IN"/>
        </w:rPr>
        <w:t>Student Name: Maricela Moraru</w:t>
      </w:r>
    </w:p>
    <w:p w14:paraId="7D3ACF05" w14:textId="73670157" w:rsidR="00853500" w:rsidRPr="00A80A92" w:rsidRDefault="00853500" w:rsidP="00A80A92">
      <w:pPr>
        <w:jc w:val="center"/>
        <w:rPr>
          <w:sz w:val="32"/>
          <w:szCs w:val="32"/>
          <w:lang w:val="en-IN"/>
        </w:rPr>
      </w:pPr>
      <w:r>
        <w:rPr>
          <w:b/>
          <w:bCs/>
          <w:i/>
          <w:iCs/>
          <w:sz w:val="32"/>
          <w:szCs w:val="32"/>
          <w:lang w:val="en-IN"/>
        </w:rPr>
        <w:t>Student ID: 2238835</w:t>
      </w:r>
    </w:p>
    <w:p w14:paraId="0C21A8A3" w14:textId="5B264AC3" w:rsidR="009103B1" w:rsidRDefault="009103B1">
      <w:pPr>
        <w:rPr>
          <w:lang w:val="en-IN"/>
        </w:rPr>
      </w:pPr>
      <w:r>
        <w:rPr>
          <w:lang w:val="en-IN"/>
        </w:rPr>
        <w:br w:type="page"/>
      </w:r>
    </w:p>
    <w:sdt>
      <w:sdtPr>
        <w:rPr>
          <w:rFonts w:ascii="Times New Roman" w:eastAsia="Times New Roman" w:hAnsi="Times New Roman" w:cs="Times New Roman"/>
          <w:color w:val="auto"/>
          <w:sz w:val="24"/>
          <w:szCs w:val="24"/>
          <w:lang w:val="en-GB" w:eastAsia="en-IN"/>
        </w:rPr>
        <w:id w:val="-589857661"/>
        <w:docPartObj>
          <w:docPartGallery w:val="Table of Contents"/>
          <w:docPartUnique/>
        </w:docPartObj>
      </w:sdtPr>
      <w:sdtEndPr>
        <w:rPr>
          <w:b/>
          <w:bCs/>
          <w:noProof/>
        </w:rPr>
      </w:sdtEndPr>
      <w:sdtContent>
        <w:p w14:paraId="4817977B" w14:textId="765678F9" w:rsidR="009103B1" w:rsidRPr="009103B1" w:rsidRDefault="009103B1" w:rsidP="009103B1">
          <w:pPr>
            <w:pStyle w:val="TOCHeading"/>
            <w:jc w:val="center"/>
            <w:rPr>
              <w:rFonts w:ascii="Times New Roman" w:hAnsi="Times New Roman" w:cs="Times New Roman"/>
              <w:b/>
              <w:bCs/>
              <w:color w:val="auto"/>
              <w:sz w:val="28"/>
              <w:szCs w:val="28"/>
            </w:rPr>
          </w:pPr>
          <w:r w:rsidRPr="009103B1">
            <w:rPr>
              <w:rFonts w:ascii="Times New Roman" w:hAnsi="Times New Roman" w:cs="Times New Roman"/>
              <w:b/>
              <w:bCs/>
              <w:color w:val="auto"/>
              <w:sz w:val="28"/>
              <w:szCs w:val="28"/>
            </w:rPr>
            <w:t>Table of Contents</w:t>
          </w:r>
        </w:p>
        <w:p w14:paraId="1B3851D0" w14:textId="68B13ED0" w:rsidR="00853500" w:rsidRDefault="009103B1">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34569102" w:history="1">
            <w:r w:rsidR="00853500" w:rsidRPr="00FA6750">
              <w:rPr>
                <w:rStyle w:val="Hyperlink"/>
                <w:noProof/>
                <w:lang w:val="en-IN"/>
              </w:rPr>
              <w:t>Overall Introduction</w:t>
            </w:r>
            <w:r w:rsidR="00853500">
              <w:rPr>
                <w:noProof/>
                <w:webHidden/>
              </w:rPr>
              <w:tab/>
            </w:r>
            <w:r w:rsidR="00853500">
              <w:rPr>
                <w:noProof/>
                <w:webHidden/>
              </w:rPr>
              <w:fldChar w:fldCharType="begin"/>
            </w:r>
            <w:r w:rsidR="00853500">
              <w:rPr>
                <w:noProof/>
                <w:webHidden/>
              </w:rPr>
              <w:instrText xml:space="preserve"> PAGEREF _Toc234569102 \h </w:instrText>
            </w:r>
            <w:r w:rsidR="00853500">
              <w:rPr>
                <w:noProof/>
                <w:webHidden/>
              </w:rPr>
            </w:r>
            <w:r w:rsidR="00853500">
              <w:rPr>
                <w:noProof/>
                <w:webHidden/>
              </w:rPr>
              <w:fldChar w:fldCharType="separate"/>
            </w:r>
            <w:r w:rsidR="00853500">
              <w:rPr>
                <w:noProof/>
                <w:webHidden/>
              </w:rPr>
              <w:t>3</w:t>
            </w:r>
            <w:r w:rsidR="00853500">
              <w:rPr>
                <w:noProof/>
                <w:webHidden/>
              </w:rPr>
              <w:fldChar w:fldCharType="end"/>
            </w:r>
          </w:hyperlink>
        </w:p>
        <w:p w14:paraId="5AA7587A" w14:textId="5557229A"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03" w:history="1">
            <w:r w:rsidRPr="00FA6750">
              <w:rPr>
                <w:rStyle w:val="Hyperlink"/>
                <w:noProof/>
                <w:lang w:val="en-IN"/>
              </w:rPr>
              <w:t>Opening Statements</w:t>
            </w:r>
            <w:r>
              <w:rPr>
                <w:noProof/>
                <w:webHidden/>
              </w:rPr>
              <w:tab/>
            </w:r>
            <w:r>
              <w:rPr>
                <w:noProof/>
                <w:webHidden/>
              </w:rPr>
              <w:fldChar w:fldCharType="begin"/>
            </w:r>
            <w:r>
              <w:rPr>
                <w:noProof/>
                <w:webHidden/>
              </w:rPr>
              <w:instrText xml:space="preserve"> PAGEREF _Toc234569103 \h </w:instrText>
            </w:r>
            <w:r>
              <w:rPr>
                <w:noProof/>
                <w:webHidden/>
              </w:rPr>
            </w:r>
            <w:r>
              <w:rPr>
                <w:noProof/>
                <w:webHidden/>
              </w:rPr>
              <w:fldChar w:fldCharType="separate"/>
            </w:r>
            <w:r>
              <w:rPr>
                <w:noProof/>
                <w:webHidden/>
              </w:rPr>
              <w:t>3</w:t>
            </w:r>
            <w:r>
              <w:rPr>
                <w:noProof/>
                <w:webHidden/>
              </w:rPr>
              <w:fldChar w:fldCharType="end"/>
            </w:r>
          </w:hyperlink>
        </w:p>
        <w:p w14:paraId="60FA17D6" w14:textId="02C99A97"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04" w:history="1">
            <w:r w:rsidRPr="00FA6750">
              <w:rPr>
                <w:rStyle w:val="Hyperlink"/>
                <w:noProof/>
                <w:lang w:val="en-IN"/>
              </w:rPr>
              <w:t>Opening Statement: Student A</w:t>
            </w:r>
            <w:r>
              <w:rPr>
                <w:noProof/>
                <w:webHidden/>
              </w:rPr>
              <w:tab/>
            </w:r>
            <w:r>
              <w:rPr>
                <w:noProof/>
                <w:webHidden/>
              </w:rPr>
              <w:fldChar w:fldCharType="begin"/>
            </w:r>
            <w:r>
              <w:rPr>
                <w:noProof/>
                <w:webHidden/>
              </w:rPr>
              <w:instrText xml:space="preserve"> PAGEREF _Toc234569104 \h </w:instrText>
            </w:r>
            <w:r>
              <w:rPr>
                <w:noProof/>
                <w:webHidden/>
              </w:rPr>
            </w:r>
            <w:r>
              <w:rPr>
                <w:noProof/>
                <w:webHidden/>
              </w:rPr>
              <w:fldChar w:fldCharType="separate"/>
            </w:r>
            <w:r>
              <w:rPr>
                <w:noProof/>
                <w:webHidden/>
              </w:rPr>
              <w:t>3</w:t>
            </w:r>
            <w:r>
              <w:rPr>
                <w:noProof/>
                <w:webHidden/>
              </w:rPr>
              <w:fldChar w:fldCharType="end"/>
            </w:r>
          </w:hyperlink>
        </w:p>
        <w:p w14:paraId="75714C93" w14:textId="1F71DE70"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05" w:history="1">
            <w:r w:rsidRPr="00FA6750">
              <w:rPr>
                <w:rStyle w:val="Hyperlink"/>
                <w:noProof/>
                <w:lang w:val="en-IN"/>
              </w:rPr>
              <w:t>Opening Statement: Student B</w:t>
            </w:r>
            <w:r>
              <w:rPr>
                <w:noProof/>
                <w:webHidden/>
              </w:rPr>
              <w:tab/>
            </w:r>
            <w:r>
              <w:rPr>
                <w:noProof/>
                <w:webHidden/>
              </w:rPr>
              <w:fldChar w:fldCharType="begin"/>
            </w:r>
            <w:r>
              <w:rPr>
                <w:noProof/>
                <w:webHidden/>
              </w:rPr>
              <w:instrText xml:space="preserve"> PAGEREF _Toc234569105 \h </w:instrText>
            </w:r>
            <w:r>
              <w:rPr>
                <w:noProof/>
                <w:webHidden/>
              </w:rPr>
            </w:r>
            <w:r>
              <w:rPr>
                <w:noProof/>
                <w:webHidden/>
              </w:rPr>
              <w:fldChar w:fldCharType="separate"/>
            </w:r>
            <w:r>
              <w:rPr>
                <w:noProof/>
                <w:webHidden/>
              </w:rPr>
              <w:t>3</w:t>
            </w:r>
            <w:r>
              <w:rPr>
                <w:noProof/>
                <w:webHidden/>
              </w:rPr>
              <w:fldChar w:fldCharType="end"/>
            </w:r>
          </w:hyperlink>
        </w:p>
        <w:p w14:paraId="16938975" w14:textId="3CB40A75"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06" w:history="1">
            <w:r w:rsidRPr="00FA6750">
              <w:rPr>
                <w:rStyle w:val="Hyperlink"/>
                <w:noProof/>
                <w:lang w:val="en-IN"/>
              </w:rPr>
              <w:t>Main Arguments</w:t>
            </w:r>
            <w:r>
              <w:rPr>
                <w:noProof/>
                <w:webHidden/>
              </w:rPr>
              <w:tab/>
            </w:r>
            <w:r>
              <w:rPr>
                <w:noProof/>
                <w:webHidden/>
              </w:rPr>
              <w:fldChar w:fldCharType="begin"/>
            </w:r>
            <w:r>
              <w:rPr>
                <w:noProof/>
                <w:webHidden/>
              </w:rPr>
              <w:instrText xml:space="preserve"> PAGEREF _Toc234569106 \h </w:instrText>
            </w:r>
            <w:r>
              <w:rPr>
                <w:noProof/>
                <w:webHidden/>
              </w:rPr>
            </w:r>
            <w:r>
              <w:rPr>
                <w:noProof/>
                <w:webHidden/>
              </w:rPr>
              <w:fldChar w:fldCharType="separate"/>
            </w:r>
            <w:r>
              <w:rPr>
                <w:noProof/>
                <w:webHidden/>
              </w:rPr>
              <w:t>4</w:t>
            </w:r>
            <w:r>
              <w:rPr>
                <w:noProof/>
                <w:webHidden/>
              </w:rPr>
              <w:fldChar w:fldCharType="end"/>
            </w:r>
          </w:hyperlink>
        </w:p>
        <w:p w14:paraId="350D1044" w14:textId="03D1E59C"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07" w:history="1">
            <w:r w:rsidRPr="00FA6750">
              <w:rPr>
                <w:rStyle w:val="Hyperlink"/>
                <w:noProof/>
                <w:lang w:val="en-IN"/>
              </w:rPr>
              <w:t>Main Arguments: Student A</w:t>
            </w:r>
            <w:r>
              <w:rPr>
                <w:noProof/>
                <w:webHidden/>
              </w:rPr>
              <w:tab/>
            </w:r>
            <w:r>
              <w:rPr>
                <w:noProof/>
                <w:webHidden/>
              </w:rPr>
              <w:fldChar w:fldCharType="begin"/>
            </w:r>
            <w:r>
              <w:rPr>
                <w:noProof/>
                <w:webHidden/>
              </w:rPr>
              <w:instrText xml:space="preserve"> PAGEREF _Toc234569107 \h </w:instrText>
            </w:r>
            <w:r>
              <w:rPr>
                <w:noProof/>
                <w:webHidden/>
              </w:rPr>
            </w:r>
            <w:r>
              <w:rPr>
                <w:noProof/>
                <w:webHidden/>
              </w:rPr>
              <w:fldChar w:fldCharType="separate"/>
            </w:r>
            <w:r>
              <w:rPr>
                <w:noProof/>
                <w:webHidden/>
              </w:rPr>
              <w:t>4</w:t>
            </w:r>
            <w:r>
              <w:rPr>
                <w:noProof/>
                <w:webHidden/>
              </w:rPr>
              <w:fldChar w:fldCharType="end"/>
            </w:r>
          </w:hyperlink>
        </w:p>
        <w:p w14:paraId="5135D479" w14:textId="211AEA77"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08" w:history="1">
            <w:r w:rsidRPr="00FA6750">
              <w:rPr>
                <w:rStyle w:val="Hyperlink"/>
                <w:noProof/>
                <w:lang w:val="en-IN"/>
              </w:rPr>
              <w:t>Main Argument: Student B</w:t>
            </w:r>
            <w:r>
              <w:rPr>
                <w:noProof/>
                <w:webHidden/>
              </w:rPr>
              <w:tab/>
            </w:r>
            <w:r>
              <w:rPr>
                <w:noProof/>
                <w:webHidden/>
              </w:rPr>
              <w:fldChar w:fldCharType="begin"/>
            </w:r>
            <w:r>
              <w:rPr>
                <w:noProof/>
                <w:webHidden/>
              </w:rPr>
              <w:instrText xml:space="preserve"> PAGEREF _Toc234569108 \h </w:instrText>
            </w:r>
            <w:r>
              <w:rPr>
                <w:noProof/>
                <w:webHidden/>
              </w:rPr>
            </w:r>
            <w:r>
              <w:rPr>
                <w:noProof/>
                <w:webHidden/>
              </w:rPr>
              <w:fldChar w:fldCharType="separate"/>
            </w:r>
            <w:r>
              <w:rPr>
                <w:noProof/>
                <w:webHidden/>
              </w:rPr>
              <w:t>5</w:t>
            </w:r>
            <w:r>
              <w:rPr>
                <w:noProof/>
                <w:webHidden/>
              </w:rPr>
              <w:fldChar w:fldCharType="end"/>
            </w:r>
          </w:hyperlink>
        </w:p>
        <w:p w14:paraId="192502A5" w14:textId="71C302DF"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09" w:history="1">
            <w:r w:rsidRPr="00FA6750">
              <w:rPr>
                <w:rStyle w:val="Hyperlink"/>
                <w:noProof/>
                <w:lang w:val="en-IN"/>
              </w:rPr>
              <w:t>Rebuttals</w:t>
            </w:r>
            <w:r>
              <w:rPr>
                <w:noProof/>
                <w:webHidden/>
              </w:rPr>
              <w:tab/>
            </w:r>
            <w:r>
              <w:rPr>
                <w:noProof/>
                <w:webHidden/>
              </w:rPr>
              <w:fldChar w:fldCharType="begin"/>
            </w:r>
            <w:r>
              <w:rPr>
                <w:noProof/>
                <w:webHidden/>
              </w:rPr>
              <w:instrText xml:space="preserve"> PAGEREF _Toc234569109 \h </w:instrText>
            </w:r>
            <w:r>
              <w:rPr>
                <w:noProof/>
                <w:webHidden/>
              </w:rPr>
            </w:r>
            <w:r>
              <w:rPr>
                <w:noProof/>
                <w:webHidden/>
              </w:rPr>
              <w:fldChar w:fldCharType="separate"/>
            </w:r>
            <w:r>
              <w:rPr>
                <w:noProof/>
                <w:webHidden/>
              </w:rPr>
              <w:t>6</w:t>
            </w:r>
            <w:r>
              <w:rPr>
                <w:noProof/>
                <w:webHidden/>
              </w:rPr>
              <w:fldChar w:fldCharType="end"/>
            </w:r>
          </w:hyperlink>
        </w:p>
        <w:p w14:paraId="3BE341DE" w14:textId="2309732B"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10" w:history="1">
            <w:r w:rsidRPr="00FA6750">
              <w:rPr>
                <w:rStyle w:val="Hyperlink"/>
                <w:noProof/>
                <w:lang w:val="en-IN"/>
              </w:rPr>
              <w:t>Rebuttals: Student A</w:t>
            </w:r>
            <w:r>
              <w:rPr>
                <w:noProof/>
                <w:webHidden/>
              </w:rPr>
              <w:tab/>
            </w:r>
            <w:r>
              <w:rPr>
                <w:noProof/>
                <w:webHidden/>
              </w:rPr>
              <w:fldChar w:fldCharType="begin"/>
            </w:r>
            <w:r>
              <w:rPr>
                <w:noProof/>
                <w:webHidden/>
              </w:rPr>
              <w:instrText xml:space="preserve"> PAGEREF _Toc234569110 \h </w:instrText>
            </w:r>
            <w:r>
              <w:rPr>
                <w:noProof/>
                <w:webHidden/>
              </w:rPr>
            </w:r>
            <w:r>
              <w:rPr>
                <w:noProof/>
                <w:webHidden/>
              </w:rPr>
              <w:fldChar w:fldCharType="separate"/>
            </w:r>
            <w:r>
              <w:rPr>
                <w:noProof/>
                <w:webHidden/>
              </w:rPr>
              <w:t>6</w:t>
            </w:r>
            <w:r>
              <w:rPr>
                <w:noProof/>
                <w:webHidden/>
              </w:rPr>
              <w:fldChar w:fldCharType="end"/>
            </w:r>
          </w:hyperlink>
        </w:p>
        <w:p w14:paraId="1862B7E5" w14:textId="1234287D"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11" w:history="1">
            <w:r w:rsidRPr="00FA6750">
              <w:rPr>
                <w:rStyle w:val="Hyperlink"/>
                <w:noProof/>
                <w:lang w:val="en-IN"/>
              </w:rPr>
              <w:t>Rebuttals: Student B</w:t>
            </w:r>
            <w:r>
              <w:rPr>
                <w:noProof/>
                <w:webHidden/>
              </w:rPr>
              <w:tab/>
            </w:r>
            <w:r>
              <w:rPr>
                <w:noProof/>
                <w:webHidden/>
              </w:rPr>
              <w:fldChar w:fldCharType="begin"/>
            </w:r>
            <w:r>
              <w:rPr>
                <w:noProof/>
                <w:webHidden/>
              </w:rPr>
              <w:instrText xml:space="preserve"> PAGEREF _Toc234569111 \h </w:instrText>
            </w:r>
            <w:r>
              <w:rPr>
                <w:noProof/>
                <w:webHidden/>
              </w:rPr>
            </w:r>
            <w:r>
              <w:rPr>
                <w:noProof/>
                <w:webHidden/>
              </w:rPr>
              <w:fldChar w:fldCharType="separate"/>
            </w:r>
            <w:r>
              <w:rPr>
                <w:noProof/>
                <w:webHidden/>
              </w:rPr>
              <w:t>6</w:t>
            </w:r>
            <w:r>
              <w:rPr>
                <w:noProof/>
                <w:webHidden/>
              </w:rPr>
              <w:fldChar w:fldCharType="end"/>
            </w:r>
          </w:hyperlink>
        </w:p>
        <w:p w14:paraId="1E35824B" w14:textId="46F5B6C8"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12" w:history="1">
            <w:r w:rsidRPr="00FA6750">
              <w:rPr>
                <w:rStyle w:val="Hyperlink"/>
                <w:noProof/>
                <w:lang w:val="en-IN"/>
              </w:rPr>
              <w:t>Closing Statements</w:t>
            </w:r>
            <w:r>
              <w:rPr>
                <w:noProof/>
                <w:webHidden/>
              </w:rPr>
              <w:tab/>
            </w:r>
            <w:r>
              <w:rPr>
                <w:noProof/>
                <w:webHidden/>
              </w:rPr>
              <w:fldChar w:fldCharType="begin"/>
            </w:r>
            <w:r>
              <w:rPr>
                <w:noProof/>
                <w:webHidden/>
              </w:rPr>
              <w:instrText xml:space="preserve"> PAGEREF _Toc234569112 \h </w:instrText>
            </w:r>
            <w:r>
              <w:rPr>
                <w:noProof/>
                <w:webHidden/>
              </w:rPr>
            </w:r>
            <w:r>
              <w:rPr>
                <w:noProof/>
                <w:webHidden/>
              </w:rPr>
              <w:fldChar w:fldCharType="separate"/>
            </w:r>
            <w:r>
              <w:rPr>
                <w:noProof/>
                <w:webHidden/>
              </w:rPr>
              <w:t>7</w:t>
            </w:r>
            <w:r>
              <w:rPr>
                <w:noProof/>
                <w:webHidden/>
              </w:rPr>
              <w:fldChar w:fldCharType="end"/>
            </w:r>
          </w:hyperlink>
        </w:p>
        <w:p w14:paraId="05D43045" w14:textId="3ADF63EF"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13" w:history="1">
            <w:r w:rsidRPr="00FA6750">
              <w:rPr>
                <w:rStyle w:val="Hyperlink"/>
                <w:noProof/>
                <w:lang w:val="en-IN"/>
              </w:rPr>
              <w:t>Closing Statements: Student A</w:t>
            </w:r>
            <w:r>
              <w:rPr>
                <w:noProof/>
                <w:webHidden/>
              </w:rPr>
              <w:tab/>
            </w:r>
            <w:r>
              <w:rPr>
                <w:noProof/>
                <w:webHidden/>
              </w:rPr>
              <w:fldChar w:fldCharType="begin"/>
            </w:r>
            <w:r>
              <w:rPr>
                <w:noProof/>
                <w:webHidden/>
              </w:rPr>
              <w:instrText xml:space="preserve"> PAGEREF _Toc234569113 \h </w:instrText>
            </w:r>
            <w:r>
              <w:rPr>
                <w:noProof/>
                <w:webHidden/>
              </w:rPr>
            </w:r>
            <w:r>
              <w:rPr>
                <w:noProof/>
                <w:webHidden/>
              </w:rPr>
              <w:fldChar w:fldCharType="separate"/>
            </w:r>
            <w:r>
              <w:rPr>
                <w:noProof/>
                <w:webHidden/>
              </w:rPr>
              <w:t>7</w:t>
            </w:r>
            <w:r>
              <w:rPr>
                <w:noProof/>
                <w:webHidden/>
              </w:rPr>
              <w:fldChar w:fldCharType="end"/>
            </w:r>
          </w:hyperlink>
        </w:p>
        <w:p w14:paraId="384C834F" w14:textId="35BFDD1F" w:rsidR="00853500" w:rsidRDefault="008535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569114" w:history="1">
            <w:r w:rsidRPr="00FA6750">
              <w:rPr>
                <w:rStyle w:val="Hyperlink"/>
                <w:noProof/>
                <w:lang w:val="en-IN"/>
              </w:rPr>
              <w:t>Closing Statement: Student B</w:t>
            </w:r>
            <w:r>
              <w:rPr>
                <w:noProof/>
                <w:webHidden/>
              </w:rPr>
              <w:tab/>
            </w:r>
            <w:r>
              <w:rPr>
                <w:noProof/>
                <w:webHidden/>
              </w:rPr>
              <w:fldChar w:fldCharType="begin"/>
            </w:r>
            <w:r>
              <w:rPr>
                <w:noProof/>
                <w:webHidden/>
              </w:rPr>
              <w:instrText xml:space="preserve"> PAGEREF _Toc234569114 \h </w:instrText>
            </w:r>
            <w:r>
              <w:rPr>
                <w:noProof/>
                <w:webHidden/>
              </w:rPr>
            </w:r>
            <w:r>
              <w:rPr>
                <w:noProof/>
                <w:webHidden/>
              </w:rPr>
              <w:fldChar w:fldCharType="separate"/>
            </w:r>
            <w:r>
              <w:rPr>
                <w:noProof/>
                <w:webHidden/>
              </w:rPr>
              <w:t>7</w:t>
            </w:r>
            <w:r>
              <w:rPr>
                <w:noProof/>
                <w:webHidden/>
              </w:rPr>
              <w:fldChar w:fldCharType="end"/>
            </w:r>
          </w:hyperlink>
        </w:p>
        <w:p w14:paraId="6A564909" w14:textId="4716137A"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15" w:history="1">
            <w:r w:rsidRPr="00FA6750">
              <w:rPr>
                <w:rStyle w:val="Hyperlink"/>
                <w:noProof/>
                <w:lang w:val="en-IN"/>
              </w:rPr>
              <w:t>Overall Conclusion</w:t>
            </w:r>
            <w:r>
              <w:rPr>
                <w:noProof/>
                <w:webHidden/>
              </w:rPr>
              <w:tab/>
            </w:r>
            <w:r>
              <w:rPr>
                <w:noProof/>
                <w:webHidden/>
              </w:rPr>
              <w:fldChar w:fldCharType="begin"/>
            </w:r>
            <w:r>
              <w:rPr>
                <w:noProof/>
                <w:webHidden/>
              </w:rPr>
              <w:instrText xml:space="preserve"> PAGEREF _Toc234569115 \h </w:instrText>
            </w:r>
            <w:r>
              <w:rPr>
                <w:noProof/>
                <w:webHidden/>
              </w:rPr>
            </w:r>
            <w:r>
              <w:rPr>
                <w:noProof/>
                <w:webHidden/>
              </w:rPr>
              <w:fldChar w:fldCharType="separate"/>
            </w:r>
            <w:r>
              <w:rPr>
                <w:noProof/>
                <w:webHidden/>
              </w:rPr>
              <w:t>7</w:t>
            </w:r>
            <w:r>
              <w:rPr>
                <w:noProof/>
                <w:webHidden/>
              </w:rPr>
              <w:fldChar w:fldCharType="end"/>
            </w:r>
          </w:hyperlink>
        </w:p>
        <w:p w14:paraId="0B3CC839" w14:textId="5FA1A65B" w:rsidR="00853500" w:rsidRDefault="008535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569116" w:history="1">
            <w:r w:rsidRPr="00FA6750">
              <w:rPr>
                <w:rStyle w:val="Hyperlink"/>
                <w:noProof/>
                <w:lang w:val="en-IN"/>
              </w:rPr>
              <w:t>References</w:t>
            </w:r>
            <w:r>
              <w:rPr>
                <w:noProof/>
                <w:webHidden/>
              </w:rPr>
              <w:tab/>
            </w:r>
            <w:r>
              <w:rPr>
                <w:noProof/>
                <w:webHidden/>
              </w:rPr>
              <w:fldChar w:fldCharType="begin"/>
            </w:r>
            <w:r>
              <w:rPr>
                <w:noProof/>
                <w:webHidden/>
              </w:rPr>
              <w:instrText xml:space="preserve"> PAGEREF _Toc234569116 \h </w:instrText>
            </w:r>
            <w:r>
              <w:rPr>
                <w:noProof/>
                <w:webHidden/>
              </w:rPr>
            </w:r>
            <w:r>
              <w:rPr>
                <w:noProof/>
                <w:webHidden/>
              </w:rPr>
              <w:fldChar w:fldCharType="separate"/>
            </w:r>
            <w:r>
              <w:rPr>
                <w:noProof/>
                <w:webHidden/>
              </w:rPr>
              <w:t>8</w:t>
            </w:r>
            <w:r>
              <w:rPr>
                <w:noProof/>
                <w:webHidden/>
              </w:rPr>
              <w:fldChar w:fldCharType="end"/>
            </w:r>
          </w:hyperlink>
        </w:p>
        <w:p w14:paraId="4C1B21B9" w14:textId="35D9E00A" w:rsidR="009103B1" w:rsidRDefault="009103B1">
          <w:r>
            <w:rPr>
              <w:b/>
              <w:bCs/>
              <w:noProof/>
            </w:rPr>
            <w:fldChar w:fldCharType="end"/>
          </w:r>
        </w:p>
      </w:sdtContent>
    </w:sdt>
    <w:p w14:paraId="670F114D" w14:textId="77777777" w:rsidR="00A80A92" w:rsidRPr="00A80A92" w:rsidRDefault="00A80A92" w:rsidP="00A80A92">
      <w:pPr>
        <w:rPr>
          <w:lang w:val="en-IN"/>
        </w:rPr>
      </w:pPr>
    </w:p>
    <w:p w14:paraId="0CEC373A" w14:textId="556416FC" w:rsidR="00A80A92" w:rsidRPr="00A80A92" w:rsidRDefault="00A80A92" w:rsidP="00A80A92">
      <w:pPr>
        <w:rPr>
          <w:lang w:val="en-IN"/>
        </w:rPr>
      </w:pPr>
      <w:r w:rsidRPr="00A80A92">
        <w:rPr>
          <w:b/>
          <w:bCs/>
          <w:i/>
          <w:iCs/>
          <w:lang w:val="en-IN"/>
        </w:rPr>
        <w:t> </w:t>
      </w:r>
    </w:p>
    <w:p w14:paraId="5D0F719A" w14:textId="77777777" w:rsidR="00A80A92" w:rsidRPr="00A80A92" w:rsidRDefault="00A80A92" w:rsidP="00A80A92">
      <w:pPr>
        <w:rPr>
          <w:lang w:val="en-IN"/>
        </w:rPr>
      </w:pPr>
      <w:r w:rsidRPr="00A80A92">
        <w:rPr>
          <w:b/>
          <w:bCs/>
          <w:lang w:val="en-IN"/>
        </w:rPr>
        <w:t> </w:t>
      </w:r>
    </w:p>
    <w:p w14:paraId="58C2A098" w14:textId="77777777" w:rsidR="00A80A92" w:rsidRDefault="00A80A92">
      <w:pPr>
        <w:rPr>
          <w:b/>
          <w:bCs/>
          <w:lang w:val="en-IN"/>
        </w:rPr>
      </w:pPr>
      <w:r>
        <w:rPr>
          <w:b/>
          <w:bCs/>
          <w:lang w:val="en-IN"/>
        </w:rPr>
        <w:br w:type="page"/>
      </w:r>
    </w:p>
    <w:p w14:paraId="3486105D" w14:textId="7BD2959D" w:rsidR="00A80A92" w:rsidRPr="00A80A92" w:rsidRDefault="00A80A92" w:rsidP="00A80A92">
      <w:pPr>
        <w:pStyle w:val="Heading1"/>
        <w:rPr>
          <w:lang w:val="en-IN"/>
        </w:rPr>
      </w:pPr>
      <w:bookmarkStart w:id="0" w:name="_Toc234569102"/>
      <w:r w:rsidRPr="00A80A92">
        <w:rPr>
          <w:lang w:val="en-IN"/>
        </w:rPr>
        <w:lastRenderedPageBreak/>
        <w:t>Overall Introduction</w:t>
      </w:r>
      <w:bookmarkEnd w:id="0"/>
    </w:p>
    <w:p w14:paraId="162E9D73" w14:textId="2533B6AE" w:rsidR="00A80A92" w:rsidRPr="00A80A92" w:rsidRDefault="00A80A92" w:rsidP="00A80A92">
      <w:pPr>
        <w:rPr>
          <w:lang w:val="en-IN"/>
        </w:rPr>
      </w:pPr>
      <w:r w:rsidRPr="00A80A92">
        <w:rPr>
          <w:lang w:val="en-IN"/>
        </w:rPr>
        <w:t xml:space="preserve">Population ageing has led to increasing the demand </w:t>
      </w:r>
      <w:r w:rsidR="00853500">
        <w:rPr>
          <w:lang w:val="en-IN"/>
        </w:rPr>
        <w:t>for</w:t>
      </w:r>
      <w:r w:rsidRPr="00A80A92">
        <w:rPr>
          <w:lang w:val="en-IN"/>
        </w:rPr>
        <w:t xml:space="preserve"> high-quality care services in the long run. This makes empowering older adults one of the primary priorities within the health and social care sector. It has been observed that 1 in every 5 individuals in the UK </w:t>
      </w:r>
      <w:r w:rsidR="00853500">
        <w:rPr>
          <w:lang w:val="en-IN"/>
        </w:rPr>
        <w:t>is</w:t>
      </w:r>
      <w:r w:rsidRPr="00A80A92">
        <w:rPr>
          <w:lang w:val="en-IN"/>
        </w:rPr>
        <w:t xml:space="preserve"> aged 65 years or more (Ageing Better, 2025). This indicates the increasing importance of care models </w:t>
      </w:r>
      <w:r w:rsidR="00853500">
        <w:rPr>
          <w:lang w:val="en-IN"/>
        </w:rPr>
        <w:t>that uphold</w:t>
      </w:r>
      <w:r w:rsidRPr="00A80A92">
        <w:rPr>
          <w:lang w:val="en-IN"/>
        </w:rPr>
        <w:t xml:space="preserve"> autonomy and well-being. According to Rappaport’s Empowerment Theory, empowerment enables an individual to practice meaningful control </w:t>
      </w:r>
      <w:r w:rsidR="00853500">
        <w:rPr>
          <w:lang w:val="en-IN"/>
        </w:rPr>
        <w:t>over</w:t>
      </w:r>
      <w:r w:rsidRPr="00A80A92">
        <w:rPr>
          <w:lang w:val="en-IN"/>
        </w:rPr>
        <w:t xml:space="preserve"> the decisions which affect their lives (</w:t>
      </w:r>
      <w:proofErr w:type="spellStart"/>
      <w:r w:rsidRPr="00A80A92">
        <w:rPr>
          <w:lang w:val="en-IN"/>
        </w:rPr>
        <w:t>Anggraini</w:t>
      </w:r>
      <w:proofErr w:type="spellEnd"/>
      <w:r w:rsidRPr="00A80A92">
        <w:rPr>
          <w:lang w:val="en-IN"/>
        </w:rPr>
        <w:t xml:space="preserve"> </w:t>
      </w:r>
      <w:r w:rsidRPr="00A80A92">
        <w:rPr>
          <w:i/>
          <w:iCs/>
          <w:lang w:val="en-IN"/>
        </w:rPr>
        <w:t xml:space="preserve">et al. </w:t>
      </w:r>
      <w:r w:rsidRPr="00A80A92">
        <w:rPr>
          <w:lang w:val="en-IN"/>
        </w:rPr>
        <w:t xml:space="preserve">2025). Following this, the debate will compare </w:t>
      </w:r>
      <w:r w:rsidR="00853500">
        <w:rPr>
          <w:lang w:val="en-IN"/>
        </w:rPr>
        <w:t>whether</w:t>
      </w:r>
      <w:r w:rsidRPr="00A80A92">
        <w:rPr>
          <w:lang w:val="en-IN"/>
        </w:rPr>
        <w:t xml:space="preserve"> domiciliary care or residential care promotes empowerment more effectively. The debate will further focus on the relevant theories and examples to evaluate these perspectives.</w:t>
      </w:r>
    </w:p>
    <w:p w14:paraId="155AFA34" w14:textId="77777777" w:rsidR="00A80A92" w:rsidRPr="00A80A92" w:rsidRDefault="00A80A92" w:rsidP="00A80A92">
      <w:pPr>
        <w:pStyle w:val="Heading1"/>
        <w:rPr>
          <w:lang w:val="en-IN"/>
        </w:rPr>
      </w:pPr>
      <w:bookmarkStart w:id="1" w:name="_Toc234569103"/>
      <w:r w:rsidRPr="00A80A92">
        <w:rPr>
          <w:lang w:val="en-IN"/>
        </w:rPr>
        <w:t>Opening Statements</w:t>
      </w:r>
      <w:bookmarkEnd w:id="1"/>
    </w:p>
    <w:p w14:paraId="5E3D63EC" w14:textId="77777777" w:rsidR="00A80A92" w:rsidRPr="00A80A92" w:rsidRDefault="00A80A92" w:rsidP="00A80A92">
      <w:pPr>
        <w:pStyle w:val="Heading2"/>
        <w:rPr>
          <w:lang w:val="en-IN"/>
        </w:rPr>
      </w:pPr>
      <w:bookmarkStart w:id="2" w:name="_Toc234569104"/>
      <w:r w:rsidRPr="00A80A92">
        <w:rPr>
          <w:lang w:val="en-IN"/>
        </w:rPr>
        <w:t>Opening Statement: Student A</w:t>
      </w:r>
      <w:bookmarkEnd w:id="2"/>
    </w:p>
    <w:p w14:paraId="742F3610" w14:textId="40538D79" w:rsidR="00A80A92" w:rsidRPr="00A80A92" w:rsidRDefault="00A80A92" w:rsidP="00A80A92">
      <w:pPr>
        <w:rPr>
          <w:lang w:val="en-IN"/>
        </w:rPr>
      </w:pPr>
      <w:r w:rsidRPr="00A80A92">
        <w:rPr>
          <w:lang w:val="en-IN"/>
        </w:rPr>
        <w:t xml:space="preserve">Good afternoon, everyone. I believe that domiciliary care is the best setting which focuses on empowering older adults. Domiciliary care enables an individual to maintain control of </w:t>
      </w:r>
      <w:r w:rsidR="00853500">
        <w:rPr>
          <w:lang w:val="en-IN"/>
        </w:rPr>
        <w:t>themselves</w:t>
      </w:r>
      <w:r w:rsidRPr="00A80A92">
        <w:rPr>
          <w:lang w:val="en-IN"/>
        </w:rPr>
        <w:t xml:space="preserve"> without having to live continuously within the surroundings of families (Sankar </w:t>
      </w:r>
      <w:r w:rsidRPr="00A80A92">
        <w:rPr>
          <w:i/>
          <w:iCs/>
          <w:lang w:val="en-IN"/>
        </w:rPr>
        <w:t xml:space="preserve">et al. </w:t>
      </w:r>
      <w:r w:rsidRPr="00A80A92">
        <w:rPr>
          <w:lang w:val="en-IN"/>
        </w:rPr>
        <w:t xml:space="preserve">2024). Although residential care provides valuable support for individuals facing complex needs, I believe that true empowerment can be achieved when older adults </w:t>
      </w:r>
      <w:proofErr w:type="gramStart"/>
      <w:r w:rsidRPr="00A80A92">
        <w:rPr>
          <w:lang w:val="en-IN"/>
        </w:rPr>
        <w:t>are capable of making</w:t>
      </w:r>
      <w:proofErr w:type="gramEnd"/>
      <w:r w:rsidRPr="00A80A92">
        <w:rPr>
          <w:lang w:val="en-IN"/>
        </w:rPr>
        <w:t xml:space="preserve"> their own decisions while preserving relationships within their communities. Within this debate, I will demonstrate that domiciliary care presents a prominent opportunity for autonomy along with an enhanced life quality</w:t>
      </w:r>
      <w:r w:rsidR="00853500">
        <w:rPr>
          <w:lang w:val="en-IN"/>
        </w:rPr>
        <w:t>,</w:t>
      </w:r>
      <w:r w:rsidRPr="00A80A92">
        <w:rPr>
          <w:lang w:val="en-IN"/>
        </w:rPr>
        <w:t xml:space="preserve"> hence making it the most empowering care model</w:t>
      </w:r>
      <w:r w:rsidR="00853500">
        <w:rPr>
          <w:lang w:val="en-IN"/>
        </w:rPr>
        <w:t>.</w:t>
      </w:r>
    </w:p>
    <w:p w14:paraId="523A0224" w14:textId="77777777" w:rsidR="00A80A92" w:rsidRPr="00A80A92" w:rsidRDefault="00A80A92" w:rsidP="00A80A92">
      <w:pPr>
        <w:pStyle w:val="Heading2"/>
        <w:rPr>
          <w:lang w:val="en-IN"/>
        </w:rPr>
      </w:pPr>
      <w:bookmarkStart w:id="3" w:name="_Toc234569105"/>
      <w:r w:rsidRPr="00A80A92">
        <w:rPr>
          <w:lang w:val="en-IN"/>
        </w:rPr>
        <w:t>Opening Statement: Student B</w:t>
      </w:r>
      <w:bookmarkEnd w:id="3"/>
    </w:p>
    <w:p w14:paraId="16710283" w14:textId="41DF6F84" w:rsidR="00A80A92" w:rsidRPr="00A80A92" w:rsidRDefault="00A80A92" w:rsidP="00A80A92">
      <w:pPr>
        <w:rPr>
          <w:lang w:val="en-IN"/>
        </w:rPr>
      </w:pPr>
      <w:r w:rsidRPr="00A80A92">
        <w:rPr>
          <w:lang w:val="en-IN"/>
        </w:rPr>
        <w:t xml:space="preserve">Good afternoon to all. Although domiciliary care is empowering in its own ways, I respectfully disagree with Student A. I believe that residential care provides the foundation which leads to empowering older adults. Although being at home might be </w:t>
      </w:r>
      <w:r w:rsidR="00853500">
        <w:rPr>
          <w:lang w:val="en-IN"/>
        </w:rPr>
        <w:t>seen as preserving</w:t>
      </w:r>
      <w:r w:rsidRPr="00A80A92">
        <w:rPr>
          <w:lang w:val="en-IN"/>
        </w:rPr>
        <w:t xml:space="preserve"> independence, empowerment should also consist of dignity along with the capability to participate in everyday life for an individual. Residential care provides an environment where </w:t>
      </w:r>
      <w:r w:rsidR="00853500">
        <w:rPr>
          <w:lang w:val="en-IN"/>
        </w:rPr>
        <w:t xml:space="preserve">the </w:t>
      </w:r>
      <w:r w:rsidRPr="00A80A92">
        <w:rPr>
          <w:lang w:val="en-IN"/>
        </w:rPr>
        <w:t>safety and dignity of an individual can be supported consistently (</w:t>
      </w:r>
      <w:proofErr w:type="spellStart"/>
      <w:r w:rsidRPr="00A80A92">
        <w:rPr>
          <w:lang w:val="en-IN"/>
        </w:rPr>
        <w:t>Roos</w:t>
      </w:r>
      <w:proofErr w:type="spellEnd"/>
      <w:r w:rsidRPr="00A80A92">
        <w:rPr>
          <w:lang w:val="en-IN"/>
        </w:rPr>
        <w:t xml:space="preserve"> </w:t>
      </w:r>
      <w:r w:rsidRPr="00A80A92">
        <w:rPr>
          <w:i/>
          <w:iCs/>
          <w:lang w:val="en-IN"/>
        </w:rPr>
        <w:t xml:space="preserve">et al. </w:t>
      </w:r>
      <w:r w:rsidRPr="00A80A92">
        <w:rPr>
          <w:lang w:val="en-IN"/>
        </w:rPr>
        <w:t xml:space="preserve">2023). This is significantly appropriate for individuals </w:t>
      </w:r>
      <w:r w:rsidR="00853500">
        <w:rPr>
          <w:lang w:val="en-IN"/>
        </w:rPr>
        <w:t>with</w:t>
      </w:r>
      <w:r w:rsidRPr="00A80A92">
        <w:rPr>
          <w:lang w:val="en-IN"/>
        </w:rPr>
        <w:t xml:space="preserve"> complex care </w:t>
      </w:r>
      <w:r w:rsidR="00853500">
        <w:rPr>
          <w:lang w:val="en-IN"/>
        </w:rPr>
        <w:t>needs</w:t>
      </w:r>
      <w:r w:rsidRPr="00A80A92">
        <w:rPr>
          <w:lang w:val="en-IN"/>
        </w:rPr>
        <w:t>. Hence, for this debate</w:t>
      </w:r>
      <w:r w:rsidR="00853500">
        <w:rPr>
          <w:lang w:val="en-IN"/>
        </w:rPr>
        <w:t>,</w:t>
      </w:r>
      <w:r w:rsidRPr="00A80A92">
        <w:rPr>
          <w:lang w:val="en-IN"/>
        </w:rPr>
        <w:t xml:space="preserve"> I will demonstrate </w:t>
      </w:r>
      <w:r w:rsidRPr="00A80A92">
        <w:rPr>
          <w:lang w:val="en-IN"/>
        </w:rPr>
        <w:lastRenderedPageBreak/>
        <w:t>that continued professional support along with coordinated care makes residential care an effective setting for promoting sustainable empowerment.</w:t>
      </w:r>
    </w:p>
    <w:p w14:paraId="087A107E" w14:textId="77777777" w:rsidR="00A80A92" w:rsidRPr="00A80A92" w:rsidRDefault="00A80A92" w:rsidP="00A80A92">
      <w:pPr>
        <w:pStyle w:val="Heading1"/>
        <w:rPr>
          <w:lang w:val="en-IN"/>
        </w:rPr>
      </w:pPr>
      <w:bookmarkStart w:id="4" w:name="_Toc234569106"/>
      <w:r w:rsidRPr="00A80A92">
        <w:rPr>
          <w:lang w:val="en-IN"/>
        </w:rPr>
        <w:t>Main Arguments</w:t>
      </w:r>
      <w:bookmarkEnd w:id="4"/>
    </w:p>
    <w:p w14:paraId="4DD76E64" w14:textId="77777777" w:rsidR="00A80A92" w:rsidRPr="00A80A92" w:rsidRDefault="00A80A92" w:rsidP="00A80A92">
      <w:pPr>
        <w:pStyle w:val="Heading2"/>
        <w:rPr>
          <w:lang w:val="en-IN"/>
        </w:rPr>
      </w:pPr>
      <w:bookmarkStart w:id="5" w:name="_Toc234569107"/>
      <w:r w:rsidRPr="00A80A92">
        <w:rPr>
          <w:lang w:val="en-IN"/>
        </w:rPr>
        <w:t>Main Arguments: Student A</w:t>
      </w:r>
      <w:bookmarkEnd w:id="5"/>
    </w:p>
    <w:p w14:paraId="5CB2CA25" w14:textId="5DC90621" w:rsidR="00A80A92" w:rsidRPr="00853500" w:rsidRDefault="00A80A92" w:rsidP="00A80A92">
      <w:pPr>
        <w:rPr>
          <w:lang w:val="en-IN"/>
        </w:rPr>
      </w:pPr>
      <w:r w:rsidRPr="00A80A92">
        <w:rPr>
          <w:lang w:val="en-IN"/>
        </w:rPr>
        <w:t xml:space="preserve">As per my statement above, I believe that a domiciliary care setting provides the most effective environment for empowering older adults. According to Kahl </w:t>
      </w:r>
      <w:r w:rsidRPr="00A80A92">
        <w:rPr>
          <w:i/>
          <w:iCs/>
          <w:lang w:val="en-IN"/>
        </w:rPr>
        <w:t xml:space="preserve">et al. </w:t>
      </w:r>
      <w:r w:rsidRPr="00A80A92">
        <w:rPr>
          <w:lang w:val="en-IN"/>
        </w:rPr>
        <w:t>(2023), empowerment can be strengthened when an individual continues to direct their own routines instead of adapting to the organisational structure. Implementing this approach becomes significant in the UK as it has been reported that England has more than 15,232 CQC-regulated services for domiciliary care (Every Life Technologies, 2025). This represents an increase in services by more than 72% since 2018</w:t>
      </w:r>
      <w:r w:rsidR="00853500">
        <w:rPr>
          <w:lang w:val="en-IN"/>
        </w:rPr>
        <w:t>,</w:t>
      </w:r>
      <w:r w:rsidRPr="00A80A92">
        <w:rPr>
          <w:lang w:val="en-IN"/>
        </w:rPr>
        <w:t xml:space="preserve"> along with more than 595,000 posts filled for domiciliary care (Every Life Technologies, 2025). This increase indicates a growth in recognition that community-based support helps older adults be active </w:t>
      </w:r>
      <w:r w:rsidR="00853500">
        <w:rPr>
          <w:lang w:val="en-IN"/>
        </w:rPr>
        <w:t>participants</w:t>
      </w:r>
      <w:r w:rsidRPr="00A80A92">
        <w:rPr>
          <w:lang w:val="en-IN"/>
        </w:rPr>
        <w:t xml:space="preserve"> within their own lives rather than passive recipients of care. According to Evans </w:t>
      </w:r>
      <w:r w:rsidRPr="00A80A92">
        <w:rPr>
          <w:i/>
          <w:iCs/>
          <w:lang w:val="en-IN"/>
        </w:rPr>
        <w:t xml:space="preserve">et al. </w:t>
      </w:r>
      <w:r w:rsidRPr="00A80A92">
        <w:rPr>
          <w:lang w:val="en-IN"/>
        </w:rPr>
        <w:t xml:space="preserve">(2024), the </w:t>
      </w:r>
      <w:r w:rsidR="00853500">
        <w:rPr>
          <w:lang w:val="en-IN"/>
        </w:rPr>
        <w:t>Self-Determination</w:t>
      </w:r>
      <w:r w:rsidRPr="00A80A92">
        <w:rPr>
          <w:lang w:val="en-IN"/>
        </w:rPr>
        <w:t xml:space="preserve"> Theory has identified autonomy as </w:t>
      </w:r>
      <w:r w:rsidRPr="00853500">
        <w:rPr>
          <w:lang w:val="en-IN"/>
        </w:rPr>
        <w:t xml:space="preserve">the primary driver of </w:t>
      </w:r>
      <w:r w:rsidR="00853500">
        <w:rPr>
          <w:lang w:val="en-IN"/>
        </w:rPr>
        <w:t>well-being</w:t>
      </w:r>
      <w:r w:rsidRPr="00853500">
        <w:rPr>
          <w:lang w:val="en-IN"/>
        </w:rPr>
        <w:t xml:space="preserve"> and motivation. According to this theory, individuals can experience fulfilment when they retain meaningful control over their decision-making processes. In comparison, Maslow’s Hierarchy of Needs focuses on safety before a higher psychological need can be achieved (Rojas </w:t>
      </w:r>
      <w:r w:rsidRPr="00853500">
        <w:rPr>
          <w:i/>
          <w:iCs/>
          <w:lang w:val="en-IN"/>
        </w:rPr>
        <w:t xml:space="preserve">et al. </w:t>
      </w:r>
      <w:r w:rsidRPr="00853500">
        <w:rPr>
          <w:lang w:val="en-IN"/>
        </w:rPr>
        <w:t>2023). However, this perspective provides minimal attention to the emotional consequences of losing independence</w:t>
      </w:r>
      <w:r w:rsidR="00853500">
        <w:rPr>
          <w:lang w:val="en-IN"/>
        </w:rPr>
        <w:t>,</w:t>
      </w:r>
      <w:r w:rsidRPr="00853500">
        <w:rPr>
          <w:lang w:val="en-IN"/>
        </w:rPr>
        <w:t xml:space="preserve"> although it acknowledges the importance of protection. In a similar vein, the Continuity Theory posits that maintaining a predefined routine and relationship helps an individual to promote successful ageing (Guedes and Melo, 2022). On the other hand, Oliver </w:t>
      </w:r>
      <w:r w:rsidRPr="00853500">
        <w:rPr>
          <w:i/>
          <w:iCs/>
          <w:lang w:val="en-IN"/>
        </w:rPr>
        <w:t xml:space="preserve">et al. </w:t>
      </w:r>
      <w:r w:rsidRPr="00853500">
        <w:rPr>
          <w:lang w:val="en-IN"/>
        </w:rPr>
        <w:t xml:space="preserve">(2022) suggested that a structured environment might lead to weakening personal identity using collective routine. These perspectives demonstrate that empowerment requires a process of continuity of personal choice. </w:t>
      </w:r>
      <w:r w:rsidR="005D4B76" w:rsidRPr="00853500">
        <w:rPr>
          <w:lang w:val="en-IN"/>
        </w:rPr>
        <w:t xml:space="preserve">The increased adoption of remote monitoring technologies within domiciliary care strengthens empowerment by enabling older adults to be safely in their homes while having control over their own decisions. </w:t>
      </w:r>
      <w:r w:rsidR="00AF09B0" w:rsidRPr="00853500">
        <w:rPr>
          <w:lang w:val="en-IN"/>
        </w:rPr>
        <w:t>Devices like fall detectors</w:t>
      </w:r>
      <w:r w:rsidR="00853500">
        <w:rPr>
          <w:lang w:val="en-IN"/>
        </w:rPr>
        <w:t>,</w:t>
      </w:r>
      <w:r w:rsidR="00AF09B0" w:rsidRPr="00853500">
        <w:rPr>
          <w:lang w:val="en-IN"/>
        </w:rPr>
        <w:t xml:space="preserve"> along with remote health monitoring systems</w:t>
      </w:r>
      <w:r w:rsidR="00853500">
        <w:rPr>
          <w:lang w:val="en-IN"/>
        </w:rPr>
        <w:t>,</w:t>
      </w:r>
      <w:r w:rsidR="00AF09B0" w:rsidRPr="00853500">
        <w:rPr>
          <w:lang w:val="en-IN"/>
        </w:rPr>
        <w:t xml:space="preserve"> </w:t>
      </w:r>
      <w:r w:rsidR="00853500">
        <w:rPr>
          <w:lang w:val="en-IN"/>
        </w:rPr>
        <w:t>allow</w:t>
      </w:r>
      <w:r w:rsidR="00AF09B0" w:rsidRPr="00853500">
        <w:rPr>
          <w:lang w:val="en-IN"/>
        </w:rPr>
        <w:t xml:space="preserve"> older adults to independently manage their routines while ensuring that the professionals promptly respond when the risks have been identified. </w:t>
      </w:r>
      <w:r w:rsidRPr="00853500">
        <w:rPr>
          <w:lang w:val="en-IN"/>
        </w:rPr>
        <w:t>Furthermore, this argument can be reinforced using the Care Act 2014</w:t>
      </w:r>
      <w:r w:rsidR="00853500">
        <w:rPr>
          <w:lang w:val="en-IN"/>
        </w:rPr>
        <w:t>,</w:t>
      </w:r>
      <w:r w:rsidRPr="00853500">
        <w:rPr>
          <w:lang w:val="en-IN"/>
        </w:rPr>
        <w:t xml:space="preserve"> which places personalised care along with the involvement of an individual as the fundamentals of adult social care. A process of shared decision-making along with personal budgets helps the practitioners to support the older adults </w:t>
      </w:r>
      <w:r w:rsidRPr="00853500">
        <w:rPr>
          <w:lang w:val="en-IN"/>
        </w:rPr>
        <w:lastRenderedPageBreak/>
        <w:t xml:space="preserve">in accordance </w:t>
      </w:r>
      <w:r w:rsidR="00853500">
        <w:rPr>
          <w:lang w:val="en-IN"/>
        </w:rPr>
        <w:t>with</w:t>
      </w:r>
      <w:r w:rsidRPr="00853500">
        <w:rPr>
          <w:lang w:val="en-IN"/>
        </w:rPr>
        <w:t xml:space="preserve"> their priorities rather than a predetermined schedule (Whitehead </w:t>
      </w:r>
      <w:r w:rsidRPr="00853500">
        <w:rPr>
          <w:i/>
          <w:iCs/>
          <w:lang w:val="en-IN"/>
        </w:rPr>
        <w:t xml:space="preserve">et al. </w:t>
      </w:r>
      <w:r w:rsidRPr="00853500">
        <w:rPr>
          <w:lang w:val="en-IN"/>
        </w:rPr>
        <w:t xml:space="preserve">2025). </w:t>
      </w:r>
      <w:r w:rsidR="00140D75" w:rsidRPr="00853500">
        <w:rPr>
          <w:lang w:val="en-IN"/>
        </w:rPr>
        <w:t xml:space="preserve">For instance, </w:t>
      </w:r>
      <w:r w:rsidR="00D83A8B" w:rsidRPr="00853500">
        <w:rPr>
          <w:lang w:val="en-IN"/>
        </w:rPr>
        <w:t xml:space="preserve">the NHS introduced their </w:t>
      </w:r>
      <w:r w:rsidR="00140D75" w:rsidRPr="00853500">
        <w:rPr>
          <w:lang w:val="en-IN"/>
        </w:rPr>
        <w:t>Virtual Wards programmes in which the remote monitoring technologies enabled older adults to receive clinical oversight</w:t>
      </w:r>
      <w:r w:rsidR="00D83A8B" w:rsidRPr="00853500">
        <w:rPr>
          <w:lang w:val="en-IN"/>
        </w:rPr>
        <w:t>. The patients have reported improved independence as they could participate in managing their health without having unnecessary admissions to hospitals.</w:t>
      </w:r>
      <w:r w:rsidR="00140D75" w:rsidRPr="00853500">
        <w:rPr>
          <w:lang w:val="en-IN"/>
        </w:rPr>
        <w:t xml:space="preserve"> </w:t>
      </w:r>
      <w:r w:rsidRPr="00853500">
        <w:rPr>
          <w:lang w:val="en-IN"/>
        </w:rPr>
        <w:t>In comparison to residential care, domiciliary care provides the flexibility to maintain relationships with family</w:t>
      </w:r>
      <w:r w:rsidR="00853500">
        <w:rPr>
          <w:lang w:val="en-IN"/>
        </w:rPr>
        <w:t>,</w:t>
      </w:r>
      <w:r w:rsidRPr="00853500">
        <w:rPr>
          <w:lang w:val="en-IN"/>
        </w:rPr>
        <w:t xml:space="preserve"> along with community participation</w:t>
      </w:r>
      <w:r w:rsidR="00853500">
        <w:rPr>
          <w:lang w:val="en-IN"/>
        </w:rPr>
        <w:t>,</w:t>
      </w:r>
      <w:r w:rsidRPr="00853500">
        <w:rPr>
          <w:lang w:val="en-IN"/>
        </w:rPr>
        <w:t xml:space="preserve"> in parallel </w:t>
      </w:r>
      <w:r w:rsidR="00853500">
        <w:rPr>
          <w:lang w:val="en-IN"/>
        </w:rPr>
        <w:t>with</w:t>
      </w:r>
      <w:r w:rsidRPr="00853500">
        <w:rPr>
          <w:lang w:val="en-IN"/>
        </w:rPr>
        <w:t xml:space="preserve"> receiving professional support. </w:t>
      </w:r>
      <w:r w:rsidR="00853500">
        <w:rPr>
          <w:lang w:val="en-IN"/>
        </w:rPr>
        <w:t>Whether</w:t>
      </w:r>
      <w:r w:rsidRPr="00853500">
        <w:rPr>
          <w:lang w:val="en-IN"/>
        </w:rPr>
        <w:t xml:space="preserve"> these advantages outweigh the support available within a residential care environment is central to </w:t>
      </w:r>
      <w:r w:rsidR="00853500">
        <w:rPr>
          <w:lang w:val="en-IN"/>
        </w:rPr>
        <w:t>determining</w:t>
      </w:r>
      <w:r w:rsidRPr="00853500">
        <w:rPr>
          <w:lang w:val="en-IN"/>
        </w:rPr>
        <w:t xml:space="preserve"> which environment offers empowerment in the long run.</w:t>
      </w:r>
    </w:p>
    <w:p w14:paraId="5201C2C9" w14:textId="77777777" w:rsidR="00A80A92" w:rsidRPr="00853500" w:rsidRDefault="00A80A92" w:rsidP="00A80A92">
      <w:pPr>
        <w:pStyle w:val="Heading2"/>
        <w:rPr>
          <w:lang w:val="en-IN"/>
        </w:rPr>
      </w:pPr>
      <w:bookmarkStart w:id="6" w:name="_Toc234569108"/>
      <w:r w:rsidRPr="00853500">
        <w:rPr>
          <w:lang w:val="en-IN"/>
        </w:rPr>
        <w:t>Main Argument: Student B</w:t>
      </w:r>
      <w:bookmarkEnd w:id="6"/>
    </w:p>
    <w:p w14:paraId="289A6E97" w14:textId="0CBD148F" w:rsidR="00A80A92" w:rsidRPr="00853500" w:rsidRDefault="00853500" w:rsidP="00A80A92">
      <w:pPr>
        <w:rPr>
          <w:lang w:val="en-IN"/>
        </w:rPr>
      </w:pPr>
      <w:r>
        <w:rPr>
          <w:lang w:val="en-IN"/>
        </w:rPr>
        <w:t>From</w:t>
      </w:r>
      <w:r w:rsidR="00A80A92" w:rsidRPr="00853500">
        <w:rPr>
          <w:lang w:val="en-IN"/>
        </w:rPr>
        <w:t xml:space="preserve"> my perspective, residential care provides a significant foundation to empower older adults</w:t>
      </w:r>
      <w:r>
        <w:rPr>
          <w:lang w:val="en-IN"/>
        </w:rPr>
        <w:t>,</w:t>
      </w:r>
      <w:r w:rsidR="00A80A92" w:rsidRPr="00853500">
        <w:rPr>
          <w:lang w:val="en-IN"/>
        </w:rPr>
        <w:t xml:space="preserve"> as their empowerment is dependent on their capability to participate despite having complex health needs. Independence does not ensure empowerment alone if the cognitive health restricts the capacity of an individual to comply with the meaningful choices (Rosen, 2023). It has been observed that more than 70% of the residents within care homes live with dementia (</w:t>
      </w:r>
      <w:proofErr w:type="spellStart"/>
      <w:r w:rsidR="00A80A92" w:rsidRPr="00853500">
        <w:rPr>
          <w:lang w:val="en-IN"/>
        </w:rPr>
        <w:t>Astar</w:t>
      </w:r>
      <w:proofErr w:type="spellEnd"/>
      <w:r w:rsidR="00A80A92" w:rsidRPr="00853500">
        <w:rPr>
          <w:lang w:val="en-IN"/>
        </w:rPr>
        <w:t xml:space="preserve"> Care Services, 2025). This indicates that various residents require continued care and structured support</w:t>
      </w:r>
      <w:r>
        <w:rPr>
          <w:lang w:val="en-IN"/>
        </w:rPr>
        <w:t>,</w:t>
      </w:r>
      <w:r w:rsidR="00A80A92" w:rsidRPr="00853500">
        <w:rPr>
          <w:lang w:val="en-IN"/>
        </w:rPr>
        <w:t xml:space="preserve"> which might not </w:t>
      </w:r>
      <w:r>
        <w:rPr>
          <w:lang w:val="en-IN"/>
        </w:rPr>
        <w:t>always be achieved</w:t>
      </w:r>
      <w:r w:rsidR="00A80A92" w:rsidRPr="00853500">
        <w:rPr>
          <w:lang w:val="en-IN"/>
        </w:rPr>
        <w:t xml:space="preserve"> through scheduled home visits. Hence</w:t>
      </w:r>
      <w:r>
        <w:rPr>
          <w:lang w:val="en-IN"/>
        </w:rPr>
        <w:t>,</w:t>
      </w:r>
      <w:r w:rsidR="00A80A92" w:rsidRPr="00853500">
        <w:rPr>
          <w:lang w:val="en-IN"/>
        </w:rPr>
        <w:t xml:space="preserve"> residential care provides an environment in which empowerment can be sustained using consistent professional assistance rather than being reduced by a declining capability.</w:t>
      </w:r>
      <w:r w:rsidR="00AD32E7" w:rsidRPr="00853500">
        <w:rPr>
          <w:lang w:val="en-IN"/>
        </w:rPr>
        <w:t xml:space="preserve"> The settings within residential care have been integrating digital technologies like wearable health sensors along with remote clinical monitoring</w:t>
      </w:r>
      <w:r>
        <w:rPr>
          <w:lang w:val="en-IN"/>
        </w:rPr>
        <w:t>,</w:t>
      </w:r>
      <w:r w:rsidR="00AD32E7" w:rsidRPr="00853500">
        <w:rPr>
          <w:lang w:val="en-IN"/>
        </w:rPr>
        <w:t xml:space="preserve"> which allows the professionals to identify the challenges in health conditions at an early stage. This enables a personalised intervention while allowing the residents to express their preferences </w:t>
      </w:r>
      <w:r>
        <w:rPr>
          <w:lang w:val="en-IN"/>
        </w:rPr>
        <w:t>regarding</w:t>
      </w:r>
      <w:r w:rsidR="00AD32E7" w:rsidRPr="00853500">
        <w:rPr>
          <w:lang w:val="en-IN"/>
        </w:rPr>
        <w:t xml:space="preserve"> their daily routines.</w:t>
      </w:r>
      <w:r w:rsidR="00A80A92" w:rsidRPr="00853500">
        <w:rPr>
          <w:lang w:val="en-IN"/>
        </w:rPr>
        <w:t xml:space="preserve"> According to the Ecological Theory of Ageing, well-being can be maximised when an environmental demand aligns with the functional ability of an individual (Han </w:t>
      </w:r>
      <w:r w:rsidR="00A80A92" w:rsidRPr="00853500">
        <w:rPr>
          <w:i/>
          <w:iCs/>
          <w:lang w:val="en-IN"/>
        </w:rPr>
        <w:t xml:space="preserve">et al. </w:t>
      </w:r>
      <w:r w:rsidR="00A80A92" w:rsidRPr="00853500">
        <w:rPr>
          <w:lang w:val="en-IN"/>
        </w:rPr>
        <w:t xml:space="preserve">2023). However, this perspective contrasts with the </w:t>
      </w:r>
      <w:r w:rsidR="00A80A92" w:rsidRPr="00A80A92">
        <w:rPr>
          <w:lang w:val="en-IN"/>
        </w:rPr>
        <w:t>Self-Determination Theory</w:t>
      </w:r>
      <w:r>
        <w:rPr>
          <w:lang w:val="en-IN"/>
        </w:rPr>
        <w:t>,</w:t>
      </w:r>
      <w:r w:rsidR="00A80A92" w:rsidRPr="00A80A92">
        <w:rPr>
          <w:lang w:val="en-IN"/>
        </w:rPr>
        <w:t xml:space="preserve"> which focuses primarily on autonomy</w:t>
      </w:r>
      <w:r>
        <w:rPr>
          <w:lang w:val="en-IN"/>
        </w:rPr>
        <w:t>,</w:t>
      </w:r>
      <w:r w:rsidR="00A80A92" w:rsidRPr="00A80A92">
        <w:rPr>
          <w:lang w:val="en-IN"/>
        </w:rPr>
        <w:t xml:space="preserve"> as environmental sustainability becomes important with the progress of frailty (</w:t>
      </w:r>
      <w:proofErr w:type="spellStart"/>
      <w:r w:rsidR="00A80A92" w:rsidRPr="00A80A92">
        <w:rPr>
          <w:lang w:val="en-IN"/>
        </w:rPr>
        <w:t>Gangé</w:t>
      </w:r>
      <w:proofErr w:type="spellEnd"/>
      <w:r w:rsidR="00A80A92" w:rsidRPr="00A80A92">
        <w:rPr>
          <w:lang w:val="en-IN"/>
        </w:rPr>
        <w:t xml:space="preserve"> </w:t>
      </w:r>
      <w:r w:rsidR="00A80A92" w:rsidRPr="00A80A92">
        <w:rPr>
          <w:i/>
          <w:iCs/>
          <w:lang w:val="en-IN"/>
        </w:rPr>
        <w:t xml:space="preserve">et al. </w:t>
      </w:r>
      <w:r w:rsidR="00A80A92" w:rsidRPr="00A80A92">
        <w:rPr>
          <w:lang w:val="en-IN"/>
        </w:rPr>
        <w:t xml:space="preserve">2022). Similarly, Barbaccia </w:t>
      </w:r>
      <w:r w:rsidR="00A80A92" w:rsidRPr="00A80A92">
        <w:rPr>
          <w:i/>
          <w:iCs/>
          <w:lang w:val="en-IN"/>
        </w:rPr>
        <w:t xml:space="preserve">et al. </w:t>
      </w:r>
      <w:r w:rsidR="00A80A92" w:rsidRPr="00A80A92">
        <w:rPr>
          <w:lang w:val="en-IN"/>
        </w:rPr>
        <w:t xml:space="preserve">(2022) argued that successful ageing is dependent on maintaining social participation while preserving the existing routines. Although continuity is valuable, the </w:t>
      </w:r>
      <w:r w:rsidR="00ED09F1" w:rsidRPr="00A80A92">
        <w:rPr>
          <w:lang w:val="en-IN"/>
        </w:rPr>
        <w:t>opportunity</w:t>
      </w:r>
      <w:r w:rsidR="00A80A92" w:rsidRPr="00A80A92">
        <w:rPr>
          <w:lang w:val="en-IN"/>
        </w:rPr>
        <w:t xml:space="preserve"> for a structured interaction becomes important when older adults experience complex health conditions. The Mental Capacity Act 2005 requires practitioners to maximise the involvement of an individual’s decision-making alongside providing support when the </w:t>
      </w:r>
      <w:r w:rsidR="00A80A92" w:rsidRPr="00853500">
        <w:rPr>
          <w:lang w:val="en-IN"/>
        </w:rPr>
        <w:t xml:space="preserve">capacity becomes impaired (Brown </w:t>
      </w:r>
      <w:r w:rsidR="00A80A92" w:rsidRPr="00853500">
        <w:rPr>
          <w:i/>
          <w:iCs/>
          <w:lang w:val="en-IN"/>
        </w:rPr>
        <w:t xml:space="preserve">et al. </w:t>
      </w:r>
      <w:r w:rsidR="00A80A92" w:rsidRPr="00853500">
        <w:rPr>
          <w:lang w:val="en-IN"/>
        </w:rPr>
        <w:t xml:space="preserve">2024). This </w:t>
      </w:r>
      <w:r w:rsidR="00A80A92" w:rsidRPr="00853500">
        <w:rPr>
          <w:lang w:val="en-IN"/>
        </w:rPr>
        <w:lastRenderedPageBreak/>
        <w:t>ensures that empowerment can be achieved with support rather than decision-making</w:t>
      </w:r>
      <w:r>
        <w:rPr>
          <w:lang w:val="en-IN"/>
        </w:rPr>
        <w:t>,</w:t>
      </w:r>
      <w:r w:rsidR="00A80A92" w:rsidRPr="00853500">
        <w:rPr>
          <w:lang w:val="en-IN"/>
        </w:rPr>
        <w:t xml:space="preserve"> which is substituted. Residential </w:t>
      </w:r>
      <w:r>
        <w:rPr>
          <w:lang w:val="en-IN"/>
        </w:rPr>
        <w:t>settings</w:t>
      </w:r>
      <w:r w:rsidR="00A80A92" w:rsidRPr="00853500">
        <w:rPr>
          <w:lang w:val="en-IN"/>
        </w:rPr>
        <w:t xml:space="preserve"> can implement this using a multidisciplinary care planning </w:t>
      </w:r>
      <w:r>
        <w:rPr>
          <w:lang w:val="en-IN"/>
        </w:rPr>
        <w:t xml:space="preserve">approach </w:t>
      </w:r>
      <w:r w:rsidR="00A80A92" w:rsidRPr="00853500">
        <w:rPr>
          <w:lang w:val="en-IN"/>
        </w:rPr>
        <w:t xml:space="preserve">along with reviews </w:t>
      </w:r>
      <w:r>
        <w:rPr>
          <w:lang w:val="en-IN"/>
        </w:rPr>
        <w:t>that include</w:t>
      </w:r>
      <w:r w:rsidR="00A80A92" w:rsidRPr="00853500">
        <w:rPr>
          <w:lang w:val="en-IN"/>
        </w:rPr>
        <w:t xml:space="preserve"> the residents and their families. </w:t>
      </w:r>
      <w:r w:rsidR="00024923" w:rsidRPr="00853500">
        <w:rPr>
          <w:lang w:val="en-IN"/>
        </w:rPr>
        <w:t>One of the most prominent examples in the UK</w:t>
      </w:r>
      <w:r w:rsidR="00E21AFF" w:rsidRPr="00853500">
        <w:rPr>
          <w:lang w:val="en-IN"/>
        </w:rPr>
        <w:t xml:space="preserve"> is the introduction of </w:t>
      </w:r>
      <w:r>
        <w:rPr>
          <w:lang w:val="en-IN"/>
        </w:rPr>
        <w:t>e-person-centred</w:t>
      </w:r>
      <w:r w:rsidR="00E21AFF" w:rsidRPr="00853500">
        <w:rPr>
          <w:lang w:val="en-IN"/>
        </w:rPr>
        <w:t xml:space="preserve"> care planning throughout different care homes in the UK. This is supported by the Digital Social Care Programme of the NHS. </w:t>
      </w:r>
      <w:r w:rsidR="00EB2916" w:rsidRPr="00853500">
        <w:rPr>
          <w:lang w:val="en-IN"/>
        </w:rPr>
        <w:t xml:space="preserve">The use of digitised records </w:t>
      </w:r>
      <w:r w:rsidR="00FB0C33" w:rsidRPr="00853500">
        <w:rPr>
          <w:lang w:val="en-IN"/>
        </w:rPr>
        <w:t>has</w:t>
      </w:r>
      <w:r w:rsidR="00EB2916" w:rsidRPr="00853500">
        <w:rPr>
          <w:lang w:val="en-IN"/>
        </w:rPr>
        <w:t xml:space="preserve"> led to improving communication among the professionals</w:t>
      </w:r>
      <w:r>
        <w:rPr>
          <w:lang w:val="en-IN"/>
        </w:rPr>
        <w:t>,</w:t>
      </w:r>
      <w:r w:rsidR="00EB2916" w:rsidRPr="00853500">
        <w:rPr>
          <w:lang w:val="en-IN"/>
        </w:rPr>
        <w:t xml:space="preserve"> the residents</w:t>
      </w:r>
      <w:r>
        <w:rPr>
          <w:lang w:val="en-IN"/>
        </w:rPr>
        <w:t>,</w:t>
      </w:r>
      <w:r w:rsidR="00EB2916" w:rsidRPr="00853500">
        <w:rPr>
          <w:lang w:val="en-IN"/>
        </w:rPr>
        <w:t xml:space="preserve"> </w:t>
      </w:r>
      <w:r>
        <w:rPr>
          <w:lang w:val="en-IN"/>
        </w:rPr>
        <w:t>and</w:t>
      </w:r>
      <w:r w:rsidR="00EB2916" w:rsidRPr="00853500">
        <w:rPr>
          <w:lang w:val="en-IN"/>
        </w:rPr>
        <w:t xml:space="preserve"> the family members</w:t>
      </w:r>
      <w:r w:rsidR="00FB0C33" w:rsidRPr="00853500">
        <w:rPr>
          <w:lang w:val="en-IN"/>
        </w:rPr>
        <w:t>.</w:t>
      </w:r>
      <w:r w:rsidR="00EB2916" w:rsidRPr="00853500">
        <w:rPr>
          <w:lang w:val="en-IN"/>
        </w:rPr>
        <w:t xml:space="preserve"> This </w:t>
      </w:r>
      <w:r w:rsidR="00FB0C33" w:rsidRPr="00853500">
        <w:rPr>
          <w:lang w:val="en-IN"/>
        </w:rPr>
        <w:t xml:space="preserve">has </w:t>
      </w:r>
      <w:r w:rsidR="00EB2916" w:rsidRPr="00853500">
        <w:rPr>
          <w:lang w:val="en-IN"/>
        </w:rPr>
        <w:t xml:space="preserve">enabled a </w:t>
      </w:r>
      <w:proofErr w:type="gramStart"/>
      <w:r w:rsidR="00EB2916" w:rsidRPr="00853500">
        <w:rPr>
          <w:lang w:val="en-IN"/>
        </w:rPr>
        <w:t>more timely</w:t>
      </w:r>
      <w:proofErr w:type="gramEnd"/>
      <w:r w:rsidR="00EB2916" w:rsidRPr="00853500">
        <w:rPr>
          <w:lang w:val="en-IN"/>
        </w:rPr>
        <w:t xml:space="preserve"> care planning process. </w:t>
      </w:r>
      <w:r w:rsidR="00A80A92" w:rsidRPr="00853500">
        <w:rPr>
          <w:lang w:val="en-IN"/>
        </w:rPr>
        <w:t>Hence, in comparison to domiciliary care, a residential care service provides immediate accessibility to opportunities within a purpose-driven environment.</w:t>
      </w:r>
    </w:p>
    <w:p w14:paraId="47915AF7" w14:textId="77777777" w:rsidR="00A80A92" w:rsidRPr="00853500" w:rsidRDefault="00A80A92" w:rsidP="00A80A92">
      <w:pPr>
        <w:pStyle w:val="Heading1"/>
        <w:rPr>
          <w:lang w:val="en-IN"/>
        </w:rPr>
      </w:pPr>
      <w:bookmarkStart w:id="7" w:name="_Toc234569109"/>
      <w:r w:rsidRPr="00853500">
        <w:rPr>
          <w:lang w:val="en-IN"/>
        </w:rPr>
        <w:t>Rebuttals</w:t>
      </w:r>
      <w:bookmarkEnd w:id="7"/>
    </w:p>
    <w:p w14:paraId="2E5B93D8" w14:textId="77777777" w:rsidR="00A80A92" w:rsidRPr="00853500" w:rsidRDefault="00A80A92" w:rsidP="00A80A92">
      <w:pPr>
        <w:pStyle w:val="Heading2"/>
        <w:rPr>
          <w:lang w:val="en-IN"/>
        </w:rPr>
      </w:pPr>
      <w:bookmarkStart w:id="8" w:name="_Toc234569110"/>
      <w:r w:rsidRPr="00853500">
        <w:rPr>
          <w:lang w:val="en-IN"/>
        </w:rPr>
        <w:t>Rebuttals: Student A</w:t>
      </w:r>
      <w:bookmarkEnd w:id="8"/>
    </w:p>
    <w:p w14:paraId="0A437E58" w14:textId="692CB90F" w:rsidR="00A80A92" w:rsidRPr="00A80A92" w:rsidRDefault="00A80A92" w:rsidP="00A80A92">
      <w:pPr>
        <w:rPr>
          <w:lang w:val="en-IN"/>
        </w:rPr>
      </w:pPr>
      <w:r w:rsidRPr="00A80A92">
        <w:rPr>
          <w:lang w:val="en-IN"/>
        </w:rPr>
        <w:t xml:space="preserve">Although it has been argued that residential care strengthens empowerment using continued professional </w:t>
      </w:r>
      <w:r w:rsidRPr="00853500">
        <w:rPr>
          <w:lang w:val="en-IN"/>
        </w:rPr>
        <w:t>support</w:t>
      </w:r>
      <w:r w:rsidR="00FB0C33" w:rsidRPr="00853500">
        <w:rPr>
          <w:lang w:val="en-IN"/>
        </w:rPr>
        <w:t>.</w:t>
      </w:r>
      <w:r w:rsidRPr="00853500">
        <w:rPr>
          <w:lang w:val="en-IN"/>
        </w:rPr>
        <w:t xml:space="preserve"> </w:t>
      </w:r>
      <w:r w:rsidR="00FB0C33" w:rsidRPr="00853500">
        <w:rPr>
          <w:lang w:val="en-IN"/>
        </w:rPr>
        <w:t>T</w:t>
      </w:r>
      <w:r w:rsidRPr="00853500">
        <w:rPr>
          <w:lang w:val="en-IN"/>
        </w:rPr>
        <w:t xml:space="preserve">his perspective </w:t>
      </w:r>
      <w:r w:rsidR="00FB0C33" w:rsidRPr="00853500">
        <w:rPr>
          <w:lang w:val="en-IN"/>
        </w:rPr>
        <w:t>supports the evidence that over 70% of the care home residents live with dementia</w:t>
      </w:r>
      <w:r w:rsidRPr="00853500">
        <w:rPr>
          <w:lang w:val="en-IN"/>
        </w:rPr>
        <w:t>.</w:t>
      </w:r>
      <w:r w:rsidR="00FB0C33" w:rsidRPr="00853500">
        <w:rPr>
          <w:lang w:val="en-IN"/>
        </w:rPr>
        <w:t xml:space="preserve"> Individuals with moderate dementia have continued to express the preference while participating in decisions when the support is provided appropriately. Hence, continued support should be considered </w:t>
      </w:r>
      <w:proofErr w:type="gramStart"/>
      <w:r w:rsidR="00FB0C33" w:rsidRPr="00853500">
        <w:rPr>
          <w:lang w:val="en-IN"/>
        </w:rPr>
        <w:t>as a means to</w:t>
      </w:r>
      <w:proofErr w:type="gramEnd"/>
      <w:r w:rsidR="00FB0C33" w:rsidRPr="00853500">
        <w:rPr>
          <w:lang w:val="en-IN"/>
        </w:rPr>
        <w:t xml:space="preserve"> facilitate</w:t>
      </w:r>
      <w:r w:rsidR="007658F4" w:rsidRPr="00853500">
        <w:rPr>
          <w:lang w:val="en-IN"/>
        </w:rPr>
        <w:t xml:space="preserve"> autonomy rather than replacing independent living.</w:t>
      </w:r>
      <w:r w:rsidRPr="00853500">
        <w:rPr>
          <w:lang w:val="en-IN"/>
        </w:rPr>
        <w:t xml:space="preserve"> This is relevant </w:t>
      </w:r>
      <w:r w:rsidR="00853500">
        <w:rPr>
          <w:lang w:val="en-IN"/>
        </w:rPr>
        <w:t>to</w:t>
      </w:r>
      <w:r w:rsidRPr="00853500">
        <w:rPr>
          <w:lang w:val="en-IN"/>
        </w:rPr>
        <w:t xml:space="preserve"> the theory of institutionalisation as it states that the organisational routines might reduce the control of an individual over their everyday life despite being person-centred. Article 8 of </w:t>
      </w:r>
      <w:r w:rsidR="00853500">
        <w:rPr>
          <w:lang w:val="en-IN"/>
        </w:rPr>
        <w:t xml:space="preserve">the </w:t>
      </w:r>
      <w:r w:rsidRPr="00853500">
        <w:rPr>
          <w:lang w:val="en-IN"/>
        </w:rPr>
        <w:t xml:space="preserve">Human Rights Act 1998 protects the right </w:t>
      </w:r>
      <w:r w:rsidR="00853500">
        <w:rPr>
          <w:lang w:val="en-IN"/>
        </w:rPr>
        <w:t>to</w:t>
      </w:r>
      <w:r w:rsidRPr="00853500">
        <w:rPr>
          <w:lang w:val="en-IN"/>
        </w:rPr>
        <w:t xml:space="preserve"> an individual’s private life (</w:t>
      </w:r>
      <w:proofErr w:type="spellStart"/>
      <w:r w:rsidRPr="00853500">
        <w:rPr>
          <w:lang w:val="en-IN"/>
        </w:rPr>
        <w:t>Czuryk</w:t>
      </w:r>
      <w:proofErr w:type="spellEnd"/>
      <w:r w:rsidRPr="00853500">
        <w:rPr>
          <w:lang w:val="en-IN"/>
        </w:rPr>
        <w:t xml:space="preserve">, 2022). This indicates the importance of maintaining personal relationships wherever possible. Moreover, it has been observed that various adults prioritise independence over </w:t>
      </w:r>
      <w:r w:rsidRPr="00A80A92">
        <w:rPr>
          <w:lang w:val="en-IN"/>
        </w:rPr>
        <w:t>supervision. This demonstrates that empowerment can be defined by retaining personal agency rather than having accessibility to continued care.</w:t>
      </w:r>
    </w:p>
    <w:p w14:paraId="5A52A446" w14:textId="77777777" w:rsidR="00A80A92" w:rsidRPr="00853500" w:rsidRDefault="00A80A92" w:rsidP="00A80A92">
      <w:pPr>
        <w:pStyle w:val="Heading2"/>
        <w:rPr>
          <w:lang w:val="en-IN"/>
        </w:rPr>
      </w:pPr>
      <w:bookmarkStart w:id="9" w:name="_Toc234569111"/>
      <w:r w:rsidRPr="00A80A92">
        <w:rPr>
          <w:lang w:val="en-IN"/>
        </w:rPr>
        <w:t>Rebuttals: Student B</w:t>
      </w:r>
      <w:bookmarkEnd w:id="9"/>
    </w:p>
    <w:p w14:paraId="2F74F503" w14:textId="0BDC51E5" w:rsidR="00A80A92" w:rsidRPr="00A80A92" w:rsidRDefault="00A80A92" w:rsidP="00A80A92">
      <w:pPr>
        <w:rPr>
          <w:lang w:val="en-IN"/>
        </w:rPr>
      </w:pPr>
      <w:r w:rsidRPr="00853500">
        <w:rPr>
          <w:lang w:val="en-IN"/>
        </w:rPr>
        <w:t>The focus of the argument placed by Student A assumes that being at home helps in enabling a meaningful choice</w:t>
      </w:r>
      <w:r w:rsidR="00853500">
        <w:rPr>
          <w:lang w:val="en-IN"/>
        </w:rPr>
        <w:t>,</w:t>
      </w:r>
      <w:r w:rsidRPr="00853500">
        <w:rPr>
          <w:lang w:val="en-IN"/>
        </w:rPr>
        <w:t xml:space="preserve"> although independence becomes symbolic when the cognitive decline tends to restrict daily functions. </w:t>
      </w:r>
      <w:r w:rsidR="00A906E4" w:rsidRPr="00853500">
        <w:rPr>
          <w:lang w:val="en-IN"/>
        </w:rPr>
        <w:t xml:space="preserve">Although telecare can enhance the safety of individuals with lower dependency levels, these technologies monitor health rather than providing continued physical assistance. Hence, technologies should be regarded as a complement to care instead of </w:t>
      </w:r>
      <w:r w:rsidR="00853500">
        <w:rPr>
          <w:lang w:val="en-IN"/>
        </w:rPr>
        <w:t>being considered</w:t>
      </w:r>
      <w:r w:rsidR="00A906E4" w:rsidRPr="00853500">
        <w:rPr>
          <w:lang w:val="en-IN"/>
        </w:rPr>
        <w:t xml:space="preserve"> as a substitute for comprehensive support. </w:t>
      </w:r>
      <w:r w:rsidRPr="00853500">
        <w:rPr>
          <w:lang w:val="en-IN"/>
        </w:rPr>
        <w:t xml:space="preserve">It can be argued </w:t>
      </w:r>
      <w:r w:rsidRPr="00A80A92">
        <w:rPr>
          <w:lang w:val="en-IN"/>
        </w:rPr>
        <w:t>that empowerment is dependent on the continuity of relationships</w:t>
      </w:r>
      <w:r w:rsidR="00853500">
        <w:rPr>
          <w:lang w:val="en-IN"/>
        </w:rPr>
        <w:t>,</w:t>
      </w:r>
      <w:r w:rsidRPr="00A80A92">
        <w:rPr>
          <w:lang w:val="en-IN"/>
        </w:rPr>
        <w:t xml:space="preserve"> while its outcomes are </w:t>
      </w:r>
      <w:r w:rsidRPr="00A80A92">
        <w:rPr>
          <w:lang w:val="en-IN"/>
        </w:rPr>
        <w:lastRenderedPageBreak/>
        <w:t xml:space="preserve">strengthened using coordinated residential care (Rawson </w:t>
      </w:r>
      <w:r w:rsidRPr="00A80A92">
        <w:rPr>
          <w:i/>
          <w:iCs/>
          <w:lang w:val="en-IN"/>
        </w:rPr>
        <w:t xml:space="preserve">et al. </w:t>
      </w:r>
      <w:r w:rsidRPr="00A80A92">
        <w:rPr>
          <w:lang w:val="en-IN"/>
        </w:rPr>
        <w:t xml:space="preserve">2024). As reported by the CQC (2025), there has been an increased complexity among older adults receiving long-term care. This requires an integrated support which the domiciliary care environment might struggle to deliver. Empowerment should further be judged </w:t>
      </w:r>
      <w:proofErr w:type="gramStart"/>
      <w:r w:rsidRPr="00A80A92">
        <w:rPr>
          <w:lang w:val="en-IN"/>
        </w:rPr>
        <w:t>on the basis of</w:t>
      </w:r>
      <w:proofErr w:type="gramEnd"/>
      <w:r w:rsidRPr="00A80A92">
        <w:rPr>
          <w:lang w:val="en-IN"/>
        </w:rPr>
        <w:t xml:space="preserve"> the ability to practice confidentiality rather than by location.</w:t>
      </w:r>
    </w:p>
    <w:p w14:paraId="34E836ED" w14:textId="77777777" w:rsidR="00A80A92" w:rsidRPr="00A80A92" w:rsidRDefault="00A80A92" w:rsidP="00A80A92">
      <w:pPr>
        <w:pStyle w:val="Heading1"/>
        <w:rPr>
          <w:lang w:val="en-IN"/>
        </w:rPr>
      </w:pPr>
      <w:bookmarkStart w:id="10" w:name="_Toc234569112"/>
      <w:r w:rsidRPr="00A80A92">
        <w:rPr>
          <w:lang w:val="en-IN"/>
        </w:rPr>
        <w:t>Closing Statements</w:t>
      </w:r>
      <w:bookmarkEnd w:id="10"/>
    </w:p>
    <w:p w14:paraId="4B8FFCD6" w14:textId="77777777" w:rsidR="00A80A92" w:rsidRPr="00A80A92" w:rsidRDefault="00A80A92" w:rsidP="00A80A92">
      <w:pPr>
        <w:pStyle w:val="Heading2"/>
        <w:rPr>
          <w:lang w:val="en-IN"/>
        </w:rPr>
      </w:pPr>
      <w:bookmarkStart w:id="11" w:name="_Toc234569113"/>
      <w:r w:rsidRPr="00A80A92">
        <w:rPr>
          <w:lang w:val="en-IN"/>
        </w:rPr>
        <w:t>Closing Statements: Student A</w:t>
      </w:r>
      <w:bookmarkEnd w:id="11"/>
    </w:p>
    <w:p w14:paraId="6DE3764E" w14:textId="1B574AA9" w:rsidR="00A80A92" w:rsidRPr="00A80A92" w:rsidRDefault="00A80A92" w:rsidP="00A80A92">
      <w:pPr>
        <w:rPr>
          <w:lang w:val="en-IN"/>
        </w:rPr>
      </w:pPr>
      <w:r w:rsidRPr="00A80A92">
        <w:rPr>
          <w:lang w:val="en-IN"/>
        </w:rPr>
        <w:t>Therefore, I maintain my perspective that empowerment is achieved effectively when older adults retain their autonomy while continuing to participate within a familiar community. Hence, domiciliary care focuses on these principles by enabling individuals to shape their perspectives while receiving personalised support. This makes a prominent approach to promote sustainable empowerment.</w:t>
      </w:r>
    </w:p>
    <w:p w14:paraId="4A3E8300" w14:textId="77777777" w:rsidR="00A80A92" w:rsidRPr="00A80A92" w:rsidRDefault="00A80A92" w:rsidP="00A80A92">
      <w:pPr>
        <w:pStyle w:val="Heading2"/>
        <w:rPr>
          <w:lang w:val="en-IN"/>
        </w:rPr>
      </w:pPr>
      <w:bookmarkStart w:id="12" w:name="_Toc234569114"/>
      <w:r w:rsidRPr="00A80A92">
        <w:rPr>
          <w:lang w:val="en-IN"/>
        </w:rPr>
        <w:t>Closing Statement: Student B</w:t>
      </w:r>
      <w:bookmarkEnd w:id="12"/>
    </w:p>
    <w:p w14:paraId="5B3469CB" w14:textId="42862BE1" w:rsidR="00A80A92" w:rsidRPr="00A80A92" w:rsidRDefault="00A80A92" w:rsidP="00A80A92">
      <w:pPr>
        <w:rPr>
          <w:lang w:val="en-IN"/>
        </w:rPr>
      </w:pPr>
      <w:r w:rsidRPr="00A80A92">
        <w:rPr>
          <w:lang w:val="en-IN"/>
        </w:rPr>
        <w:t>It can be concluded that empowerment can extend beyond the choice to include meaningful participation despite having a complex care need. Residential care provides a coordinated service</w:t>
      </w:r>
      <w:r w:rsidR="00853500">
        <w:rPr>
          <w:lang w:val="en-IN"/>
        </w:rPr>
        <w:t>,</w:t>
      </w:r>
      <w:r w:rsidRPr="00A80A92">
        <w:rPr>
          <w:lang w:val="en-IN"/>
        </w:rPr>
        <w:t xml:space="preserve"> which is important to achieve these outcomes. This makes it a prominent model for empowering older adults within the HSC setting.</w:t>
      </w:r>
    </w:p>
    <w:p w14:paraId="04CB85F0" w14:textId="77777777" w:rsidR="00A80A92" w:rsidRPr="00A80A92" w:rsidRDefault="00A80A92" w:rsidP="00A80A92">
      <w:pPr>
        <w:pStyle w:val="Heading1"/>
        <w:rPr>
          <w:lang w:val="en-IN"/>
        </w:rPr>
      </w:pPr>
      <w:bookmarkStart w:id="13" w:name="_Toc234569115"/>
      <w:r w:rsidRPr="00A80A92">
        <w:rPr>
          <w:lang w:val="en-IN"/>
        </w:rPr>
        <w:t>Overall Conclusion</w:t>
      </w:r>
      <w:bookmarkEnd w:id="13"/>
    </w:p>
    <w:p w14:paraId="63FEC1EC" w14:textId="20E86385" w:rsidR="00853500" w:rsidRDefault="00A80A92" w:rsidP="00853500">
      <w:pPr>
        <w:rPr>
          <w:lang w:val="en-IN"/>
        </w:rPr>
      </w:pPr>
      <w:r w:rsidRPr="00A80A92">
        <w:rPr>
          <w:lang w:val="en-IN"/>
        </w:rPr>
        <w:t xml:space="preserve">Therefore, this debate has indicated that residential care provides older adults with </w:t>
      </w:r>
      <w:r w:rsidR="00853500">
        <w:rPr>
          <w:lang w:val="en-IN"/>
        </w:rPr>
        <w:t>a</w:t>
      </w:r>
      <w:r w:rsidRPr="00A80A92">
        <w:rPr>
          <w:lang w:val="en-IN"/>
        </w:rPr>
        <w:t xml:space="preserve"> prominent environment for empowerment. </w:t>
      </w:r>
      <w:r w:rsidR="00797D72">
        <w:rPr>
          <w:lang w:val="en-IN"/>
        </w:rPr>
        <w:t xml:space="preserve">Both perspectives presented arguments with the care planning to ensure that empowerment </w:t>
      </w:r>
      <w:r w:rsidR="00853500">
        <w:rPr>
          <w:lang w:val="en-IN"/>
        </w:rPr>
        <w:t>is achieved through</w:t>
      </w:r>
      <w:r w:rsidR="00797D72">
        <w:rPr>
          <w:lang w:val="en-IN"/>
        </w:rPr>
        <w:t xml:space="preserve"> continued support. T</w:t>
      </w:r>
      <w:r w:rsidRPr="00A80A92">
        <w:rPr>
          <w:lang w:val="en-IN"/>
        </w:rPr>
        <w:t xml:space="preserve">his aligns autonomy with a process of continued support alongside meaningful participation. Although domiciliary care helps individuals to maintain familiarity with </w:t>
      </w:r>
      <w:r w:rsidR="00853500">
        <w:rPr>
          <w:lang w:val="en-IN"/>
        </w:rPr>
        <w:t>their</w:t>
      </w:r>
      <w:r w:rsidRPr="00A80A92">
        <w:rPr>
          <w:lang w:val="en-IN"/>
        </w:rPr>
        <w:t xml:space="preserve"> surroundings, independence does not ensure empowerment when there is an increase in the needs of physical or social care. On the other hand, residential care provides an opportunity for making informed decisions</w:t>
      </w:r>
      <w:r w:rsidR="00853500">
        <w:rPr>
          <w:lang w:val="en-IN"/>
        </w:rPr>
        <w:t>,</w:t>
      </w:r>
      <w:r w:rsidRPr="00A80A92">
        <w:rPr>
          <w:lang w:val="en-IN"/>
        </w:rPr>
        <w:t xml:space="preserve"> which enables older adults to maintain a </w:t>
      </w:r>
      <w:r w:rsidR="00853500">
        <w:rPr>
          <w:lang w:val="en-IN"/>
        </w:rPr>
        <w:t>high</w:t>
      </w:r>
      <w:r w:rsidRPr="00A80A92">
        <w:rPr>
          <w:lang w:val="en-IN"/>
        </w:rPr>
        <w:t xml:space="preserve"> quality of life. Hence, residential care presents a sustainable approach towards empowerment for the older adults who require long-term support towards health and social care needs.</w:t>
      </w:r>
    </w:p>
    <w:p w14:paraId="3F277A1C" w14:textId="77777777" w:rsidR="00853500" w:rsidRDefault="00853500" w:rsidP="00853500">
      <w:pPr>
        <w:rPr>
          <w:lang w:val="en-IN"/>
        </w:rPr>
      </w:pPr>
    </w:p>
    <w:p w14:paraId="035BBEEC" w14:textId="58E4FE5B" w:rsidR="00A80A92" w:rsidRPr="00853500" w:rsidRDefault="00A80A92" w:rsidP="00853500">
      <w:pPr>
        <w:pStyle w:val="Heading1"/>
        <w:rPr>
          <w:lang w:val="en-IN"/>
        </w:rPr>
      </w:pPr>
      <w:bookmarkStart w:id="14" w:name="_Toc234569116"/>
      <w:r w:rsidRPr="00A80A92">
        <w:rPr>
          <w:lang w:val="en-IN"/>
        </w:rPr>
        <w:lastRenderedPageBreak/>
        <w:t>References</w:t>
      </w:r>
      <w:bookmarkEnd w:id="14"/>
    </w:p>
    <w:p w14:paraId="71B80EAA" w14:textId="77777777" w:rsidR="00A80A92" w:rsidRPr="00A80A92" w:rsidRDefault="00A80A92" w:rsidP="00A80A92">
      <w:pPr>
        <w:rPr>
          <w:lang w:val="en-IN"/>
        </w:rPr>
      </w:pPr>
      <w:r w:rsidRPr="00A80A92">
        <w:rPr>
          <w:lang w:val="en-IN"/>
        </w:rPr>
        <w:t xml:space="preserve">Ageing Better, 2025. </w:t>
      </w:r>
      <w:r w:rsidRPr="00A80A92">
        <w:rPr>
          <w:i/>
          <w:iCs/>
          <w:lang w:val="en-IN"/>
        </w:rPr>
        <w:t>Our Ageing Population | The State of Ageing 2025</w:t>
      </w:r>
      <w:r w:rsidRPr="00A80A92">
        <w:rPr>
          <w:lang w:val="en-IN"/>
        </w:rPr>
        <w:t>. Available at: https://ageing-better.org.uk/our-ageing-population-state-ageing-2025 (Accessed: 5 July 2026)</w:t>
      </w:r>
    </w:p>
    <w:p w14:paraId="3D179308" w14:textId="77777777" w:rsidR="00A80A92" w:rsidRPr="00A80A92" w:rsidRDefault="00A80A92" w:rsidP="00A80A92">
      <w:pPr>
        <w:rPr>
          <w:lang w:val="en-IN"/>
        </w:rPr>
      </w:pPr>
      <w:proofErr w:type="spellStart"/>
      <w:r w:rsidRPr="00A80A92">
        <w:rPr>
          <w:lang w:val="en-IN"/>
        </w:rPr>
        <w:t>Anggraini</w:t>
      </w:r>
      <w:proofErr w:type="spellEnd"/>
      <w:r w:rsidRPr="00A80A92">
        <w:rPr>
          <w:lang w:val="en-IN"/>
        </w:rPr>
        <w:t xml:space="preserve">, Y., Arif, A., </w:t>
      </w:r>
      <w:proofErr w:type="spellStart"/>
      <w:r w:rsidRPr="00A80A92">
        <w:rPr>
          <w:lang w:val="en-IN"/>
        </w:rPr>
        <w:t>Maisyaroh</w:t>
      </w:r>
      <w:proofErr w:type="spellEnd"/>
      <w:r w:rsidRPr="00A80A92">
        <w:rPr>
          <w:lang w:val="en-IN"/>
        </w:rPr>
        <w:t xml:space="preserve">, Y., </w:t>
      </w:r>
      <w:proofErr w:type="spellStart"/>
      <w:r w:rsidRPr="00A80A92">
        <w:rPr>
          <w:lang w:val="en-IN"/>
        </w:rPr>
        <w:t>Sukmawati</w:t>
      </w:r>
      <w:proofErr w:type="spellEnd"/>
      <w:r w:rsidRPr="00A80A92">
        <w:rPr>
          <w:lang w:val="en-IN"/>
        </w:rPr>
        <w:t xml:space="preserve">, S., Oktavia, S.K. and Saputra, Z.H., 2025, October. Assessing Solo's Inclusiveness for the Deaf Community: A Study of the Role of </w:t>
      </w:r>
      <w:proofErr w:type="spellStart"/>
      <w:r w:rsidRPr="00A80A92">
        <w:rPr>
          <w:lang w:val="en-IN"/>
        </w:rPr>
        <w:t>Gerkatin</w:t>
      </w:r>
      <w:proofErr w:type="spellEnd"/>
      <w:r w:rsidRPr="00A80A92">
        <w:rPr>
          <w:lang w:val="en-IN"/>
        </w:rPr>
        <w:t xml:space="preserve"> Solo in Empowerment and Policy Collaboration. In </w:t>
      </w:r>
      <w:r w:rsidRPr="00A80A92">
        <w:rPr>
          <w:i/>
          <w:iCs/>
          <w:lang w:val="en-IN"/>
        </w:rPr>
        <w:t>Proceeding of The International Conference on Multidisciplinary Studies (ICOMSI)</w:t>
      </w:r>
      <w:r w:rsidRPr="00A80A92">
        <w:rPr>
          <w:lang w:val="en-IN"/>
        </w:rPr>
        <w:t xml:space="preserve"> (Vol. 2, No. 1).</w:t>
      </w:r>
    </w:p>
    <w:p w14:paraId="4C707CBC" w14:textId="77777777" w:rsidR="00A80A92" w:rsidRPr="00A80A92" w:rsidRDefault="00A80A92" w:rsidP="00A80A92">
      <w:pPr>
        <w:rPr>
          <w:lang w:val="en-IN"/>
        </w:rPr>
      </w:pPr>
      <w:proofErr w:type="spellStart"/>
      <w:r w:rsidRPr="00A80A92">
        <w:rPr>
          <w:lang w:val="en-IN"/>
        </w:rPr>
        <w:t>Astar</w:t>
      </w:r>
      <w:proofErr w:type="spellEnd"/>
      <w:r w:rsidRPr="00A80A92">
        <w:rPr>
          <w:lang w:val="en-IN"/>
        </w:rPr>
        <w:t xml:space="preserve"> Care Services, 2025. </w:t>
      </w:r>
      <w:r w:rsidRPr="00A80A92">
        <w:rPr>
          <w:i/>
          <w:iCs/>
          <w:lang w:val="en-IN"/>
        </w:rPr>
        <w:t>How Many Elderly People Live in Care Homes?</w:t>
      </w:r>
      <w:r w:rsidRPr="00A80A92">
        <w:rPr>
          <w:lang w:val="en-IN"/>
        </w:rPr>
        <w:t xml:space="preserve"> Available at: https://astarcareservices.co.uk/how-many-elderly-people-live-in-care/ (Accessed: 7 July 2026)</w:t>
      </w:r>
    </w:p>
    <w:p w14:paraId="126E288B" w14:textId="77777777" w:rsidR="00A80A92" w:rsidRPr="00A80A92" w:rsidRDefault="00A80A92" w:rsidP="00A80A92">
      <w:pPr>
        <w:rPr>
          <w:lang w:val="en-IN"/>
        </w:rPr>
      </w:pPr>
      <w:r w:rsidRPr="00A80A92">
        <w:rPr>
          <w:lang w:val="pt-BR"/>
        </w:rPr>
        <w:t xml:space="preserve">Barbaccia, V., Bravi, L., Murmura, F., Savelli, E. and Viganò, E., 2022. </w:t>
      </w:r>
      <w:r w:rsidRPr="00A80A92">
        <w:rPr>
          <w:lang w:val="en-IN"/>
        </w:rPr>
        <w:t xml:space="preserve">Mature and older adults’ perception of active ageing and the need for supporting services: Insights from a qualitative study. </w:t>
      </w:r>
      <w:r w:rsidRPr="00A80A92">
        <w:rPr>
          <w:i/>
          <w:iCs/>
          <w:lang w:val="en-IN"/>
        </w:rPr>
        <w:t>International Journal of Environmental Research and Public Health</w:t>
      </w:r>
      <w:r w:rsidRPr="00A80A92">
        <w:rPr>
          <w:lang w:val="en-IN"/>
        </w:rPr>
        <w:t xml:space="preserve">, </w:t>
      </w:r>
      <w:r w:rsidRPr="00A80A92">
        <w:rPr>
          <w:i/>
          <w:iCs/>
          <w:lang w:val="en-IN"/>
        </w:rPr>
        <w:t>19</w:t>
      </w:r>
      <w:r w:rsidRPr="00A80A92">
        <w:rPr>
          <w:lang w:val="en-IN"/>
        </w:rPr>
        <w:t>(13), p.7660.</w:t>
      </w:r>
    </w:p>
    <w:p w14:paraId="271613B8" w14:textId="77777777" w:rsidR="00A80A92" w:rsidRPr="00A80A92" w:rsidRDefault="00A80A92" w:rsidP="00A80A92">
      <w:pPr>
        <w:rPr>
          <w:lang w:val="en-IN"/>
        </w:rPr>
      </w:pPr>
      <w:r w:rsidRPr="00A80A92">
        <w:rPr>
          <w:lang w:val="en-IN"/>
        </w:rPr>
        <w:t>Brown, R., Barber, P., Allen, N. and Martin, D., 2024. The Mental Capacity Act 2005: A Guide for Practice.</w:t>
      </w:r>
    </w:p>
    <w:p w14:paraId="14FF4EAA" w14:textId="77777777" w:rsidR="00A80A92" w:rsidRPr="00A80A92" w:rsidRDefault="00A80A92" w:rsidP="00A80A92">
      <w:pPr>
        <w:rPr>
          <w:lang w:val="en-IN"/>
        </w:rPr>
      </w:pPr>
      <w:r w:rsidRPr="00A80A92">
        <w:rPr>
          <w:lang w:val="en-IN"/>
        </w:rPr>
        <w:t xml:space="preserve">CQC, 2025. </w:t>
      </w:r>
      <w:r w:rsidRPr="00A80A92">
        <w:rPr>
          <w:i/>
          <w:iCs/>
          <w:lang w:val="en-IN"/>
        </w:rPr>
        <w:t>The state of health care and adult social care in England</w:t>
      </w:r>
      <w:r w:rsidRPr="00A80A92">
        <w:rPr>
          <w:lang w:val="en-IN"/>
        </w:rPr>
        <w:t>. Available at: https://www.cqc.org.uk/publications/major-report/state-care/2024-2025/summary (Accessed: 7 July 2026)</w:t>
      </w:r>
    </w:p>
    <w:p w14:paraId="21799AEA" w14:textId="77777777" w:rsidR="00A80A92" w:rsidRPr="00A80A92" w:rsidRDefault="00A80A92" w:rsidP="00A80A92">
      <w:pPr>
        <w:rPr>
          <w:lang w:val="en-IN"/>
        </w:rPr>
      </w:pPr>
      <w:r w:rsidRPr="00A80A92">
        <w:rPr>
          <w:lang w:val="en-IN"/>
        </w:rPr>
        <w:t xml:space="preserve">Czuryk, M., 2022. Restrictions on the exercising of human and civil rights and freedoms due to cybersecurity issues. </w:t>
      </w:r>
      <w:r w:rsidRPr="00A80A92">
        <w:rPr>
          <w:i/>
          <w:iCs/>
          <w:lang w:val="en-IN"/>
        </w:rPr>
        <w:t xml:space="preserve">Studia </w:t>
      </w:r>
      <w:proofErr w:type="spellStart"/>
      <w:r w:rsidRPr="00A80A92">
        <w:rPr>
          <w:i/>
          <w:iCs/>
          <w:lang w:val="en-IN"/>
        </w:rPr>
        <w:t>Iuridica</w:t>
      </w:r>
      <w:proofErr w:type="spellEnd"/>
      <w:r w:rsidRPr="00A80A92">
        <w:rPr>
          <w:i/>
          <w:iCs/>
          <w:lang w:val="en-IN"/>
        </w:rPr>
        <w:t xml:space="preserve"> </w:t>
      </w:r>
      <w:proofErr w:type="spellStart"/>
      <w:r w:rsidRPr="00A80A92">
        <w:rPr>
          <w:i/>
          <w:iCs/>
          <w:lang w:val="en-IN"/>
        </w:rPr>
        <w:t>Lublinensia</w:t>
      </w:r>
      <w:proofErr w:type="spellEnd"/>
      <w:r w:rsidRPr="00A80A92">
        <w:rPr>
          <w:lang w:val="en-IN"/>
        </w:rPr>
        <w:t xml:space="preserve">, </w:t>
      </w:r>
      <w:r w:rsidRPr="00A80A92">
        <w:rPr>
          <w:i/>
          <w:iCs/>
          <w:lang w:val="en-IN"/>
        </w:rPr>
        <w:t>31</w:t>
      </w:r>
      <w:r w:rsidRPr="00A80A92">
        <w:rPr>
          <w:lang w:val="en-IN"/>
        </w:rPr>
        <w:t>(3), pp.31-43.</w:t>
      </w:r>
    </w:p>
    <w:p w14:paraId="5138BD9A" w14:textId="77777777" w:rsidR="00A80A92" w:rsidRPr="00A80A92" w:rsidRDefault="00A80A92" w:rsidP="00A80A92">
      <w:pPr>
        <w:rPr>
          <w:lang w:val="en-IN"/>
        </w:rPr>
      </w:pPr>
      <w:r w:rsidRPr="00A80A92">
        <w:rPr>
          <w:lang w:val="en-IN"/>
        </w:rPr>
        <w:t xml:space="preserve">Evans, P., Vansteenkiste, M., Parker, P., Kingsford-Smith, A. and Zhou, S., 2024. Cognitive load theory and its relationships with motivation: A self-determination theory perspective. </w:t>
      </w:r>
      <w:r w:rsidRPr="00A80A92">
        <w:rPr>
          <w:i/>
          <w:iCs/>
          <w:lang w:val="en-IN"/>
        </w:rPr>
        <w:t>Educational Psychology Review</w:t>
      </w:r>
      <w:r w:rsidRPr="00A80A92">
        <w:rPr>
          <w:lang w:val="en-IN"/>
        </w:rPr>
        <w:t xml:space="preserve">, </w:t>
      </w:r>
      <w:r w:rsidRPr="00A80A92">
        <w:rPr>
          <w:i/>
          <w:iCs/>
          <w:lang w:val="en-IN"/>
        </w:rPr>
        <w:t>36</w:t>
      </w:r>
      <w:r w:rsidRPr="00A80A92">
        <w:rPr>
          <w:lang w:val="en-IN"/>
        </w:rPr>
        <w:t>(1), p.7.</w:t>
      </w:r>
    </w:p>
    <w:p w14:paraId="08CE9870" w14:textId="77777777" w:rsidR="00A80A92" w:rsidRPr="00A80A92" w:rsidRDefault="00A80A92" w:rsidP="00A80A92">
      <w:pPr>
        <w:rPr>
          <w:lang w:val="en-IN"/>
        </w:rPr>
      </w:pPr>
      <w:r w:rsidRPr="00A80A92">
        <w:rPr>
          <w:lang w:val="en-IN"/>
        </w:rPr>
        <w:t xml:space="preserve">Every Life Technologies, 2025. </w:t>
      </w:r>
      <w:r w:rsidRPr="00A80A92">
        <w:rPr>
          <w:i/>
          <w:iCs/>
          <w:lang w:val="en-IN"/>
        </w:rPr>
        <w:t>Social care statistics 2026</w:t>
      </w:r>
      <w:r w:rsidRPr="00A80A92">
        <w:rPr>
          <w:lang w:val="en-IN"/>
        </w:rPr>
        <w:t>. Available at: https://www.everylifetechnologies.com/content-hub/social-care-statistics/ (Accessed: 5 July 2026)</w:t>
      </w:r>
    </w:p>
    <w:p w14:paraId="78BAABD8" w14:textId="77777777" w:rsidR="00A80A92" w:rsidRPr="00A80A92" w:rsidRDefault="00A80A92" w:rsidP="00A80A92">
      <w:pPr>
        <w:rPr>
          <w:lang w:val="en-IN"/>
        </w:rPr>
      </w:pPr>
      <w:r w:rsidRPr="00A80A92">
        <w:rPr>
          <w:lang w:val="en-IN"/>
        </w:rPr>
        <w:t xml:space="preserve">Gagné, M., Parker, S.K., Griffin, M.A., Dunlop, P.D., Knight, C., </w:t>
      </w:r>
      <w:proofErr w:type="spellStart"/>
      <w:r w:rsidRPr="00A80A92">
        <w:rPr>
          <w:lang w:val="en-IN"/>
        </w:rPr>
        <w:t>Klonek</w:t>
      </w:r>
      <w:proofErr w:type="spellEnd"/>
      <w:r w:rsidRPr="00A80A92">
        <w:rPr>
          <w:lang w:val="en-IN"/>
        </w:rPr>
        <w:t xml:space="preserve">, F.E. and Parent-Rocheleau, X., 2022. Understanding and shaping the future of work with self-determination theory. </w:t>
      </w:r>
      <w:r w:rsidRPr="00A80A92">
        <w:rPr>
          <w:i/>
          <w:iCs/>
          <w:lang w:val="en-IN"/>
        </w:rPr>
        <w:t>Nature reviews psychology</w:t>
      </w:r>
      <w:r w:rsidRPr="00A80A92">
        <w:rPr>
          <w:lang w:val="en-IN"/>
        </w:rPr>
        <w:t xml:space="preserve">, </w:t>
      </w:r>
      <w:r w:rsidRPr="00A80A92">
        <w:rPr>
          <w:i/>
          <w:iCs/>
          <w:lang w:val="en-IN"/>
        </w:rPr>
        <w:t>1</w:t>
      </w:r>
      <w:r w:rsidRPr="00A80A92">
        <w:rPr>
          <w:lang w:val="en-IN"/>
        </w:rPr>
        <w:t>(7), pp.378-392.</w:t>
      </w:r>
    </w:p>
    <w:p w14:paraId="2C5F6F49" w14:textId="77777777" w:rsidR="00A80A92" w:rsidRPr="00A80A92" w:rsidRDefault="00A80A92" w:rsidP="00A80A92">
      <w:pPr>
        <w:rPr>
          <w:lang w:val="en-IN"/>
        </w:rPr>
      </w:pPr>
      <w:r w:rsidRPr="00A80A92">
        <w:rPr>
          <w:lang w:val="en-IN"/>
        </w:rPr>
        <w:lastRenderedPageBreak/>
        <w:t xml:space="preserve">Guedes, J. and Melo, S., 2022. Continuity theory. In </w:t>
      </w:r>
      <w:proofErr w:type="spellStart"/>
      <w:r w:rsidRPr="00A80A92">
        <w:rPr>
          <w:i/>
          <w:iCs/>
          <w:lang w:val="en-IN"/>
        </w:rPr>
        <w:t>Encyclopedia</w:t>
      </w:r>
      <w:proofErr w:type="spellEnd"/>
      <w:r w:rsidRPr="00A80A92">
        <w:rPr>
          <w:i/>
          <w:iCs/>
          <w:lang w:val="en-IN"/>
        </w:rPr>
        <w:t xml:space="preserve"> of gerontology and population aging</w:t>
      </w:r>
      <w:r w:rsidRPr="00A80A92">
        <w:rPr>
          <w:lang w:val="en-IN"/>
        </w:rPr>
        <w:t xml:space="preserve"> (pp. 1170-1180). Cham: Springer International Publishing.</w:t>
      </w:r>
    </w:p>
    <w:p w14:paraId="643D1A0F" w14:textId="77777777" w:rsidR="00A80A92" w:rsidRPr="00A80A92" w:rsidRDefault="00A80A92" w:rsidP="00A80A92">
      <w:pPr>
        <w:rPr>
          <w:lang w:val="en-IN"/>
        </w:rPr>
      </w:pPr>
      <w:r w:rsidRPr="00A80A92">
        <w:rPr>
          <w:lang w:val="en-IN"/>
        </w:rPr>
        <w:t xml:space="preserve">Han, Y., Xing, F., Huang, J. and Wang, M., 2023. Associated factors of health-promoting lifestyle of the elderly based on the theory of social ecosystem. </w:t>
      </w:r>
      <w:proofErr w:type="spellStart"/>
      <w:r w:rsidRPr="00A80A92">
        <w:rPr>
          <w:i/>
          <w:iCs/>
          <w:lang w:val="en-IN"/>
        </w:rPr>
        <w:t>Atención</w:t>
      </w:r>
      <w:proofErr w:type="spellEnd"/>
      <w:r w:rsidRPr="00A80A92">
        <w:rPr>
          <w:i/>
          <w:iCs/>
          <w:lang w:val="en-IN"/>
        </w:rPr>
        <w:t xml:space="preserve"> Primaria</w:t>
      </w:r>
      <w:r w:rsidRPr="00A80A92">
        <w:rPr>
          <w:lang w:val="en-IN"/>
        </w:rPr>
        <w:t xml:space="preserve">, </w:t>
      </w:r>
      <w:r w:rsidRPr="00A80A92">
        <w:rPr>
          <w:i/>
          <w:iCs/>
          <w:lang w:val="en-IN"/>
        </w:rPr>
        <w:t>55</w:t>
      </w:r>
      <w:r w:rsidRPr="00A80A92">
        <w:rPr>
          <w:lang w:val="en-IN"/>
        </w:rPr>
        <w:t>(9), p.102679.</w:t>
      </w:r>
    </w:p>
    <w:p w14:paraId="171DA9C9" w14:textId="77777777" w:rsidR="00A80A92" w:rsidRPr="00A80A92" w:rsidRDefault="00A80A92" w:rsidP="00A80A92">
      <w:pPr>
        <w:rPr>
          <w:lang w:val="en-IN"/>
        </w:rPr>
      </w:pPr>
      <w:r w:rsidRPr="00A80A92">
        <w:rPr>
          <w:lang w:val="en-IN"/>
        </w:rPr>
        <w:t xml:space="preserve">Kahl, J., de Klerk, S. and Whiteoak, J., 2023. Managing empowerment: adjusting organisational units' autonomy to achieve corporate agility. </w:t>
      </w:r>
      <w:r w:rsidRPr="00A80A92">
        <w:rPr>
          <w:i/>
          <w:iCs/>
          <w:lang w:val="en-IN"/>
        </w:rPr>
        <w:t>Journal of Organizational Effectiveness: People and Performance</w:t>
      </w:r>
      <w:r w:rsidRPr="00A80A92">
        <w:rPr>
          <w:lang w:val="en-IN"/>
        </w:rPr>
        <w:t xml:space="preserve">, </w:t>
      </w:r>
      <w:r w:rsidRPr="00A80A92">
        <w:rPr>
          <w:i/>
          <w:iCs/>
          <w:lang w:val="en-IN"/>
        </w:rPr>
        <w:t>10</w:t>
      </w:r>
      <w:r w:rsidRPr="00A80A92">
        <w:rPr>
          <w:lang w:val="en-IN"/>
        </w:rPr>
        <w:t>(4), pp.527-545.</w:t>
      </w:r>
    </w:p>
    <w:p w14:paraId="680752EB" w14:textId="77777777" w:rsidR="00A80A92" w:rsidRPr="00A80A92" w:rsidRDefault="00A80A92" w:rsidP="00A80A92">
      <w:pPr>
        <w:rPr>
          <w:lang w:val="en-IN"/>
        </w:rPr>
      </w:pPr>
      <w:r w:rsidRPr="00A80A92">
        <w:rPr>
          <w:lang w:val="en-IN"/>
        </w:rPr>
        <w:t xml:space="preserve">Oliver, T.H., Doherty, B., </w:t>
      </w:r>
      <w:proofErr w:type="spellStart"/>
      <w:r w:rsidRPr="00A80A92">
        <w:rPr>
          <w:lang w:val="en-IN"/>
        </w:rPr>
        <w:t>Dornelles</w:t>
      </w:r>
      <w:proofErr w:type="spellEnd"/>
      <w:r w:rsidRPr="00A80A92">
        <w:rPr>
          <w:lang w:val="en-IN"/>
        </w:rPr>
        <w:t xml:space="preserve">, A., Gilbert, N., Greenwell, M.P., Harrison, L.J., Jones, I.M., Lewis, A.C., Moller, S.J., Pilley, V.J. and Tovey, P., 2022. A safe and just operating space for human identity: a systems perspective. </w:t>
      </w:r>
      <w:r w:rsidRPr="00A80A92">
        <w:rPr>
          <w:i/>
          <w:iCs/>
          <w:lang w:val="en-IN"/>
        </w:rPr>
        <w:t>The Lancet Planetary Health</w:t>
      </w:r>
      <w:r w:rsidRPr="00A80A92">
        <w:rPr>
          <w:lang w:val="en-IN"/>
        </w:rPr>
        <w:t xml:space="preserve">, </w:t>
      </w:r>
      <w:r w:rsidRPr="00A80A92">
        <w:rPr>
          <w:i/>
          <w:iCs/>
          <w:lang w:val="en-IN"/>
        </w:rPr>
        <w:t>6</w:t>
      </w:r>
      <w:r w:rsidRPr="00A80A92">
        <w:rPr>
          <w:lang w:val="en-IN"/>
        </w:rPr>
        <w:t xml:space="preserve">(11), </w:t>
      </w:r>
      <w:proofErr w:type="gramStart"/>
      <w:r w:rsidRPr="00A80A92">
        <w:rPr>
          <w:lang w:val="en-IN"/>
        </w:rPr>
        <w:t>pp.e</w:t>
      </w:r>
      <w:proofErr w:type="gramEnd"/>
      <w:r w:rsidRPr="00A80A92">
        <w:rPr>
          <w:lang w:val="en-IN"/>
        </w:rPr>
        <w:t>919-e927.</w:t>
      </w:r>
    </w:p>
    <w:p w14:paraId="7C04E579" w14:textId="77777777" w:rsidR="00A80A92" w:rsidRPr="00A80A92" w:rsidRDefault="00A80A92" w:rsidP="00A80A92">
      <w:pPr>
        <w:rPr>
          <w:lang w:val="en-IN"/>
        </w:rPr>
      </w:pPr>
      <w:r w:rsidRPr="00A80A92">
        <w:rPr>
          <w:lang w:val="en-IN"/>
        </w:rPr>
        <w:t xml:space="preserve">Rawson, H., Davies, S., </w:t>
      </w:r>
      <w:proofErr w:type="spellStart"/>
      <w:r w:rsidRPr="00A80A92">
        <w:rPr>
          <w:lang w:val="en-IN"/>
        </w:rPr>
        <w:t>Ockerby</w:t>
      </w:r>
      <w:proofErr w:type="spellEnd"/>
      <w:r w:rsidRPr="00A80A92">
        <w:rPr>
          <w:lang w:val="en-IN"/>
        </w:rPr>
        <w:t xml:space="preserve">, C., Pipson, R., Peters, R., Manias, E. and Redley, B., 2024. Work engagement, psychological empowerment and relational coordination in long‐term care: A mixed‐method examination of nurses' perceptions and experiences. </w:t>
      </w:r>
      <w:r w:rsidRPr="00A80A92">
        <w:rPr>
          <w:i/>
          <w:iCs/>
          <w:lang w:val="en-IN"/>
        </w:rPr>
        <w:t>Nursing inquiry</w:t>
      </w:r>
      <w:r w:rsidRPr="00A80A92">
        <w:rPr>
          <w:lang w:val="en-IN"/>
        </w:rPr>
        <w:t xml:space="preserve">, </w:t>
      </w:r>
      <w:r w:rsidRPr="00A80A92">
        <w:rPr>
          <w:i/>
          <w:iCs/>
          <w:lang w:val="en-IN"/>
        </w:rPr>
        <w:t>31</w:t>
      </w:r>
      <w:r w:rsidRPr="00A80A92">
        <w:rPr>
          <w:lang w:val="en-IN"/>
        </w:rPr>
        <w:t>(2), p.e12598.</w:t>
      </w:r>
    </w:p>
    <w:p w14:paraId="62E44692" w14:textId="77777777" w:rsidR="00A80A92" w:rsidRPr="00A80A92" w:rsidRDefault="00A80A92" w:rsidP="00A80A92">
      <w:pPr>
        <w:rPr>
          <w:lang w:val="en-IN"/>
        </w:rPr>
      </w:pPr>
      <w:r w:rsidRPr="00A80A92">
        <w:rPr>
          <w:lang w:val="en-IN"/>
        </w:rPr>
        <w:t xml:space="preserve">Rojas, M., Méndez, A. and Watkins-Fassler, K., 2023. The hierarchy of needs empirical examination of Maslow’s theory and lessons for development. </w:t>
      </w:r>
      <w:r w:rsidRPr="00A80A92">
        <w:rPr>
          <w:i/>
          <w:iCs/>
          <w:lang w:val="en-IN"/>
        </w:rPr>
        <w:t>World Development</w:t>
      </w:r>
      <w:r w:rsidRPr="00A80A92">
        <w:rPr>
          <w:lang w:val="en-IN"/>
        </w:rPr>
        <w:t xml:space="preserve">, </w:t>
      </w:r>
      <w:r w:rsidRPr="00A80A92">
        <w:rPr>
          <w:i/>
          <w:iCs/>
          <w:lang w:val="en-IN"/>
        </w:rPr>
        <w:t>165</w:t>
      </w:r>
      <w:r w:rsidRPr="00A80A92">
        <w:rPr>
          <w:lang w:val="en-IN"/>
        </w:rPr>
        <w:t>, p.106185.</w:t>
      </w:r>
    </w:p>
    <w:p w14:paraId="6A74335E" w14:textId="77777777" w:rsidR="00A80A92" w:rsidRPr="00A80A92" w:rsidRDefault="00A80A92" w:rsidP="00A80A92">
      <w:pPr>
        <w:rPr>
          <w:lang w:val="en-IN"/>
        </w:rPr>
      </w:pPr>
      <w:proofErr w:type="spellStart"/>
      <w:r w:rsidRPr="00A80A92">
        <w:rPr>
          <w:lang w:val="en-IN"/>
        </w:rPr>
        <w:t>Roos</w:t>
      </w:r>
      <w:proofErr w:type="spellEnd"/>
      <w:r w:rsidRPr="00A80A92">
        <w:rPr>
          <w:lang w:val="en-IN"/>
        </w:rPr>
        <w:t xml:space="preserve">, C., Swall, A., </w:t>
      </w:r>
      <w:proofErr w:type="spellStart"/>
      <w:r w:rsidRPr="00A80A92">
        <w:rPr>
          <w:lang w:val="en-IN"/>
        </w:rPr>
        <w:t>Marmstål</w:t>
      </w:r>
      <w:proofErr w:type="spellEnd"/>
      <w:r w:rsidRPr="00A80A92">
        <w:rPr>
          <w:lang w:val="en-IN"/>
        </w:rPr>
        <w:t xml:space="preserve"> Hammar, L., Boström, A.M. and Skytt, B., 2023. Promoting the person-centred aspects of dignity and well-being: learning from older persons’ experiences of living in residential care facilities. </w:t>
      </w:r>
      <w:r w:rsidRPr="00A80A92">
        <w:rPr>
          <w:i/>
          <w:iCs/>
          <w:lang w:val="en-IN"/>
        </w:rPr>
        <w:t>Working with Older People</w:t>
      </w:r>
      <w:r w:rsidRPr="00A80A92">
        <w:rPr>
          <w:lang w:val="en-IN"/>
        </w:rPr>
        <w:t xml:space="preserve">, </w:t>
      </w:r>
      <w:r w:rsidRPr="00A80A92">
        <w:rPr>
          <w:i/>
          <w:iCs/>
          <w:lang w:val="en-IN"/>
        </w:rPr>
        <w:t>27</w:t>
      </w:r>
      <w:r w:rsidRPr="00A80A92">
        <w:rPr>
          <w:lang w:val="en-IN"/>
        </w:rPr>
        <w:t>(3), pp.219-229.</w:t>
      </w:r>
    </w:p>
    <w:p w14:paraId="06E37F4F" w14:textId="77777777" w:rsidR="00A80A92" w:rsidRPr="00A80A92" w:rsidRDefault="00A80A92" w:rsidP="00A80A92">
      <w:pPr>
        <w:rPr>
          <w:lang w:val="en-IN"/>
        </w:rPr>
      </w:pPr>
      <w:r w:rsidRPr="00A80A92">
        <w:rPr>
          <w:lang w:val="en-IN"/>
        </w:rPr>
        <w:t xml:space="preserve">Rosen, B.M., 2023. Supported decision-making and merciful health care access: Respecting autonomy at end of life for individuals with cognitive disabilities. </w:t>
      </w:r>
      <w:r w:rsidRPr="00A80A92">
        <w:rPr>
          <w:i/>
          <w:iCs/>
          <w:lang w:val="en-IN"/>
        </w:rPr>
        <w:t>Washington and Lee Law Review</w:t>
      </w:r>
      <w:r w:rsidRPr="00A80A92">
        <w:rPr>
          <w:lang w:val="en-IN"/>
        </w:rPr>
        <w:t xml:space="preserve">, </w:t>
      </w:r>
      <w:r w:rsidRPr="00A80A92">
        <w:rPr>
          <w:i/>
          <w:iCs/>
          <w:lang w:val="en-IN"/>
        </w:rPr>
        <w:t>80</w:t>
      </w:r>
      <w:r w:rsidRPr="00A80A92">
        <w:rPr>
          <w:lang w:val="en-IN"/>
        </w:rPr>
        <w:t>(1), p.555.</w:t>
      </w:r>
    </w:p>
    <w:p w14:paraId="6097AB3A" w14:textId="77777777" w:rsidR="00A80A92" w:rsidRPr="00A80A92" w:rsidRDefault="00A80A92" w:rsidP="00A80A92">
      <w:pPr>
        <w:rPr>
          <w:lang w:val="en-IN"/>
        </w:rPr>
      </w:pPr>
      <w:r w:rsidRPr="00A80A92">
        <w:rPr>
          <w:lang w:val="en-IN"/>
        </w:rPr>
        <w:t xml:space="preserve">Sankar, A., Cassady, C.M. and Cassady, C., 2024. </w:t>
      </w:r>
      <w:r w:rsidRPr="00A80A92">
        <w:rPr>
          <w:i/>
          <w:iCs/>
          <w:lang w:val="en-IN"/>
        </w:rPr>
        <w:t>Dying at home: A family guide for caregiving</w:t>
      </w:r>
      <w:r w:rsidRPr="00A80A92">
        <w:rPr>
          <w:lang w:val="en-IN"/>
        </w:rPr>
        <w:t>. JHU Press.</w:t>
      </w:r>
    </w:p>
    <w:p w14:paraId="3590AC62" w14:textId="77777777" w:rsidR="00A80A92" w:rsidRPr="00A80A92" w:rsidRDefault="00A80A92" w:rsidP="00A80A92">
      <w:pPr>
        <w:rPr>
          <w:lang w:val="en-IN"/>
        </w:rPr>
      </w:pPr>
      <w:r w:rsidRPr="00A80A92">
        <w:rPr>
          <w:lang w:val="en-IN"/>
        </w:rPr>
        <w:t xml:space="preserve">Whitehead, P.J., Rooney, L., Adams-Thomas, J., Greenup, M., Raffle, A., Southall, C., Whittington, S. and Rapley, T., 2025. ‘Mum feels that the decision has already been made’: </w:t>
      </w:r>
      <w:r w:rsidRPr="00A80A92">
        <w:rPr>
          <w:lang w:val="en-IN"/>
        </w:rPr>
        <w:lastRenderedPageBreak/>
        <w:t xml:space="preserve">From shared decision-making to negotiated compromise in Adult Social Care. </w:t>
      </w:r>
      <w:r w:rsidRPr="00A80A92">
        <w:rPr>
          <w:i/>
          <w:iCs/>
          <w:lang w:val="en-IN"/>
        </w:rPr>
        <w:t>Social Science &amp; Medicine</w:t>
      </w:r>
      <w:r w:rsidRPr="00A80A92">
        <w:rPr>
          <w:lang w:val="en-IN"/>
        </w:rPr>
        <w:t>, p.118627.</w:t>
      </w:r>
    </w:p>
    <w:p w14:paraId="10DB73A4" w14:textId="6CF2197D" w:rsidR="00586318" w:rsidRPr="00A80A92" w:rsidRDefault="00586318" w:rsidP="00A80A92"/>
    <w:sectPr w:rsidR="00586318" w:rsidRPr="00A80A9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A7383" w14:textId="77777777" w:rsidR="001317A0" w:rsidRDefault="001317A0" w:rsidP="00312F67">
      <w:pPr>
        <w:spacing w:after="0" w:line="240" w:lineRule="auto"/>
      </w:pPr>
      <w:r>
        <w:separator/>
      </w:r>
    </w:p>
  </w:endnote>
  <w:endnote w:type="continuationSeparator" w:id="0">
    <w:p w14:paraId="4F13EFA2" w14:textId="77777777" w:rsidR="001317A0" w:rsidRDefault="001317A0" w:rsidP="00312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932632-E111-44CB-BA8F-21800498A7C8}"/>
  </w:font>
  <w:font w:name="Cambria">
    <w:panose1 w:val="02040503050406030204"/>
    <w:charset w:val="00"/>
    <w:family w:val="roman"/>
    <w:pitch w:val="variable"/>
    <w:sig w:usb0="E00006FF" w:usb1="420024FF" w:usb2="02000000" w:usb3="00000000" w:csb0="0000019F" w:csb1="00000000"/>
    <w:embedRegular r:id="rId2" w:fontKey="{1984384B-26E2-4F35-8746-1C265A29A9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7FAF1" w14:textId="77777777" w:rsidR="001317A0" w:rsidRDefault="001317A0" w:rsidP="00312F67">
      <w:pPr>
        <w:spacing w:after="0" w:line="240" w:lineRule="auto"/>
      </w:pPr>
      <w:r>
        <w:separator/>
      </w:r>
    </w:p>
  </w:footnote>
  <w:footnote w:type="continuationSeparator" w:id="0">
    <w:p w14:paraId="4D3F329E" w14:textId="77777777" w:rsidR="001317A0" w:rsidRDefault="001317A0" w:rsidP="00312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A6478"/>
    <w:multiLevelType w:val="hybridMultilevel"/>
    <w:tmpl w:val="3FFCFE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9100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D3F"/>
    <w:rsid w:val="00010B1C"/>
    <w:rsid w:val="00024923"/>
    <w:rsid w:val="000801D9"/>
    <w:rsid w:val="00080D97"/>
    <w:rsid w:val="000815ED"/>
    <w:rsid w:val="001317A0"/>
    <w:rsid w:val="00140D75"/>
    <w:rsid w:val="001E55AB"/>
    <w:rsid w:val="002001F1"/>
    <w:rsid w:val="002243A5"/>
    <w:rsid w:val="00274CF1"/>
    <w:rsid w:val="002779A3"/>
    <w:rsid w:val="002A13F6"/>
    <w:rsid w:val="002B1441"/>
    <w:rsid w:val="002F64B8"/>
    <w:rsid w:val="00300094"/>
    <w:rsid w:val="00312F67"/>
    <w:rsid w:val="003413D1"/>
    <w:rsid w:val="00450248"/>
    <w:rsid w:val="00483406"/>
    <w:rsid w:val="004875A0"/>
    <w:rsid w:val="004F413C"/>
    <w:rsid w:val="00573807"/>
    <w:rsid w:val="00586318"/>
    <w:rsid w:val="00590046"/>
    <w:rsid w:val="005D4B76"/>
    <w:rsid w:val="006608FB"/>
    <w:rsid w:val="006F11FE"/>
    <w:rsid w:val="007658F4"/>
    <w:rsid w:val="00797D72"/>
    <w:rsid w:val="007D41AE"/>
    <w:rsid w:val="007F2D3F"/>
    <w:rsid w:val="007F47F0"/>
    <w:rsid w:val="00843AB4"/>
    <w:rsid w:val="00853500"/>
    <w:rsid w:val="008C5753"/>
    <w:rsid w:val="008E5A06"/>
    <w:rsid w:val="009103B1"/>
    <w:rsid w:val="00954BEF"/>
    <w:rsid w:val="009735B7"/>
    <w:rsid w:val="009A0DE0"/>
    <w:rsid w:val="00A23FFC"/>
    <w:rsid w:val="00A330DE"/>
    <w:rsid w:val="00A80A92"/>
    <w:rsid w:val="00A829B2"/>
    <w:rsid w:val="00A906E4"/>
    <w:rsid w:val="00AD32E7"/>
    <w:rsid w:val="00AF09B0"/>
    <w:rsid w:val="00B14C4B"/>
    <w:rsid w:val="00B810B8"/>
    <w:rsid w:val="00CB69B1"/>
    <w:rsid w:val="00D22AF2"/>
    <w:rsid w:val="00D83A8B"/>
    <w:rsid w:val="00DC689E"/>
    <w:rsid w:val="00E21AFF"/>
    <w:rsid w:val="00E2334D"/>
    <w:rsid w:val="00E35558"/>
    <w:rsid w:val="00EB2916"/>
    <w:rsid w:val="00ED09F1"/>
    <w:rsid w:val="00F057AC"/>
    <w:rsid w:val="00FB0C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6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10B1C"/>
    <w:pPr>
      <w:outlineLvl w:val="0"/>
    </w:pPr>
    <w:rPr>
      <w:b/>
      <w:bCs/>
      <w:sz w:val="28"/>
      <w:szCs w:val="28"/>
    </w:rPr>
  </w:style>
  <w:style w:type="paragraph" w:styleId="Heading2">
    <w:name w:val="heading 2"/>
    <w:basedOn w:val="Normal"/>
    <w:next w:val="Normal"/>
    <w:uiPriority w:val="9"/>
    <w:unhideWhenUsed/>
    <w:qFormat/>
    <w:rsid w:val="00010B1C"/>
    <w:pPr>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A829B2"/>
    <w:pPr>
      <w:ind w:left="720"/>
      <w:contextualSpacing/>
    </w:pPr>
  </w:style>
  <w:style w:type="paragraph" w:styleId="TOCHeading">
    <w:name w:val="TOC Heading"/>
    <w:basedOn w:val="Heading1"/>
    <w:next w:val="Normal"/>
    <w:uiPriority w:val="39"/>
    <w:unhideWhenUsed/>
    <w:qFormat/>
    <w:rsid w:val="00B14C4B"/>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14C4B"/>
    <w:pPr>
      <w:spacing w:after="100"/>
    </w:pPr>
  </w:style>
  <w:style w:type="paragraph" w:styleId="TOC2">
    <w:name w:val="toc 2"/>
    <w:basedOn w:val="Normal"/>
    <w:next w:val="Normal"/>
    <w:autoRedefine/>
    <w:uiPriority w:val="39"/>
    <w:unhideWhenUsed/>
    <w:rsid w:val="00B14C4B"/>
    <w:pPr>
      <w:spacing w:after="100"/>
      <w:ind w:left="240"/>
    </w:pPr>
  </w:style>
  <w:style w:type="character" w:styleId="Hyperlink">
    <w:name w:val="Hyperlink"/>
    <w:basedOn w:val="DefaultParagraphFont"/>
    <w:uiPriority w:val="99"/>
    <w:unhideWhenUsed/>
    <w:rsid w:val="00B14C4B"/>
    <w:rPr>
      <w:color w:val="0000FF" w:themeColor="hyperlink"/>
      <w:u w:val="single"/>
    </w:rPr>
  </w:style>
  <w:style w:type="paragraph" w:styleId="Header">
    <w:name w:val="header"/>
    <w:basedOn w:val="Normal"/>
    <w:link w:val="HeaderChar"/>
    <w:uiPriority w:val="99"/>
    <w:unhideWhenUsed/>
    <w:rsid w:val="00312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F67"/>
  </w:style>
  <w:style w:type="paragraph" w:styleId="Footer">
    <w:name w:val="footer"/>
    <w:basedOn w:val="Normal"/>
    <w:link w:val="FooterChar"/>
    <w:uiPriority w:val="99"/>
    <w:unhideWhenUsed/>
    <w:rsid w:val="00312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F67"/>
  </w:style>
  <w:style w:type="character" w:styleId="CommentReference">
    <w:name w:val="annotation reference"/>
    <w:basedOn w:val="DefaultParagraphFont"/>
    <w:uiPriority w:val="99"/>
    <w:semiHidden/>
    <w:unhideWhenUsed/>
    <w:rsid w:val="00DC689E"/>
    <w:rPr>
      <w:sz w:val="16"/>
      <w:szCs w:val="16"/>
    </w:rPr>
  </w:style>
  <w:style w:type="paragraph" w:styleId="CommentText">
    <w:name w:val="annotation text"/>
    <w:basedOn w:val="Normal"/>
    <w:link w:val="CommentTextChar"/>
    <w:uiPriority w:val="99"/>
    <w:unhideWhenUsed/>
    <w:rsid w:val="00DC689E"/>
    <w:pPr>
      <w:spacing w:line="240" w:lineRule="auto"/>
    </w:pPr>
    <w:rPr>
      <w:sz w:val="20"/>
      <w:szCs w:val="20"/>
    </w:rPr>
  </w:style>
  <w:style w:type="character" w:customStyle="1" w:styleId="CommentTextChar">
    <w:name w:val="Comment Text Char"/>
    <w:basedOn w:val="DefaultParagraphFont"/>
    <w:link w:val="CommentText"/>
    <w:uiPriority w:val="99"/>
    <w:rsid w:val="00DC689E"/>
    <w:rPr>
      <w:sz w:val="20"/>
      <w:szCs w:val="20"/>
    </w:rPr>
  </w:style>
  <w:style w:type="paragraph" w:styleId="CommentSubject">
    <w:name w:val="annotation subject"/>
    <w:basedOn w:val="CommentText"/>
    <w:next w:val="CommentText"/>
    <w:link w:val="CommentSubjectChar"/>
    <w:uiPriority w:val="99"/>
    <w:semiHidden/>
    <w:unhideWhenUsed/>
    <w:rsid w:val="00DC689E"/>
    <w:rPr>
      <w:b/>
      <w:bCs/>
    </w:rPr>
  </w:style>
  <w:style w:type="character" w:customStyle="1" w:styleId="CommentSubjectChar">
    <w:name w:val="Comment Subject Char"/>
    <w:basedOn w:val="CommentTextChar"/>
    <w:link w:val="CommentSubject"/>
    <w:uiPriority w:val="99"/>
    <w:semiHidden/>
    <w:rsid w:val="00DC68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798A5-3A83-400B-8DCE-9521AA1A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2775</Words>
  <Characters>15819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2026-07-10T08:38:00Z</dcterms:created>
  <dcterms:modified xsi:type="dcterms:W3CDTF">2026-07-10T08:46:00Z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d726d71e-3fb8-4bfe-b237-7e087a798d41</vt:lpwstr>
  </property>
</Properties>
</file>