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609007492"/>
        <w:docPartObj>
          <w:docPartGallery w:val="Cover Pages"/>
          <w:docPartUnique/>
        </w:docPartObj>
      </w:sdtPr>
      <w:sdtEndPr/>
      <w:sdtContent>
        <w:p w14:paraId="33AEDD85" w14:textId="436C8937" w:rsidR="00A71DAD" w:rsidRPr="00BD2FE5" w:rsidRDefault="00A71DAD" w:rsidP="00BD2FE5">
          <w:pPr>
            <w:spacing w:beforeLines="50" w:before="120" w:afterLines="200" w:after="480" w:line="480" w:lineRule="auto"/>
            <w:jc w:val="both"/>
            <w:rPr>
              <w:rFonts w:ascii="Arial" w:hAnsi="Arial" w:cs="Arial"/>
            </w:rPr>
          </w:pPr>
          <w:r w:rsidRPr="00BD2FE5">
            <w:rPr>
              <w:rFonts w:ascii="Arial" w:hAnsi="Arial" w:cs="Arial"/>
              <w:noProof/>
              <w:lang w:val="en-US" w:eastAsia="zh-CN"/>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1543753"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28C371A" w14:textId="673ECE47" w:rsidR="00A71DAD" w:rsidRPr="00BD2FE5" w:rsidRDefault="00405862" w:rsidP="00BD2FE5">
          <w:pPr>
            <w:spacing w:beforeLines="50" w:before="120" w:afterLines="200" w:after="480" w:line="480" w:lineRule="auto"/>
            <w:jc w:val="both"/>
            <w:rPr>
              <w:rFonts w:ascii="Arial" w:hAnsi="Arial" w:cs="Arial"/>
            </w:rPr>
          </w:pPr>
          <w:r w:rsidRPr="00BD2FE5">
            <w:rPr>
              <w:rFonts w:ascii="Arial" w:hAnsi="Arial" w:cs="Arial"/>
              <w:noProof/>
              <w:lang w:val="en-US" w:eastAsia="zh-CN"/>
            </w:rPr>
            <mc:AlternateContent>
              <mc:Choice Requires="wps">
                <w:drawing>
                  <wp:anchor distT="0" distB="0" distL="114300" distR="114300" simplePos="0" relativeHeight="251660288" behindDoc="0" locked="0" layoutInCell="1" allowOverlap="1" wp14:anchorId="77C48E80" wp14:editId="7BCA7B73">
                    <wp:simplePos x="0" y="0"/>
                    <wp:positionH relativeFrom="page">
                      <wp:posOffset>103505</wp:posOffset>
                    </wp:positionH>
                    <wp:positionV relativeFrom="margin">
                      <wp:posOffset>7155815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142BD0EA" w:rsidR="00A71DAD" w:rsidRPr="004C5647" w:rsidRDefault="00E5513F">
                                    <w:pPr>
                                      <w:pStyle w:val="a3"/>
                                      <w:jc w:val="right"/>
                                      <w:rPr>
                                        <w:rFonts w:ascii="Arial" w:hAnsi="Arial" w:cs="Arial"/>
                                        <w:color w:val="595959" w:themeColor="text1" w:themeTint="A6"/>
                                        <w:sz w:val="28"/>
                                        <w:szCs w:val="28"/>
                                      </w:rPr>
                                    </w:pPr>
                                    <w:r w:rsidRPr="00E5513F">
                                      <w:rPr>
                                        <w:rFonts w:ascii="Arial" w:hAnsi="Arial" w:cs="Arial"/>
                                        <w:color w:val="595959" w:themeColor="text1" w:themeTint="A6"/>
                                        <w:sz w:val="28"/>
                                        <w:szCs w:val="28"/>
                                      </w:rPr>
                                      <w:t xml:space="preserve">Jing </w:t>
                                    </w:r>
                                    <w:proofErr w:type="spellStart"/>
                                    <w:proofErr w:type="gramStart"/>
                                    <w:r w:rsidRPr="00E5513F">
                                      <w:rPr>
                                        <w:rFonts w:ascii="Arial" w:hAnsi="Arial" w:cs="Arial"/>
                                        <w:color w:val="595959" w:themeColor="text1" w:themeTint="A6"/>
                                        <w:sz w:val="28"/>
                                        <w:szCs w:val="28"/>
                                      </w:rPr>
                                      <w:t>Cai</w:t>
                                    </w:r>
                                    <w:proofErr w:type="spellEnd"/>
                                    <w:proofErr w:type="gramEnd"/>
                                    <w:r w:rsidRPr="00E5513F">
                                      <w:rPr>
                                        <w:rFonts w:ascii="Arial" w:hAnsi="Arial" w:cs="Arial"/>
                                        <w:color w:val="595959" w:themeColor="text1" w:themeTint="A6"/>
                                        <w:sz w:val="28"/>
                                        <w:szCs w:val="28"/>
                                      </w:rPr>
                                      <w:t xml:space="preserve"> (2200245)</w:t>
                                    </w:r>
                                  </w:p>
                                </w:sdtContent>
                              </w:sdt>
                              <w:p w14:paraId="3BC62CF0" w14:textId="4BCA4B04" w:rsidR="00A71DAD" w:rsidRDefault="00E5513F">
                                <w:pPr>
                                  <w:pStyle w:val="a3"/>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E5513F">
                                      <w:rPr>
                                        <w:rFonts w:ascii="Arial" w:hAnsi="Arial" w:cs="Arial"/>
                                        <w:color w:val="595959" w:themeColor="text1" w:themeTint="A6"/>
                                        <w:sz w:val="24"/>
                                        <w:szCs w:val="24"/>
                                      </w:rPr>
                                      <w:t>Strategic Management and Sustainability (BMBM6015)</w:t>
                                    </w:r>
                                  </w:sdtContent>
                                </w:sdt>
                              </w:p>
                              <w:p w14:paraId="71D87FC9" w14:textId="77777777" w:rsidR="00E5513F" w:rsidRPr="00E5513F" w:rsidRDefault="00E5513F" w:rsidP="00E5513F">
                                <w:pPr>
                                  <w:pStyle w:val="a3"/>
                                  <w:jc w:val="right"/>
                                  <w:rPr>
                                    <w:rFonts w:ascii="Arial" w:hAnsi="Arial" w:cs="Arial"/>
                                    <w:color w:val="595959" w:themeColor="text1" w:themeTint="A6"/>
                                    <w:sz w:val="24"/>
                                    <w:szCs w:val="24"/>
                                  </w:rPr>
                                </w:pPr>
                                <w:r w:rsidRPr="00E5513F">
                                  <w:rPr>
                                    <w:rFonts w:ascii="Arial" w:hAnsi="Arial" w:cs="Arial"/>
                                    <w:color w:val="595959" w:themeColor="text1" w:themeTint="A6"/>
                                    <w:sz w:val="24"/>
                                    <w:szCs w:val="24"/>
                                  </w:rPr>
                                  <w:t xml:space="preserve">Submitted to Mike </w:t>
                                </w:r>
                                <w:proofErr w:type="spellStart"/>
                                <w:r w:rsidRPr="00E5513F">
                                  <w:rPr>
                                    <w:rFonts w:ascii="Arial" w:hAnsi="Arial" w:cs="Arial"/>
                                    <w:color w:val="595959" w:themeColor="text1" w:themeTint="A6"/>
                                    <w:sz w:val="24"/>
                                    <w:szCs w:val="24"/>
                                  </w:rPr>
                                  <w:t>Durke</w:t>
                                </w:r>
                                <w:proofErr w:type="spellEnd"/>
                              </w:p>
                              <w:p w14:paraId="2AACBBBC" w14:textId="19AB3915" w:rsidR="00E5513F" w:rsidRPr="004C5647" w:rsidRDefault="00E5513F" w:rsidP="00E5513F">
                                <w:pPr>
                                  <w:pStyle w:val="a3"/>
                                  <w:jc w:val="right"/>
                                  <w:rPr>
                                    <w:rFonts w:ascii="Arial" w:hAnsi="Arial" w:cs="Arial"/>
                                    <w:color w:val="595959" w:themeColor="text1" w:themeTint="A6"/>
                                    <w:sz w:val="24"/>
                                    <w:szCs w:val="24"/>
                                  </w:rPr>
                                </w:pPr>
                                <w:r w:rsidRPr="00E5513F">
                                  <w:rPr>
                                    <w:rFonts w:ascii="Arial" w:hAnsi="Arial" w:cs="Arial"/>
                                    <w:color w:val="595959" w:themeColor="text1" w:themeTint="A6"/>
                                    <w:sz w:val="24"/>
                                    <w:szCs w:val="24"/>
                                  </w:rPr>
                                  <w:t>Due Date: 10.3.2023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left:0;text-align:left;margin-left:8.15pt;margin-top:563.45pt;width:8in;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margin;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AkeSV7jAAAADQEAAA8AAABkcnMvZG93bnJldi54bWxMj9FOwzAMRd+R+IfISLxMLGmRytY1nWDS&#10;hJCQppV9QNaENlrjlCZbC1+P9wRP9rWvro+L9eQ6djFDsB4lJHMBzGDttcVGwuFj+7AAFqJCrTqP&#10;RsK3CbAub28KlWs/4t5cqtgwCsGQKwltjH3Oeahb41SY+94g7T794FQkOTRcD2qkcNfxVIiMO2WR&#10;LrSqN5vW1Kfq7CS820nM3mY/1ebV7raDG/enr/RFyvu76XkFLJop/pnhik/oUBLT0Z9RB9aRzh7J&#10;STVJsyWwqyPJFjQ7Upc+iSXwsuD/vyh/AQAA//8DAFBLAQItABQABgAIAAAAIQC2gziS/gAAAOEB&#10;AAATAAAAAAAAAAAAAAAAAAAAAABbQ29udGVudF9UeXBlc10ueG1sUEsBAi0AFAAGAAgAAAAhADj9&#10;If/WAAAAlAEAAAsAAAAAAAAAAAAAAAAALwEAAF9yZWxzLy5yZWxzUEsBAi0AFAAGAAgAAAAhADyX&#10;chF/AgAAYQUAAA4AAAAAAAAAAAAAAAAALgIAAGRycy9lMm9Eb2MueG1sUEsBAi0AFAAGAAgAAAAh&#10;AAkeSV7jAAAADQEAAA8AAAAAAAAAAAAAAAAA2QQAAGRycy9kb3ducmV2LnhtbFBLBQYAAAAABAAE&#10;APMAAADp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142BD0EA" w:rsidR="00A71DAD" w:rsidRPr="004C5647" w:rsidRDefault="00E5513F">
                              <w:pPr>
                                <w:pStyle w:val="a3"/>
                                <w:jc w:val="right"/>
                                <w:rPr>
                                  <w:rFonts w:ascii="Arial" w:hAnsi="Arial" w:cs="Arial"/>
                                  <w:color w:val="595959" w:themeColor="text1" w:themeTint="A6"/>
                                  <w:sz w:val="28"/>
                                  <w:szCs w:val="28"/>
                                </w:rPr>
                              </w:pPr>
                              <w:r w:rsidRPr="00E5513F">
                                <w:rPr>
                                  <w:rFonts w:ascii="Arial" w:hAnsi="Arial" w:cs="Arial"/>
                                  <w:color w:val="595959" w:themeColor="text1" w:themeTint="A6"/>
                                  <w:sz w:val="28"/>
                                  <w:szCs w:val="28"/>
                                </w:rPr>
                                <w:t xml:space="preserve">Jing </w:t>
                              </w:r>
                              <w:proofErr w:type="spellStart"/>
                              <w:proofErr w:type="gramStart"/>
                              <w:r w:rsidRPr="00E5513F">
                                <w:rPr>
                                  <w:rFonts w:ascii="Arial" w:hAnsi="Arial" w:cs="Arial"/>
                                  <w:color w:val="595959" w:themeColor="text1" w:themeTint="A6"/>
                                  <w:sz w:val="28"/>
                                  <w:szCs w:val="28"/>
                                </w:rPr>
                                <w:t>Cai</w:t>
                              </w:r>
                              <w:proofErr w:type="spellEnd"/>
                              <w:proofErr w:type="gramEnd"/>
                              <w:r w:rsidRPr="00E5513F">
                                <w:rPr>
                                  <w:rFonts w:ascii="Arial" w:hAnsi="Arial" w:cs="Arial"/>
                                  <w:color w:val="595959" w:themeColor="text1" w:themeTint="A6"/>
                                  <w:sz w:val="28"/>
                                  <w:szCs w:val="28"/>
                                </w:rPr>
                                <w:t xml:space="preserve"> (2200245)</w:t>
                              </w:r>
                            </w:p>
                          </w:sdtContent>
                        </w:sdt>
                        <w:p w14:paraId="3BC62CF0" w14:textId="4BCA4B04" w:rsidR="00A71DAD" w:rsidRDefault="00E5513F">
                          <w:pPr>
                            <w:pStyle w:val="a3"/>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E5513F">
                                <w:rPr>
                                  <w:rFonts w:ascii="Arial" w:hAnsi="Arial" w:cs="Arial"/>
                                  <w:color w:val="595959" w:themeColor="text1" w:themeTint="A6"/>
                                  <w:sz w:val="24"/>
                                  <w:szCs w:val="24"/>
                                </w:rPr>
                                <w:t>Strategic Management and Sustainability (BMBM6015)</w:t>
                              </w:r>
                            </w:sdtContent>
                          </w:sdt>
                        </w:p>
                        <w:p w14:paraId="71D87FC9" w14:textId="77777777" w:rsidR="00E5513F" w:rsidRPr="00E5513F" w:rsidRDefault="00E5513F" w:rsidP="00E5513F">
                          <w:pPr>
                            <w:pStyle w:val="a3"/>
                            <w:jc w:val="right"/>
                            <w:rPr>
                              <w:rFonts w:ascii="Arial" w:hAnsi="Arial" w:cs="Arial"/>
                              <w:color w:val="595959" w:themeColor="text1" w:themeTint="A6"/>
                              <w:sz w:val="24"/>
                              <w:szCs w:val="24"/>
                            </w:rPr>
                          </w:pPr>
                          <w:r w:rsidRPr="00E5513F">
                            <w:rPr>
                              <w:rFonts w:ascii="Arial" w:hAnsi="Arial" w:cs="Arial"/>
                              <w:color w:val="595959" w:themeColor="text1" w:themeTint="A6"/>
                              <w:sz w:val="24"/>
                              <w:szCs w:val="24"/>
                            </w:rPr>
                            <w:t xml:space="preserve">Submitted to Mike </w:t>
                          </w:r>
                          <w:proofErr w:type="spellStart"/>
                          <w:r w:rsidRPr="00E5513F">
                            <w:rPr>
                              <w:rFonts w:ascii="Arial" w:hAnsi="Arial" w:cs="Arial"/>
                              <w:color w:val="595959" w:themeColor="text1" w:themeTint="A6"/>
                              <w:sz w:val="24"/>
                              <w:szCs w:val="24"/>
                            </w:rPr>
                            <w:t>Durke</w:t>
                          </w:r>
                          <w:proofErr w:type="spellEnd"/>
                        </w:p>
                        <w:p w14:paraId="2AACBBBC" w14:textId="19AB3915" w:rsidR="00E5513F" w:rsidRPr="004C5647" w:rsidRDefault="00E5513F" w:rsidP="00E5513F">
                          <w:pPr>
                            <w:pStyle w:val="a3"/>
                            <w:jc w:val="right"/>
                            <w:rPr>
                              <w:rFonts w:ascii="Arial" w:hAnsi="Arial" w:cs="Arial"/>
                              <w:color w:val="595959" w:themeColor="text1" w:themeTint="A6"/>
                              <w:sz w:val="24"/>
                              <w:szCs w:val="24"/>
                            </w:rPr>
                          </w:pPr>
                          <w:r w:rsidRPr="00E5513F">
                            <w:rPr>
                              <w:rFonts w:ascii="Arial" w:hAnsi="Arial" w:cs="Arial"/>
                              <w:color w:val="595959" w:themeColor="text1" w:themeTint="A6"/>
                              <w:sz w:val="24"/>
                              <w:szCs w:val="24"/>
                            </w:rPr>
                            <w:t>Due Date: 10.3.2023</w:t>
                          </w:r>
                        </w:p>
                      </w:txbxContent>
                    </v:textbox>
                    <w10:wrap type="square" anchorx="page" anchory="margin"/>
                  </v:shape>
                </w:pict>
              </mc:Fallback>
            </mc:AlternateContent>
          </w:r>
          <w:r w:rsidRPr="00BD2FE5">
            <w:rPr>
              <w:rFonts w:ascii="Arial" w:hAnsi="Arial" w:cs="Arial"/>
              <w:noProof/>
              <w:lang w:val="en-US" w:eastAsia="zh-CN"/>
            </w:rPr>
            <mc:AlternateContent>
              <mc:Choice Requires="wps">
                <w:drawing>
                  <wp:anchor distT="0" distB="0" distL="114300" distR="114300" simplePos="0" relativeHeight="251661312" behindDoc="0" locked="0" layoutInCell="1" allowOverlap="1" wp14:anchorId="565CED8C" wp14:editId="58B97732">
                    <wp:simplePos x="0" y="0"/>
                    <wp:positionH relativeFrom="margin">
                      <wp:align>center</wp:align>
                    </wp:positionH>
                    <wp:positionV relativeFrom="page">
                      <wp:posOffset>6770370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a3"/>
                                  <w:jc w:val="right"/>
                                  <w:rPr>
                                    <w:color w:val="3494BA" w:themeColor="accent1"/>
                                    <w:sz w:val="28"/>
                                    <w:szCs w:val="28"/>
                                  </w:rPr>
                                </w:pPr>
                                <w:r>
                                  <w:rPr>
                                    <w:color w:val="3494BA" w:themeColor="accent1"/>
                                    <w:sz w:val="28"/>
                                    <w:szCs w:val="28"/>
                                  </w:rPr>
                                  <w:t>Abstract</w:t>
                                </w:r>
                              </w:p>
                              <w:p w14:paraId="5ADF0BFA" w14:textId="3B96AAAC" w:rsidR="00A71DAD" w:rsidRPr="004C5647" w:rsidRDefault="008A74A1" w:rsidP="0035490B">
                                <w:pPr>
                                  <w:pStyle w:val="a3"/>
                                  <w:jc w:val="both"/>
                                  <w:rPr>
                                    <w:rFonts w:ascii="Arial" w:hAnsi="Arial" w:cs="Arial"/>
                                    <w:color w:val="595959" w:themeColor="text1" w:themeTint="A6"/>
                                  </w:rPr>
                                </w:pPr>
                                <w:sdt>
                                  <w:sdtPr>
                                    <w:rPr>
                                      <w:rFonts w:ascii="Arial" w:hAnsi="Arial" w:cs="Arial"/>
                                      <w:color w:val="595959" w:themeColor="text1" w:themeTint="A6"/>
                                      <w:sz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BD2FE5" w:rsidRPr="00405862">
                                      <w:rPr>
                                        <w:rFonts w:ascii="Arial" w:hAnsi="Arial" w:cs="Arial"/>
                                        <w:color w:val="595959" w:themeColor="text1" w:themeTint="A6"/>
                                        <w:sz w:val="24"/>
                                      </w:rPr>
                                      <w:t xml:space="preserve">The report </w:t>
                                    </w:r>
                                    <w:r w:rsidR="00313FF8" w:rsidRPr="00405862">
                                      <w:rPr>
                                        <w:rFonts w:ascii="Arial" w:hAnsi="Arial" w:cs="Arial"/>
                                        <w:color w:val="595959" w:themeColor="text1" w:themeTint="A6"/>
                                        <w:sz w:val="24"/>
                                      </w:rPr>
                                      <w:t>analyses</w:t>
                                    </w:r>
                                    <w:r w:rsidR="00BD2FE5" w:rsidRPr="00405862">
                                      <w:rPr>
                                        <w:rFonts w:ascii="Arial" w:hAnsi="Arial" w:cs="Arial"/>
                                        <w:color w:val="595959" w:themeColor="text1" w:themeTint="A6"/>
                                        <w:sz w:val="24"/>
                                      </w:rPr>
                                      <w:t xml:space="preserve"> the competitive strategy of Tesla, indicating its transition from differentiation strategy to the hybrid strategy. Despite the effectiveness of the strategy supporting by Tesla’ leading market share, it has suffered the problems of quality issue, limited models, and aggressive investment. The report suggests Tesla to use total quality control and modular production to address identified issues. </w:t>
                                    </w:r>
                                  </w:sdtContent>
                                </w:sdt>
                                <w:r w:rsidR="004C5647">
                                  <w:rPr>
                                    <w:rFonts w:ascii="Arial" w:hAnsi="Arial" w:cs="Arial"/>
                                    <w:color w:val="595959" w:themeColor="text1" w:themeTint="A6"/>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left:0;text-align:left;margin-left:0;margin-top:533.1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AtVvbHgAAAACwEAAA8AAABkcnMvZG93bnJldi54bWxMj8FOwzAQRO9I/IO1SFwq6sRqIxTi&#10;VAgEEhdoCx/gxm4ciNdRvG0DX8/2BLfdmdXsm2o1hV4c3Zi6iBryeQbCYRNth62Gj/enm1sQiQxa&#10;00d0Gr5dglV9eVGZ0sYTbtxxS63gEEyl0eCJhlLK1HgXTJrHwSF7+zgGQ7yOrbSjOXF46KXKskIG&#10;0yF/8GZwD941X9tD0DB7xBfKfz7fnmf7V7UeF7TwG9L6+mq6vwNBbqK/YzjjMzrUzLSLB7RJ9Bq4&#10;CLGaFYUCcfbzpWJtx5NSSwWyruT/DvUvAAAA//8DAFBLAQItABQABgAIAAAAIQC2gziS/gAAAOEB&#10;AAATAAAAAAAAAAAAAAAAAAAAAABbQ29udGVudF9UeXBlc10ueG1sUEsBAi0AFAAGAAgAAAAhADj9&#10;If/WAAAAlAEAAAsAAAAAAAAAAAAAAAAALwEAAF9yZWxzLy5yZWxzUEsBAi0AFAAGAAgAAAAhALd8&#10;Gg2CAgAAaQUAAA4AAAAAAAAAAAAAAAAALgIAAGRycy9lMm9Eb2MueG1sUEsBAi0AFAAGAAgAAAAh&#10;AAtVvbHgAAAACwEAAA8AAAAAAAAAAAAAAAAA3AQAAGRycy9kb3ducmV2LnhtbFBLBQYAAAAABAAE&#10;APMAAADpBQAAAAA=&#10;" filled="f" stroked="f" strokeweight=".5pt">
                    <v:textbox style="mso-fit-shape-to-text:t" inset="126pt,0,54pt,0">
                      <w:txbxContent>
                        <w:p w14:paraId="4B857B7B" w14:textId="77777777" w:rsidR="00A71DAD" w:rsidRDefault="00A71DAD">
                          <w:pPr>
                            <w:pStyle w:val="a3"/>
                            <w:jc w:val="right"/>
                            <w:rPr>
                              <w:color w:val="3494BA" w:themeColor="accent1"/>
                              <w:sz w:val="28"/>
                              <w:szCs w:val="28"/>
                            </w:rPr>
                          </w:pPr>
                          <w:r>
                            <w:rPr>
                              <w:color w:val="3494BA" w:themeColor="accent1"/>
                              <w:sz w:val="28"/>
                              <w:szCs w:val="28"/>
                            </w:rPr>
                            <w:t>Abstract</w:t>
                          </w:r>
                        </w:p>
                        <w:p w14:paraId="5ADF0BFA" w14:textId="3B96AAAC" w:rsidR="00A71DAD" w:rsidRPr="004C5647" w:rsidRDefault="008A74A1" w:rsidP="0035490B">
                          <w:pPr>
                            <w:pStyle w:val="a3"/>
                            <w:jc w:val="both"/>
                            <w:rPr>
                              <w:rFonts w:ascii="Arial" w:hAnsi="Arial" w:cs="Arial"/>
                              <w:color w:val="595959" w:themeColor="text1" w:themeTint="A6"/>
                            </w:rPr>
                          </w:pPr>
                          <w:sdt>
                            <w:sdtPr>
                              <w:rPr>
                                <w:rFonts w:ascii="Arial" w:hAnsi="Arial" w:cs="Arial"/>
                                <w:color w:val="595959" w:themeColor="text1" w:themeTint="A6"/>
                                <w:sz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BD2FE5" w:rsidRPr="00405862">
                                <w:rPr>
                                  <w:rFonts w:ascii="Arial" w:hAnsi="Arial" w:cs="Arial"/>
                                  <w:color w:val="595959" w:themeColor="text1" w:themeTint="A6"/>
                                  <w:sz w:val="24"/>
                                </w:rPr>
                                <w:t xml:space="preserve">The report </w:t>
                              </w:r>
                              <w:r w:rsidR="00313FF8" w:rsidRPr="00405862">
                                <w:rPr>
                                  <w:rFonts w:ascii="Arial" w:hAnsi="Arial" w:cs="Arial"/>
                                  <w:color w:val="595959" w:themeColor="text1" w:themeTint="A6"/>
                                  <w:sz w:val="24"/>
                                </w:rPr>
                                <w:t>analyses</w:t>
                              </w:r>
                              <w:r w:rsidR="00BD2FE5" w:rsidRPr="00405862">
                                <w:rPr>
                                  <w:rFonts w:ascii="Arial" w:hAnsi="Arial" w:cs="Arial"/>
                                  <w:color w:val="595959" w:themeColor="text1" w:themeTint="A6"/>
                                  <w:sz w:val="24"/>
                                </w:rPr>
                                <w:t xml:space="preserve"> the competitive strategy of Tesla, indicating its transition from differentiation strategy to the hybrid strategy. Despite the effectiveness of the strategy supporting by Tesla’ leading market share, it has suffered the problems of quality issue, limited models, and aggressive investment. The report suggests Tesla to use total quality control and modular production to address identified issues. </w:t>
                              </w:r>
                            </w:sdtContent>
                          </w:sdt>
                          <w:r w:rsidR="004C5647">
                            <w:rPr>
                              <w:rFonts w:ascii="Arial" w:hAnsi="Arial" w:cs="Arial"/>
                              <w:color w:val="595959" w:themeColor="text1" w:themeTint="A6"/>
                            </w:rPr>
                            <w:t xml:space="preserve"> …</w:t>
                          </w:r>
                        </w:p>
                      </w:txbxContent>
                    </v:textbox>
                    <w10:wrap type="square" anchorx="margin" anchory="page"/>
                  </v:shape>
                </w:pict>
              </mc:Fallback>
            </mc:AlternateContent>
          </w:r>
          <w:r w:rsidRPr="00BD2FE5">
            <w:rPr>
              <w:rFonts w:ascii="Arial" w:hAnsi="Arial" w:cs="Arial"/>
              <w:noProof/>
              <w:lang w:val="en-US" w:eastAsia="zh-CN"/>
            </w:rPr>
            <mc:AlternateContent>
              <mc:Choice Requires="wps">
                <w:drawing>
                  <wp:anchor distT="0" distB="0" distL="114300" distR="114300" simplePos="0" relativeHeight="251659264" behindDoc="0" locked="0" layoutInCell="1" allowOverlap="1" wp14:anchorId="3C11B895" wp14:editId="04CDB6B4">
                    <wp:simplePos x="0" y="0"/>
                    <wp:positionH relativeFrom="margin">
                      <wp:align>center</wp:align>
                    </wp:positionH>
                    <wp:positionV relativeFrom="page">
                      <wp:posOffset>2273935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79DADC58" w:rsidR="00A71DAD" w:rsidRDefault="008A74A1">
                                <w:pPr>
                                  <w:jc w:val="right"/>
                                  <w:rPr>
                                    <w:color w:val="3494BA" w:themeColor="accent1"/>
                                    <w:sz w:val="64"/>
                                    <w:szCs w:val="64"/>
                                  </w:rPr>
                                </w:pPr>
                                <w:sdt>
                                  <w:sdtPr>
                                    <w:rPr>
                                      <w:caps/>
                                      <w:color w:val="3494B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FF8">
                                      <w:rPr>
                                        <w:caps/>
                                        <w:color w:val="3494BA" w:themeColor="accent1"/>
                                        <w:sz w:val="64"/>
                                        <w:szCs w:val="64"/>
                                      </w:rPr>
                                      <w:t>The competitive strategy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7625CB00" w:rsidR="00A71DAD" w:rsidRDefault="00313FF8">
                                    <w:pPr>
                                      <w:jc w:val="right"/>
                                      <w:rPr>
                                        <w:smallCaps/>
                                        <w:color w:val="404040" w:themeColor="text1" w:themeTint="BF"/>
                                        <w:sz w:val="36"/>
                                        <w:szCs w:val="36"/>
                                      </w:rPr>
                                    </w:pPr>
                                    <w:r>
                                      <w:rPr>
                                        <w:color w:val="404040" w:themeColor="text1" w:themeTint="BF"/>
                                        <w:sz w:val="36"/>
                                        <w:szCs w:val="36"/>
                                      </w:rPr>
                                      <w:t>A case study of Tesla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left:0;text-align:left;margin-left:0;margin-top:179.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3ca9B+AAAAAJAQAADwAAAGRycy9kb3ducmV2LnhtbEyPwU7DMBBE70j8g7VI3KjjRqlC&#10;yKaqkLhUIJW2wNWNlyQiXkex2wa+HvcEx9lZzbwpl5PtxYlG3zlGULMEBHHtTMcNwn73dJeD8EGz&#10;0b1jQvgmD8vq+qrUhXFnfqXTNjQihrAvNEIbwlBI6euWrPYzNxBH79ONVocox0aaUZ9juO3lPEkW&#10;0uqOY0OrB3psqf7aHi2Cf9/nm5dsvV59PCd+87b4SXOzQ7y9mVYPIAJN4e8ZLvgRHarIdHBHNl70&#10;CHFIQEizXIG42Cqbx9MB4T5VCmRVyv8Lql8AAAD//wMAUEsBAi0AFAAGAAgAAAAhALaDOJL+AAAA&#10;4QEAABMAAAAAAAAAAAAAAAAAAAAAAFtDb250ZW50X1R5cGVzXS54bWxQSwECLQAUAAYACAAAACEA&#10;OP0h/9YAAACUAQAACwAAAAAAAAAAAAAAAAAvAQAAX3JlbHMvLnJlbHNQSwECLQAUAAYACAAAACEA&#10;HFtbMoQCAABpBQAADgAAAAAAAAAAAAAAAAAuAgAAZHJzL2Uyb0RvYy54bWxQSwECLQAUAAYACAAA&#10;ACEA3ca9B+AAAAAJAQAADwAAAAAAAAAAAAAAAADeBAAAZHJzL2Rvd25yZXYueG1sUEsFBgAAAAAE&#10;AAQA8wAAAOsFAAAAAA==&#10;" filled="f" stroked="f" strokeweight=".5pt">
                    <v:textbox inset="126pt,0,54pt,0">
                      <w:txbxContent>
                        <w:p w14:paraId="2FB3BF3D" w14:textId="79DADC58" w:rsidR="00A71DAD" w:rsidRDefault="008A74A1">
                          <w:pPr>
                            <w:jc w:val="right"/>
                            <w:rPr>
                              <w:color w:val="3494BA" w:themeColor="accent1"/>
                              <w:sz w:val="64"/>
                              <w:szCs w:val="64"/>
                            </w:rPr>
                          </w:pPr>
                          <w:sdt>
                            <w:sdtPr>
                              <w:rPr>
                                <w:caps/>
                                <w:color w:val="3494B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FF8">
                                <w:rPr>
                                  <w:caps/>
                                  <w:color w:val="3494BA" w:themeColor="accent1"/>
                                  <w:sz w:val="64"/>
                                  <w:szCs w:val="64"/>
                                </w:rPr>
                                <w:t>The competitive strategy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7625CB00" w:rsidR="00A71DAD" w:rsidRDefault="00313FF8">
                              <w:pPr>
                                <w:jc w:val="right"/>
                                <w:rPr>
                                  <w:smallCaps/>
                                  <w:color w:val="404040" w:themeColor="text1" w:themeTint="BF"/>
                                  <w:sz w:val="36"/>
                                  <w:szCs w:val="36"/>
                                </w:rPr>
                              </w:pPr>
                              <w:r>
                                <w:rPr>
                                  <w:color w:val="404040" w:themeColor="text1" w:themeTint="BF"/>
                                  <w:sz w:val="36"/>
                                  <w:szCs w:val="36"/>
                                </w:rPr>
                                <w:t>A case study of Tesla</w:t>
                              </w:r>
                            </w:p>
                          </w:sdtContent>
                        </w:sdt>
                      </w:txbxContent>
                    </v:textbox>
                    <w10:wrap type="square" anchorx="margin" anchory="page"/>
                  </v:shape>
                </w:pict>
              </mc:Fallback>
            </mc:AlternateContent>
          </w:r>
          <w:r w:rsidR="00A71DAD" w:rsidRPr="00BD2FE5">
            <w:rPr>
              <w:rFonts w:ascii="Arial" w:hAnsi="Arial" w:cs="Arial"/>
            </w:rPr>
            <w:br w:type="page"/>
          </w:r>
        </w:p>
        <w:bookmarkStart w:id="0" w:name="_GoBack" w:displacedByCustomXml="next"/>
        <w:bookmarkEnd w:id="0" w:displacedByCustomXml="next"/>
      </w:sdtContent>
    </w:sdt>
    <w:sdt>
      <w:sdtPr>
        <w:rPr>
          <w:rFonts w:ascii="Arial" w:eastAsiaTheme="minorHAnsi" w:hAnsi="Arial" w:cs="Arial"/>
          <w:color w:val="auto"/>
          <w:sz w:val="24"/>
          <w:szCs w:val="22"/>
        </w:rPr>
        <w:id w:val="2140689287"/>
        <w:docPartObj>
          <w:docPartGallery w:val="Table of Contents"/>
          <w:docPartUnique/>
        </w:docPartObj>
      </w:sdtPr>
      <w:sdtEndPr>
        <w:rPr>
          <w:rFonts w:eastAsiaTheme="minorEastAsia"/>
          <w:b/>
          <w:bCs/>
          <w:noProof/>
          <w:sz w:val="21"/>
          <w:szCs w:val="21"/>
        </w:rPr>
      </w:sdtEndPr>
      <w:sdtContent>
        <w:p w14:paraId="4C63D757" w14:textId="3A8FF592" w:rsidR="00D460E5" w:rsidRPr="00BD2FE5" w:rsidRDefault="00D460E5" w:rsidP="00BD2FE5">
          <w:pPr>
            <w:pStyle w:val="TOC"/>
            <w:spacing w:beforeLines="50" w:before="120" w:afterLines="200" w:after="480" w:line="480" w:lineRule="auto"/>
            <w:jc w:val="both"/>
            <w:rPr>
              <w:rFonts w:ascii="Arial" w:hAnsi="Arial" w:cs="Arial"/>
            </w:rPr>
          </w:pPr>
          <w:r w:rsidRPr="00BD2FE5">
            <w:rPr>
              <w:rFonts w:ascii="Arial" w:hAnsi="Arial" w:cs="Arial"/>
            </w:rPr>
            <w:t>Contents</w:t>
          </w:r>
        </w:p>
        <w:p w14:paraId="269DC2E2" w14:textId="4F22077B" w:rsidR="00485CFF" w:rsidRPr="00C3415D" w:rsidRDefault="00D460E5" w:rsidP="00C3415D">
          <w:pPr>
            <w:pStyle w:val="11"/>
            <w:tabs>
              <w:tab w:val="left" w:pos="840"/>
              <w:tab w:val="right" w:leader="dot" w:pos="9016"/>
            </w:tabs>
            <w:spacing w:line="360" w:lineRule="auto"/>
            <w:rPr>
              <w:noProof/>
              <w:kern w:val="2"/>
              <w:sz w:val="24"/>
              <w:szCs w:val="28"/>
              <w:lang w:val="en-US" w:eastAsia="zh-CN"/>
            </w:rPr>
          </w:pPr>
          <w:r w:rsidRPr="00C3415D">
            <w:rPr>
              <w:rFonts w:ascii="Arial" w:hAnsi="Arial" w:cs="Arial"/>
              <w:sz w:val="24"/>
              <w:szCs w:val="24"/>
            </w:rPr>
            <w:fldChar w:fldCharType="begin"/>
          </w:r>
          <w:r w:rsidRPr="00C3415D">
            <w:rPr>
              <w:rFonts w:ascii="Arial" w:hAnsi="Arial" w:cs="Arial"/>
              <w:sz w:val="24"/>
              <w:szCs w:val="24"/>
            </w:rPr>
            <w:instrText xml:space="preserve"> TOC \o "1-3" \h \z \u </w:instrText>
          </w:r>
          <w:r w:rsidRPr="00C3415D">
            <w:rPr>
              <w:rFonts w:ascii="Arial" w:hAnsi="Arial" w:cs="Arial"/>
              <w:sz w:val="24"/>
              <w:szCs w:val="24"/>
            </w:rPr>
            <w:fldChar w:fldCharType="separate"/>
          </w:r>
          <w:hyperlink w:anchor="_Toc129168326" w:history="1">
            <w:r w:rsidR="00485CFF" w:rsidRPr="00C3415D">
              <w:rPr>
                <w:rStyle w:val="a9"/>
                <w:rFonts w:ascii="Arial" w:hAnsi="Arial" w:cs="Arial"/>
                <w:noProof/>
                <w:sz w:val="24"/>
                <w:szCs w:val="24"/>
              </w:rPr>
              <w:t>1.</w:t>
            </w:r>
            <w:r w:rsidR="00485CFF" w:rsidRPr="00C3415D">
              <w:rPr>
                <w:noProof/>
                <w:kern w:val="2"/>
                <w:sz w:val="24"/>
                <w:szCs w:val="28"/>
                <w:lang w:val="en-US" w:eastAsia="zh-CN"/>
              </w:rPr>
              <w:tab/>
            </w:r>
            <w:r w:rsidR="00485CFF" w:rsidRPr="00C3415D">
              <w:rPr>
                <w:rStyle w:val="a9"/>
                <w:rFonts w:ascii="Arial" w:hAnsi="Arial" w:cs="Arial"/>
                <w:noProof/>
                <w:sz w:val="24"/>
                <w:szCs w:val="24"/>
              </w:rPr>
              <w:t>Introduction</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_Toc129168326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1</w:t>
            </w:r>
            <w:r w:rsidR="00485CFF" w:rsidRPr="00C3415D">
              <w:rPr>
                <w:noProof/>
                <w:webHidden/>
                <w:sz w:val="24"/>
                <w:szCs w:val="24"/>
              </w:rPr>
              <w:fldChar w:fldCharType="end"/>
            </w:r>
          </w:hyperlink>
        </w:p>
        <w:p w14:paraId="0D4A170B" w14:textId="48010DAB" w:rsidR="00485CFF" w:rsidRPr="00C3415D" w:rsidRDefault="008A74A1" w:rsidP="00C3415D">
          <w:pPr>
            <w:pStyle w:val="21"/>
            <w:tabs>
              <w:tab w:val="right" w:leader="dot" w:pos="9016"/>
            </w:tabs>
            <w:spacing w:line="360" w:lineRule="auto"/>
            <w:rPr>
              <w:noProof/>
              <w:kern w:val="2"/>
              <w:sz w:val="24"/>
              <w:szCs w:val="28"/>
              <w:lang w:val="en-US" w:eastAsia="zh-CN"/>
            </w:rPr>
          </w:pPr>
          <w:hyperlink w:anchor="_Toc129168327" w:history="1">
            <w:r w:rsidR="00485CFF" w:rsidRPr="00C3415D">
              <w:rPr>
                <w:rStyle w:val="a9"/>
                <w:rFonts w:ascii="Arial" w:hAnsi="Arial" w:cs="Arial"/>
                <w:noProof/>
                <w:sz w:val="24"/>
                <w:szCs w:val="24"/>
                <w:lang w:eastAsia="zh-CN"/>
              </w:rPr>
              <w:t>1.1    Background</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_Toc129168327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1</w:t>
            </w:r>
            <w:r w:rsidR="00485CFF" w:rsidRPr="00C3415D">
              <w:rPr>
                <w:noProof/>
                <w:webHidden/>
                <w:sz w:val="24"/>
                <w:szCs w:val="24"/>
              </w:rPr>
              <w:fldChar w:fldCharType="end"/>
            </w:r>
          </w:hyperlink>
        </w:p>
        <w:p w14:paraId="6E62CAA6" w14:textId="79D052AF" w:rsidR="00485CFF" w:rsidRPr="00C3415D" w:rsidRDefault="008A74A1" w:rsidP="00C3415D">
          <w:pPr>
            <w:pStyle w:val="21"/>
            <w:tabs>
              <w:tab w:val="right" w:leader="dot" w:pos="9016"/>
            </w:tabs>
            <w:spacing w:line="360" w:lineRule="auto"/>
            <w:rPr>
              <w:noProof/>
              <w:kern w:val="2"/>
              <w:sz w:val="24"/>
              <w:szCs w:val="28"/>
              <w:lang w:val="en-US" w:eastAsia="zh-CN"/>
            </w:rPr>
          </w:pPr>
          <w:hyperlink w:anchor="_Toc129168328" w:history="1">
            <w:r w:rsidR="00485CFF" w:rsidRPr="00C3415D">
              <w:rPr>
                <w:rStyle w:val="a9"/>
                <w:rFonts w:ascii="Arial" w:hAnsi="Arial" w:cs="Arial"/>
                <w:noProof/>
                <w:sz w:val="24"/>
                <w:szCs w:val="24"/>
              </w:rPr>
              <w:t>1.2    Objectives</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_Toc129168328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3</w:t>
            </w:r>
            <w:r w:rsidR="00485CFF" w:rsidRPr="00C3415D">
              <w:rPr>
                <w:noProof/>
                <w:webHidden/>
                <w:sz w:val="24"/>
                <w:szCs w:val="24"/>
              </w:rPr>
              <w:fldChar w:fldCharType="end"/>
            </w:r>
          </w:hyperlink>
        </w:p>
        <w:p w14:paraId="5F053159" w14:textId="67686FE7" w:rsidR="00485CFF" w:rsidRPr="00C3415D" w:rsidRDefault="008A74A1" w:rsidP="00C3415D">
          <w:pPr>
            <w:pStyle w:val="21"/>
            <w:tabs>
              <w:tab w:val="right" w:leader="dot" w:pos="9016"/>
            </w:tabs>
            <w:spacing w:line="360" w:lineRule="auto"/>
            <w:rPr>
              <w:noProof/>
              <w:kern w:val="2"/>
              <w:sz w:val="24"/>
              <w:szCs w:val="28"/>
              <w:lang w:val="en-US" w:eastAsia="zh-CN"/>
            </w:rPr>
          </w:pPr>
          <w:hyperlink w:anchor="_Toc129168329" w:history="1">
            <w:r w:rsidR="00485CFF" w:rsidRPr="00C3415D">
              <w:rPr>
                <w:rStyle w:val="a9"/>
                <w:rFonts w:ascii="Arial" w:hAnsi="Arial" w:cs="Arial"/>
                <w:noProof/>
                <w:sz w:val="24"/>
                <w:szCs w:val="24"/>
              </w:rPr>
              <w:t>1.3    Scope</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_Toc129168329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3</w:t>
            </w:r>
            <w:r w:rsidR="00485CFF" w:rsidRPr="00C3415D">
              <w:rPr>
                <w:noProof/>
                <w:webHidden/>
                <w:sz w:val="24"/>
                <w:szCs w:val="24"/>
              </w:rPr>
              <w:fldChar w:fldCharType="end"/>
            </w:r>
          </w:hyperlink>
        </w:p>
        <w:p w14:paraId="654304A9" w14:textId="454DA1CE" w:rsidR="00485CFF" w:rsidRPr="00C3415D" w:rsidRDefault="008A74A1" w:rsidP="00C3415D">
          <w:pPr>
            <w:pStyle w:val="11"/>
            <w:tabs>
              <w:tab w:val="left" w:pos="840"/>
              <w:tab w:val="right" w:leader="dot" w:pos="9016"/>
            </w:tabs>
            <w:spacing w:line="360" w:lineRule="auto"/>
            <w:rPr>
              <w:noProof/>
              <w:kern w:val="2"/>
              <w:sz w:val="24"/>
              <w:szCs w:val="28"/>
              <w:lang w:val="en-US" w:eastAsia="zh-CN"/>
            </w:rPr>
          </w:pPr>
          <w:hyperlink w:anchor="_Toc129168330" w:history="1">
            <w:r w:rsidR="00485CFF" w:rsidRPr="00C3415D">
              <w:rPr>
                <w:rStyle w:val="a9"/>
                <w:rFonts w:ascii="Arial" w:hAnsi="Arial" w:cs="Arial"/>
                <w:noProof/>
                <w:sz w:val="24"/>
                <w:szCs w:val="24"/>
              </w:rPr>
              <w:t>2.</w:t>
            </w:r>
            <w:r w:rsidR="00485CFF" w:rsidRPr="00C3415D">
              <w:rPr>
                <w:noProof/>
                <w:kern w:val="2"/>
                <w:sz w:val="24"/>
                <w:szCs w:val="28"/>
                <w:lang w:val="en-US" w:eastAsia="zh-CN"/>
              </w:rPr>
              <w:tab/>
            </w:r>
            <w:r w:rsidR="00485CFF" w:rsidRPr="00C3415D">
              <w:rPr>
                <w:rStyle w:val="a9"/>
                <w:rFonts w:ascii="Arial" w:hAnsi="Arial" w:cs="Arial"/>
                <w:noProof/>
                <w:sz w:val="24"/>
                <w:szCs w:val="24"/>
              </w:rPr>
              <w:t>The competitive strategy of Tesla</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_Toc129168330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4</w:t>
            </w:r>
            <w:r w:rsidR="00485CFF" w:rsidRPr="00C3415D">
              <w:rPr>
                <w:noProof/>
                <w:webHidden/>
                <w:sz w:val="24"/>
                <w:szCs w:val="24"/>
              </w:rPr>
              <w:fldChar w:fldCharType="end"/>
            </w:r>
          </w:hyperlink>
        </w:p>
        <w:p w14:paraId="5716C5B9" w14:textId="35EEB2CF" w:rsidR="00485CFF" w:rsidRPr="00C3415D" w:rsidRDefault="008A74A1" w:rsidP="00A957A8">
          <w:pPr>
            <w:pStyle w:val="21"/>
            <w:tabs>
              <w:tab w:val="left" w:pos="840"/>
              <w:tab w:val="right" w:leader="dot" w:pos="9016"/>
            </w:tabs>
            <w:spacing w:line="360" w:lineRule="auto"/>
            <w:rPr>
              <w:noProof/>
              <w:kern w:val="2"/>
              <w:sz w:val="24"/>
              <w:szCs w:val="28"/>
              <w:lang w:val="en-US" w:eastAsia="zh-CN"/>
            </w:rPr>
          </w:pPr>
          <w:hyperlink w:anchor="_Toc129168331" w:history="1">
            <w:r w:rsidR="00485CFF" w:rsidRPr="00C3415D">
              <w:rPr>
                <w:rStyle w:val="a9"/>
                <w:rFonts w:ascii="Arial" w:hAnsi="Arial" w:cs="Arial"/>
                <w:noProof/>
                <w:sz w:val="24"/>
                <w:szCs w:val="24"/>
              </w:rPr>
              <w:t>2.1</w:t>
            </w:r>
            <w:r w:rsidR="00485CFF" w:rsidRPr="00C3415D">
              <w:rPr>
                <w:noProof/>
                <w:kern w:val="2"/>
                <w:sz w:val="24"/>
                <w:szCs w:val="28"/>
                <w:lang w:val="en-US" w:eastAsia="zh-CN"/>
              </w:rPr>
              <w:tab/>
            </w:r>
            <w:r w:rsidR="00485CFF" w:rsidRPr="00C3415D">
              <w:rPr>
                <w:rStyle w:val="a9"/>
                <w:rFonts w:ascii="Arial" w:hAnsi="Arial" w:cs="Arial"/>
                <w:noProof/>
                <w:sz w:val="24"/>
                <w:szCs w:val="24"/>
                <w:lang w:eastAsia="zh-CN"/>
              </w:rPr>
              <w:t>Phase one: differentiation strategy</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_Toc129168331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4</w:t>
            </w:r>
            <w:r w:rsidR="00485CFF" w:rsidRPr="00C3415D">
              <w:rPr>
                <w:noProof/>
                <w:webHidden/>
                <w:sz w:val="24"/>
                <w:szCs w:val="24"/>
              </w:rPr>
              <w:fldChar w:fldCharType="end"/>
            </w:r>
          </w:hyperlink>
        </w:p>
        <w:p w14:paraId="1FAC2D7D" w14:textId="08234324" w:rsidR="00485CFF" w:rsidRPr="00C3415D" w:rsidRDefault="008A74A1" w:rsidP="00C3415D">
          <w:pPr>
            <w:pStyle w:val="21"/>
            <w:tabs>
              <w:tab w:val="left" w:pos="840"/>
              <w:tab w:val="right" w:leader="dot" w:pos="9016"/>
            </w:tabs>
            <w:spacing w:line="360" w:lineRule="auto"/>
            <w:rPr>
              <w:noProof/>
              <w:kern w:val="2"/>
              <w:sz w:val="24"/>
              <w:szCs w:val="28"/>
              <w:lang w:val="en-US" w:eastAsia="zh-CN"/>
            </w:rPr>
          </w:pPr>
          <w:hyperlink w:anchor="_Toc129168332" w:history="1">
            <w:r w:rsidR="00485CFF" w:rsidRPr="00C3415D">
              <w:rPr>
                <w:rStyle w:val="a9"/>
                <w:rFonts w:ascii="Arial" w:hAnsi="Arial" w:cs="Arial"/>
                <w:noProof/>
                <w:sz w:val="24"/>
                <w:szCs w:val="24"/>
              </w:rPr>
              <w:t>2.2</w:t>
            </w:r>
            <w:r w:rsidR="00485CFF" w:rsidRPr="00C3415D">
              <w:rPr>
                <w:noProof/>
                <w:kern w:val="2"/>
                <w:sz w:val="24"/>
                <w:szCs w:val="28"/>
                <w:lang w:val="en-US" w:eastAsia="zh-CN"/>
              </w:rPr>
              <w:tab/>
            </w:r>
            <w:r w:rsidR="00485CFF" w:rsidRPr="00C3415D">
              <w:rPr>
                <w:rStyle w:val="a9"/>
                <w:rFonts w:ascii="Arial" w:hAnsi="Arial" w:cs="Arial"/>
                <w:noProof/>
                <w:sz w:val="24"/>
                <w:szCs w:val="24"/>
                <w:lang w:eastAsia="zh-CN"/>
              </w:rPr>
              <w:t>Phase two: hybrid strategy</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_Toc129168332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6</w:t>
            </w:r>
            <w:r w:rsidR="00485CFF" w:rsidRPr="00C3415D">
              <w:rPr>
                <w:noProof/>
                <w:webHidden/>
                <w:sz w:val="24"/>
                <w:szCs w:val="24"/>
              </w:rPr>
              <w:fldChar w:fldCharType="end"/>
            </w:r>
          </w:hyperlink>
        </w:p>
        <w:p w14:paraId="2B59E1BD" w14:textId="7F8A5877" w:rsidR="00485CFF" w:rsidRPr="00C3415D" w:rsidRDefault="008A74A1" w:rsidP="00C3415D">
          <w:pPr>
            <w:pStyle w:val="21"/>
            <w:tabs>
              <w:tab w:val="right" w:leader="dot" w:pos="9016"/>
            </w:tabs>
            <w:spacing w:line="360" w:lineRule="auto"/>
            <w:rPr>
              <w:noProof/>
              <w:kern w:val="2"/>
              <w:sz w:val="24"/>
              <w:szCs w:val="28"/>
              <w:lang w:val="en-US" w:eastAsia="zh-CN"/>
            </w:rPr>
          </w:pPr>
          <w:hyperlink w:anchor="_Toc129168333" w:history="1">
            <w:r w:rsidR="00485CFF" w:rsidRPr="00C3415D">
              <w:rPr>
                <w:rStyle w:val="a9"/>
                <w:rFonts w:ascii="Arial" w:hAnsi="Arial" w:cs="Arial"/>
                <w:noProof/>
                <w:sz w:val="24"/>
                <w:szCs w:val="24"/>
              </w:rPr>
              <w:t xml:space="preserve">2.3    </w:t>
            </w:r>
            <w:r w:rsidR="00485CFF" w:rsidRPr="00C3415D">
              <w:rPr>
                <w:rStyle w:val="a9"/>
                <w:rFonts w:ascii="Arial" w:hAnsi="Arial" w:cs="Arial"/>
                <w:noProof/>
                <w:sz w:val="24"/>
                <w:szCs w:val="24"/>
                <w:lang w:eastAsia="zh-CN"/>
              </w:rPr>
              <w:t>The</w:t>
            </w:r>
            <w:r w:rsidR="00485CFF" w:rsidRPr="00C3415D">
              <w:rPr>
                <w:rStyle w:val="a9"/>
                <w:rFonts w:ascii="Arial" w:hAnsi="Arial" w:cs="Arial"/>
                <w:noProof/>
                <w:sz w:val="24"/>
                <w:szCs w:val="24"/>
              </w:rPr>
              <w:t xml:space="preserve"> evaluation of Tesla’s hybrid strategy</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_Toc129168333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8</w:t>
            </w:r>
            <w:r w:rsidR="00485CFF" w:rsidRPr="00C3415D">
              <w:rPr>
                <w:noProof/>
                <w:webHidden/>
                <w:sz w:val="24"/>
                <w:szCs w:val="24"/>
              </w:rPr>
              <w:fldChar w:fldCharType="end"/>
            </w:r>
          </w:hyperlink>
        </w:p>
        <w:p w14:paraId="3235D485" w14:textId="64EBEC18" w:rsidR="00485CFF" w:rsidRPr="00C3415D" w:rsidRDefault="008A74A1" w:rsidP="00C3415D">
          <w:pPr>
            <w:pStyle w:val="21"/>
            <w:tabs>
              <w:tab w:val="left" w:pos="840"/>
              <w:tab w:val="right" w:leader="dot" w:pos="9016"/>
            </w:tabs>
            <w:spacing w:line="360" w:lineRule="auto"/>
            <w:rPr>
              <w:noProof/>
              <w:kern w:val="2"/>
              <w:sz w:val="24"/>
              <w:szCs w:val="28"/>
              <w:lang w:val="en-US" w:eastAsia="zh-CN"/>
            </w:rPr>
          </w:pPr>
          <w:hyperlink w:anchor="_Toc129168334" w:history="1">
            <w:r w:rsidR="00485CFF" w:rsidRPr="00C3415D">
              <w:rPr>
                <w:rStyle w:val="a9"/>
                <w:rFonts w:ascii="Arial" w:hAnsi="Arial" w:cs="Arial"/>
                <w:noProof/>
                <w:sz w:val="24"/>
                <w:szCs w:val="24"/>
              </w:rPr>
              <w:t>2.4</w:t>
            </w:r>
            <w:r w:rsidR="00485CFF" w:rsidRPr="00C3415D">
              <w:rPr>
                <w:noProof/>
                <w:kern w:val="2"/>
                <w:sz w:val="24"/>
                <w:szCs w:val="28"/>
                <w:lang w:val="en-US" w:eastAsia="zh-CN"/>
              </w:rPr>
              <w:tab/>
            </w:r>
            <w:r w:rsidR="00485CFF" w:rsidRPr="00C3415D">
              <w:rPr>
                <w:rStyle w:val="a9"/>
                <w:rFonts w:ascii="Arial" w:hAnsi="Arial" w:cs="Arial"/>
                <w:noProof/>
                <w:sz w:val="24"/>
                <w:szCs w:val="24"/>
              </w:rPr>
              <w:t>The recommendation for Tesla in future competition</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_Toc129168334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10</w:t>
            </w:r>
            <w:r w:rsidR="00485CFF" w:rsidRPr="00C3415D">
              <w:rPr>
                <w:noProof/>
                <w:webHidden/>
                <w:sz w:val="24"/>
                <w:szCs w:val="24"/>
              </w:rPr>
              <w:fldChar w:fldCharType="end"/>
            </w:r>
          </w:hyperlink>
        </w:p>
        <w:p w14:paraId="5626C962" w14:textId="6B920D73" w:rsidR="00485CFF" w:rsidRPr="00C3415D" w:rsidRDefault="008A74A1" w:rsidP="00C3415D">
          <w:pPr>
            <w:pStyle w:val="11"/>
            <w:tabs>
              <w:tab w:val="left" w:pos="840"/>
              <w:tab w:val="right" w:leader="dot" w:pos="9016"/>
            </w:tabs>
            <w:spacing w:line="360" w:lineRule="auto"/>
            <w:rPr>
              <w:noProof/>
              <w:kern w:val="2"/>
              <w:sz w:val="24"/>
              <w:szCs w:val="28"/>
              <w:lang w:val="en-US" w:eastAsia="zh-CN"/>
            </w:rPr>
          </w:pPr>
          <w:hyperlink w:anchor="_Toc129168335" w:history="1">
            <w:r w:rsidR="00485CFF" w:rsidRPr="00C3415D">
              <w:rPr>
                <w:rStyle w:val="a9"/>
                <w:rFonts w:ascii="Arial" w:hAnsi="Arial" w:cs="Arial"/>
                <w:noProof/>
                <w:sz w:val="24"/>
                <w:szCs w:val="24"/>
              </w:rPr>
              <w:t>3</w:t>
            </w:r>
            <w:r w:rsidR="00485CFF" w:rsidRPr="00C3415D">
              <w:rPr>
                <w:noProof/>
                <w:kern w:val="2"/>
                <w:sz w:val="24"/>
                <w:szCs w:val="28"/>
                <w:lang w:val="en-US" w:eastAsia="zh-CN"/>
              </w:rPr>
              <w:tab/>
            </w:r>
            <w:r w:rsidR="00485CFF" w:rsidRPr="00C3415D">
              <w:rPr>
                <w:rStyle w:val="a9"/>
                <w:rFonts w:ascii="Arial" w:hAnsi="Arial" w:cs="Arial"/>
                <w:noProof/>
                <w:sz w:val="24"/>
                <w:szCs w:val="24"/>
              </w:rPr>
              <w:t>Conclusion</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_Toc129168335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11</w:t>
            </w:r>
            <w:r w:rsidR="00485CFF" w:rsidRPr="00C3415D">
              <w:rPr>
                <w:noProof/>
                <w:webHidden/>
                <w:sz w:val="24"/>
                <w:szCs w:val="24"/>
              </w:rPr>
              <w:fldChar w:fldCharType="end"/>
            </w:r>
          </w:hyperlink>
        </w:p>
        <w:p w14:paraId="290890FD" w14:textId="2342CC0A" w:rsidR="00485CFF" w:rsidRPr="00C3415D" w:rsidRDefault="008A74A1" w:rsidP="00C3415D">
          <w:pPr>
            <w:pStyle w:val="11"/>
            <w:tabs>
              <w:tab w:val="right" w:leader="dot" w:pos="9016"/>
            </w:tabs>
            <w:spacing w:line="360" w:lineRule="auto"/>
            <w:rPr>
              <w:noProof/>
              <w:kern w:val="2"/>
              <w:sz w:val="24"/>
              <w:szCs w:val="28"/>
              <w:lang w:val="en-US" w:eastAsia="zh-CN"/>
            </w:rPr>
          </w:pPr>
          <w:hyperlink w:anchor="_Toc129168336" w:history="1">
            <w:r w:rsidR="00485CFF" w:rsidRPr="00C3415D">
              <w:rPr>
                <w:rStyle w:val="a9"/>
                <w:rFonts w:ascii="Arial" w:hAnsi="Arial" w:cs="Arial"/>
                <w:noProof/>
                <w:sz w:val="24"/>
                <w:szCs w:val="24"/>
              </w:rPr>
              <w:t>References</w:t>
            </w:r>
            <w:r w:rsidR="00485CFF" w:rsidRPr="00C3415D">
              <w:rPr>
                <w:noProof/>
                <w:webHidden/>
                <w:sz w:val="24"/>
                <w:szCs w:val="24"/>
              </w:rPr>
              <w:tab/>
            </w:r>
            <w:r w:rsidR="00485CFF" w:rsidRPr="00C3415D">
              <w:rPr>
                <w:noProof/>
                <w:webHidden/>
                <w:sz w:val="24"/>
                <w:szCs w:val="24"/>
              </w:rPr>
              <w:fldChar w:fldCharType="begin"/>
            </w:r>
            <w:r w:rsidR="00485CFF" w:rsidRPr="00C3415D">
              <w:rPr>
                <w:noProof/>
                <w:webHidden/>
                <w:sz w:val="24"/>
                <w:szCs w:val="24"/>
              </w:rPr>
              <w:instrText xml:space="preserve"> PAGEREF _Toc129168336 \h </w:instrText>
            </w:r>
            <w:r w:rsidR="00485CFF" w:rsidRPr="00C3415D">
              <w:rPr>
                <w:noProof/>
                <w:webHidden/>
                <w:sz w:val="24"/>
                <w:szCs w:val="24"/>
              </w:rPr>
            </w:r>
            <w:r w:rsidR="00485CFF" w:rsidRPr="00C3415D">
              <w:rPr>
                <w:noProof/>
                <w:webHidden/>
                <w:sz w:val="24"/>
                <w:szCs w:val="24"/>
              </w:rPr>
              <w:fldChar w:fldCharType="separate"/>
            </w:r>
            <w:r w:rsidR="00485CFF" w:rsidRPr="00C3415D">
              <w:rPr>
                <w:noProof/>
                <w:webHidden/>
                <w:sz w:val="24"/>
                <w:szCs w:val="24"/>
              </w:rPr>
              <w:t>12</w:t>
            </w:r>
            <w:r w:rsidR="00485CFF" w:rsidRPr="00C3415D">
              <w:rPr>
                <w:noProof/>
                <w:webHidden/>
                <w:sz w:val="24"/>
                <w:szCs w:val="24"/>
              </w:rPr>
              <w:fldChar w:fldCharType="end"/>
            </w:r>
          </w:hyperlink>
        </w:p>
        <w:p w14:paraId="317BE806" w14:textId="48AF1253" w:rsidR="00A71DAD" w:rsidRPr="00BD2FE5" w:rsidRDefault="00D460E5" w:rsidP="00C3415D">
          <w:pPr>
            <w:spacing w:beforeLines="50" w:before="120" w:afterLines="200" w:after="480" w:line="360" w:lineRule="auto"/>
            <w:jc w:val="both"/>
            <w:rPr>
              <w:rFonts w:ascii="Arial" w:hAnsi="Arial" w:cs="Arial"/>
            </w:rPr>
          </w:pPr>
          <w:r w:rsidRPr="00C3415D">
            <w:rPr>
              <w:rFonts w:ascii="Arial" w:hAnsi="Arial" w:cs="Arial"/>
              <w:b/>
              <w:bCs/>
              <w:noProof/>
              <w:sz w:val="24"/>
              <w:szCs w:val="24"/>
            </w:rPr>
            <w:fldChar w:fldCharType="end"/>
          </w:r>
        </w:p>
      </w:sdtContent>
    </w:sdt>
    <w:p w14:paraId="41C51538" w14:textId="22DDBEC4" w:rsidR="00485CFF" w:rsidRDefault="00485CFF">
      <w:bookmarkStart w:id="1" w:name="_Toc129168326"/>
      <w:r>
        <w:br w:type="page"/>
      </w:r>
    </w:p>
    <w:p w14:paraId="2FEC3A9F" w14:textId="77777777" w:rsidR="00485CFF" w:rsidRDefault="00485CFF" w:rsidP="00485CFF"/>
    <w:p w14:paraId="0C01894D" w14:textId="71778AC7" w:rsidR="0001453D" w:rsidRPr="00BD2FE5" w:rsidRDefault="00485CFF" w:rsidP="00485CFF">
      <w:pPr>
        <w:pStyle w:val="1"/>
        <w:spacing w:beforeLines="50" w:before="120" w:afterLines="200" w:after="480" w:line="480" w:lineRule="auto"/>
        <w:jc w:val="both"/>
        <w:rPr>
          <w:rFonts w:ascii="Arial" w:hAnsi="Arial" w:cs="Arial"/>
        </w:rPr>
      </w:pPr>
      <w:r>
        <w:rPr>
          <w:rFonts w:ascii="Arial" w:hAnsi="Arial" w:cs="Arial"/>
        </w:rPr>
        <w:t xml:space="preserve">1. </w:t>
      </w:r>
      <w:r w:rsidR="00A71DAD" w:rsidRPr="00BD2FE5">
        <w:rPr>
          <w:rFonts w:ascii="Arial" w:hAnsi="Arial" w:cs="Arial"/>
        </w:rPr>
        <w:t>Introduction</w:t>
      </w:r>
      <w:bookmarkEnd w:id="1"/>
    </w:p>
    <w:p w14:paraId="7FA94383" w14:textId="2C1BAEB4" w:rsidR="003A5550" w:rsidRPr="00BD2FE5" w:rsidRDefault="003A5550" w:rsidP="00BD2FE5">
      <w:pPr>
        <w:pStyle w:val="2"/>
        <w:spacing w:beforeLines="50" w:before="120" w:afterLines="200" w:after="480" w:line="480" w:lineRule="auto"/>
        <w:jc w:val="both"/>
        <w:rPr>
          <w:rFonts w:ascii="Arial" w:hAnsi="Arial" w:cs="Arial"/>
          <w:lang w:eastAsia="zh-CN"/>
        </w:rPr>
      </w:pPr>
      <w:bookmarkStart w:id="2" w:name="_Toc129168327"/>
      <w:r w:rsidRPr="00BD2FE5">
        <w:rPr>
          <w:rFonts w:ascii="Arial" w:hAnsi="Arial" w:cs="Arial"/>
          <w:lang w:eastAsia="zh-CN"/>
        </w:rPr>
        <w:t>1.1 Background</w:t>
      </w:r>
      <w:bookmarkEnd w:id="2"/>
      <w:r w:rsidRPr="00BD2FE5">
        <w:rPr>
          <w:rFonts w:ascii="Arial" w:hAnsi="Arial" w:cs="Arial"/>
          <w:lang w:eastAsia="zh-CN"/>
        </w:rPr>
        <w:t xml:space="preserve"> </w:t>
      </w:r>
    </w:p>
    <w:p w14:paraId="5914B9FF" w14:textId="09738899" w:rsidR="00485CFF" w:rsidRPr="00C3415D" w:rsidRDefault="004B2115" w:rsidP="00BD2FE5">
      <w:pPr>
        <w:spacing w:beforeLines="50" w:before="120" w:afterLines="200" w:after="480" w:line="480" w:lineRule="auto"/>
        <w:jc w:val="both"/>
        <w:rPr>
          <w:rFonts w:ascii="Arial" w:hAnsi="Arial" w:cs="Arial"/>
          <w:sz w:val="24"/>
          <w:szCs w:val="24"/>
        </w:rPr>
      </w:pPr>
      <w:r w:rsidRPr="00C3415D">
        <w:rPr>
          <w:rFonts w:ascii="Arial" w:hAnsi="Arial" w:cs="Arial"/>
          <w:sz w:val="24"/>
          <w:szCs w:val="24"/>
        </w:rPr>
        <w:t xml:space="preserve">The severe haze </w:t>
      </w:r>
      <w:r w:rsidR="000E2701" w:rsidRPr="00C3415D">
        <w:rPr>
          <w:rFonts w:ascii="Arial" w:hAnsi="Arial" w:cs="Arial" w:hint="eastAsia"/>
          <w:sz w:val="24"/>
          <w:szCs w:val="24"/>
          <w:lang w:eastAsia="zh-CN"/>
        </w:rPr>
        <w:t>acr</w:t>
      </w:r>
      <w:r w:rsidR="000E2701" w:rsidRPr="00C3415D">
        <w:rPr>
          <w:rFonts w:ascii="Arial" w:hAnsi="Arial" w:cs="Arial"/>
          <w:sz w:val="24"/>
          <w:szCs w:val="24"/>
        </w:rPr>
        <w:t>oss major cities in the world</w:t>
      </w:r>
      <w:r w:rsidRPr="00C3415D">
        <w:rPr>
          <w:rFonts w:ascii="Arial" w:hAnsi="Arial" w:cs="Arial"/>
          <w:sz w:val="24"/>
          <w:szCs w:val="24"/>
        </w:rPr>
        <w:t xml:space="preserve"> and the oil crisis</w:t>
      </w:r>
      <w:r w:rsidR="000E2701" w:rsidRPr="00C3415D">
        <w:rPr>
          <w:rFonts w:ascii="Arial" w:hAnsi="Arial" w:cs="Arial"/>
          <w:sz w:val="24"/>
          <w:szCs w:val="24"/>
        </w:rPr>
        <w:t xml:space="preserve"> of recent years have</w:t>
      </w:r>
      <w:r w:rsidRPr="00C3415D">
        <w:rPr>
          <w:rFonts w:ascii="Arial" w:hAnsi="Arial" w:cs="Arial"/>
          <w:sz w:val="24"/>
          <w:szCs w:val="24"/>
        </w:rPr>
        <w:t xml:space="preserve"> made people gradually realise the seriousness of the air pollution problem caused by vehicle emissions and the future depletion of oil resources, which led to the exploration of sustainable technologies in related areas, and countries around the world began to research and develop</w:t>
      </w:r>
      <w:r w:rsidR="00063413">
        <w:rPr>
          <w:rFonts w:ascii="Arial" w:hAnsi="Arial" w:cs="Arial"/>
          <w:sz w:val="24"/>
          <w:szCs w:val="24"/>
        </w:rPr>
        <w:t xml:space="preserve"> (as R&amp;D)</w:t>
      </w:r>
      <w:r w:rsidRPr="00C3415D">
        <w:rPr>
          <w:rFonts w:ascii="Arial" w:hAnsi="Arial" w:cs="Arial"/>
          <w:sz w:val="24"/>
          <w:szCs w:val="24"/>
        </w:rPr>
        <w:t xml:space="preserve"> technologies and products related to new energy vehicles</w:t>
      </w:r>
      <w:r w:rsidR="00BD2FE5" w:rsidRPr="00C3415D">
        <w:rPr>
          <w:rFonts w:ascii="Arial" w:hAnsi="Arial" w:cs="Arial"/>
          <w:sz w:val="24"/>
          <w:szCs w:val="24"/>
        </w:rPr>
        <w:t xml:space="preserve"> </w:t>
      </w:r>
      <w:r w:rsidR="00BD2FE5"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{"citationID":"T6lqlahS","properties":{"formattedCitation":"(Yuan, Liu and Zuo, 2015)","plainCitation":"(Yuan, Liu and Zuo, 2015)","noteIndex":0},"citationItems":[{"id":"1E425fjT/Uy4xZyML","uris":["http://zotero.org/users/10703570/items/NCPJXTUS"],"itemData":{"id":537,"type":"article-journal","container-title":"Renewable and Sustainable Energy Reviews","ISSN":"1364-0321","journalAbbreviation":"Renewable and Sustainable Energy Reviews","note":"publisher: Elsevier","page":"298-305","title":"The development of new energy vehicles for a sustainable future: A review","volume":"42","author":[{"family":"Yuan","given":"Xueliang"},{"family":"Liu","given":"Xin"},{"family":"Zuo","given":"Jian"}],"issued":{"date-parts":[["2015"]]}}}],"schema":"https://github.com/citation-style-language/schema/raw/master/csl-citation.json"} </w:instrText>
      </w:r>
      <w:r w:rsidR="00BD2FE5" w:rsidRPr="00C3415D">
        <w:rPr>
          <w:rFonts w:ascii="Arial" w:hAnsi="Arial" w:cs="Arial"/>
          <w:sz w:val="24"/>
          <w:szCs w:val="24"/>
        </w:rPr>
        <w:fldChar w:fldCharType="separate"/>
      </w:r>
      <w:r w:rsidR="00BD2FE5" w:rsidRPr="00C3415D">
        <w:rPr>
          <w:rFonts w:ascii="Arial" w:hAnsi="Arial" w:cs="Arial"/>
          <w:sz w:val="24"/>
          <w:szCs w:val="24"/>
        </w:rPr>
        <w:t>(Yuan, Liu and Zuo, 2015)</w:t>
      </w:r>
      <w:r w:rsidR="00BD2FE5" w:rsidRPr="00C3415D">
        <w:rPr>
          <w:rFonts w:ascii="Arial" w:hAnsi="Arial" w:cs="Arial"/>
          <w:sz w:val="24"/>
          <w:szCs w:val="24"/>
        </w:rPr>
        <w:fldChar w:fldCharType="end"/>
      </w:r>
      <w:r w:rsidRPr="00C3415D">
        <w:rPr>
          <w:rFonts w:ascii="Arial" w:hAnsi="Arial" w:cs="Arial"/>
          <w:sz w:val="24"/>
          <w:szCs w:val="24"/>
        </w:rPr>
        <w:t>. With environmental protection and energy security issues becoming increasingly serious in countries around the world, there has been progress in policy, technology, cost and sustainability in relation to new energy vehicles. Due to policy guidance, technological advancement, narrowing cost gap and sustainability, new energy vehicles will undoubtedly become a major trend.</w:t>
      </w:r>
      <w:r w:rsidR="00EE0504" w:rsidRPr="00C3415D">
        <w:rPr>
          <w:rFonts w:ascii="Arial" w:hAnsi="Arial" w:cs="Arial"/>
          <w:sz w:val="24"/>
          <w:szCs w:val="24"/>
        </w:rPr>
        <w:t xml:space="preserve">  The new vehicle sales doubled in 2021 to 6.6 million even under the headwinds of Covid-19 (see the following </w:t>
      </w:r>
      <w:r w:rsidR="00BD2FE5" w:rsidRPr="00C3415D">
        <w:rPr>
          <w:rFonts w:ascii="Arial" w:hAnsi="Arial" w:cs="Arial"/>
          <w:sz w:val="24"/>
          <w:szCs w:val="24"/>
        </w:rPr>
        <w:t>Figure)</w:t>
      </w:r>
      <w:r w:rsidR="00485CFF" w:rsidRPr="00C3415D">
        <w:rPr>
          <w:rFonts w:ascii="Arial" w:hAnsi="Arial" w:cs="Arial"/>
          <w:sz w:val="24"/>
          <w:szCs w:val="24"/>
        </w:rPr>
        <w:t xml:space="preserve"> </w:t>
      </w:r>
      <w:r w:rsidR="00485CFF"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{"citationID":"Mo5xmChf","properties":{"formattedCitation":"(Statista, 2023)","plainCitation":"(Statista, 2023)","noteIndex":0},"citationItems":[{"id":719,"uris":["http://zotero.org/users/10703570/items/YXKALYN4"],"itemData":{"id":719,"type":"webpage","title":"Chart: Global Electric Car Sales Doubled in 2021","author":[{"family":"Statista","given":""}],"issued":{"date-parts":[["2023"]]}}}],"schema":"https://github.com/citation-style-language/schema/raw/master/csl-citation.json"} </w:instrText>
      </w:r>
      <w:r w:rsidR="00485CFF" w:rsidRPr="00C3415D">
        <w:rPr>
          <w:rFonts w:ascii="Arial" w:hAnsi="Arial" w:cs="Arial"/>
          <w:sz w:val="24"/>
          <w:szCs w:val="24"/>
        </w:rPr>
        <w:fldChar w:fldCharType="separate"/>
      </w:r>
      <w:r w:rsidR="00485CFF" w:rsidRPr="00C3415D">
        <w:rPr>
          <w:rFonts w:ascii="Arial" w:hAnsi="Arial" w:cs="Arial"/>
          <w:sz w:val="24"/>
          <w:szCs w:val="24"/>
        </w:rPr>
        <w:t>(Statista, 2023)</w:t>
      </w:r>
      <w:r w:rsidR="00485CFF" w:rsidRPr="00C3415D">
        <w:rPr>
          <w:rFonts w:ascii="Arial" w:hAnsi="Arial" w:cs="Arial"/>
          <w:sz w:val="24"/>
          <w:szCs w:val="24"/>
        </w:rPr>
        <w:fldChar w:fldCharType="end"/>
      </w:r>
      <w:r w:rsidR="00BD2FE5" w:rsidRPr="00C3415D">
        <w:rPr>
          <w:rFonts w:ascii="Arial" w:hAnsi="Arial" w:cs="Arial"/>
          <w:sz w:val="24"/>
          <w:szCs w:val="24"/>
        </w:rPr>
        <w:t>. However</w:t>
      </w:r>
      <w:r w:rsidRPr="00C3415D">
        <w:rPr>
          <w:rFonts w:ascii="Arial" w:hAnsi="Arial" w:cs="Arial"/>
          <w:sz w:val="24"/>
          <w:szCs w:val="24"/>
        </w:rPr>
        <w:t xml:space="preserve">, the proportion of new energy vehicles in total global vehicle sales still has great room for growth. Based on the rigid demand for vehicles in the global market, both traditional car companies that are transforming into new energy and start-up new energy car companies have extremely high market capacity and market opportunities. According to the </w:t>
      </w:r>
      <w:r w:rsidR="00BD2FE5"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{"citationID":"3EtccRQw","properties":{"formattedCitation":"(International Energy Agency, 2022)","plainCitation":"(International Energy Agency, 2022)","dontUpdate":true,"noteIndex":0},"citationItems":[{"id":"1E425fjT/x4vrc77O","uris":["http://zotero.org/users/10703570/items/MSFBH2RB"],"itemData":{"id":538,"type":"report","title":"World Energy Outlook 2022","URL":"https://www.iea.org/reports/world-energy-outlook-2022","author":[{"family":"International Energy Agency","given":""}],"accessed":{"date-parts":[["2023",3,5]]},"issued":{"date-parts":[["2022"]]}}}],"schema":"https://github.com/citation-style-language/schema/raw/master/csl-citation.json"} </w:instrText>
      </w:r>
      <w:r w:rsidR="00BD2FE5" w:rsidRPr="00C3415D">
        <w:rPr>
          <w:rFonts w:ascii="Arial" w:hAnsi="Arial" w:cs="Arial"/>
          <w:sz w:val="24"/>
          <w:szCs w:val="24"/>
        </w:rPr>
        <w:fldChar w:fldCharType="separate"/>
      </w:r>
      <w:r w:rsidR="00BD2FE5" w:rsidRPr="00C3415D">
        <w:rPr>
          <w:rFonts w:ascii="Arial" w:hAnsi="Arial" w:cs="Arial"/>
          <w:sz w:val="24"/>
          <w:szCs w:val="24"/>
        </w:rPr>
        <w:t>International Energy Agency's (2022)</w:t>
      </w:r>
      <w:r w:rsidR="00BD2FE5" w:rsidRPr="00C3415D">
        <w:rPr>
          <w:rFonts w:ascii="Arial" w:hAnsi="Arial" w:cs="Arial"/>
          <w:sz w:val="24"/>
          <w:szCs w:val="24"/>
        </w:rPr>
        <w:fldChar w:fldCharType="end"/>
      </w:r>
      <w:r w:rsidRPr="00C3415D">
        <w:rPr>
          <w:rFonts w:ascii="Arial" w:hAnsi="Arial" w:cs="Arial"/>
          <w:sz w:val="24"/>
          <w:szCs w:val="24"/>
        </w:rPr>
        <w:t xml:space="preserve"> optimistic forecast, global sales of new energy vehicles (including pure electric and plug-in hybrids) will reach 19.98 million units by 2025, representing a penetration rate of approximately 17.0% and a compound growth rate of approximately 45% from 2020 to 2025. The global penetration of new energy vehicles </w:t>
      </w:r>
      <w:r w:rsidRPr="00C3415D">
        <w:rPr>
          <w:rFonts w:ascii="Arial" w:hAnsi="Arial" w:cs="Arial"/>
          <w:sz w:val="24"/>
          <w:szCs w:val="24"/>
        </w:rPr>
        <w:lastRenderedPageBreak/>
        <w:t>is expected to shift from slow growth in the past few years to rapid growth in the coming years.</w:t>
      </w:r>
    </w:p>
    <w:p w14:paraId="220102A9" w14:textId="0B305477" w:rsidR="00F417A0" w:rsidRPr="00C3415D" w:rsidRDefault="00485CFF" w:rsidP="00485CFF">
      <w:pPr>
        <w:spacing w:beforeLines="50" w:before="120" w:afterLines="200" w:after="480" w:line="480" w:lineRule="auto"/>
        <w:jc w:val="center"/>
        <w:rPr>
          <w:rFonts w:ascii="Arial" w:hAnsi="Arial" w:cs="Arial"/>
          <w:sz w:val="24"/>
          <w:szCs w:val="24"/>
        </w:rPr>
      </w:pPr>
      <w:r w:rsidRPr="00C3415D">
        <w:rPr>
          <w:rFonts w:ascii="Arial" w:hAnsi="Arial" w:cs="Arial"/>
          <w:noProof/>
          <w:sz w:val="24"/>
          <w:szCs w:val="24"/>
          <w:lang w:val="en-US" w:eastAsia="zh-CN"/>
        </w:rPr>
        <w:drawing>
          <wp:inline distT="0" distB="0" distL="0" distR="0" wp14:anchorId="5FA18952" wp14:editId="77939437">
            <wp:extent cx="3072655" cy="307265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6456" cy="3076456"/>
                    </a:xfrm>
                    <a:prstGeom prst="rect">
                      <a:avLst/>
                    </a:prstGeom>
                    <a:noFill/>
                  </pic:spPr>
                </pic:pic>
              </a:graphicData>
            </a:graphic>
          </wp:inline>
        </w:drawing>
      </w:r>
    </w:p>
    <w:p w14:paraId="40020395" w14:textId="498754CC" w:rsidR="007D65BF" w:rsidRPr="00C3415D" w:rsidRDefault="007D65BF" w:rsidP="00BD2FE5">
      <w:pPr>
        <w:spacing w:beforeLines="50" w:before="120" w:afterLines="200" w:after="480" w:line="480" w:lineRule="auto"/>
        <w:jc w:val="center"/>
        <w:rPr>
          <w:rFonts w:ascii="Arial" w:hAnsi="Arial" w:cs="Arial"/>
          <w:sz w:val="24"/>
          <w:szCs w:val="24"/>
          <w:lang w:eastAsia="zh-CN"/>
        </w:rPr>
      </w:pPr>
      <w:r w:rsidRPr="00C3415D">
        <w:rPr>
          <w:rFonts w:ascii="Arial" w:hAnsi="Arial" w:cs="Arial"/>
          <w:sz w:val="24"/>
          <w:szCs w:val="24"/>
          <w:lang w:eastAsia="zh-CN"/>
        </w:rPr>
        <w:t>Figure 1: Global sales and slae market share of electric vehicles from 2010 to 2021</w:t>
      </w:r>
    </w:p>
    <w:p w14:paraId="7F63E018" w14:textId="6691F473" w:rsidR="007D65BF" w:rsidRPr="00C3415D" w:rsidRDefault="007D65BF" w:rsidP="00BD2FE5">
      <w:pPr>
        <w:spacing w:beforeLines="50" w:before="120" w:afterLines="200" w:after="480" w:line="480" w:lineRule="auto"/>
        <w:jc w:val="center"/>
        <w:rPr>
          <w:rFonts w:ascii="Arial" w:hAnsi="Arial" w:cs="Arial"/>
          <w:sz w:val="24"/>
          <w:szCs w:val="24"/>
          <w:lang w:eastAsia="zh-CN"/>
        </w:rPr>
      </w:pPr>
      <w:r w:rsidRPr="00C3415D">
        <w:rPr>
          <w:rFonts w:ascii="Arial" w:hAnsi="Arial" w:cs="Arial"/>
          <w:sz w:val="24"/>
          <w:szCs w:val="24"/>
          <w:lang w:eastAsia="zh-CN"/>
        </w:rPr>
        <w:t xml:space="preserve">Source: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{"citationID":"QW7Zw0Nr","properties":{"formattedCitation":"(Statista, 2023)","plainCitation":"(Statista, 2023)","noteIndex":0},"citationItems":[{"id":719,"uris":["http://zotero.org/users/10703570/items/YXKALYN4"],"itemData":{"id":719,"type":"webpage","title":"Chart: Global Electric Car Sales Doubled in 2021","author":[{"family":"Statista","given":""}],"issued":{"date-parts":[["2023"]]}}}],"schema":"https://github.com/citation-style-language/schema/raw/master/csl-citation.json"} </w:instrText>
      </w:r>
      <w:r w:rsidRPr="00C3415D">
        <w:rPr>
          <w:rFonts w:ascii="Arial" w:hAnsi="Arial" w:cs="Arial"/>
          <w:sz w:val="24"/>
          <w:szCs w:val="24"/>
          <w:lang w:eastAsia="zh-CN"/>
        </w:rPr>
        <w:fldChar w:fldCharType="separate"/>
      </w:r>
      <w:r w:rsidR="00485CFF" w:rsidRPr="00C3415D">
        <w:rPr>
          <w:rFonts w:ascii="Arial" w:hAnsi="Arial" w:cs="Arial"/>
          <w:sz w:val="24"/>
          <w:szCs w:val="24"/>
        </w:rPr>
        <w:t>(Statista, 2023)</w:t>
      </w:r>
      <w:r w:rsidRPr="00C3415D">
        <w:rPr>
          <w:rFonts w:ascii="Arial" w:hAnsi="Arial" w:cs="Arial"/>
          <w:sz w:val="24"/>
          <w:szCs w:val="24"/>
          <w:lang w:eastAsia="zh-CN"/>
        </w:rPr>
        <w:fldChar w:fldCharType="end"/>
      </w:r>
    </w:p>
    <w:p w14:paraId="19043A15" w14:textId="6F0F1C54" w:rsidR="004B2115"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At the same time, the competitive environment of </w:t>
      </w:r>
      <w:r w:rsidR="000E2701" w:rsidRPr="00C3415D">
        <w:rPr>
          <w:rFonts w:ascii="Arial" w:hAnsi="Arial" w:cs="Arial"/>
          <w:sz w:val="24"/>
          <w:szCs w:val="24"/>
          <w:lang w:eastAsia="zh-CN"/>
        </w:rPr>
        <w:t xml:space="preserve">the </w:t>
      </w:r>
      <w:r w:rsidRPr="00C3415D">
        <w:rPr>
          <w:rFonts w:ascii="Arial" w:hAnsi="Arial" w:cs="Arial"/>
          <w:sz w:val="24"/>
          <w:szCs w:val="24"/>
          <w:lang w:eastAsia="zh-CN"/>
        </w:rPr>
        <w:t>new energy vehicle business is in constant change, and incumbents need to adjust their strategies continuously according to the operational landscape.</w:t>
      </w:r>
      <w:r w:rsidR="006C3381">
        <w:rPr>
          <w:rFonts w:ascii="Arial" w:hAnsi="Arial" w:cs="Arial"/>
          <w:sz w:val="24"/>
          <w:szCs w:val="24"/>
          <w:lang w:eastAsia="zh-CN"/>
        </w:rPr>
        <w:t xml:space="preserve"> Tesla, an US-based electric vehicle designer, manufacturer and distribution, with an global presence across nearly all major markets, has been in the centre of attention and discussion</w:t>
      </w:r>
      <w:r w:rsidR="00413B98">
        <w:rPr>
          <w:rFonts w:ascii="Arial" w:hAnsi="Arial" w:cs="Arial"/>
          <w:sz w:val="24"/>
          <w:szCs w:val="24"/>
          <w:lang w:eastAsia="zh-CN"/>
        </w:rPr>
        <w:t xml:space="preserve">. Tesla is the most welcomed </w:t>
      </w:r>
      <w:r w:rsidR="00C05C76">
        <w:rPr>
          <w:rFonts w:ascii="Arial" w:hAnsi="Arial" w:cs="Arial"/>
          <w:sz w:val="24"/>
          <w:szCs w:val="24"/>
          <w:lang w:eastAsia="zh-CN"/>
        </w:rPr>
        <w:t>electric vehicle</w:t>
      </w:r>
      <w:r w:rsidR="00413B98">
        <w:rPr>
          <w:rFonts w:ascii="Arial" w:hAnsi="Arial" w:cs="Arial"/>
          <w:sz w:val="24"/>
          <w:szCs w:val="24"/>
          <w:lang w:eastAsia="zh-CN"/>
        </w:rPr>
        <w:t xml:space="preserve"> brands and also the one with the highest market capitalization so far.</w:t>
      </w:r>
      <w:r w:rsidR="004B2115" w:rsidRPr="00C3415D">
        <w:rPr>
          <w:rFonts w:ascii="Arial" w:hAnsi="Arial" w:cs="Arial"/>
          <w:sz w:val="24"/>
          <w:szCs w:val="24"/>
        </w:rPr>
        <w:t xml:space="preserve"> Evaluating the existing </w:t>
      </w:r>
      <w:r w:rsidR="00413B98">
        <w:rPr>
          <w:rFonts w:ascii="Arial" w:hAnsi="Arial" w:cs="Arial"/>
          <w:sz w:val="24"/>
          <w:szCs w:val="24"/>
        </w:rPr>
        <w:t>competitive</w:t>
      </w:r>
      <w:r w:rsidR="004B2115" w:rsidRPr="00C3415D">
        <w:rPr>
          <w:rFonts w:ascii="Arial" w:hAnsi="Arial" w:cs="Arial"/>
          <w:sz w:val="24"/>
          <w:szCs w:val="24"/>
        </w:rPr>
        <w:t xml:space="preserve"> strategies</w:t>
      </w:r>
      <w:r w:rsidR="00413B98">
        <w:rPr>
          <w:rFonts w:ascii="Arial" w:hAnsi="Arial" w:cs="Arial"/>
          <w:sz w:val="24"/>
          <w:szCs w:val="24"/>
        </w:rPr>
        <w:t xml:space="preserve"> of Tesla</w:t>
      </w:r>
      <w:r w:rsidR="004B2115" w:rsidRPr="00C3415D">
        <w:rPr>
          <w:rFonts w:ascii="Arial" w:hAnsi="Arial" w:cs="Arial"/>
          <w:sz w:val="24"/>
          <w:szCs w:val="24"/>
        </w:rPr>
        <w:t xml:space="preserve"> in the context of the environment and the development of the company itself </w:t>
      </w:r>
      <w:r w:rsidRPr="00C3415D">
        <w:rPr>
          <w:rFonts w:ascii="Arial" w:hAnsi="Arial" w:cs="Arial"/>
          <w:sz w:val="24"/>
          <w:szCs w:val="24"/>
        </w:rPr>
        <w:t xml:space="preserve">can be conductive to formulate its future development scheme by staying competitive. </w:t>
      </w:r>
    </w:p>
    <w:p w14:paraId="631A5703" w14:textId="5855E920" w:rsidR="00A71DAD" w:rsidRPr="00C3415D" w:rsidRDefault="003A5550" w:rsidP="00BD2FE5">
      <w:pPr>
        <w:pStyle w:val="2"/>
        <w:spacing w:beforeLines="50" w:before="120" w:afterLines="200" w:after="480" w:line="480" w:lineRule="auto"/>
        <w:jc w:val="both"/>
        <w:rPr>
          <w:rFonts w:ascii="Arial" w:hAnsi="Arial" w:cs="Arial"/>
          <w:sz w:val="24"/>
          <w:szCs w:val="24"/>
        </w:rPr>
      </w:pPr>
      <w:bookmarkStart w:id="3" w:name="_Toc129168328"/>
      <w:r w:rsidRPr="00C3415D">
        <w:rPr>
          <w:rFonts w:ascii="Arial" w:hAnsi="Arial" w:cs="Arial"/>
          <w:sz w:val="24"/>
          <w:szCs w:val="24"/>
        </w:rPr>
        <w:lastRenderedPageBreak/>
        <w:t xml:space="preserve">1.2 </w:t>
      </w:r>
      <w:r w:rsidR="003F3DC6" w:rsidRPr="00C3415D">
        <w:rPr>
          <w:rFonts w:ascii="Arial" w:hAnsi="Arial" w:cs="Arial"/>
          <w:sz w:val="24"/>
          <w:szCs w:val="24"/>
        </w:rPr>
        <w:t>Objectives</w:t>
      </w:r>
      <w:bookmarkEnd w:id="3"/>
    </w:p>
    <w:p w14:paraId="44051958" w14:textId="734E4BC4" w:rsidR="004B2115" w:rsidRPr="00C3415D" w:rsidRDefault="004B2115" w:rsidP="00BD2FE5">
      <w:pPr>
        <w:spacing w:beforeLines="50" w:before="120" w:afterLines="200" w:after="480" w:line="480" w:lineRule="auto"/>
        <w:jc w:val="both"/>
        <w:rPr>
          <w:rFonts w:ascii="Arial" w:hAnsi="Arial" w:cs="Arial"/>
          <w:sz w:val="24"/>
          <w:szCs w:val="24"/>
        </w:rPr>
      </w:pPr>
      <w:r w:rsidRPr="00C3415D">
        <w:rPr>
          <w:rFonts w:ascii="Arial" w:hAnsi="Arial" w:cs="Arial"/>
          <w:sz w:val="24"/>
          <w:szCs w:val="24"/>
        </w:rPr>
        <w:t xml:space="preserve">Against the above backdrop, the present report </w:t>
      </w:r>
      <w:r w:rsidR="003A5550" w:rsidRPr="00C3415D">
        <w:rPr>
          <w:rFonts w:ascii="Arial" w:hAnsi="Arial" w:cs="Arial"/>
          <w:sz w:val="24"/>
          <w:szCs w:val="24"/>
        </w:rPr>
        <w:t xml:space="preserve">has the following objectives </w:t>
      </w:r>
    </w:p>
    <w:p w14:paraId="1DBD9CC2" w14:textId="3660A9AC" w:rsidR="003A5550" w:rsidRPr="00C3415D" w:rsidRDefault="003A5550" w:rsidP="00BD2FE5">
      <w:pPr>
        <w:pStyle w:val="aa"/>
        <w:numPr>
          <w:ilvl w:val="0"/>
          <w:numId w:val="2"/>
        </w:numPr>
        <w:spacing w:beforeLines="50" w:before="120" w:afterLines="200" w:after="480" w:line="480" w:lineRule="auto"/>
        <w:ind w:firstLineChars="0"/>
        <w:jc w:val="both"/>
        <w:rPr>
          <w:rFonts w:ascii="Arial" w:hAnsi="Arial" w:cs="Arial"/>
          <w:sz w:val="24"/>
          <w:szCs w:val="24"/>
          <w:lang w:eastAsia="zh-CN"/>
        </w:rPr>
      </w:pPr>
      <w:r w:rsidRPr="00C3415D">
        <w:rPr>
          <w:rFonts w:ascii="Arial" w:hAnsi="Arial" w:cs="Arial"/>
          <w:sz w:val="24"/>
          <w:szCs w:val="24"/>
          <w:lang w:eastAsia="zh-CN"/>
        </w:rPr>
        <w:t xml:space="preserve">To </w:t>
      </w:r>
      <w:proofErr w:type="spellStart"/>
      <w:r w:rsidRPr="00C3415D">
        <w:rPr>
          <w:rFonts w:ascii="Arial" w:hAnsi="Arial" w:cs="Arial"/>
          <w:sz w:val="24"/>
          <w:szCs w:val="24"/>
          <w:lang w:eastAsia="zh-CN"/>
        </w:rPr>
        <w:t>analyze</w:t>
      </w:r>
      <w:proofErr w:type="spellEnd"/>
      <w:r w:rsidRPr="00C3415D">
        <w:rPr>
          <w:rFonts w:ascii="Arial" w:hAnsi="Arial" w:cs="Arial"/>
          <w:sz w:val="24"/>
          <w:szCs w:val="24"/>
          <w:lang w:eastAsia="zh-CN"/>
        </w:rPr>
        <w:t xml:space="preserve"> the current competitive strategy used by Tesla</w:t>
      </w:r>
    </w:p>
    <w:p w14:paraId="3559F6F0" w14:textId="163D1277" w:rsidR="003A5550" w:rsidRPr="00BD2FE5" w:rsidRDefault="003A5550" w:rsidP="00BD2FE5">
      <w:pPr>
        <w:pStyle w:val="aa"/>
        <w:numPr>
          <w:ilvl w:val="0"/>
          <w:numId w:val="2"/>
        </w:numPr>
        <w:spacing w:beforeLines="50" w:before="120" w:afterLines="200" w:after="480" w:line="480" w:lineRule="auto"/>
        <w:ind w:firstLineChars="0"/>
        <w:jc w:val="both"/>
        <w:rPr>
          <w:rFonts w:ascii="Arial" w:hAnsi="Arial" w:cs="Arial"/>
          <w:sz w:val="22"/>
          <w:lang w:eastAsia="zh-CN"/>
        </w:rPr>
      </w:pPr>
      <w:r w:rsidRPr="00C3415D">
        <w:rPr>
          <w:rFonts w:ascii="Arial" w:hAnsi="Arial" w:cs="Arial"/>
          <w:sz w:val="24"/>
          <w:szCs w:val="24"/>
          <w:lang w:eastAsia="zh-CN"/>
        </w:rPr>
        <w:t>To evaluate the effectiveness of the competitive strategy u</w:t>
      </w:r>
      <w:r w:rsidRPr="00BD2FE5">
        <w:rPr>
          <w:rFonts w:ascii="Arial" w:hAnsi="Arial" w:cs="Arial"/>
          <w:sz w:val="22"/>
          <w:lang w:eastAsia="zh-CN"/>
        </w:rPr>
        <w:t xml:space="preserve">sed by Tesla </w:t>
      </w:r>
    </w:p>
    <w:p w14:paraId="3FFA1494" w14:textId="3DD7E5AC" w:rsidR="003A5550" w:rsidRPr="00BD2FE5" w:rsidRDefault="003A5550" w:rsidP="00BD2FE5">
      <w:pPr>
        <w:pStyle w:val="aa"/>
        <w:numPr>
          <w:ilvl w:val="0"/>
          <w:numId w:val="2"/>
        </w:numPr>
        <w:spacing w:beforeLines="50" w:before="120" w:afterLines="200" w:after="480" w:line="480" w:lineRule="auto"/>
        <w:ind w:firstLineChars="0"/>
        <w:jc w:val="both"/>
        <w:rPr>
          <w:rFonts w:ascii="Arial" w:hAnsi="Arial" w:cs="Arial"/>
          <w:sz w:val="22"/>
          <w:lang w:eastAsia="zh-CN"/>
        </w:rPr>
      </w:pPr>
      <w:r w:rsidRPr="00BD2FE5">
        <w:rPr>
          <w:rFonts w:ascii="Arial" w:hAnsi="Arial" w:cs="Arial"/>
          <w:sz w:val="22"/>
          <w:lang w:eastAsia="zh-CN"/>
        </w:rPr>
        <w:t xml:space="preserve">To prompt corresponding recommendations for Tesla </w:t>
      </w:r>
    </w:p>
    <w:p w14:paraId="78C38264" w14:textId="67783797" w:rsidR="00A71DAD" w:rsidRPr="00BD2FE5" w:rsidRDefault="003A5550" w:rsidP="00BD2FE5">
      <w:pPr>
        <w:pStyle w:val="2"/>
        <w:spacing w:beforeLines="50" w:before="120" w:afterLines="200" w:after="480" w:line="480" w:lineRule="auto"/>
        <w:jc w:val="both"/>
        <w:rPr>
          <w:rFonts w:ascii="Arial" w:hAnsi="Arial" w:cs="Arial"/>
        </w:rPr>
      </w:pPr>
      <w:bookmarkStart w:id="4" w:name="_Toc129168329"/>
      <w:r w:rsidRPr="00BD2FE5">
        <w:rPr>
          <w:rFonts w:ascii="Arial" w:hAnsi="Arial" w:cs="Arial"/>
        </w:rPr>
        <w:t xml:space="preserve">1.3 </w:t>
      </w:r>
      <w:r w:rsidR="00A71DAD" w:rsidRPr="00BD2FE5">
        <w:rPr>
          <w:rFonts w:ascii="Arial" w:hAnsi="Arial" w:cs="Arial"/>
        </w:rPr>
        <w:t>Scope</w:t>
      </w:r>
      <w:bookmarkEnd w:id="4"/>
    </w:p>
    <w:p w14:paraId="572E3513" w14:textId="26DC92D2" w:rsidR="00485CFF" w:rsidRPr="00C3415D" w:rsidRDefault="003A5550" w:rsidP="00BD2FE5">
      <w:pPr>
        <w:spacing w:beforeLines="50" w:before="120" w:afterLines="200" w:after="480" w:line="480" w:lineRule="auto"/>
        <w:jc w:val="both"/>
        <w:rPr>
          <w:rFonts w:ascii="Arial" w:hAnsi="Arial" w:cs="Arial"/>
          <w:sz w:val="24"/>
          <w:szCs w:val="22"/>
        </w:rPr>
      </w:pPr>
      <w:r w:rsidRPr="00C3415D">
        <w:rPr>
          <w:rFonts w:ascii="Arial" w:hAnsi="Arial" w:cs="Arial"/>
          <w:sz w:val="24"/>
          <w:szCs w:val="22"/>
        </w:rPr>
        <w:t>Rather than explor</w:t>
      </w:r>
      <w:r w:rsidR="000E2701" w:rsidRPr="00C3415D">
        <w:rPr>
          <w:rFonts w:ascii="Arial" w:hAnsi="Arial" w:cs="Arial"/>
          <w:sz w:val="24"/>
          <w:szCs w:val="22"/>
        </w:rPr>
        <w:t>ing</w:t>
      </w:r>
      <w:r w:rsidRPr="00C3415D">
        <w:rPr>
          <w:rFonts w:ascii="Arial" w:hAnsi="Arial" w:cs="Arial"/>
          <w:sz w:val="24"/>
          <w:szCs w:val="22"/>
        </w:rPr>
        <w:t xml:space="preserve"> every aspect of Tesla’s operation, the present report </w:t>
      </w:r>
      <w:r w:rsidR="00485CFF" w:rsidRPr="00C3415D">
        <w:rPr>
          <w:rFonts w:ascii="Arial" w:hAnsi="Arial" w:cs="Arial"/>
          <w:sz w:val="24"/>
          <w:szCs w:val="22"/>
        </w:rPr>
        <w:t>focusses</w:t>
      </w:r>
      <w:r w:rsidRPr="00C3415D">
        <w:rPr>
          <w:rFonts w:ascii="Arial" w:hAnsi="Arial" w:cs="Arial"/>
          <w:sz w:val="24"/>
          <w:szCs w:val="22"/>
        </w:rPr>
        <w:t xml:space="preserve"> on the corporate-level competitive strategy</w:t>
      </w:r>
      <w:r w:rsidR="000E2701" w:rsidRPr="00C3415D">
        <w:rPr>
          <w:rFonts w:ascii="Arial" w:hAnsi="Arial" w:cs="Arial"/>
          <w:sz w:val="24"/>
          <w:szCs w:val="22"/>
        </w:rPr>
        <w:t xml:space="preserve"> of Tesla that provides overall orientation over the long-term development</w:t>
      </w:r>
      <w:r w:rsidRPr="00C3415D">
        <w:rPr>
          <w:rFonts w:ascii="Arial" w:hAnsi="Arial" w:cs="Arial"/>
          <w:sz w:val="24"/>
          <w:szCs w:val="22"/>
        </w:rPr>
        <w:t xml:space="preserve">. </w:t>
      </w:r>
      <w:r w:rsidR="003F069B" w:rsidRPr="00C3415D">
        <w:rPr>
          <w:rFonts w:ascii="Arial" w:hAnsi="Arial" w:cs="Arial"/>
          <w:sz w:val="24"/>
          <w:szCs w:val="22"/>
        </w:rPr>
        <w:t>Moreover, rather than focusing on empirical primary data, t</w:t>
      </w:r>
      <w:r w:rsidRPr="00C3415D">
        <w:rPr>
          <w:rFonts w:ascii="Arial" w:hAnsi="Arial" w:cs="Arial"/>
          <w:sz w:val="24"/>
          <w:szCs w:val="22"/>
        </w:rPr>
        <w:t>he secondary data will be triangulated from different resources to support the argument</w:t>
      </w:r>
      <w:r w:rsidR="003F069B" w:rsidRPr="00C3415D">
        <w:rPr>
          <w:rFonts w:ascii="Arial" w:hAnsi="Arial" w:cs="Arial"/>
          <w:sz w:val="24"/>
          <w:szCs w:val="22"/>
        </w:rPr>
        <w:t xml:space="preserve"> in the present paper. </w:t>
      </w:r>
    </w:p>
    <w:p w14:paraId="1675236C" w14:textId="52008CD5" w:rsidR="003A5550" w:rsidRPr="00BD2FE5" w:rsidRDefault="00485CFF" w:rsidP="00485CFF">
      <w:pPr>
        <w:rPr>
          <w:rFonts w:ascii="Arial" w:hAnsi="Arial" w:cs="Arial"/>
          <w:sz w:val="22"/>
        </w:rPr>
      </w:pPr>
      <w:r>
        <w:rPr>
          <w:rFonts w:ascii="Arial" w:hAnsi="Arial" w:cs="Arial"/>
          <w:sz w:val="22"/>
        </w:rPr>
        <w:br w:type="page"/>
      </w:r>
    </w:p>
    <w:p w14:paraId="745D827E" w14:textId="201D35AF" w:rsidR="00A71DAD" w:rsidRPr="00485CFF" w:rsidRDefault="00485CFF" w:rsidP="00485CFF">
      <w:pPr>
        <w:pStyle w:val="1"/>
        <w:numPr>
          <w:ilvl w:val="0"/>
          <w:numId w:val="5"/>
        </w:numPr>
        <w:spacing w:beforeLines="50" w:before="120" w:afterLines="200" w:after="480" w:line="480" w:lineRule="auto"/>
        <w:jc w:val="both"/>
        <w:rPr>
          <w:rFonts w:ascii="Arial" w:hAnsi="Arial" w:cs="Arial"/>
        </w:rPr>
      </w:pPr>
      <w:bookmarkStart w:id="5" w:name="_Toc129168330"/>
      <w:r w:rsidRPr="00485CFF">
        <w:rPr>
          <w:rFonts w:ascii="Arial" w:hAnsi="Arial" w:cs="Arial"/>
        </w:rPr>
        <w:lastRenderedPageBreak/>
        <w:t>The competitive strategy of Tesla</w:t>
      </w:r>
      <w:bookmarkEnd w:id="5"/>
      <w:r w:rsidRPr="00485CFF">
        <w:rPr>
          <w:rFonts w:ascii="Arial" w:hAnsi="Arial" w:cs="Arial"/>
        </w:rPr>
        <w:t xml:space="preserve"> </w:t>
      </w:r>
    </w:p>
    <w:p w14:paraId="4C224E52" w14:textId="7A912DA3" w:rsidR="00EF5ED2" w:rsidRPr="00485CFF" w:rsidRDefault="00485CFF" w:rsidP="00024EE8">
      <w:pPr>
        <w:pStyle w:val="2"/>
        <w:numPr>
          <w:ilvl w:val="1"/>
          <w:numId w:val="5"/>
        </w:numPr>
        <w:spacing w:beforeLines="50" w:before="120" w:afterLines="200" w:after="480" w:line="480" w:lineRule="auto"/>
        <w:jc w:val="both"/>
        <w:rPr>
          <w:rFonts w:ascii="Arial" w:hAnsi="Arial" w:cs="Arial"/>
        </w:rPr>
      </w:pPr>
      <w:bookmarkStart w:id="6" w:name="_Toc129168331"/>
      <w:r>
        <w:rPr>
          <w:rFonts w:ascii="Arial" w:hAnsi="Arial" w:cs="Arial" w:hint="eastAsia"/>
          <w:lang w:eastAsia="zh-CN"/>
        </w:rPr>
        <w:t>P</w:t>
      </w:r>
      <w:r>
        <w:rPr>
          <w:rFonts w:ascii="Arial" w:hAnsi="Arial" w:cs="Arial"/>
          <w:lang w:eastAsia="zh-CN"/>
        </w:rPr>
        <w:t>hase one: differentiation strategy</w:t>
      </w:r>
      <w:bookmarkEnd w:id="6"/>
      <w:r>
        <w:rPr>
          <w:rFonts w:ascii="Arial" w:hAnsi="Arial" w:cs="Arial"/>
          <w:lang w:eastAsia="zh-CN"/>
        </w:rPr>
        <w:t xml:space="preserve"> </w:t>
      </w:r>
    </w:p>
    <w:p w14:paraId="1C40E896" w14:textId="69F13D0C" w:rsidR="003D3B0E" w:rsidRPr="00C3415D" w:rsidRDefault="00BD2FE5" w:rsidP="00BD2FE5">
      <w:pPr>
        <w:spacing w:beforeLines="50" w:before="120" w:afterLines="200" w:after="480" w:line="480" w:lineRule="auto"/>
        <w:jc w:val="both"/>
        <w:rPr>
          <w:rFonts w:ascii="Arial" w:hAnsi="Arial" w:cs="Arial"/>
          <w:sz w:val="24"/>
          <w:szCs w:val="24"/>
        </w:rPr>
      </w:pPr>
      <w:r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{"citationID":"wUJIRTIB","properties":{"formattedCitation":"(Bowman and Asch, 1996)","plainCitation":"(Bowman and Asch, 1996)","dontUpdate":true,"noteIndex":0},"citationItems":[{"id":"1E425fjT/w9GJcXn7","uris":["http://zotero.org/users/10703570/items/6949Z4Y3"],"itemData":{"id":540,"type":"book","ISBN":"0-333-60888-7","publisher":"Springer","title":"Managing strategy","author":[{"family":"Bowman","given":"Cliff"},{"family":"Asch","given":"David"}],"issued":{"date-parts":[["1996"]]}}}],"schema":"https://github.com/citation-style-language/schema/raw/master/csl-citation.json"} </w:instrText>
      </w:r>
      <w:r w:rsidRPr="00C3415D">
        <w:rPr>
          <w:rFonts w:ascii="Arial" w:hAnsi="Arial" w:cs="Arial"/>
          <w:sz w:val="24"/>
          <w:szCs w:val="24"/>
        </w:rPr>
        <w:fldChar w:fldCharType="separate"/>
      </w:r>
      <w:r w:rsidRPr="00C3415D">
        <w:rPr>
          <w:rFonts w:ascii="Arial" w:hAnsi="Arial" w:cs="Arial"/>
          <w:sz w:val="24"/>
          <w:szCs w:val="24"/>
        </w:rPr>
        <w:t>Bowman and Asch (1996)</w:t>
      </w:r>
      <w:r w:rsidRPr="00C3415D">
        <w:rPr>
          <w:rFonts w:ascii="Arial" w:hAnsi="Arial" w:cs="Arial"/>
          <w:sz w:val="24"/>
          <w:szCs w:val="24"/>
        </w:rPr>
        <w:fldChar w:fldCharType="end"/>
      </w:r>
      <w:r w:rsidR="00E86A50" w:rsidRPr="00C3415D">
        <w:rPr>
          <w:rFonts w:ascii="Arial" w:hAnsi="Arial" w:cs="Arial"/>
          <w:sz w:val="24"/>
          <w:szCs w:val="24"/>
        </w:rPr>
        <w:t xml:space="preserve"> ha</w:t>
      </w:r>
      <w:r w:rsidR="000E2701" w:rsidRPr="00C3415D">
        <w:rPr>
          <w:rFonts w:ascii="Arial" w:hAnsi="Arial" w:cs="Arial"/>
          <w:sz w:val="24"/>
          <w:szCs w:val="24"/>
        </w:rPr>
        <w:t>ve</w:t>
      </w:r>
      <w:r w:rsidR="00E86A50" w:rsidRPr="00C3415D">
        <w:rPr>
          <w:rFonts w:ascii="Arial" w:hAnsi="Arial" w:cs="Arial"/>
          <w:sz w:val="24"/>
          <w:szCs w:val="24"/>
        </w:rPr>
        <w:t xml:space="preserve"> proposed a strategic clock model to summarise market strategies in a competitive market. </w:t>
      </w:r>
      <w:r w:rsidRPr="00C3415D">
        <w:rPr>
          <w:rFonts w:ascii="Arial" w:hAnsi="Arial" w:cs="Arial"/>
          <w:sz w:val="24"/>
          <w:szCs w:val="24"/>
        </w:rPr>
        <w:t xml:space="preserve">They </w:t>
      </w:r>
      <w:r w:rsidR="00E86A50" w:rsidRPr="00C3415D">
        <w:rPr>
          <w:rFonts w:ascii="Arial" w:hAnsi="Arial" w:cs="Arial"/>
          <w:sz w:val="24"/>
          <w:szCs w:val="24"/>
        </w:rPr>
        <w:t>subdivided the framework into eight strategies to build greater practical value. The eight strategies are distributed on an x-y axis, with x being Price and y being Perceived Value, and these strategies cover varying degrees of value and price.</w:t>
      </w:r>
      <w:r w:rsidR="00EB7F10" w:rsidRPr="00C3415D">
        <w:rPr>
          <w:rFonts w:ascii="Arial" w:hAnsi="Arial" w:cs="Arial"/>
          <w:sz w:val="24"/>
          <w:szCs w:val="24"/>
        </w:rPr>
        <w:t xml:space="preserve">  Through actions in product</w:t>
      </w:r>
      <w:r w:rsidR="00C81FD9">
        <w:rPr>
          <w:rFonts w:ascii="Arial" w:hAnsi="Arial" w:cs="Arial"/>
          <w:sz w:val="24"/>
          <w:szCs w:val="24"/>
        </w:rPr>
        <w:t xml:space="preserve"> development</w:t>
      </w:r>
      <w:r w:rsidR="00EB7F10" w:rsidRPr="00C3415D">
        <w:rPr>
          <w:rFonts w:ascii="Arial" w:hAnsi="Arial" w:cs="Arial"/>
          <w:sz w:val="24"/>
          <w:szCs w:val="24"/>
        </w:rPr>
        <w:t xml:space="preserve"> and pricing, </w:t>
      </w:r>
      <w:r w:rsidR="00450384" w:rsidRPr="00C3415D">
        <w:rPr>
          <w:rFonts w:ascii="Arial" w:hAnsi="Arial" w:cs="Arial"/>
          <w:sz w:val="24"/>
          <w:szCs w:val="24"/>
        </w:rPr>
        <w:t xml:space="preserve">we observed </w:t>
      </w:r>
      <w:r w:rsidR="00EB2D66" w:rsidRPr="00C3415D">
        <w:rPr>
          <w:rFonts w:ascii="Arial" w:hAnsi="Arial" w:cs="Arial"/>
          <w:sz w:val="24"/>
          <w:szCs w:val="24"/>
        </w:rPr>
        <w:t>a</w:t>
      </w:r>
      <w:r w:rsidR="00450384" w:rsidRPr="00C3415D">
        <w:rPr>
          <w:rFonts w:ascii="Arial" w:hAnsi="Arial" w:cs="Arial"/>
          <w:sz w:val="24"/>
          <w:szCs w:val="24"/>
        </w:rPr>
        <w:t xml:space="preserve"> transition of Tesla</w:t>
      </w:r>
      <w:r w:rsidR="000E2701" w:rsidRPr="00C3415D">
        <w:rPr>
          <w:rFonts w:ascii="Arial" w:hAnsi="Arial" w:cs="Arial"/>
          <w:sz w:val="24"/>
          <w:szCs w:val="24"/>
        </w:rPr>
        <w:t>'s</w:t>
      </w:r>
      <w:r w:rsidR="00450384" w:rsidRPr="00C3415D">
        <w:rPr>
          <w:rFonts w:ascii="Arial" w:hAnsi="Arial" w:cs="Arial"/>
          <w:sz w:val="24"/>
          <w:szCs w:val="24"/>
        </w:rPr>
        <w:t xml:space="preserve"> strategy from differentiation to hybrid. </w:t>
      </w:r>
    </w:p>
    <w:p w14:paraId="1EBD4DAD" w14:textId="3B8DFCE9" w:rsidR="00E86A50" w:rsidRPr="00C3415D" w:rsidRDefault="00E86A50" w:rsidP="00BD2FE5">
      <w:pPr>
        <w:spacing w:beforeLines="50" w:before="120" w:afterLines="200" w:after="480" w:line="480" w:lineRule="auto"/>
        <w:jc w:val="center"/>
        <w:rPr>
          <w:rFonts w:ascii="Arial" w:hAnsi="Arial" w:cs="Arial"/>
          <w:i/>
          <w:iCs/>
          <w:sz w:val="24"/>
          <w:szCs w:val="24"/>
        </w:rPr>
      </w:pPr>
      <w:r w:rsidRPr="00C3415D">
        <w:rPr>
          <w:rFonts w:ascii="Arial" w:hAnsi="Arial" w:cs="Arial"/>
          <w:i/>
          <w:iCs/>
          <w:noProof/>
          <w:sz w:val="24"/>
          <w:szCs w:val="24"/>
          <w:lang w:val="en-US" w:eastAsia="zh-CN"/>
        </w:rPr>
        <w:drawing>
          <wp:inline distT="0" distB="0" distL="0" distR="0" wp14:anchorId="56207650" wp14:editId="734F1062">
            <wp:extent cx="4460411" cy="3291274"/>
            <wp:effectExtent l="0" t="0" r="0"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8400" cy="3311927"/>
                    </a:xfrm>
                    <a:prstGeom prst="rect">
                      <a:avLst/>
                    </a:prstGeom>
                    <a:noFill/>
                  </pic:spPr>
                </pic:pic>
              </a:graphicData>
            </a:graphic>
          </wp:inline>
        </w:drawing>
      </w:r>
    </w:p>
    <w:p w14:paraId="7AF3C198" w14:textId="77777777" w:rsidR="00BD2FE5" w:rsidRPr="00C3415D" w:rsidRDefault="00E86A50"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t>Figure 2: Bowman’s strategy clock</w:t>
      </w:r>
    </w:p>
    <w:p w14:paraId="7FD8CA2A" w14:textId="324F0DDE" w:rsidR="00E86A50" w:rsidRPr="00C3415D" w:rsidRDefault="00BD2FE5"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t xml:space="preserve">Source:  </w:t>
      </w:r>
      <w:r w:rsidRPr="00C3415D">
        <w:rPr>
          <w:rFonts w:ascii="Arial" w:hAnsi="Arial" w:cs="Arial"/>
          <w:i/>
          <w:iCs/>
          <w:sz w:val="24"/>
          <w:szCs w:val="24"/>
          <w:lang w:eastAsia="zh-CN"/>
        </w:rPr>
        <w:fldChar w:fldCharType="begin"/>
      </w:r>
      <w:r w:rsidR="00485CFF" w:rsidRPr="00C3415D">
        <w:rPr>
          <w:rFonts w:ascii="Arial" w:hAnsi="Arial" w:cs="Arial"/>
          <w:i/>
          <w:iCs/>
          <w:sz w:val="24"/>
          <w:szCs w:val="24"/>
          <w:lang w:eastAsia="zh-CN"/>
        </w:rPr>
        <w:instrText xml:space="preserve"> ADDIN ZOTERO_ITEM CSL_CITATION {"citationID":"eNlQc1a7","properties":{"formattedCitation":"(Bowman and Asch, 1996)","plainCitation":"(Bowman and Asch, 1996)","noteIndex":0},"citationItems":[{"id":"1E425fjT/w9GJcXn7","uris":["http://zotero.org/users/10703570/items/6949Z4Y3"],"itemData":{"id":540,"type":"book","ISBN":"0-333-60888-7","publisher":"Springer","title":"Managing strategy","author":[{"family":"Bowman","given":"Cliff"},{"family":"Asch","given":"David"}],"issued":{"date-parts":[["1996"]]}}}],"schema":"https://github.com/citation-style-language/schema/raw/master/csl-citation.json"} </w:instrText>
      </w:r>
      <w:r w:rsidRPr="00C3415D">
        <w:rPr>
          <w:rFonts w:ascii="Arial" w:hAnsi="Arial" w:cs="Arial"/>
          <w:i/>
          <w:iCs/>
          <w:sz w:val="24"/>
          <w:szCs w:val="24"/>
          <w:lang w:eastAsia="zh-CN"/>
        </w:rPr>
        <w:fldChar w:fldCharType="separate"/>
      </w:r>
      <w:r w:rsidRPr="00C3415D">
        <w:rPr>
          <w:rFonts w:ascii="Arial" w:hAnsi="Arial" w:cs="Arial"/>
          <w:i/>
          <w:iCs/>
          <w:sz w:val="24"/>
          <w:szCs w:val="24"/>
        </w:rPr>
        <w:t>(Bowman and Asch, 1996)</w:t>
      </w:r>
      <w:r w:rsidRPr="00C3415D">
        <w:rPr>
          <w:rFonts w:ascii="Arial" w:hAnsi="Arial" w:cs="Arial"/>
          <w:i/>
          <w:iCs/>
          <w:sz w:val="24"/>
          <w:szCs w:val="24"/>
          <w:lang w:eastAsia="zh-CN"/>
        </w:rPr>
        <w:fldChar w:fldCharType="end"/>
      </w:r>
    </w:p>
    <w:p w14:paraId="07AFEECE" w14:textId="1F36CF02" w:rsidR="00AF59DF" w:rsidRPr="00C3415D" w:rsidRDefault="00AF59DF"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lastRenderedPageBreak/>
        <w:t>Musk, as CEO of Tesla, presented his first growth plan in 2006 - "The Secret Tesla Motors Master Plan (just between you and me)" - which divided the company's growth plan into three phases: 1) break through the top market - building electric-powered sports cars; 2) laying out the high-end market - building affordable electric cars with sports car revenues; and 3) capturing the mass market - using revenues to build affordable electric cars</w:t>
      </w:r>
      <w:r w:rsidR="00BD2FE5" w:rsidRPr="00C3415D">
        <w:rPr>
          <w:rFonts w:ascii="Arial" w:hAnsi="Arial" w:cs="Arial"/>
          <w:sz w:val="24"/>
          <w:szCs w:val="24"/>
          <w:lang w:eastAsia="zh-CN"/>
        </w:rPr>
        <w:t xml:space="preserve"> </w:t>
      </w:r>
      <w:r w:rsidR="00BD2FE5"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{"citationID":"81U5PZxl","properties":{"formattedCitation":"(Tesla, 2016)","plainCitation":"(Tesla, 2016)","noteIndex":0},"citationItems":[{"id":"1E425fjT/rYn1sGnG","uris":["http://zotero.org/users/10703570/items/7EBCWHBT"],"itemData":{"id":546,"type":"webpage","title":"The Secret Tesla Motors Master Plan (just between you and me)","URL":"https://www.tesla.com/blog/secret-tesla-motors-master-plan-just-between-you-and-me","author":[{"family":"Tesla","given":""}],"issued":{"date-parts":[["2016"]]}}}],"schema":"https://github.com/citation-style-language/schema/raw/master/csl-citation.json"} </w:instrText>
      </w:r>
      <w:r w:rsidR="00BD2FE5" w:rsidRPr="00C3415D">
        <w:rPr>
          <w:rFonts w:ascii="Arial" w:hAnsi="Arial" w:cs="Arial"/>
          <w:sz w:val="24"/>
          <w:szCs w:val="24"/>
          <w:lang w:eastAsia="zh-CN"/>
        </w:rPr>
        <w:fldChar w:fldCharType="separate"/>
      </w:r>
      <w:r w:rsidR="00BD2FE5" w:rsidRPr="00C3415D">
        <w:rPr>
          <w:rFonts w:ascii="Arial" w:hAnsi="Arial" w:cs="Arial"/>
          <w:sz w:val="24"/>
          <w:szCs w:val="24"/>
        </w:rPr>
        <w:t>(Tesla, 2016)</w:t>
      </w:r>
      <w:r w:rsidR="00BD2FE5" w:rsidRPr="00C3415D">
        <w:rPr>
          <w:rFonts w:ascii="Arial" w:hAnsi="Arial" w:cs="Arial"/>
          <w:sz w:val="24"/>
          <w:szCs w:val="24"/>
          <w:lang w:eastAsia="zh-CN"/>
        </w:rPr>
        <w:fldChar w:fldCharType="end"/>
      </w:r>
      <w:r w:rsidRPr="00C3415D">
        <w:rPr>
          <w:rFonts w:ascii="Arial" w:hAnsi="Arial" w:cs="Arial"/>
          <w:sz w:val="24"/>
          <w:szCs w:val="24"/>
          <w:lang w:eastAsia="zh-CN"/>
        </w:rPr>
        <w:t>. In addition, Musk stated in his first development plan that the above operations would be executed in conjunction with a zero-emissions power generation option.</w:t>
      </w:r>
      <w:r w:rsidR="00D04E59" w:rsidRPr="00C3415D">
        <w:rPr>
          <w:rFonts w:ascii="Arial" w:hAnsi="Arial" w:cs="Arial"/>
          <w:sz w:val="24"/>
          <w:szCs w:val="24"/>
          <w:lang w:eastAsia="zh-CN"/>
        </w:rPr>
        <w:t xml:space="preserve"> </w:t>
      </w:r>
    </w:p>
    <w:p w14:paraId="58BBF64B" w14:textId="1777D945" w:rsidR="00EB2D66"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At that time, </w:t>
      </w:r>
      <w:r w:rsidR="00D04E59" w:rsidRPr="00C3415D">
        <w:rPr>
          <w:rFonts w:ascii="Arial" w:hAnsi="Arial" w:cs="Arial"/>
          <w:sz w:val="24"/>
          <w:szCs w:val="24"/>
          <w:lang w:eastAsia="zh-CN"/>
        </w:rPr>
        <w:t>Tesla's automotive business pursue</w:t>
      </w:r>
      <w:r w:rsidRPr="00C3415D">
        <w:rPr>
          <w:rFonts w:ascii="Arial" w:hAnsi="Arial" w:cs="Arial"/>
          <w:sz w:val="24"/>
          <w:szCs w:val="24"/>
          <w:lang w:eastAsia="zh-CN"/>
        </w:rPr>
        <w:t>d</w:t>
      </w:r>
      <w:r w:rsidR="00D04E59" w:rsidRPr="00C3415D">
        <w:rPr>
          <w:rFonts w:ascii="Arial" w:hAnsi="Arial" w:cs="Arial"/>
          <w:sz w:val="24"/>
          <w:szCs w:val="24"/>
          <w:lang w:eastAsia="zh-CN"/>
        </w:rPr>
        <w:t xml:space="preserve"> a high-end downward development strategy, with products going through three types of cars in sequence: luxury supercar</w:t>
      </w:r>
      <w:r w:rsidR="000E2701" w:rsidRPr="00C3415D">
        <w:rPr>
          <w:rFonts w:ascii="Arial" w:hAnsi="Arial" w:cs="Arial"/>
          <w:sz w:val="24"/>
          <w:szCs w:val="24"/>
          <w:lang w:eastAsia="zh-CN"/>
        </w:rPr>
        <w:t>s</w:t>
      </w:r>
      <w:r w:rsidR="00D04E59" w:rsidRPr="00C3415D">
        <w:rPr>
          <w:rFonts w:ascii="Arial" w:hAnsi="Arial" w:cs="Arial"/>
          <w:sz w:val="24"/>
          <w:szCs w:val="24"/>
          <w:lang w:eastAsia="zh-CN"/>
        </w:rPr>
        <w:t>, high-end car</w:t>
      </w:r>
      <w:r w:rsidR="000E2701" w:rsidRPr="00C3415D">
        <w:rPr>
          <w:rFonts w:ascii="Arial" w:hAnsi="Arial" w:cs="Arial"/>
          <w:sz w:val="24"/>
          <w:szCs w:val="24"/>
          <w:lang w:eastAsia="zh-CN"/>
        </w:rPr>
        <w:t>s</w:t>
      </w:r>
      <w:r w:rsidR="00D04E59" w:rsidRPr="00C3415D">
        <w:rPr>
          <w:rFonts w:ascii="Arial" w:hAnsi="Arial" w:cs="Arial"/>
          <w:sz w:val="24"/>
          <w:szCs w:val="24"/>
          <w:lang w:eastAsia="zh-CN"/>
        </w:rPr>
        <w:t xml:space="preserve"> and mid-range car</w:t>
      </w:r>
      <w:r w:rsidR="000E2701" w:rsidRPr="00C3415D">
        <w:rPr>
          <w:rFonts w:ascii="Arial" w:hAnsi="Arial" w:cs="Arial"/>
          <w:sz w:val="24"/>
          <w:szCs w:val="24"/>
          <w:lang w:eastAsia="zh-CN"/>
        </w:rPr>
        <w:t>s</w:t>
      </w:r>
      <w:r w:rsidR="00D04E59" w:rsidRPr="00C3415D">
        <w:rPr>
          <w:rFonts w:ascii="Arial" w:hAnsi="Arial" w:cs="Arial"/>
          <w:sz w:val="24"/>
          <w:szCs w:val="24"/>
          <w:lang w:eastAsia="zh-CN"/>
        </w:rPr>
        <w:t xml:space="preserve">. </w:t>
      </w:r>
      <w:r w:rsidR="00C81FD9">
        <w:rPr>
          <w:rFonts w:ascii="Arial" w:hAnsi="Arial" w:cs="Arial" w:hint="eastAsia"/>
          <w:sz w:val="24"/>
          <w:szCs w:val="24"/>
          <w:lang w:eastAsia="zh-CN"/>
        </w:rPr>
        <w:t>In</w:t>
      </w:r>
      <w:r w:rsidR="00C81FD9">
        <w:rPr>
          <w:rFonts w:ascii="Arial" w:hAnsi="Arial" w:cs="Arial"/>
          <w:sz w:val="24"/>
          <w:szCs w:val="24"/>
          <w:lang w:eastAsia="zh-CN"/>
        </w:rPr>
        <w:t xml:space="preserve">  the very beginning of the implementation of the Master plan</w:t>
      </w:r>
      <w:r w:rsidR="00D04E59" w:rsidRPr="00C3415D">
        <w:rPr>
          <w:rFonts w:ascii="Arial" w:hAnsi="Arial" w:cs="Arial"/>
          <w:sz w:val="24"/>
          <w:szCs w:val="24"/>
          <w:lang w:eastAsia="zh-CN"/>
        </w:rPr>
        <w:t xml:space="preserve">, Tesla released the Roadster, a luxury supercar for a niche group of people, with the aim of establishing a good brand image </w:t>
      </w:r>
      <w:r w:rsidR="000E2701" w:rsidRPr="00C3415D">
        <w:rPr>
          <w:rFonts w:ascii="Arial" w:hAnsi="Arial" w:cs="Arial"/>
          <w:sz w:val="24"/>
          <w:szCs w:val="24"/>
          <w:lang w:eastAsia="zh-CN"/>
        </w:rPr>
        <w:t>for</w:t>
      </w:r>
      <w:r w:rsidR="00D04E59" w:rsidRPr="00C3415D">
        <w:rPr>
          <w:rFonts w:ascii="Arial" w:hAnsi="Arial" w:cs="Arial"/>
          <w:sz w:val="24"/>
          <w:szCs w:val="24"/>
          <w:lang w:eastAsia="zh-CN"/>
        </w:rPr>
        <w:t xml:space="preserve"> the company and paving the way for subsequent mass</w:t>
      </w:r>
      <w:r w:rsidR="000E2701" w:rsidRPr="00C3415D">
        <w:rPr>
          <w:rFonts w:ascii="Arial" w:hAnsi="Arial" w:cs="Arial"/>
          <w:sz w:val="24"/>
          <w:szCs w:val="24"/>
          <w:lang w:eastAsia="zh-CN"/>
        </w:rPr>
        <w:t>-</w:t>
      </w:r>
      <w:r w:rsidR="00D04E59" w:rsidRPr="00C3415D">
        <w:rPr>
          <w:rFonts w:ascii="Arial" w:hAnsi="Arial" w:cs="Arial"/>
          <w:sz w:val="24"/>
          <w:szCs w:val="24"/>
          <w:lang w:eastAsia="zh-CN"/>
        </w:rPr>
        <w:t xml:space="preserve">production models; </w:t>
      </w:r>
      <w:r w:rsidR="00C81FD9">
        <w:rPr>
          <w:rFonts w:ascii="Arial" w:hAnsi="Arial" w:cs="Arial"/>
          <w:sz w:val="24"/>
          <w:szCs w:val="24"/>
          <w:lang w:eastAsia="zh-CN"/>
        </w:rPr>
        <w:t>soon after the success of the Roaster in  arising customer awareness and tapping the uncultivated market</w:t>
      </w:r>
      <w:r w:rsidR="00D04E59" w:rsidRPr="00C3415D">
        <w:rPr>
          <w:rFonts w:ascii="Arial" w:hAnsi="Arial" w:cs="Arial"/>
          <w:sz w:val="24"/>
          <w:szCs w:val="24"/>
          <w:lang w:eastAsia="zh-CN"/>
        </w:rPr>
        <w:t>, Tesla released the Model</w:t>
      </w:r>
      <w:r w:rsidR="000E2701" w:rsidRPr="00C3415D">
        <w:rPr>
          <w:rFonts w:ascii="Arial" w:hAnsi="Arial" w:cs="Arial"/>
          <w:sz w:val="24"/>
          <w:szCs w:val="24"/>
          <w:lang w:eastAsia="zh-CN"/>
        </w:rPr>
        <w:t xml:space="preserve"> </w:t>
      </w:r>
      <w:r w:rsidR="00D04E59" w:rsidRPr="00C3415D">
        <w:rPr>
          <w:rFonts w:ascii="Arial" w:hAnsi="Arial" w:cs="Arial"/>
          <w:sz w:val="24"/>
          <w:szCs w:val="24"/>
          <w:lang w:eastAsia="zh-CN"/>
        </w:rPr>
        <w:t>S and Model</w:t>
      </w:r>
      <w:r w:rsidR="000E2701" w:rsidRPr="00C3415D">
        <w:rPr>
          <w:rFonts w:ascii="Arial" w:hAnsi="Arial" w:cs="Arial"/>
          <w:sz w:val="24"/>
          <w:szCs w:val="24"/>
          <w:lang w:eastAsia="zh-CN"/>
        </w:rPr>
        <w:t xml:space="preserve"> </w:t>
      </w:r>
      <w:r w:rsidR="00D04E59" w:rsidRPr="00C3415D">
        <w:rPr>
          <w:rFonts w:ascii="Arial" w:hAnsi="Arial" w:cs="Arial"/>
          <w:sz w:val="24"/>
          <w:szCs w:val="24"/>
          <w:lang w:eastAsia="zh-CN"/>
        </w:rPr>
        <w:t>X, mass production models for the mid-to-high-end crowd, to achieve mass production on a large scale and at the same time carry out the accumulation of technology levels</w:t>
      </w:r>
      <w:r w:rsidRPr="00C3415D">
        <w:rPr>
          <w:rFonts w:ascii="Arial" w:hAnsi="Arial" w:cs="Arial"/>
          <w:sz w:val="24"/>
          <w:szCs w:val="24"/>
          <w:lang w:eastAsia="zh-CN"/>
        </w:rPr>
        <w:t>; i</w:t>
      </w:r>
      <w:r w:rsidR="00D04E59" w:rsidRPr="00C3415D">
        <w:rPr>
          <w:rFonts w:ascii="Arial" w:hAnsi="Arial" w:cs="Arial"/>
          <w:sz w:val="24"/>
          <w:szCs w:val="24"/>
          <w:lang w:eastAsia="zh-CN"/>
        </w:rPr>
        <w:t xml:space="preserve">n the third stage, Tesla </w:t>
      </w:r>
      <w:r w:rsidR="00C81FD9">
        <w:rPr>
          <w:rFonts w:ascii="Arial" w:hAnsi="Arial" w:cs="Arial"/>
          <w:sz w:val="24"/>
          <w:szCs w:val="24"/>
          <w:lang w:eastAsia="zh-CN"/>
        </w:rPr>
        <w:t xml:space="preserve">focused on the mid- to high-end market by rolling out </w:t>
      </w:r>
      <w:r w:rsidR="00D04E59" w:rsidRPr="00C3415D">
        <w:rPr>
          <w:rFonts w:ascii="Arial" w:hAnsi="Arial" w:cs="Arial"/>
          <w:sz w:val="24"/>
          <w:szCs w:val="24"/>
          <w:lang w:eastAsia="zh-CN"/>
        </w:rPr>
        <w:t>the mid-range mass-market Model 3</w:t>
      </w:r>
      <w:r w:rsidR="000E2701" w:rsidRPr="00C3415D">
        <w:rPr>
          <w:rFonts w:ascii="Arial" w:hAnsi="Arial" w:cs="Arial"/>
          <w:sz w:val="24"/>
          <w:szCs w:val="24"/>
          <w:lang w:eastAsia="zh-CN"/>
        </w:rPr>
        <w:t xml:space="preserve"> and Model Y</w:t>
      </w:r>
      <w:r w:rsidR="00D04E59" w:rsidRPr="00C3415D">
        <w:rPr>
          <w:rFonts w:ascii="Arial" w:hAnsi="Arial" w:cs="Arial"/>
          <w:sz w:val="24"/>
          <w:szCs w:val="24"/>
          <w:lang w:eastAsia="zh-CN"/>
        </w:rPr>
        <w:t xml:space="preserve">  </w:t>
      </w:r>
      <w:r w:rsidR="00C81FD9">
        <w:rPr>
          <w:rFonts w:ascii="Arial" w:hAnsi="Arial" w:cs="Arial"/>
          <w:sz w:val="24"/>
          <w:szCs w:val="24"/>
          <w:lang w:eastAsia="zh-CN"/>
        </w:rPr>
        <w:t>to target at a bigger market segment and generate profitability through highlight the relative affordability</w:t>
      </w:r>
      <w:r w:rsidRPr="00C3415D">
        <w:rPr>
          <w:rFonts w:ascii="Arial" w:hAnsi="Arial" w:cs="Arial"/>
          <w:sz w:val="24"/>
          <w:szCs w:val="24"/>
          <w:lang w:eastAsia="zh-CN"/>
        </w:rPr>
        <w:t xml:space="preserve">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{"citationID":"ZDGaXvSC","properties":{"formattedCitation":"(Hardman, Shiu and Steinberger-Wilckens, 2015; Teece, 2018)","plainCitation":"(Hardman, Shiu and Steinberger-Wilckens, 2015; Teece, 2018)","noteIndex":0},"citationItems":[{"id":"1E425fjT/NJJRhkmo","uris":["http://zotero.org/users/10703570/items/WIX56Z88"],"itemData":{"id":553,"type":"article-journal","container-title":"international journal of hydrogen energy","ISSN":"0360-3199","issue":"4","journalAbbreviation":"international journal of hydrogen energy","note":"publisher: Elsevier","page":"1625-1638","title":"Changing the fate of Fuel Cell Vehicles: Can lessons be learnt from Tesla Motors?","volume":"40","author":[{"family":"Hardman","given":"Scott"},{"family":"Shiu","given":"Eric"},{"family":"Steinberger-Wilckens","given":"Robert"}],"issued":{"date-parts":[["2015"]]}}},{"id":"1E425fjT/PgjEk8hN","uris":["http://zotero.org/users/10703570/items/PBYNEG45"],"itemData":{"id":552,"type":"article-journal","container-title":"Management and Organization Review","ISSN":"1740-8776","issue":"3","journalAbbreviation":"Management and Organization Review","note":"publisher: Cambridge University Press","page":"501-512","title":"Tesla and the reshaping of the auto industry","volume":"14","author":[{"family":"Teece","given":"David J"}],"issued":{"date-parts":[["2018"]]}}}],"schema":"https://github.com/citation-style-language/schema/raw/master/csl-citation.json"}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4"/>
        </w:rPr>
        <w:t>(Hardman, Shiu and Steinberger-Wilckens, 2015; Teece, 2018)</w:t>
      </w:r>
      <w:r w:rsidRPr="00C3415D">
        <w:rPr>
          <w:rFonts w:ascii="Arial" w:hAnsi="Arial" w:cs="Arial"/>
          <w:sz w:val="24"/>
          <w:szCs w:val="24"/>
          <w:lang w:eastAsia="zh-CN"/>
        </w:rPr>
        <w:fldChar w:fldCharType="end"/>
      </w:r>
      <w:r w:rsidR="00D04E59" w:rsidRPr="00C3415D">
        <w:rPr>
          <w:rFonts w:ascii="Arial" w:hAnsi="Arial" w:cs="Arial"/>
          <w:sz w:val="24"/>
          <w:szCs w:val="24"/>
          <w:lang w:eastAsia="zh-CN"/>
        </w:rPr>
        <w:t xml:space="preserve">. The three-phase high-end downward strategy has steadily progressed, as shown in the table below. Tesla has essentially achieved the two stages of growth that Musk proposed. The company's revenues grew at a compound annual rate of </w:t>
      </w:r>
      <w:r w:rsidR="00D04E59" w:rsidRPr="00C3415D">
        <w:rPr>
          <w:rFonts w:ascii="Arial" w:hAnsi="Arial" w:cs="Arial"/>
          <w:sz w:val="24"/>
          <w:szCs w:val="24"/>
          <w:lang w:eastAsia="zh-CN"/>
        </w:rPr>
        <w:lastRenderedPageBreak/>
        <w:t xml:space="preserve">83.5% from US$100 million in 2009 to US$7 billion in 2016, and laid the groundwork for Tesla to move on to the third stage, which is "capturing the mass market - using </w:t>
      </w:r>
      <w:r w:rsidR="000E2701" w:rsidRPr="00C3415D">
        <w:rPr>
          <w:rFonts w:ascii="Arial" w:hAnsi="Arial" w:cs="Arial"/>
          <w:sz w:val="24"/>
          <w:szCs w:val="24"/>
          <w:lang w:eastAsia="zh-CN"/>
        </w:rPr>
        <w:t xml:space="preserve">the </w:t>
      </w:r>
      <w:r w:rsidR="00D04E59" w:rsidRPr="00C3415D">
        <w:rPr>
          <w:rFonts w:ascii="Arial" w:hAnsi="Arial" w:cs="Arial"/>
          <w:sz w:val="24"/>
          <w:szCs w:val="24"/>
          <w:lang w:eastAsia="zh-CN"/>
        </w:rPr>
        <w:t>revenue to build affordable electric cars "</w:t>
      </w:r>
      <w:r w:rsidR="00120F6E" w:rsidRPr="00C3415D">
        <w:rPr>
          <w:rFonts w:ascii="Arial" w:hAnsi="Arial" w:cs="Arial"/>
          <w:sz w:val="24"/>
          <w:szCs w:val="24"/>
          <w:lang w:eastAsia="zh-CN"/>
        </w:rPr>
        <w:t>, which also markets the adoption of the hybrid strategy as the pricing of Tesla’s products ha</w:t>
      </w:r>
      <w:r w:rsidR="000E2701" w:rsidRPr="00C3415D">
        <w:rPr>
          <w:rFonts w:ascii="Arial" w:hAnsi="Arial" w:cs="Arial"/>
          <w:sz w:val="24"/>
          <w:szCs w:val="24"/>
          <w:lang w:eastAsia="zh-CN"/>
        </w:rPr>
        <w:t>s</w:t>
      </w:r>
      <w:r w:rsidR="00120F6E" w:rsidRPr="00C3415D">
        <w:rPr>
          <w:rFonts w:ascii="Arial" w:hAnsi="Arial" w:cs="Arial"/>
          <w:sz w:val="24"/>
          <w:szCs w:val="24"/>
          <w:lang w:eastAsia="zh-CN"/>
        </w:rPr>
        <w:t xml:space="preserve"> been significantly lowered by then</w:t>
      </w:r>
      <w:r w:rsidRPr="00C3415D">
        <w:rPr>
          <w:rFonts w:ascii="Arial" w:hAnsi="Arial" w:cs="Arial"/>
          <w:sz w:val="24"/>
          <w:szCs w:val="24"/>
          <w:lang w:eastAsia="zh-CN"/>
        </w:rPr>
        <w:t xml:space="preserve">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{"citationID":"hz3KeFpk","properties":{"formattedCitation":"(Kim, 2020)","plainCitation":"(Kim, 2020)","noteIndex":0},"citationItems":[{"id":"1E425fjT/CCvHdE46","uris":["http://zotero.org/users/10703570/items/FLPXU436"],"itemData":{"id":554,"type":"article-journal","container-title":"International Journal of Business and Management","issue":"6","journalAbbreviation":"International Journal of Business and Management","page":"42-61","title":"Analysis of how Tesla creates core innovation capability","volume":"15","author":[{"family":"Kim","given":"Hyeonjoo"}],"issued":{"date-parts":[["2020"]]}}}],"schema":"https://github.com/citation-style-language/schema/raw/master/csl-citation.json"}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4"/>
        </w:rPr>
        <w:t>(Kim, 2020)</w:t>
      </w:r>
      <w:r w:rsidRPr="00C3415D">
        <w:rPr>
          <w:rFonts w:ascii="Arial" w:hAnsi="Arial" w:cs="Arial"/>
          <w:sz w:val="24"/>
          <w:szCs w:val="24"/>
          <w:lang w:eastAsia="zh-CN"/>
        </w:rPr>
        <w:fldChar w:fldCharType="end"/>
      </w:r>
      <w:r w:rsidRPr="00C3415D">
        <w:rPr>
          <w:rFonts w:ascii="Arial" w:hAnsi="Arial" w:cs="Arial"/>
          <w:sz w:val="24"/>
          <w:szCs w:val="24"/>
          <w:lang w:eastAsia="zh-CN"/>
        </w:rPr>
        <w:t>(see Figure 3</w:t>
      </w:r>
      <w:r w:rsidR="000E2701" w:rsidRPr="00C3415D">
        <w:rPr>
          <w:rFonts w:ascii="Arial" w:hAnsi="Arial" w:cs="Arial"/>
          <w:sz w:val="24"/>
          <w:szCs w:val="24"/>
          <w:lang w:eastAsia="zh-CN"/>
        </w:rPr>
        <w:t>)</w:t>
      </w:r>
      <w:r w:rsidR="00120F6E" w:rsidRPr="00C3415D">
        <w:rPr>
          <w:rFonts w:ascii="Arial" w:hAnsi="Arial" w:cs="Arial"/>
          <w:sz w:val="24"/>
          <w:szCs w:val="24"/>
          <w:lang w:eastAsia="zh-CN"/>
        </w:rPr>
        <w:t xml:space="preserve">. Ever since </w:t>
      </w:r>
      <w:r w:rsidR="000E2701" w:rsidRPr="00C3415D">
        <w:rPr>
          <w:rFonts w:ascii="Arial" w:hAnsi="Arial" w:cs="Arial"/>
          <w:sz w:val="24"/>
          <w:szCs w:val="24"/>
          <w:lang w:eastAsia="zh-CN"/>
        </w:rPr>
        <w:t xml:space="preserve">then, </w:t>
      </w:r>
      <w:r w:rsidR="00120F6E" w:rsidRPr="00C3415D">
        <w:rPr>
          <w:rFonts w:ascii="Arial" w:hAnsi="Arial" w:cs="Arial"/>
          <w:sz w:val="24"/>
          <w:szCs w:val="24"/>
          <w:lang w:eastAsia="zh-CN"/>
        </w:rPr>
        <w:t xml:space="preserve">Tesla has adhered to the hybrid strategy with prioritization on both cost leadership and differentiation. </w:t>
      </w:r>
    </w:p>
    <w:p w14:paraId="2ED03F84" w14:textId="64193159" w:rsidR="00BD2FE5" w:rsidRPr="00C3415D" w:rsidRDefault="00BD2FE5" w:rsidP="00BD2FE5">
      <w:pPr>
        <w:spacing w:beforeLines="50" w:before="120" w:afterLines="200" w:after="480" w:line="480" w:lineRule="auto"/>
        <w:jc w:val="center"/>
        <w:rPr>
          <w:rFonts w:ascii="Arial" w:hAnsi="Arial" w:cs="Arial"/>
          <w:sz w:val="24"/>
          <w:szCs w:val="24"/>
          <w:lang w:eastAsia="zh-CN"/>
        </w:rPr>
      </w:pPr>
      <w:r w:rsidRPr="00C3415D">
        <w:rPr>
          <w:rFonts w:ascii="Arial" w:hAnsi="Arial" w:cs="Arial"/>
          <w:sz w:val="24"/>
          <w:szCs w:val="24"/>
          <w:lang w:eastAsia="zh-CN"/>
        </w:rPr>
        <w:t>Table 1: The three-stage development model of Tesla</w:t>
      </w:r>
    </w:p>
    <w:p w14:paraId="5C4504AF" w14:textId="51443E72" w:rsidR="00BD2FE5" w:rsidRPr="00C3415D" w:rsidRDefault="00BD2FE5" w:rsidP="00BD2FE5">
      <w:pPr>
        <w:spacing w:beforeLines="50" w:before="120" w:afterLines="200" w:after="480" w:line="480" w:lineRule="auto"/>
        <w:jc w:val="center"/>
        <w:rPr>
          <w:rFonts w:ascii="Arial" w:hAnsi="Arial" w:cs="Arial"/>
          <w:sz w:val="24"/>
          <w:szCs w:val="24"/>
          <w:lang w:eastAsia="zh-CN"/>
        </w:rPr>
      </w:pPr>
      <w:r w:rsidRPr="00C3415D">
        <w:rPr>
          <w:rFonts w:ascii="Arial" w:hAnsi="Arial" w:cs="Arial"/>
          <w:sz w:val="24"/>
          <w:szCs w:val="24"/>
          <w:lang w:eastAsia="zh-CN"/>
        </w:rPr>
        <w:t>Source: own summary</w:t>
      </w:r>
    </w:p>
    <w:p w14:paraId="4039CD95" w14:textId="49145641" w:rsidR="00BD2FE5"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noProof/>
          <w:sz w:val="24"/>
          <w:szCs w:val="24"/>
          <w:lang w:val="en-US" w:eastAsia="zh-CN"/>
        </w:rPr>
        <w:drawing>
          <wp:inline distT="0" distB="0" distL="0" distR="0" wp14:anchorId="6A859FE4" wp14:editId="42FBBD10">
            <wp:extent cx="5731510" cy="74485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731510" cy="744855"/>
                    </a:xfrm>
                    <a:prstGeom prst="rect">
                      <a:avLst/>
                    </a:prstGeom>
                    <a:noFill/>
                    <a:ln>
                      <a:noFill/>
                    </a:ln>
                  </pic:spPr>
                </pic:pic>
              </a:graphicData>
            </a:graphic>
          </wp:inline>
        </w:drawing>
      </w:r>
    </w:p>
    <w:p w14:paraId="3D336837" w14:textId="5EC8412F" w:rsidR="00AF59DF" w:rsidRPr="00C3415D" w:rsidRDefault="00AF59DF"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noProof/>
          <w:sz w:val="24"/>
          <w:szCs w:val="24"/>
          <w:lang w:val="en-US" w:eastAsia="zh-CN"/>
        </w:rPr>
        <w:drawing>
          <wp:inline distT="0" distB="0" distL="0" distR="0" wp14:anchorId="38F8B3B1" wp14:editId="320D737D">
            <wp:extent cx="5036337" cy="2792521"/>
            <wp:effectExtent l="0" t="0" r="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duotone>
                        <a:schemeClr val="accent2">
                          <a:shade val="45000"/>
                          <a:satMod val="135000"/>
                        </a:schemeClr>
                        <a:prstClr val="white"/>
                      </a:duotone>
                    </a:blip>
                    <a:stretch>
                      <a:fillRect/>
                    </a:stretch>
                  </pic:blipFill>
                  <pic:spPr>
                    <a:xfrm>
                      <a:off x="0" y="0"/>
                      <a:ext cx="5042317" cy="2795837"/>
                    </a:xfrm>
                    <a:prstGeom prst="rect">
                      <a:avLst/>
                    </a:prstGeom>
                  </pic:spPr>
                </pic:pic>
              </a:graphicData>
            </a:graphic>
          </wp:inline>
        </w:drawing>
      </w:r>
    </w:p>
    <w:p w14:paraId="4379843C" w14:textId="78162ED1" w:rsidR="00BD2FE5" w:rsidRPr="00C3415D" w:rsidRDefault="00BD2FE5"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t>Figure 3: The pricing level of Tesla’s offerings</w:t>
      </w:r>
    </w:p>
    <w:p w14:paraId="1F2C973D" w14:textId="7AD1DB31" w:rsidR="00EF5ED2" w:rsidRPr="00C3415D" w:rsidRDefault="00BD2FE5" w:rsidP="00485CFF">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lastRenderedPageBreak/>
        <w:t>Source: own summary</w:t>
      </w:r>
    </w:p>
    <w:p w14:paraId="38EF235F" w14:textId="721F7F9B" w:rsidR="00485CFF" w:rsidRPr="00485CFF" w:rsidRDefault="00485CFF" w:rsidP="00024EE8">
      <w:pPr>
        <w:pStyle w:val="2"/>
        <w:numPr>
          <w:ilvl w:val="1"/>
          <w:numId w:val="5"/>
        </w:numPr>
        <w:spacing w:beforeLines="50" w:before="120" w:afterLines="200" w:after="480" w:line="480" w:lineRule="auto"/>
        <w:jc w:val="both"/>
        <w:rPr>
          <w:rFonts w:ascii="Arial" w:hAnsi="Arial" w:cs="Arial"/>
        </w:rPr>
      </w:pPr>
      <w:bookmarkStart w:id="7" w:name="_Toc129168332"/>
      <w:r>
        <w:rPr>
          <w:rFonts w:ascii="Arial" w:hAnsi="Arial" w:cs="Arial" w:hint="eastAsia"/>
          <w:lang w:eastAsia="zh-CN"/>
        </w:rPr>
        <w:t>P</w:t>
      </w:r>
      <w:r>
        <w:rPr>
          <w:rFonts w:ascii="Arial" w:hAnsi="Arial" w:cs="Arial"/>
          <w:lang w:eastAsia="zh-CN"/>
        </w:rPr>
        <w:t>hase two: hybrid strategy</w:t>
      </w:r>
      <w:bookmarkEnd w:id="7"/>
    </w:p>
    <w:p w14:paraId="5525BE5D" w14:textId="309AA305" w:rsidR="00BD3F14" w:rsidRPr="00C3415D" w:rsidRDefault="00D04E59" w:rsidP="00BD2FE5">
      <w:pPr>
        <w:spacing w:beforeLines="50" w:before="120" w:afterLines="200" w:after="480" w:line="480" w:lineRule="auto"/>
        <w:jc w:val="both"/>
        <w:rPr>
          <w:rFonts w:ascii="Arial" w:hAnsi="Arial" w:cs="Arial"/>
          <w:sz w:val="24"/>
          <w:szCs w:val="22"/>
          <w:lang w:eastAsia="zh-CN"/>
        </w:rPr>
      </w:pPr>
      <w:r w:rsidRPr="00C3415D">
        <w:rPr>
          <w:rFonts w:ascii="Arial" w:hAnsi="Arial" w:cs="Arial"/>
          <w:sz w:val="24"/>
          <w:szCs w:val="22"/>
          <w:lang w:eastAsia="zh-CN"/>
        </w:rPr>
        <w:t>Starting in 2016, Tesla entered its third stage of development</w:t>
      </w:r>
      <w:r w:rsidR="00BD3F14" w:rsidRPr="00C3415D">
        <w:rPr>
          <w:rFonts w:ascii="Arial" w:hAnsi="Arial" w:cs="Arial"/>
          <w:sz w:val="24"/>
          <w:szCs w:val="22"/>
          <w:lang w:eastAsia="zh-CN"/>
        </w:rPr>
        <w:t xml:space="preserve"> through </w:t>
      </w:r>
      <w:r w:rsidR="000E2701" w:rsidRPr="00C3415D">
        <w:rPr>
          <w:rFonts w:ascii="Arial" w:hAnsi="Arial" w:cs="Arial"/>
          <w:sz w:val="24"/>
          <w:szCs w:val="22"/>
          <w:lang w:eastAsia="zh-CN"/>
        </w:rPr>
        <w:t xml:space="preserve">a </w:t>
      </w:r>
      <w:r w:rsidR="00BD3F14" w:rsidRPr="00C3415D">
        <w:rPr>
          <w:rFonts w:ascii="Arial" w:hAnsi="Arial" w:cs="Arial"/>
          <w:sz w:val="24"/>
          <w:szCs w:val="22"/>
          <w:lang w:eastAsia="zh-CN"/>
        </w:rPr>
        <w:t>hybrid strategy</w:t>
      </w:r>
      <w:r w:rsidRPr="00C3415D">
        <w:rPr>
          <w:rFonts w:ascii="Arial" w:hAnsi="Arial" w:cs="Arial"/>
          <w:sz w:val="24"/>
          <w:szCs w:val="22"/>
          <w:lang w:eastAsia="zh-CN"/>
        </w:rPr>
        <w:t>. 2016-2019 was a critical period in Tesla's history, an important stage for expanding production capacity, improving the industrial chain, and continuously breaking through to push the limits, paving the way for Tesla's soaring success after 2020</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{"citationID":"O3eb5UME","properties":{"formattedCitation":"(TechCrunch, 2020)","plainCitation":"(TechCrunch, 2020)","noteIndex":0},"citationItems":[{"id":"1E425fjT/O0ZYWgog","uris":["http://zotero.org/users/10703570/items/QGVMAL3F"],"itemData":{"id":555,"type":"webpage","title":"Tesla surpasses 2019 goal and delivers 367,500 electric vehicles","URL":"https://techcrunch.com/2020/01/03/tesla-surpasses-2019-goal-and-delivers-367500-electric-vehicles/","author":[{"family":"TechCrunch","given":""}],"accessed":{"date-parts":[["2023",3,5]]},"issued":{"date-parts":[["2020"]]}}}],"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(TechCrunch, 2020)</w:t>
      </w:r>
      <w:r w:rsidR="00BD2FE5" w:rsidRPr="00C3415D">
        <w:rPr>
          <w:rFonts w:ascii="Arial" w:hAnsi="Arial" w:cs="Arial"/>
          <w:sz w:val="24"/>
          <w:szCs w:val="22"/>
          <w:lang w:eastAsia="zh-CN"/>
        </w:rPr>
        <w:fldChar w:fldCharType="end"/>
      </w:r>
      <w:r w:rsidRPr="00C3415D">
        <w:rPr>
          <w:rFonts w:ascii="Arial" w:hAnsi="Arial" w:cs="Arial"/>
          <w:sz w:val="24"/>
          <w:szCs w:val="22"/>
          <w:lang w:eastAsia="zh-CN"/>
        </w:rPr>
        <w:t>.</w:t>
      </w:r>
      <w:r w:rsidR="000E2701" w:rsidRPr="00C3415D">
        <w:rPr>
          <w:rFonts w:ascii="Arial" w:hAnsi="Arial" w:cs="Arial"/>
          <w:sz w:val="24"/>
          <w:szCs w:val="22"/>
          <w:lang w:eastAsia="zh-CN"/>
        </w:rPr>
        <w:t xml:space="preserve"> </w:t>
      </w:r>
      <w:r w:rsidR="00BD3F14" w:rsidRPr="00C3415D">
        <w:rPr>
          <w:rFonts w:ascii="Arial" w:hAnsi="Arial" w:cs="Arial"/>
          <w:sz w:val="24"/>
          <w:szCs w:val="22"/>
          <w:lang w:eastAsia="zh-CN"/>
        </w:rPr>
        <w:t xml:space="preserve"> It has aggressively invested in R&amp;D activities</w:t>
      </w:r>
      <w:r w:rsidR="002C5D4A" w:rsidRPr="00C3415D">
        <w:rPr>
          <w:rFonts w:ascii="Arial" w:hAnsi="Arial" w:cs="Arial"/>
          <w:sz w:val="24"/>
          <w:szCs w:val="22"/>
          <w:lang w:eastAsia="zh-CN"/>
        </w:rPr>
        <w:t xml:space="preserve"> to leverage technological innovations as the major differentiation techniques</w:t>
      </w:r>
      <w:r w:rsidR="00BD3F14" w:rsidRPr="00C3415D">
        <w:rPr>
          <w:rFonts w:ascii="Arial" w:hAnsi="Arial" w:cs="Arial"/>
          <w:sz w:val="24"/>
          <w:szCs w:val="22"/>
          <w:lang w:eastAsia="zh-CN"/>
        </w:rPr>
        <w:t>. For instance, Tesla has pioneered a new business model of hardware pre-built + software fee-based services, evolving the one-time sale of the vehicle + after-sales maintenance services model into a new model of vehicle sales + intelligent software continuous services, thus earning SaaS-like long-term software services revenue</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{"citationID":"02VRKt6M","properties":{"formattedCitation":"(Tesla, 2021)","plainCitation":"(Tesla, 2021)","noteIndex":0},"citationItems":[{"id":"1E425fjT/QtfwIXAN","uris":["http://zotero.org/users/10703570/items/LGE5FQS2"],"itemData":{"id":557,"type":"report","title":"Tesla Annual Report 2020","author":[{"family":"Tesla","given":""}],"issued":{"date-parts":[["2021"]]}}}],"schema":"https://github.com/citation-style-language/schema/raw/master/csl-citation.json"}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(Tesla, 2021)</w:t>
      </w:r>
      <w:r w:rsidR="00BD2FE5" w:rsidRPr="00C3415D">
        <w:rPr>
          <w:rFonts w:ascii="Arial" w:hAnsi="Arial" w:cs="Arial"/>
          <w:sz w:val="24"/>
          <w:szCs w:val="22"/>
          <w:lang w:eastAsia="zh-CN"/>
        </w:rPr>
        <w:fldChar w:fldCharType="end"/>
      </w:r>
      <w:r w:rsidR="00BD3F14" w:rsidRPr="00C3415D">
        <w:rPr>
          <w:rFonts w:ascii="Arial" w:hAnsi="Arial" w:cs="Arial"/>
          <w:sz w:val="24"/>
          <w:szCs w:val="22"/>
          <w:lang w:eastAsia="zh-CN"/>
        </w:rPr>
        <w:t>. Tesla's self-driving suite launched in</w:t>
      </w:r>
      <w:r w:rsidR="00BD2FE5" w:rsidRPr="00C3415D">
        <w:rPr>
          <w:rFonts w:ascii="Arial" w:hAnsi="Arial" w:cs="Arial"/>
          <w:sz w:val="24"/>
          <w:szCs w:val="22"/>
          <w:lang w:eastAsia="zh-CN"/>
        </w:rPr>
        <w:t xml:space="preserve"> </w:t>
      </w:r>
      <w:r w:rsidR="00BD3F14" w:rsidRPr="00C3415D">
        <w:rPr>
          <w:rFonts w:ascii="Arial" w:hAnsi="Arial" w:cs="Arial"/>
          <w:sz w:val="24"/>
          <w:szCs w:val="22"/>
          <w:lang w:eastAsia="zh-CN"/>
        </w:rPr>
        <w:t>201</w:t>
      </w:r>
      <w:r w:rsidR="00BD2FE5" w:rsidRPr="00C3415D">
        <w:rPr>
          <w:rFonts w:ascii="Arial" w:hAnsi="Arial" w:cs="Arial"/>
          <w:sz w:val="24"/>
          <w:szCs w:val="22"/>
          <w:lang w:eastAsia="zh-CN"/>
        </w:rPr>
        <w:t>9</w:t>
      </w:r>
      <w:r w:rsidR="00BD3F14" w:rsidRPr="00C3415D">
        <w:rPr>
          <w:rFonts w:ascii="Arial" w:hAnsi="Arial" w:cs="Arial"/>
          <w:sz w:val="24"/>
          <w:szCs w:val="22"/>
          <w:lang w:eastAsia="zh-CN"/>
        </w:rPr>
        <w:t>, with key features including navigation</w:t>
      </w:r>
      <w:r w:rsidR="000E2701" w:rsidRPr="00C3415D">
        <w:rPr>
          <w:rFonts w:ascii="Arial" w:hAnsi="Arial" w:cs="Arial"/>
          <w:sz w:val="24"/>
          <w:szCs w:val="22"/>
          <w:lang w:eastAsia="zh-CN"/>
        </w:rPr>
        <w:t>-</w:t>
      </w:r>
      <w:r w:rsidR="00BD3F14" w:rsidRPr="00C3415D">
        <w:rPr>
          <w:rFonts w:ascii="Arial" w:hAnsi="Arial" w:cs="Arial"/>
          <w:sz w:val="24"/>
          <w:szCs w:val="22"/>
          <w:lang w:eastAsia="zh-CN"/>
        </w:rPr>
        <w:t>assisted driving (</w:t>
      </w:r>
      <w:proofErr w:type="spellStart"/>
      <w:r w:rsidR="00BD3F14" w:rsidRPr="00C3415D">
        <w:rPr>
          <w:rFonts w:ascii="Arial" w:hAnsi="Arial" w:cs="Arial"/>
          <w:sz w:val="24"/>
          <w:szCs w:val="22"/>
          <w:lang w:eastAsia="zh-CN"/>
        </w:rPr>
        <w:t>NoA</w:t>
      </w:r>
      <w:proofErr w:type="spellEnd"/>
      <w:r w:rsidR="00BD3F14" w:rsidRPr="00C3415D">
        <w:rPr>
          <w:rFonts w:ascii="Arial" w:hAnsi="Arial" w:cs="Arial"/>
          <w:sz w:val="24"/>
          <w:szCs w:val="22"/>
          <w:lang w:eastAsia="zh-CN"/>
        </w:rPr>
        <w:t>), automatic parking, traffic signal recognition, automatic steering on city roads, etc.</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{"citationID":"Kc3FWJNA","properties":{"formattedCitation":"(Inside EVs, 2023)","plainCitation":"(Inside EVs, 2023)","noteIndex":0},"citationItems":[{"id":"1E425fjT/6llCjnFc","uris":["http://zotero.org/users/10703570/items/F5T3RKF9"],"itemData":{"id":558,"type":"webpage","title":"Tesla's New Autopilot And Full Self-Driving Hardware Details Surface","URL":"https://insideevs.com/news/631569/tesla-new-autopilot-fsd-details-emerge/","author":[{"family":"Inside EVs","given":""}],"accessed":{"date-parts":[["2023",3,5]]},"issued":{"date-parts":[["2023"]]}}}],"schema":"https://github.com/citation-style-language/schema/raw/master/csl-citation.json"}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(Inside EVs, 2023)</w:t>
      </w:r>
      <w:r w:rsidR="00BD2FE5" w:rsidRPr="00C3415D">
        <w:rPr>
          <w:rFonts w:ascii="Arial" w:hAnsi="Arial" w:cs="Arial"/>
          <w:sz w:val="24"/>
          <w:szCs w:val="22"/>
          <w:lang w:eastAsia="zh-CN"/>
        </w:rPr>
        <w:fldChar w:fldCharType="end"/>
      </w:r>
    </w:p>
    <w:p w14:paraId="664ACE0E" w14:textId="71B1CBBC" w:rsidR="00BD3F14" w:rsidRPr="00C3415D" w:rsidRDefault="002C5D4A" w:rsidP="00BD2FE5">
      <w:pPr>
        <w:spacing w:beforeLines="50" w:before="120" w:afterLines="200" w:after="480" w:line="480" w:lineRule="auto"/>
        <w:jc w:val="both"/>
        <w:rPr>
          <w:rFonts w:ascii="Arial" w:hAnsi="Arial" w:cs="Arial"/>
          <w:sz w:val="24"/>
          <w:szCs w:val="22"/>
          <w:lang w:eastAsia="zh-CN"/>
        </w:rPr>
      </w:pPr>
      <w:r w:rsidRPr="00C3415D">
        <w:rPr>
          <w:rFonts w:ascii="Arial" w:hAnsi="Arial" w:cs="Arial"/>
          <w:sz w:val="24"/>
          <w:szCs w:val="22"/>
          <w:lang w:eastAsia="zh-CN"/>
        </w:rPr>
        <w:t xml:space="preserve">In terms of cost leadership, </w:t>
      </w:r>
      <w:r w:rsidR="00BD2FE5" w:rsidRPr="00C3415D">
        <w:rPr>
          <w:rFonts w:ascii="Arial" w:hAnsi="Arial" w:cs="Arial"/>
          <w:sz w:val="24"/>
          <w:szCs w:val="22"/>
          <w:lang w:eastAsia="zh-CN"/>
        </w:rPr>
        <w:t>t</w:t>
      </w:r>
      <w:r w:rsidR="001129E1" w:rsidRPr="00C3415D">
        <w:rPr>
          <w:rFonts w:ascii="Arial" w:hAnsi="Arial" w:cs="Arial"/>
          <w:sz w:val="24"/>
          <w:szCs w:val="22"/>
          <w:lang w:eastAsia="zh-CN"/>
        </w:rPr>
        <w:t xml:space="preserve">he battery </w:t>
      </w:r>
      <w:r w:rsidR="000E2701" w:rsidRPr="00C3415D">
        <w:rPr>
          <w:rFonts w:ascii="Arial" w:hAnsi="Arial" w:cs="Arial"/>
          <w:sz w:val="24"/>
          <w:szCs w:val="22"/>
          <w:lang w:eastAsia="zh-CN"/>
        </w:rPr>
        <w:t>i</w:t>
      </w:r>
      <w:r w:rsidR="001129E1" w:rsidRPr="00C3415D">
        <w:rPr>
          <w:rFonts w:ascii="Arial" w:hAnsi="Arial" w:cs="Arial"/>
          <w:sz w:val="24"/>
          <w:szCs w:val="22"/>
          <w:lang w:eastAsia="zh-CN"/>
        </w:rPr>
        <w:t xml:space="preserve">s the largest part of the cost of electric vehicles. It is one of the key points of Tesla's cost reduction, </w:t>
      </w:r>
      <w:r w:rsidR="00BD2FE5" w:rsidRPr="00C3415D">
        <w:rPr>
          <w:rFonts w:ascii="Arial" w:hAnsi="Arial" w:cs="Arial"/>
          <w:sz w:val="24"/>
          <w:szCs w:val="22"/>
          <w:lang w:eastAsia="zh-CN"/>
        </w:rPr>
        <w:t>Tesla</w:t>
      </w:r>
      <w:r w:rsidR="001129E1" w:rsidRPr="00C3415D">
        <w:rPr>
          <w:rFonts w:ascii="Arial" w:hAnsi="Arial" w:cs="Arial"/>
          <w:sz w:val="24"/>
          <w:szCs w:val="22"/>
          <w:lang w:eastAsia="zh-CN"/>
        </w:rPr>
        <w:t xml:space="preserve"> proposed on the battery day to reduce costs through several aspects of cell design, homemade batteries, material selection, and structural improvement of the whole vehicle</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{"citationID":"jG1VWj6k","properties":{"formattedCitation":"(Long {\\i{}et al.}, 2019)","plainCitation":"(Long et al., 2019)","noteIndex":0},"citationItems":[{"id":"1E425fjT/eIt7xdBm","uris":["http://zotero.org/users/10703570/items/NF4RF9DU"],"itemData":{"id":560,"type":"article-journal","container-title":"Transportation Research Part A: Policy and Practice","ISSN":"0965-8564","journalAbbreviation":"Transportation Research Part A: Policy and Practice","note":"publisher: Elsevier","page":"185-204","title":"What does Tesla mean to car buyers? Exploring the role of automotive brand in perceptions of battery electric vehicles","volume":"129","author":[{"family":"Long","given":"Zoe"},{"family":"Axsen","given":"Jonn"},{"family":"Miller","given":"Inger"},{"family":"Kormos","given":"Christine"}],"issued":{"date-parts":[["2019"]]}}}],"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8"/>
        </w:rPr>
        <w:t xml:space="preserve">(Long </w:t>
      </w:r>
      <w:r w:rsidR="00BD2FE5" w:rsidRPr="00C3415D">
        <w:rPr>
          <w:rFonts w:ascii="Arial" w:hAnsi="Arial" w:cs="Arial"/>
          <w:i/>
          <w:iCs/>
          <w:sz w:val="24"/>
          <w:szCs w:val="28"/>
        </w:rPr>
        <w:t>et al.</w:t>
      </w:r>
      <w:r w:rsidR="00BD2FE5" w:rsidRPr="00C3415D">
        <w:rPr>
          <w:rFonts w:ascii="Arial" w:hAnsi="Arial" w:cs="Arial"/>
          <w:sz w:val="24"/>
          <w:szCs w:val="28"/>
        </w:rPr>
        <w:t>, 2019)</w:t>
      </w:r>
      <w:r w:rsidR="00BD2FE5" w:rsidRPr="00C3415D">
        <w:rPr>
          <w:rFonts w:ascii="Arial" w:hAnsi="Arial" w:cs="Arial"/>
          <w:sz w:val="24"/>
          <w:szCs w:val="22"/>
          <w:lang w:eastAsia="zh-CN"/>
        </w:rPr>
        <w:fldChar w:fldCharType="end"/>
      </w:r>
      <w:r w:rsidR="001129E1" w:rsidRPr="00C3415D">
        <w:rPr>
          <w:rFonts w:ascii="Arial" w:hAnsi="Arial" w:cs="Arial"/>
          <w:sz w:val="24"/>
          <w:szCs w:val="22"/>
          <w:lang w:eastAsia="zh-CN"/>
        </w:rPr>
        <w:t>. The current LiFePO4 battery relies heavily on sourcing from Chinese suppliers</w:t>
      </w:r>
      <w:r w:rsidR="00640392" w:rsidRPr="00C3415D">
        <w:rPr>
          <w:rFonts w:ascii="Arial" w:hAnsi="Arial" w:cs="Arial"/>
          <w:sz w:val="24"/>
          <w:szCs w:val="22"/>
          <w:lang w:eastAsia="zh-CN"/>
        </w:rPr>
        <w:t xml:space="preserve"> such as </w:t>
      </w:r>
      <w:proofErr w:type="spellStart"/>
      <w:r w:rsidR="00640392" w:rsidRPr="00C3415D">
        <w:rPr>
          <w:rFonts w:ascii="Arial" w:hAnsi="Arial" w:cs="Arial"/>
          <w:sz w:val="24"/>
          <w:szCs w:val="22"/>
          <w:lang w:eastAsia="zh-CN"/>
        </w:rPr>
        <w:t>Ningde</w:t>
      </w:r>
      <w:proofErr w:type="spellEnd"/>
      <w:r w:rsidR="00640392" w:rsidRPr="00C3415D">
        <w:rPr>
          <w:rFonts w:ascii="Arial" w:hAnsi="Arial" w:cs="Arial"/>
          <w:sz w:val="24"/>
          <w:szCs w:val="22"/>
          <w:lang w:eastAsia="zh-CN"/>
        </w:rPr>
        <w:t xml:space="preserve"> Time with advantageous pricing offerings in the market</w:t>
      </w:r>
      <w:r w:rsidR="001129E1" w:rsidRPr="00C3415D">
        <w:rPr>
          <w:rFonts w:ascii="Arial" w:hAnsi="Arial" w:cs="Arial"/>
          <w:sz w:val="24"/>
          <w:szCs w:val="22"/>
          <w:lang w:eastAsia="zh-CN"/>
        </w:rPr>
        <w:t xml:space="preserve">. The battery is both the energy device and the structure itself. The new architecture with CTC technology is a physical innovation, using the battery pack as part of the body structure, connecting </w:t>
      </w:r>
      <w:r w:rsidR="001129E1" w:rsidRPr="00C3415D">
        <w:rPr>
          <w:rFonts w:ascii="Arial" w:hAnsi="Arial" w:cs="Arial"/>
          <w:sz w:val="24"/>
          <w:szCs w:val="22"/>
          <w:lang w:eastAsia="zh-CN"/>
        </w:rPr>
        <w:lastRenderedPageBreak/>
        <w:t>the large front and rear body castings, eliminating the original cockpit floor and replacing it with a battery top, with the seats mounted directly on the battery top</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{"citationID":"9mZG9ZiR","properties":{"formattedCitation":"(Xiang and Ou, 2019)","plainCitation":"(Xiang and Ou, 2019)","noteIndex":0},"citationItems":[{"id":"1E425fjT/UGwbsEG5","uris":["http://zotero.org/users/10703570/items/DNTJH6AH"],"itemData":{"id":562,"type":"paper-conference","event-title":"ICASSP 2019-2019 IEEE International Conference on Acoustics, Speech and Signal Processing (ICASSP)","ISBN":"1-4799-8131-1","page":"5676-5680","publisher":"IEEE","title":"CRF-based single-stage acoustic modeling with CTC topology","author":[{"family":"Xiang","given":"Hongyu"},{"family":"Ou","given":"Zhijian"}],"issued":{"date-parts":[["2019"]]}}}],"schema":"https://github.com/citation-style-language/schema/raw/master/csl-citation.json"}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(Xiang and Ou, 2019)</w:t>
      </w:r>
      <w:r w:rsidR="00BD2FE5" w:rsidRPr="00C3415D">
        <w:rPr>
          <w:rFonts w:ascii="Arial" w:hAnsi="Arial" w:cs="Arial"/>
          <w:sz w:val="24"/>
          <w:szCs w:val="22"/>
          <w:lang w:eastAsia="zh-CN"/>
        </w:rPr>
        <w:fldChar w:fldCharType="end"/>
      </w:r>
      <w:r w:rsidR="001129E1" w:rsidRPr="00C3415D">
        <w:rPr>
          <w:rFonts w:ascii="Arial" w:hAnsi="Arial" w:cs="Arial"/>
          <w:sz w:val="24"/>
          <w:szCs w:val="22"/>
          <w:lang w:eastAsia="zh-CN"/>
        </w:rPr>
        <w:t xml:space="preserve">. The CTC program is an important direction for the development of battery pack technology for electric vehicles. At present, vehicle companies such as </w:t>
      </w:r>
      <w:proofErr w:type="spellStart"/>
      <w:r w:rsidR="001129E1" w:rsidRPr="00C3415D">
        <w:rPr>
          <w:rFonts w:ascii="Arial" w:hAnsi="Arial" w:cs="Arial"/>
          <w:sz w:val="24"/>
          <w:szCs w:val="22"/>
          <w:lang w:eastAsia="zh-CN"/>
        </w:rPr>
        <w:t>ZeroRun</w:t>
      </w:r>
      <w:proofErr w:type="spellEnd"/>
      <w:r w:rsidR="001129E1" w:rsidRPr="00C3415D">
        <w:rPr>
          <w:rFonts w:ascii="Arial" w:hAnsi="Arial" w:cs="Arial"/>
          <w:sz w:val="24"/>
          <w:szCs w:val="22"/>
          <w:lang w:eastAsia="zh-CN"/>
        </w:rPr>
        <w:t>, BYD, Volkswagen, Volvo</w:t>
      </w:r>
      <w:r w:rsidR="000E2701" w:rsidRPr="00C3415D">
        <w:rPr>
          <w:rFonts w:ascii="Arial" w:hAnsi="Arial" w:cs="Arial"/>
          <w:sz w:val="24"/>
          <w:szCs w:val="22"/>
          <w:lang w:eastAsia="zh-CN"/>
        </w:rPr>
        <w:t>,</w:t>
      </w:r>
      <w:r w:rsidR="001129E1" w:rsidRPr="00C3415D">
        <w:rPr>
          <w:rFonts w:ascii="Arial" w:hAnsi="Arial" w:cs="Arial"/>
          <w:sz w:val="24"/>
          <w:szCs w:val="22"/>
          <w:lang w:eastAsia="zh-CN"/>
        </w:rPr>
        <w:t xml:space="preserve"> and Ford, and battery companies such as </w:t>
      </w:r>
      <w:proofErr w:type="spellStart"/>
      <w:r w:rsidR="001129E1" w:rsidRPr="00C3415D">
        <w:rPr>
          <w:rFonts w:ascii="Arial" w:hAnsi="Arial" w:cs="Arial"/>
          <w:sz w:val="24"/>
          <w:szCs w:val="22"/>
          <w:lang w:eastAsia="zh-CN"/>
        </w:rPr>
        <w:t>Ningde</w:t>
      </w:r>
      <w:proofErr w:type="spellEnd"/>
      <w:r w:rsidR="001129E1" w:rsidRPr="00C3415D">
        <w:rPr>
          <w:rFonts w:ascii="Arial" w:hAnsi="Arial" w:cs="Arial"/>
          <w:sz w:val="24"/>
          <w:szCs w:val="22"/>
          <w:lang w:eastAsia="zh-CN"/>
        </w:rPr>
        <w:t xml:space="preserve"> Time and LG, have all laid out the development and application of CTC technology</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{"citationID":"3fa2KAYf","properties":{"formattedCitation":"(Global Newswire, 2022)","plainCitation":"(Global Newswire, 2022)","noteIndex":0},"citationItems":[{"id":"1E425fjT/JPeAqcus","uris":["http://zotero.org/users/10703570/items/X9AFKHCQ"],"itemData":{"id":563,"type":"webpage","title":"CTP, CTC and CTB Integrated Battery Industry Research","URL":"https://www.globenewswire.com/news-release/2022/10/11/2532207/0/en/CTP-CTC-and-CTB-Integrated-Battery-Industry-Research-Report-2022.html","author":[{"family":"Global Newswire","given":""}],"accessed":{"date-parts":[["2023",3,5]]},"issued":{"date-parts":[["2022"]]}}}],"schema":"https://github.com/citation-style-language/schema/raw/master/csl-citation.json"}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(Global Newswire, 2022)</w:t>
      </w:r>
      <w:r w:rsidR="00BD2FE5" w:rsidRPr="00C3415D">
        <w:rPr>
          <w:rFonts w:ascii="Arial" w:hAnsi="Arial" w:cs="Arial"/>
          <w:sz w:val="24"/>
          <w:szCs w:val="22"/>
          <w:lang w:eastAsia="zh-CN"/>
        </w:rPr>
        <w:fldChar w:fldCharType="end"/>
      </w:r>
      <w:r w:rsidR="001129E1" w:rsidRPr="00C3415D">
        <w:rPr>
          <w:rFonts w:ascii="Arial" w:hAnsi="Arial" w:cs="Arial"/>
          <w:sz w:val="24"/>
          <w:szCs w:val="22"/>
          <w:lang w:eastAsia="zh-CN"/>
        </w:rPr>
        <w:t>.</w:t>
      </w:r>
      <w:r w:rsidR="00C911B4" w:rsidRPr="00C3415D">
        <w:rPr>
          <w:rFonts w:ascii="Arial" w:hAnsi="Arial" w:cs="Arial"/>
          <w:sz w:val="24"/>
          <w:szCs w:val="22"/>
          <w:lang w:eastAsia="zh-CN"/>
        </w:rPr>
        <w:t xml:space="preserve"> </w:t>
      </w:r>
      <w:r w:rsidR="002368D9" w:rsidRPr="00C3415D">
        <w:rPr>
          <w:rFonts w:ascii="Arial" w:hAnsi="Arial" w:cs="Arial"/>
          <w:sz w:val="24"/>
          <w:szCs w:val="22"/>
          <w:lang w:eastAsia="zh-CN"/>
        </w:rPr>
        <w:t>From 2022 onwards, Tesla further attracts consumers through active price reductions. Taking the Chinese market as an example, from September 2022 onwards, Tesla has opened several rounds of price reduction promotions through direct or indirect preferential policies</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{"citationID":"CUd2Sq4d","properties":{"formattedCitation":"(Reuters, 2023)","plainCitation":"(Reuters, 2023)","noteIndex":0},"citationItems":[{"id":"1E425fjT/ZA2HRTEi","uris":["http://zotero.org/users/10703570/items/66BBP2NQ"],"itemData":{"id":565,"type":"webpage","title":"Factbox: Tesla cuts prices globally in a bid to spur demand","URL":"https://www.reuters.com/technology/details-tesla-price-cuts-china-other-asian-markets-2023-01-06/","author":[{"family":"Reuters","given":""}],"accessed":{"date-parts":[["2023",3,5]]},"issued":{"date-parts":[["2023"]]}}}],"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(Reuters, 2023)</w:t>
      </w:r>
      <w:r w:rsidR="00BD2FE5" w:rsidRPr="00C3415D">
        <w:rPr>
          <w:rFonts w:ascii="Arial" w:hAnsi="Arial" w:cs="Arial"/>
          <w:sz w:val="24"/>
          <w:szCs w:val="22"/>
          <w:lang w:eastAsia="zh-CN"/>
        </w:rPr>
        <w:fldChar w:fldCharType="end"/>
      </w:r>
      <w:r w:rsidR="002368D9" w:rsidRPr="00C3415D">
        <w:rPr>
          <w:rFonts w:ascii="Arial" w:hAnsi="Arial" w:cs="Arial"/>
          <w:sz w:val="24"/>
          <w:szCs w:val="22"/>
          <w:lang w:eastAsia="zh-CN"/>
        </w:rPr>
        <w:t xml:space="preserve">. </w:t>
      </w:r>
      <w:r w:rsidR="000E2701" w:rsidRPr="00C3415D">
        <w:rPr>
          <w:rFonts w:ascii="Arial" w:hAnsi="Arial" w:cs="Arial"/>
          <w:sz w:val="24"/>
          <w:szCs w:val="22"/>
          <w:lang w:eastAsia="zh-CN"/>
        </w:rPr>
        <w:t>U</w:t>
      </w:r>
      <w:r w:rsidR="002368D9" w:rsidRPr="00C3415D">
        <w:rPr>
          <w:rFonts w:ascii="Arial" w:hAnsi="Arial" w:cs="Arial"/>
          <w:sz w:val="24"/>
          <w:szCs w:val="22"/>
          <w:lang w:eastAsia="zh-CN"/>
        </w:rPr>
        <w:t>sers who purchase selected Tesla models before December 31, 2022, still enjoy</w:t>
      </w:r>
      <w:r w:rsidR="000E2701" w:rsidRPr="00C3415D">
        <w:rPr>
          <w:rFonts w:ascii="Arial" w:hAnsi="Arial" w:cs="Arial"/>
          <w:sz w:val="24"/>
          <w:szCs w:val="22"/>
          <w:lang w:eastAsia="zh-CN"/>
        </w:rPr>
        <w:t>ed</w:t>
      </w:r>
      <w:r w:rsidR="002368D9" w:rsidRPr="00C3415D">
        <w:rPr>
          <w:rFonts w:ascii="Arial" w:hAnsi="Arial" w:cs="Arial"/>
          <w:sz w:val="24"/>
          <w:szCs w:val="22"/>
          <w:lang w:eastAsia="zh-CN"/>
        </w:rPr>
        <w:t xml:space="preserve"> national new energy subsidies, self-service order points rewards, existing car insurance subsidies, and limited-time discounts on existing cars. </w:t>
      </w:r>
      <w:r w:rsidR="000E2701" w:rsidRPr="00C3415D">
        <w:rPr>
          <w:rFonts w:ascii="Arial" w:hAnsi="Arial" w:cs="Arial"/>
          <w:sz w:val="24"/>
          <w:szCs w:val="22"/>
          <w:lang w:eastAsia="zh-CN"/>
        </w:rPr>
        <w:t>T</w:t>
      </w:r>
      <w:r w:rsidR="002368D9" w:rsidRPr="00C3415D">
        <w:rPr>
          <w:rFonts w:ascii="Arial" w:hAnsi="Arial" w:cs="Arial"/>
          <w:sz w:val="24"/>
          <w:szCs w:val="22"/>
          <w:lang w:eastAsia="zh-CN"/>
        </w:rPr>
        <w:t>he lowest prices for Model</w:t>
      </w:r>
      <w:r w:rsidR="00BD2FE5" w:rsidRPr="00C3415D">
        <w:rPr>
          <w:rFonts w:ascii="Arial" w:hAnsi="Arial" w:cs="Arial"/>
          <w:sz w:val="24"/>
          <w:szCs w:val="22"/>
          <w:lang w:eastAsia="zh-CN"/>
        </w:rPr>
        <w:t xml:space="preserve"> </w:t>
      </w:r>
      <w:r w:rsidR="002368D9" w:rsidRPr="00C3415D">
        <w:rPr>
          <w:rFonts w:ascii="Arial" w:hAnsi="Arial" w:cs="Arial"/>
          <w:sz w:val="24"/>
          <w:szCs w:val="22"/>
          <w:lang w:eastAsia="zh-CN"/>
        </w:rPr>
        <w:t>3 and Model</w:t>
      </w:r>
      <w:r w:rsidR="00BD2FE5" w:rsidRPr="00C3415D">
        <w:rPr>
          <w:rFonts w:ascii="Arial" w:hAnsi="Arial" w:cs="Arial"/>
          <w:sz w:val="24"/>
          <w:szCs w:val="22"/>
          <w:lang w:eastAsia="zh-CN"/>
        </w:rPr>
        <w:t xml:space="preserve"> </w:t>
      </w:r>
      <w:r w:rsidR="002368D9" w:rsidRPr="00C3415D">
        <w:rPr>
          <w:rFonts w:ascii="Arial" w:hAnsi="Arial" w:cs="Arial"/>
          <w:sz w:val="24"/>
          <w:szCs w:val="22"/>
          <w:lang w:eastAsia="zh-CN"/>
        </w:rPr>
        <w:t xml:space="preserve">Y </w:t>
      </w:r>
      <w:r w:rsidR="000E2701" w:rsidRPr="00C3415D">
        <w:rPr>
          <w:rFonts w:ascii="Arial" w:hAnsi="Arial" w:cs="Arial"/>
          <w:sz w:val="24"/>
          <w:szCs w:val="22"/>
          <w:lang w:eastAsia="zh-CN"/>
        </w:rPr>
        <w:t xml:space="preserve">thus </w:t>
      </w:r>
      <w:r w:rsidR="002368D9" w:rsidRPr="00C3415D">
        <w:rPr>
          <w:rFonts w:ascii="Arial" w:hAnsi="Arial" w:cs="Arial"/>
          <w:sz w:val="24"/>
          <w:szCs w:val="22"/>
          <w:lang w:eastAsia="zh-CN"/>
        </w:rPr>
        <w:t>reached</w:t>
      </w:r>
      <w:r w:rsidR="000E2701" w:rsidRPr="00C3415D">
        <w:rPr>
          <w:rFonts w:ascii="Arial" w:hAnsi="Arial" w:cs="Arial"/>
          <w:sz w:val="24"/>
          <w:szCs w:val="22"/>
          <w:lang w:eastAsia="zh-CN"/>
        </w:rPr>
        <w:t xml:space="preserve"> the bottom of </w:t>
      </w:r>
      <w:r w:rsidR="002368D9" w:rsidRPr="00C3415D">
        <w:rPr>
          <w:rFonts w:ascii="Arial" w:hAnsi="Arial" w:cs="Arial"/>
          <w:sz w:val="24"/>
          <w:szCs w:val="22"/>
          <w:lang w:eastAsia="zh-CN"/>
        </w:rPr>
        <w:t xml:space="preserve"> 265,900 yuan and 288,900 yuan respectively on the official website</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{"citationID":"u42wtiRS","properties":{"formattedCitation":"(CNN Business, 2023)","plainCitation":"(CNN Business, 2023)","noteIndex":0},"citationItems":[{"id":"1E425fjT/YRLM1TMt","uris":["http://zotero.org/users/10703570/items/RLIHR98B"],"itemData":{"id":567,"type":"webpage","title":"Tesla cuts prices in China for second time in three months as demand slows","URL":"https://edition.cnn.com/2023/01/06/economy/tesla-china-price-cut-slowdown-intl-hnk/index.html","author":[{"family":"CNN Business","given":""}],"accessed":{"date-parts":[["2023",3,5]]},"issued":{"date-parts":[["2023"]]}}}],"schema":"https://github.com/citation-style-language/schema/raw/master/csl-citation.json"}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(CNN Business, 2023)</w:t>
      </w:r>
      <w:r w:rsidR="00BD2FE5" w:rsidRPr="00C3415D">
        <w:rPr>
          <w:rFonts w:ascii="Arial" w:hAnsi="Arial" w:cs="Arial"/>
          <w:sz w:val="24"/>
          <w:szCs w:val="22"/>
          <w:lang w:eastAsia="zh-CN"/>
        </w:rPr>
        <w:fldChar w:fldCharType="end"/>
      </w:r>
      <w:r w:rsidR="002368D9" w:rsidRPr="00C3415D">
        <w:rPr>
          <w:rFonts w:ascii="Arial" w:hAnsi="Arial" w:cs="Arial"/>
          <w:sz w:val="24"/>
          <w:szCs w:val="22"/>
          <w:lang w:eastAsia="zh-CN"/>
        </w:rPr>
        <w:t>. In addition, first-tier cities such as Shenzhen, Shanghai and Beijing have all opened their year-end temporary subsidies, with cumulative subsidies of up to RMB 33,000.</w:t>
      </w:r>
      <w:r w:rsidR="000E2701" w:rsidRPr="00C3415D">
        <w:rPr>
          <w:rFonts w:ascii="Arial" w:hAnsi="Arial" w:cs="Arial"/>
          <w:sz w:val="24"/>
          <w:szCs w:val="22"/>
          <w:lang w:eastAsia="zh-CN"/>
        </w:rPr>
        <w:t xml:space="preserve"> These initiatives further underlie the cost leadership aspect of Tesla’s hybrid strategy.</w:t>
      </w:r>
    </w:p>
    <w:p w14:paraId="05B27797" w14:textId="3729E075" w:rsidR="00E86A50" w:rsidRPr="00C3415D" w:rsidRDefault="001129E1" w:rsidP="00BD2FE5">
      <w:pPr>
        <w:spacing w:beforeLines="50" w:before="120" w:afterLines="200" w:after="480" w:line="480" w:lineRule="auto"/>
        <w:jc w:val="both"/>
        <w:rPr>
          <w:rFonts w:ascii="Arial" w:hAnsi="Arial" w:cs="Arial"/>
          <w:sz w:val="24"/>
          <w:szCs w:val="22"/>
          <w:lang w:eastAsia="zh-CN"/>
        </w:rPr>
      </w:pPr>
      <w:r w:rsidRPr="00C3415D">
        <w:rPr>
          <w:rFonts w:ascii="Arial" w:hAnsi="Arial" w:cs="Arial"/>
          <w:sz w:val="24"/>
          <w:szCs w:val="22"/>
          <w:lang w:eastAsia="zh-CN"/>
        </w:rPr>
        <w:t xml:space="preserve">In terms of business model, Tesla has abandoned the traditional dealership model in favour of the direct model. The direct model has gradually become a common choice for new car makers and new smart electric brands from traditional car companies. </w:t>
      </w:r>
      <w:r w:rsidR="00BD2FE5" w:rsidRPr="00C3415D">
        <w:rPr>
          <w:rFonts w:ascii="Arial" w:hAnsi="Arial" w:cs="Arial"/>
          <w:sz w:val="24"/>
          <w:szCs w:val="22"/>
          <w:lang w:eastAsia="zh-CN"/>
        </w:rPr>
        <w:t xml:space="preserve">The inconsistency of price across distribution channels and ineffective after-sale services have always been complained </w:t>
      </w:r>
      <w:r w:rsidR="000E2701" w:rsidRPr="00C3415D">
        <w:rPr>
          <w:rFonts w:ascii="Arial" w:hAnsi="Arial" w:cs="Arial"/>
          <w:sz w:val="24"/>
          <w:szCs w:val="22"/>
          <w:lang w:eastAsia="zh-CN"/>
        </w:rPr>
        <w:t xml:space="preserve">about </w:t>
      </w:r>
      <w:r w:rsidR="00BD2FE5" w:rsidRPr="00C3415D">
        <w:rPr>
          <w:rFonts w:ascii="Arial" w:hAnsi="Arial" w:cs="Arial"/>
          <w:sz w:val="24"/>
          <w:szCs w:val="22"/>
          <w:lang w:eastAsia="zh-CN"/>
        </w:rPr>
        <w:t xml:space="preserve">by the customer in the traditional dealership model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{"citationID":"2xjnOarZ","properties":{"formattedCitation":"(Biondi {\\i{}et al.}, 2013)","plainCitation":"(Biondi et al., 2013)","noteIndex":0},"citationItems":[{"id":"1E425fjT/XbWlPw2o","uris":["http://zotero.org/users/10703570/items/7WUMYV6T"],"itemData":{"id":569,"type":"article-journal","container-title":"International Journal of Engineering Business Management","ISSN":"1847-9790","issue":"Godište 2013","journalAbbreviation":"International Journal of Engineering Business Management","note":"publisher: InTech","page":"5-18","title":"A new approach for assessing dealership performance: An application for the automotive industry","volume":"5","author":[{"family":"Biondi","given":"Stefano"},{"family":"Calabrese","given":"Armando"},{"family":"Capece","given":"Guendalina"},{"family":"Costa","given":"Roberta"},{"family":"Di Pillo","given":"Francesca"}],"issued":{"date-parts":[["2013"]]}}}],"schema":"https://github.com/citation-style-language/schema/raw/master/csl-citation.json"}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8"/>
        </w:rPr>
        <w:t xml:space="preserve">(Biondi </w:t>
      </w:r>
      <w:r w:rsidR="00BD2FE5" w:rsidRPr="00C3415D">
        <w:rPr>
          <w:rFonts w:ascii="Arial" w:hAnsi="Arial" w:cs="Arial"/>
          <w:i/>
          <w:iCs/>
          <w:sz w:val="24"/>
          <w:szCs w:val="28"/>
        </w:rPr>
        <w:t>et al.</w:t>
      </w:r>
      <w:r w:rsidR="00BD2FE5" w:rsidRPr="00C3415D">
        <w:rPr>
          <w:rFonts w:ascii="Arial" w:hAnsi="Arial" w:cs="Arial"/>
          <w:sz w:val="24"/>
          <w:szCs w:val="28"/>
        </w:rPr>
        <w:t>, 2013)</w:t>
      </w:r>
      <w:r w:rsidR="00BD2FE5" w:rsidRPr="00C3415D">
        <w:rPr>
          <w:rFonts w:ascii="Arial" w:hAnsi="Arial" w:cs="Arial"/>
          <w:sz w:val="24"/>
          <w:szCs w:val="22"/>
          <w:lang w:eastAsia="zh-CN"/>
        </w:rPr>
        <w:fldChar w:fldCharType="end"/>
      </w:r>
      <w:r w:rsidR="00BD2FE5" w:rsidRPr="00C3415D">
        <w:rPr>
          <w:rFonts w:ascii="Arial" w:hAnsi="Arial" w:cs="Arial"/>
          <w:sz w:val="24"/>
          <w:szCs w:val="22"/>
          <w:lang w:eastAsia="zh-CN"/>
        </w:rPr>
        <w:t xml:space="preserve">. </w:t>
      </w:r>
      <w:r w:rsidRPr="00C3415D">
        <w:rPr>
          <w:rFonts w:ascii="Arial" w:hAnsi="Arial" w:cs="Arial"/>
          <w:sz w:val="24"/>
          <w:szCs w:val="22"/>
          <w:lang w:eastAsia="zh-CN"/>
        </w:rPr>
        <w:t xml:space="preserve">The direct-operated model eliminates the information </w:t>
      </w:r>
      <w:r w:rsidR="00C81FD9">
        <w:rPr>
          <w:rFonts w:ascii="Arial" w:hAnsi="Arial" w:cs="Arial"/>
          <w:sz w:val="24"/>
          <w:szCs w:val="22"/>
          <w:lang w:eastAsia="zh-CN"/>
        </w:rPr>
        <w:lastRenderedPageBreak/>
        <w:t>asymmetry between consumers and distributor</w:t>
      </w:r>
      <w:r w:rsidRPr="00C3415D">
        <w:rPr>
          <w:rFonts w:ascii="Arial" w:hAnsi="Arial" w:cs="Arial"/>
          <w:sz w:val="24"/>
          <w:szCs w:val="22"/>
          <w:lang w:eastAsia="zh-CN"/>
        </w:rPr>
        <w:t xml:space="preserve"> and </w:t>
      </w:r>
      <w:r w:rsidR="00C81FD9">
        <w:rPr>
          <w:rFonts w:ascii="Arial" w:hAnsi="Arial" w:cs="Arial"/>
          <w:sz w:val="24"/>
          <w:szCs w:val="22"/>
          <w:lang w:eastAsia="zh-CN"/>
        </w:rPr>
        <w:t xml:space="preserve">also effectively </w:t>
      </w:r>
      <w:r w:rsidRPr="00C3415D">
        <w:rPr>
          <w:rFonts w:ascii="Arial" w:hAnsi="Arial" w:cs="Arial"/>
          <w:sz w:val="24"/>
          <w:szCs w:val="22"/>
          <w:lang w:eastAsia="zh-CN"/>
        </w:rPr>
        <w:t xml:space="preserve">enhances </w:t>
      </w:r>
      <w:r w:rsidR="00C81FD9">
        <w:rPr>
          <w:rFonts w:ascii="Arial" w:hAnsi="Arial" w:cs="Arial"/>
          <w:sz w:val="24"/>
          <w:szCs w:val="22"/>
          <w:lang w:eastAsia="zh-CN"/>
        </w:rPr>
        <w:t xml:space="preserve">the </w:t>
      </w:r>
      <w:r w:rsidRPr="00C3415D">
        <w:rPr>
          <w:rFonts w:ascii="Arial" w:hAnsi="Arial" w:cs="Arial"/>
          <w:sz w:val="24"/>
          <w:szCs w:val="22"/>
          <w:lang w:eastAsia="zh-CN"/>
        </w:rPr>
        <w:t xml:space="preserve"> purchase and after-sales experience</w:t>
      </w:r>
      <w:r w:rsidR="00C81FD9">
        <w:rPr>
          <w:rFonts w:ascii="Arial" w:hAnsi="Arial" w:cs="Arial"/>
          <w:sz w:val="24"/>
          <w:szCs w:val="22"/>
          <w:lang w:eastAsia="zh-CN"/>
        </w:rPr>
        <w:t xml:space="preserve"> through the direct interaction along the customer journey</w:t>
      </w:r>
      <w:r w:rsidRPr="00C3415D">
        <w:rPr>
          <w:rFonts w:ascii="Arial" w:hAnsi="Arial" w:cs="Arial"/>
          <w:sz w:val="24"/>
          <w:szCs w:val="22"/>
          <w:lang w:eastAsia="zh-CN"/>
        </w:rPr>
        <w:t>, further enhanc</w:t>
      </w:r>
      <w:r w:rsidR="000E2701" w:rsidRPr="00C3415D">
        <w:rPr>
          <w:rFonts w:ascii="Arial" w:hAnsi="Arial" w:cs="Arial"/>
          <w:sz w:val="24"/>
          <w:szCs w:val="22"/>
          <w:lang w:eastAsia="zh-CN"/>
        </w:rPr>
        <w:t>ing</w:t>
      </w:r>
      <w:r w:rsidRPr="00C3415D">
        <w:rPr>
          <w:rFonts w:ascii="Arial" w:hAnsi="Arial" w:cs="Arial"/>
          <w:sz w:val="24"/>
          <w:szCs w:val="22"/>
          <w:lang w:eastAsia="zh-CN"/>
        </w:rPr>
        <w:t xml:space="preserve"> the cost leadership and differentiation in marketing and distribution aspects</w:t>
      </w:r>
      <w:r w:rsidR="00BD2FE5" w:rsidRPr="00C3415D">
        <w:rPr>
          <w:rFonts w:ascii="Arial" w:hAnsi="Arial" w:cs="Arial"/>
          <w:sz w:val="24"/>
          <w:szCs w:val="22"/>
          <w:lang w:eastAsia="zh-CN"/>
        </w:rPr>
        <w:t xml:space="preserve"> </w:t>
      </w:r>
      <w:r w:rsidR="00BD2FE5" w:rsidRPr="00C3415D">
        <w:rPr>
          <w:rFonts w:ascii="Arial" w:hAnsi="Arial" w:cs="Arial"/>
          <w:sz w:val="24"/>
          <w:szCs w:val="22"/>
          <w:lang w:eastAsia="zh-CN"/>
        </w:rPr>
        <w:fldChar w:fldCharType="begin"/>
      </w:r>
      <w:r w:rsidR="00485CFF" w:rsidRPr="00C3415D">
        <w:rPr>
          <w:rFonts w:ascii="Arial" w:hAnsi="Arial" w:cs="Arial"/>
          <w:sz w:val="24"/>
          <w:szCs w:val="22"/>
          <w:lang w:eastAsia="zh-CN"/>
        </w:rPr>
        <w:instrText xml:space="preserve"> ADDIN ZOTERO_ITEM CSL_CITATION {"citationID":"v8iJDjoH","properties":{"formattedCitation":"(Tesla, 2021)","plainCitation":"(Tesla, 2021)","noteIndex":0},"citationItems":[{"id":"1E425fjT/QtfwIXAN","uris":["http://zotero.org/users/10703570/items/LGE5FQS2"],"itemData":{"id":557,"type":"report","title":"Tesla Annual Report 2020","author":[{"family":"Tesla","given":""}],"issued":{"date-parts":[["2021"]]}}}],"schema":"https://github.com/citation-style-language/schema/raw/master/csl-citation.json"} </w:instrText>
      </w:r>
      <w:r w:rsidR="00BD2FE5" w:rsidRPr="00C3415D">
        <w:rPr>
          <w:rFonts w:ascii="Arial" w:hAnsi="Arial" w:cs="Arial"/>
          <w:sz w:val="24"/>
          <w:szCs w:val="22"/>
          <w:lang w:eastAsia="zh-CN"/>
        </w:rPr>
        <w:fldChar w:fldCharType="separate"/>
      </w:r>
      <w:r w:rsidR="00BD2FE5" w:rsidRPr="00C3415D">
        <w:rPr>
          <w:rFonts w:ascii="Arial" w:hAnsi="Arial" w:cs="Arial"/>
          <w:sz w:val="24"/>
          <w:szCs w:val="22"/>
        </w:rPr>
        <w:t>(Tesla, 2021)</w:t>
      </w:r>
      <w:r w:rsidR="00BD2FE5" w:rsidRPr="00C3415D">
        <w:rPr>
          <w:rFonts w:ascii="Arial" w:hAnsi="Arial" w:cs="Arial"/>
          <w:sz w:val="24"/>
          <w:szCs w:val="22"/>
          <w:lang w:eastAsia="zh-CN"/>
        </w:rPr>
        <w:fldChar w:fldCharType="end"/>
      </w:r>
      <w:r w:rsidRPr="00C3415D">
        <w:rPr>
          <w:rFonts w:ascii="Arial" w:hAnsi="Arial" w:cs="Arial"/>
          <w:sz w:val="24"/>
          <w:szCs w:val="22"/>
          <w:lang w:eastAsia="zh-CN"/>
        </w:rPr>
        <w:t xml:space="preserve">. </w:t>
      </w:r>
    </w:p>
    <w:p w14:paraId="177DC921" w14:textId="6279C006" w:rsidR="001262C4" w:rsidRPr="00BD2FE5" w:rsidRDefault="00485CFF" w:rsidP="00BD2FE5">
      <w:pPr>
        <w:pStyle w:val="2"/>
        <w:spacing w:beforeLines="50" w:before="120" w:afterLines="200" w:after="480" w:line="480" w:lineRule="auto"/>
        <w:jc w:val="both"/>
        <w:rPr>
          <w:rFonts w:ascii="Arial" w:hAnsi="Arial" w:cs="Arial"/>
        </w:rPr>
      </w:pPr>
      <w:bookmarkStart w:id="8" w:name="_Toc129168333"/>
      <w:proofErr w:type="gramStart"/>
      <w:r>
        <w:rPr>
          <w:rFonts w:ascii="Arial" w:hAnsi="Arial" w:cs="Arial"/>
        </w:rPr>
        <w:t xml:space="preserve">2.3  </w:t>
      </w:r>
      <w:r w:rsidR="00EB2D66" w:rsidRPr="00BD2FE5">
        <w:rPr>
          <w:rFonts w:ascii="Arial" w:hAnsi="Arial" w:cs="Arial"/>
          <w:lang w:eastAsia="zh-CN"/>
        </w:rPr>
        <w:t>The</w:t>
      </w:r>
      <w:proofErr w:type="gramEnd"/>
      <w:r w:rsidR="00EB2D66" w:rsidRPr="00BD2FE5">
        <w:rPr>
          <w:rFonts w:ascii="Arial" w:hAnsi="Arial" w:cs="Arial"/>
        </w:rPr>
        <w:t xml:space="preserve"> evaluation of Tesla’s hybrid strategy</w:t>
      </w:r>
      <w:bookmarkEnd w:id="8"/>
      <w:r w:rsidR="00EB2D66" w:rsidRPr="00BD2FE5">
        <w:rPr>
          <w:rFonts w:ascii="Arial" w:hAnsi="Arial" w:cs="Arial"/>
        </w:rPr>
        <w:t xml:space="preserve"> </w:t>
      </w:r>
    </w:p>
    <w:p w14:paraId="329461E2" w14:textId="77A9C4A1" w:rsidR="00EB2D66"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The hybrid strategy has made Tesla the dominant electric vehicle brand in north America (with a share of 70.6%), Australia &amp; Oceania (with a share of 65.8%). </w:t>
      </w:r>
    </w:p>
    <w:p w14:paraId="46E958B3" w14:textId="6F409002" w:rsidR="00BD2FE5" w:rsidRPr="00C3415D" w:rsidRDefault="00BD2FE5"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noProof/>
          <w:sz w:val="24"/>
          <w:szCs w:val="24"/>
          <w:lang w:val="en-US" w:eastAsia="zh-CN"/>
        </w:rPr>
        <w:drawing>
          <wp:inline distT="0" distB="0" distL="0" distR="0" wp14:anchorId="2372C735" wp14:editId="505EDBB9">
            <wp:extent cx="3208793" cy="154917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9585" b="22136"/>
                    <a:stretch/>
                  </pic:blipFill>
                  <pic:spPr bwMode="auto">
                    <a:xfrm>
                      <a:off x="0" y="0"/>
                      <a:ext cx="3260108" cy="1573945"/>
                    </a:xfrm>
                    <a:prstGeom prst="rect">
                      <a:avLst/>
                    </a:prstGeom>
                    <a:noFill/>
                    <a:ln>
                      <a:noFill/>
                    </a:ln>
                    <a:extLst>
                      <a:ext uri="{53640926-AAD7-44D8-BBD7-CCE9431645EC}">
                        <a14:shadowObscured xmlns:a14="http://schemas.microsoft.com/office/drawing/2010/main"/>
                      </a:ext>
                    </a:extLst>
                  </pic:spPr>
                </pic:pic>
              </a:graphicData>
            </a:graphic>
          </wp:inline>
        </w:drawing>
      </w:r>
    </w:p>
    <w:p w14:paraId="049FB0A7" w14:textId="0759B1E4" w:rsidR="00BD2FE5" w:rsidRPr="00C3415D" w:rsidRDefault="00BD2FE5"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t xml:space="preserve">Figure </w:t>
      </w:r>
      <w:r w:rsidR="00DF4DDC" w:rsidRPr="00C3415D">
        <w:rPr>
          <w:rFonts w:ascii="Arial" w:hAnsi="Arial" w:cs="Arial"/>
          <w:i/>
          <w:iCs/>
          <w:sz w:val="24"/>
          <w:szCs w:val="24"/>
          <w:lang w:eastAsia="zh-CN"/>
        </w:rPr>
        <w:t>4</w:t>
      </w:r>
      <w:r w:rsidRPr="00C3415D">
        <w:rPr>
          <w:rFonts w:ascii="Arial" w:hAnsi="Arial" w:cs="Arial"/>
          <w:i/>
          <w:iCs/>
          <w:sz w:val="24"/>
          <w:szCs w:val="24"/>
          <w:lang w:eastAsia="zh-CN"/>
        </w:rPr>
        <w:t>: Tesla ‘s market share of total EV unit sales in 2021 by region</w:t>
      </w:r>
    </w:p>
    <w:p w14:paraId="1AE18973" w14:textId="3086AB36" w:rsidR="00BD2FE5" w:rsidRPr="00C3415D" w:rsidRDefault="00BD2FE5" w:rsidP="00BD2FE5">
      <w:pPr>
        <w:spacing w:beforeLines="50" w:before="120" w:afterLines="200" w:after="480" w:line="480" w:lineRule="auto"/>
        <w:jc w:val="center"/>
        <w:rPr>
          <w:rFonts w:ascii="Arial" w:hAnsi="Arial" w:cs="Arial"/>
          <w:i/>
          <w:iCs/>
          <w:sz w:val="24"/>
          <w:szCs w:val="24"/>
          <w:lang w:eastAsia="zh-CN"/>
        </w:rPr>
      </w:pPr>
      <w:r w:rsidRPr="00C3415D">
        <w:rPr>
          <w:rFonts w:ascii="Arial" w:hAnsi="Arial" w:cs="Arial"/>
          <w:i/>
          <w:iCs/>
          <w:sz w:val="24"/>
          <w:szCs w:val="24"/>
          <w:lang w:eastAsia="zh-CN"/>
        </w:rPr>
        <w:t xml:space="preserve">Source: </w:t>
      </w:r>
      <w:r w:rsidRPr="00C3415D">
        <w:rPr>
          <w:rFonts w:ascii="Arial" w:hAnsi="Arial" w:cs="Arial"/>
          <w:i/>
          <w:iCs/>
          <w:sz w:val="24"/>
          <w:szCs w:val="24"/>
          <w:lang w:eastAsia="zh-CN"/>
        </w:rPr>
        <w:fldChar w:fldCharType="begin"/>
      </w:r>
      <w:r w:rsidR="00485CFF" w:rsidRPr="00C3415D">
        <w:rPr>
          <w:rFonts w:ascii="Arial" w:hAnsi="Arial" w:cs="Arial"/>
          <w:i/>
          <w:iCs/>
          <w:sz w:val="24"/>
          <w:szCs w:val="24"/>
          <w:lang w:eastAsia="zh-CN"/>
        </w:rPr>
        <w:instrText xml:space="preserve"> ADDIN ZOTERO_ITEM CSL_CITATION {"citationID":"2aszBstQ","properties":{"formattedCitation":"(Statista, 2022)","plainCitation":"(Statista, 2022)","noteIndex":0},"citationItems":[{"id":"1E425fjT/kFY3ko6P","uris":["http://zotero.org/users/10703570/items/4HNJYRUQ"],"itemData":{"id":536,"type":"webpage","title":"Tesla Hasn't Conquered the World","URL":"https://www.google.com.hk/url?sa=i&amp;url=https%3A%2F%2Fwww.statista.com%2Fchart%2F28347%2Ftesla-share-of-bev-unit-sales-by-region-mmo%2F&amp;psig=AOvVaw08pE53f828C3bxZONfbcLy&amp;ust=1678071122758000&amp;source=images&amp;cd=vfe&amp;ved=0CA4QjhxqFwoTCJi-nJ3kw_0CFQAAAAAdAAAAABAT","author":[{"family":"Statista","given":""}],"issued":{"date-parts":[["2022"]]}}}],"schema":"https://github.com/citation-style-language/schema/raw/master/csl-citation.json"} </w:instrText>
      </w:r>
      <w:r w:rsidRPr="00C3415D">
        <w:rPr>
          <w:rFonts w:ascii="Arial" w:hAnsi="Arial" w:cs="Arial"/>
          <w:i/>
          <w:iCs/>
          <w:sz w:val="24"/>
          <w:szCs w:val="24"/>
          <w:lang w:eastAsia="zh-CN"/>
        </w:rPr>
        <w:fldChar w:fldCharType="separate"/>
      </w:r>
      <w:r w:rsidRPr="00C3415D">
        <w:rPr>
          <w:rFonts w:ascii="Arial" w:hAnsi="Arial" w:cs="Arial"/>
          <w:i/>
          <w:iCs/>
          <w:sz w:val="24"/>
          <w:szCs w:val="24"/>
        </w:rPr>
        <w:t>(Statista, 2022)</w:t>
      </w:r>
      <w:r w:rsidRPr="00C3415D">
        <w:rPr>
          <w:rFonts w:ascii="Arial" w:hAnsi="Arial" w:cs="Arial"/>
          <w:i/>
          <w:iCs/>
          <w:sz w:val="24"/>
          <w:szCs w:val="24"/>
          <w:lang w:eastAsia="zh-CN"/>
        </w:rPr>
        <w:fldChar w:fldCharType="end"/>
      </w:r>
    </w:p>
    <w:p w14:paraId="525B1FC4" w14:textId="6C8F61CC" w:rsidR="002368D9" w:rsidRPr="00C3415D" w:rsidRDefault="00BD2FE5" w:rsidP="00BD2FE5">
      <w:pPr>
        <w:spacing w:beforeLines="50" w:before="120" w:afterLines="200" w:after="480" w:line="480" w:lineRule="auto"/>
        <w:jc w:val="both"/>
        <w:rPr>
          <w:rFonts w:ascii="Arial" w:hAnsi="Arial" w:cs="Arial"/>
          <w:sz w:val="24"/>
          <w:szCs w:val="24"/>
        </w:rPr>
      </w:pPr>
      <w:r w:rsidRPr="00C3415D">
        <w:rPr>
          <w:rFonts w:ascii="Arial" w:hAnsi="Arial" w:cs="Arial"/>
          <w:sz w:val="24"/>
          <w:szCs w:val="24"/>
        </w:rPr>
        <w:t xml:space="preserve">After 2020, Tesla's product competitiveness will be challenged as manufacturers begin to accelerate their high-end development and product mix. On the one hand, the market will see a new product cycle for new energy cars, with new models from traditional manufacturers such as the BYD Seal, and </w:t>
      </w:r>
      <w:proofErr w:type="spellStart"/>
      <w:r w:rsidRPr="00C3415D">
        <w:rPr>
          <w:rFonts w:ascii="Arial" w:hAnsi="Arial" w:cs="Arial"/>
          <w:sz w:val="24"/>
          <w:szCs w:val="24"/>
        </w:rPr>
        <w:t>Changan</w:t>
      </w:r>
      <w:proofErr w:type="spellEnd"/>
      <w:r w:rsidRPr="00C3415D">
        <w:rPr>
          <w:rFonts w:ascii="Arial" w:hAnsi="Arial" w:cs="Arial"/>
          <w:sz w:val="24"/>
          <w:szCs w:val="24"/>
        </w:rPr>
        <w:t xml:space="preserve"> Blue SL03, as well as new models from new forces such as the </w:t>
      </w:r>
      <w:r w:rsidRPr="00C3415D">
        <w:rPr>
          <w:rFonts w:ascii="Arial" w:hAnsi="Arial" w:cs="Arial"/>
          <w:sz w:val="24"/>
          <w:szCs w:val="24"/>
          <w:lang w:eastAsia="zh-CN"/>
        </w:rPr>
        <w:t xml:space="preserve">NIO </w:t>
      </w:r>
      <w:r w:rsidRPr="00C3415D">
        <w:rPr>
          <w:rFonts w:ascii="Arial" w:hAnsi="Arial" w:cs="Arial"/>
          <w:sz w:val="24"/>
          <w:szCs w:val="24"/>
        </w:rPr>
        <w:t xml:space="preserve">ET7/ET5, </w:t>
      </w:r>
      <w:proofErr w:type="spellStart"/>
      <w:r w:rsidRPr="00C3415D">
        <w:rPr>
          <w:rFonts w:ascii="Arial" w:hAnsi="Arial" w:cs="Arial"/>
          <w:sz w:val="24"/>
          <w:szCs w:val="24"/>
        </w:rPr>
        <w:t>Nezha</w:t>
      </w:r>
      <w:proofErr w:type="spellEnd"/>
      <w:r w:rsidRPr="00C3415D">
        <w:rPr>
          <w:rFonts w:ascii="Arial" w:hAnsi="Arial" w:cs="Arial"/>
          <w:sz w:val="24"/>
          <w:szCs w:val="24"/>
        </w:rPr>
        <w:t xml:space="preserve"> S</w:t>
      </w:r>
      <w:r w:rsidR="000E2701" w:rsidRPr="00C3415D">
        <w:rPr>
          <w:rFonts w:ascii="Arial" w:hAnsi="Arial" w:cs="Arial"/>
          <w:sz w:val="24"/>
          <w:szCs w:val="24"/>
        </w:rPr>
        <w:t>,</w:t>
      </w:r>
      <w:r w:rsidRPr="00C3415D">
        <w:rPr>
          <w:rFonts w:ascii="Arial" w:hAnsi="Arial" w:cs="Arial"/>
          <w:sz w:val="24"/>
          <w:szCs w:val="24"/>
        </w:rPr>
        <w:t xml:space="preserve"> and Zero Run C01, all of which will be launched soon </w:t>
      </w:r>
      <w:r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{"citationID":"uh95jB6L","properties":{"formattedCitation":"(Mordor Intelligence, 2023)","plainCitation":"(Mordor Intelligence, 2023)","noteIndex":0},"citationItems":[{"id":"1E425fjT/RI5XCcrn","uris":["http://zotero.org/users/10703570/items/USMLXRUS"],"itemData":{"id":571,"type":"webpage","title":"Electric Vehicle Market Analysis - Industry Report - Trends, Size &amp; Share","URL":"https://www.mordorintelligence.com/industry-reports/electric-vehicle-market","author":[{"family":"Mordor Intelligence","given":""}],"accessed":{"date-parts":[["2023",3,5]]},"issued":{"date-parts":[["2023"]]}}}],"schema":"https://github.com/citation-style-language/schema/raw/master/csl-citation.json"} </w:instrText>
      </w:r>
      <w:r w:rsidRPr="00C3415D">
        <w:rPr>
          <w:rFonts w:ascii="Arial" w:hAnsi="Arial" w:cs="Arial"/>
          <w:sz w:val="24"/>
          <w:szCs w:val="24"/>
        </w:rPr>
        <w:fldChar w:fldCharType="separate"/>
      </w:r>
      <w:r w:rsidRPr="00C3415D">
        <w:rPr>
          <w:rFonts w:ascii="Arial" w:hAnsi="Arial" w:cs="Arial"/>
          <w:sz w:val="24"/>
          <w:szCs w:val="24"/>
        </w:rPr>
        <w:t>(Mordor Intelligence, 2023)</w:t>
      </w:r>
      <w:r w:rsidRPr="00C3415D">
        <w:rPr>
          <w:rFonts w:ascii="Arial" w:hAnsi="Arial" w:cs="Arial"/>
          <w:sz w:val="24"/>
          <w:szCs w:val="24"/>
        </w:rPr>
        <w:fldChar w:fldCharType="end"/>
      </w:r>
      <w:r w:rsidRPr="00C3415D">
        <w:rPr>
          <w:rFonts w:ascii="Arial" w:hAnsi="Arial" w:cs="Arial"/>
          <w:sz w:val="24"/>
          <w:szCs w:val="24"/>
        </w:rPr>
        <w:t xml:space="preserve">. On the other hand, the </w:t>
      </w:r>
      <w:r w:rsidRPr="00C3415D">
        <w:rPr>
          <w:rFonts w:ascii="Arial" w:hAnsi="Arial" w:cs="Arial"/>
          <w:sz w:val="24"/>
          <w:szCs w:val="24"/>
        </w:rPr>
        <w:lastRenderedPageBreak/>
        <w:t xml:space="preserve">number of new B/C class models has increased significantly compared to the previous two years, and the number of new A0/A00 class models has decreased, with market competition gradually shifting to the mid- to high-end market </w:t>
      </w:r>
      <w:r w:rsidRPr="00C3415D">
        <w:rPr>
          <w:rFonts w:ascii="Arial" w:hAnsi="Arial" w:cs="Arial"/>
          <w:sz w:val="24"/>
          <w:szCs w:val="24"/>
        </w:rPr>
        <w:fldChar w:fldCharType="begin"/>
      </w:r>
      <w:r w:rsidR="00485CFF" w:rsidRPr="00C3415D">
        <w:rPr>
          <w:rFonts w:ascii="Arial" w:hAnsi="Arial" w:cs="Arial"/>
          <w:sz w:val="24"/>
          <w:szCs w:val="24"/>
        </w:rPr>
        <w:instrText xml:space="preserve"> ADDIN ZOTERO_ITEM CSL_CITATION {"citationID":"BgSBJnO5","properties":{"formattedCitation":"(Virta, 2022)","plainCitation":"(Virta, 2022)","noteIndex":0},"citationItems":[{"id":"1E425fjT/ayXhkbfh","uris":["http://zotero.org/users/10703570/items/CQK9NHSF"],"itemData":{"id":570,"type":"webpage","title":"The Global Electric Vehicle Market In 2022 – Virta","URL":"https://www.virta.global/en/global-electric-vehicle-market","author":[{"family":"Virta","given":""}],"accessed":{"date-parts":[["2023",3,5]]},"issued":{"date-parts":[["2022"]]}}}],"schema":"https://github.com/citation-style-language/schema/raw/master/csl-citation.json"} </w:instrText>
      </w:r>
      <w:r w:rsidRPr="00C3415D">
        <w:rPr>
          <w:rFonts w:ascii="Arial" w:hAnsi="Arial" w:cs="Arial"/>
          <w:sz w:val="24"/>
          <w:szCs w:val="24"/>
        </w:rPr>
        <w:fldChar w:fldCharType="separate"/>
      </w:r>
      <w:r w:rsidRPr="00C3415D">
        <w:rPr>
          <w:rFonts w:ascii="Arial" w:hAnsi="Arial" w:cs="Arial"/>
          <w:sz w:val="24"/>
          <w:szCs w:val="24"/>
        </w:rPr>
        <w:t>(Virta, 2022)</w:t>
      </w:r>
      <w:r w:rsidRPr="00C3415D">
        <w:rPr>
          <w:rFonts w:ascii="Arial" w:hAnsi="Arial" w:cs="Arial"/>
          <w:sz w:val="24"/>
          <w:szCs w:val="24"/>
        </w:rPr>
        <w:fldChar w:fldCharType="end"/>
      </w:r>
      <w:r w:rsidRPr="00C3415D">
        <w:rPr>
          <w:rFonts w:ascii="Arial" w:hAnsi="Arial" w:cs="Arial"/>
          <w:sz w:val="24"/>
          <w:szCs w:val="24"/>
        </w:rPr>
        <w:t>. Therefore, Tesla has quite limited models of offerings so far, and differentiation efforts ha</w:t>
      </w:r>
      <w:r w:rsidR="000E2701" w:rsidRPr="00C3415D">
        <w:rPr>
          <w:rFonts w:ascii="Arial" w:hAnsi="Arial" w:cs="Arial"/>
          <w:sz w:val="24"/>
          <w:szCs w:val="24"/>
        </w:rPr>
        <w:t>ve</w:t>
      </w:r>
      <w:r w:rsidRPr="00C3415D">
        <w:rPr>
          <w:rFonts w:ascii="Arial" w:hAnsi="Arial" w:cs="Arial"/>
          <w:sz w:val="24"/>
          <w:szCs w:val="24"/>
        </w:rPr>
        <w:t xml:space="preserve"> mainly </w:t>
      </w:r>
      <w:proofErr w:type="spellStart"/>
      <w:r w:rsidRPr="00C3415D">
        <w:rPr>
          <w:rFonts w:ascii="Arial" w:hAnsi="Arial" w:cs="Arial"/>
          <w:sz w:val="24"/>
          <w:szCs w:val="24"/>
        </w:rPr>
        <w:t>cent</w:t>
      </w:r>
      <w:r w:rsidR="000E2701" w:rsidRPr="00C3415D">
        <w:rPr>
          <w:rFonts w:ascii="Arial" w:hAnsi="Arial" w:cs="Arial"/>
          <w:sz w:val="24"/>
          <w:szCs w:val="24"/>
        </w:rPr>
        <w:t>e</w:t>
      </w:r>
      <w:r w:rsidRPr="00C3415D">
        <w:rPr>
          <w:rFonts w:ascii="Arial" w:hAnsi="Arial" w:cs="Arial"/>
          <w:sz w:val="24"/>
          <w:szCs w:val="24"/>
        </w:rPr>
        <w:t>red</w:t>
      </w:r>
      <w:proofErr w:type="spellEnd"/>
      <w:r w:rsidRPr="00C3415D">
        <w:rPr>
          <w:rFonts w:ascii="Arial" w:hAnsi="Arial" w:cs="Arial"/>
          <w:sz w:val="24"/>
          <w:szCs w:val="24"/>
        </w:rPr>
        <w:t xml:space="preserve"> on the value-added services that use </w:t>
      </w:r>
      <w:r w:rsidR="000E2701" w:rsidRPr="00C3415D">
        <w:rPr>
          <w:rFonts w:ascii="Arial" w:hAnsi="Arial" w:cs="Arial"/>
          <w:sz w:val="24"/>
          <w:szCs w:val="24"/>
        </w:rPr>
        <w:t xml:space="preserve">the </w:t>
      </w:r>
      <w:r w:rsidRPr="00C3415D">
        <w:rPr>
          <w:rFonts w:ascii="Arial" w:hAnsi="Arial" w:cs="Arial"/>
          <w:sz w:val="24"/>
          <w:szCs w:val="24"/>
        </w:rPr>
        <w:t xml:space="preserve">electric vehicle as a medium. </w:t>
      </w:r>
    </w:p>
    <w:p w14:paraId="2A6A74B7" w14:textId="688BD198" w:rsidR="00B1180C"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The percentage of a company's investment in </w:t>
      </w:r>
      <w:r w:rsidR="00063413">
        <w:rPr>
          <w:rFonts w:ascii="Arial" w:hAnsi="Arial" w:cs="Arial"/>
          <w:sz w:val="24"/>
          <w:szCs w:val="24"/>
          <w:lang w:eastAsia="zh-CN"/>
        </w:rPr>
        <w:t>R&amp;D</w:t>
      </w:r>
      <w:r w:rsidRPr="00C3415D">
        <w:rPr>
          <w:rFonts w:ascii="Arial" w:hAnsi="Arial" w:cs="Arial"/>
          <w:sz w:val="24"/>
          <w:szCs w:val="24"/>
          <w:lang w:eastAsia="zh-CN"/>
        </w:rPr>
        <w:t xml:space="preserve"> is one of the most important factors in measuring a company's ability to sustain innovation. In 2019, Tesla spent US$1,343 million on R&amp;D, which grows to US$1,491 million by 2020, an 11% increase year-on-year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{"citationID":"C9ooHMBU","properties":{"formattedCitation":"(Electrek, 2022)","plainCitation":"(Electrek, 2022)","noteIndex":0},"citationItems":[{"id":"1E425fjT/JZbnhRwW","uris":["http://zotero.org/users/10703570/items/8UKI9ZPX"],"itemData":{"id":574,"type":"webpage","title":"Tesla spends the most R&amp;D and least in advertising per car sold","URL":"https://electrek.co/2022/03/24/tesla-spends-most-rd-least-advertising-car-sold/","author":[{"family":"Electrek","given":""}],"accessed":{"date-parts":[["2023",3,5]]},"issued":{"date-parts":[["2022"]]}}}],"schema":"https://github.com/citation-style-language/schema/raw/master/csl-citation.json"} </w:instrText>
      </w:r>
      <w:r w:rsidRPr="00C3415D">
        <w:rPr>
          <w:rFonts w:ascii="Arial" w:hAnsi="Arial" w:cs="Arial"/>
          <w:sz w:val="24"/>
          <w:szCs w:val="24"/>
          <w:lang w:eastAsia="zh-CN"/>
        </w:rPr>
        <w:fldChar w:fldCharType="separate"/>
      </w:r>
      <w:r w:rsidR="00485CFF" w:rsidRPr="00C3415D">
        <w:rPr>
          <w:rFonts w:ascii="Arial" w:hAnsi="Arial" w:cs="Arial"/>
          <w:sz w:val="24"/>
          <w:szCs w:val="24"/>
        </w:rPr>
        <w:t>(Electrek, 2022)</w:t>
      </w:r>
      <w:r w:rsidRPr="00C3415D">
        <w:rPr>
          <w:rFonts w:ascii="Arial" w:hAnsi="Arial" w:cs="Arial"/>
          <w:sz w:val="24"/>
          <w:szCs w:val="24"/>
          <w:lang w:eastAsia="zh-CN"/>
        </w:rPr>
        <w:fldChar w:fldCharType="end"/>
      </w:r>
      <w:r w:rsidRPr="00C3415D">
        <w:rPr>
          <w:rFonts w:ascii="Arial" w:hAnsi="Arial" w:cs="Arial"/>
          <w:sz w:val="24"/>
          <w:szCs w:val="24"/>
          <w:lang w:eastAsia="zh-CN"/>
        </w:rPr>
        <w:t>. Tesla spends US$2,984 (nearly RMB 19,000) on R&amp;D per vehicle, about three times the industry average (about US$1,000) and more than Ford, GM</w:t>
      </w:r>
      <w:r w:rsidR="000E2701" w:rsidRPr="00C3415D">
        <w:rPr>
          <w:rFonts w:ascii="Arial" w:hAnsi="Arial" w:cs="Arial"/>
          <w:sz w:val="24"/>
          <w:szCs w:val="24"/>
          <w:lang w:eastAsia="zh-CN"/>
        </w:rPr>
        <w:t>,</w:t>
      </w:r>
      <w:r w:rsidRPr="00C3415D">
        <w:rPr>
          <w:rFonts w:ascii="Arial" w:hAnsi="Arial" w:cs="Arial"/>
          <w:sz w:val="24"/>
          <w:szCs w:val="24"/>
          <w:lang w:eastAsia="zh-CN"/>
        </w:rPr>
        <w:t xml:space="preserve"> and Chrysler combined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{"citationID":"Hr5NyTzO","properties":{"formattedCitation":"(BDO, 2021)","plainCitation":"(BDO, 2021)","noteIndex":0},"citationItems":[{"id":"1E425fjT/0n6Q6hI6","uris":["http://zotero.org/users/10703570/items/NAF7ZZXP"],"itemData":{"id":576,"type":"webpage","title":"Top 20 global carmakers spend another £71.7bn on R&amp;D as electric vehicle rollout gathers pace - BDO","URL":"https://www.bdo.co.uk/en-gb/news/2021/top-20-global-carmakers-spend-another-71-7bn-on-r-and-d-as-electric-vehicle-rollout-gathers-pace","author":[{"family":"BDO","given":""}],"accessed":{"date-parts":[["2023",3,5]]},"issued":{"date-parts":[["2021"]]}}}],"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4"/>
        </w:rPr>
        <w:t>(BDO, 2021)</w:t>
      </w:r>
      <w:r w:rsidRPr="00C3415D">
        <w:rPr>
          <w:rFonts w:ascii="Arial" w:hAnsi="Arial" w:cs="Arial"/>
          <w:sz w:val="24"/>
          <w:szCs w:val="24"/>
          <w:lang w:eastAsia="zh-CN"/>
        </w:rPr>
        <w:fldChar w:fldCharType="end"/>
      </w:r>
      <w:r w:rsidRPr="00C3415D">
        <w:rPr>
          <w:rFonts w:ascii="Arial" w:hAnsi="Arial" w:cs="Arial"/>
          <w:sz w:val="24"/>
          <w:szCs w:val="24"/>
          <w:lang w:eastAsia="zh-CN"/>
        </w:rPr>
        <w:t xml:space="preserve">. Tesla spends more on R&amp;D (per vehicle) than any other automaker to maintain its leadership position in electric vehicle technology. It is doubtable whether the hybrid strategy of Tesla will be sustainable given its simultaneous highlights on cost leadership and aggressive R&amp;D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{"citationID":"gcYq1Ai7","properties":{"formattedCitation":"(Alghalith, 2018; Rimmer, 2018)","plainCitation":"(Alghalith, 2018; Rimmer, 2018)","noteIndex":0},"citationItems":[{"id":"1E425fjT/lGO6ohsR","uris":["http://zotero.org/users/10703570/items/JRWRAUQ3"],"itemData":{"id":583,"type":"article-journal","container-title":"International journal of business research and information technology","ISSN":"2327-0845","issue":"1","journalAbbreviation":"International journal of business research and information technology","note":"publisher: International Academy of Business and Public Administration Disciplines","page":"37-51","title":"Tesla: innovation with information technology","volume":"5","author":[{"family":"Alghalith","given":"Nabil"}],"issued":{"date-parts":[["2018"]]}}},{"id":"1E425fjT/nuOrrGFQ","uris":["http://zotero.org/users/10703570/items/REJPJV8V"],"itemData":{"id":584,"type":"book","ISBN":"981132154X","publisher":"Springer","title":"Elon Musk’s open innovation: Tesla, intellectual property, and climate change","author":[{"family":"Rimmer","given":"Matthew"}],"issued":{"date-parts":[["2018"]]}}}],"schema":"https://github.com/citation-style-language/schema/raw/master/csl-citation.json"}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4"/>
        </w:rPr>
        <w:t>(Alghalith, 2018; Rimmer, 2018)</w:t>
      </w:r>
      <w:r w:rsidRPr="00C3415D">
        <w:rPr>
          <w:rFonts w:ascii="Arial" w:hAnsi="Arial" w:cs="Arial"/>
          <w:sz w:val="24"/>
          <w:szCs w:val="24"/>
          <w:lang w:eastAsia="zh-CN"/>
        </w:rPr>
        <w:fldChar w:fldCharType="end"/>
      </w:r>
      <w:r w:rsidRPr="00C3415D">
        <w:rPr>
          <w:rFonts w:ascii="Arial" w:hAnsi="Arial" w:cs="Arial"/>
          <w:sz w:val="24"/>
          <w:szCs w:val="24"/>
          <w:lang w:eastAsia="zh-CN"/>
        </w:rPr>
        <w:t>.</w:t>
      </w:r>
    </w:p>
    <w:p w14:paraId="7F153B7C" w14:textId="4ABA14E2" w:rsidR="00BD2FE5"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While the emphasis on innovation has resulted in ignorance of the fundamental security issue. Consumer Reports recently released a new list of the top brands in terms of owner satisfaction for 2021. Tesla, which was just rated second to last in reliability, hoisted the number one spot on the satisfaction list. In 2021, Tesla is experiencing one of the largest recalls for faults since its inception. The National Highway Traffic Safety Administration (NHTSA) has published a new recall notice of 134,951 Model S and Model X vehicles due to a faulty embedded multimedia memory card (eMMC) in these vehicles causing the centre screen to not </w:t>
      </w:r>
      <w:r w:rsidR="000E2701" w:rsidRPr="00C3415D">
        <w:rPr>
          <w:rFonts w:ascii="Arial" w:hAnsi="Arial" w:cs="Arial"/>
          <w:sz w:val="24"/>
          <w:szCs w:val="24"/>
          <w:lang w:eastAsia="zh-CN"/>
        </w:rPr>
        <w:t xml:space="preserve">to </w:t>
      </w:r>
      <w:r w:rsidRPr="00C3415D">
        <w:rPr>
          <w:rFonts w:ascii="Arial" w:hAnsi="Arial" w:cs="Arial"/>
          <w:sz w:val="24"/>
          <w:szCs w:val="24"/>
          <w:lang w:eastAsia="zh-CN"/>
        </w:rPr>
        <w:t xml:space="preserve">function properly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{"citationID":"Kz8yF43n","properties":{"formattedCitation":"(Reuters, 2021)","plainCitation":"(Reuters, 2021)","noteIndex":0},"citationItems":[{"id":"1E425fjT/r9dFeS9R","uris":["http://zotero.org/users/10703570/items/HMJP4LAU"],"itemData":{"id":578,"type":"webpage","title":"Tesla recalls over 500,000 U.S. vehicles to fix pedestrian warning sounds | Reuters","URL":"https://www.reuters.com/business/autos-transportation/tesla-recalls-nearly-579000-us-vehicles-over-pedestrian-warning-risk-sounds-2022-02-10/","author":[{"family":"Reuters","given":""}],"accessed":{"date-parts":[["2023",3,5]]},"issued":{"date-parts":[["2021"]]}}}],"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4"/>
        </w:rPr>
        <w:t>(Reuters, 2021)</w:t>
      </w:r>
      <w:r w:rsidRPr="00C3415D">
        <w:rPr>
          <w:rFonts w:ascii="Arial" w:hAnsi="Arial" w:cs="Arial"/>
          <w:sz w:val="24"/>
          <w:szCs w:val="24"/>
          <w:lang w:eastAsia="zh-CN"/>
        </w:rPr>
        <w:fldChar w:fldCharType="end"/>
      </w:r>
      <w:r w:rsidRPr="00C3415D">
        <w:rPr>
          <w:rFonts w:ascii="Arial" w:hAnsi="Arial" w:cs="Arial"/>
          <w:sz w:val="24"/>
          <w:szCs w:val="24"/>
          <w:lang w:eastAsia="zh-CN"/>
        </w:rPr>
        <w:t xml:space="preserve">. These continuous safety issues have eroded the public confidence </w:t>
      </w:r>
      <w:r w:rsidR="000E2701" w:rsidRPr="00C3415D">
        <w:rPr>
          <w:rFonts w:ascii="Arial" w:hAnsi="Arial" w:cs="Arial"/>
          <w:sz w:val="24"/>
          <w:szCs w:val="24"/>
          <w:lang w:eastAsia="zh-CN"/>
        </w:rPr>
        <w:lastRenderedPageBreak/>
        <w:t>i</w:t>
      </w:r>
      <w:r w:rsidRPr="00C3415D">
        <w:rPr>
          <w:rFonts w:ascii="Arial" w:hAnsi="Arial" w:cs="Arial"/>
          <w:sz w:val="24"/>
          <w:szCs w:val="24"/>
          <w:lang w:eastAsia="zh-CN"/>
        </w:rPr>
        <w:t>n Tesla and harm</w:t>
      </w:r>
      <w:r w:rsidR="000E2701" w:rsidRPr="00C3415D">
        <w:rPr>
          <w:rFonts w:ascii="Arial" w:hAnsi="Arial" w:cs="Arial"/>
          <w:sz w:val="24"/>
          <w:szCs w:val="24"/>
          <w:lang w:eastAsia="zh-CN"/>
        </w:rPr>
        <w:t>ed</w:t>
      </w:r>
      <w:r w:rsidRPr="00C3415D">
        <w:rPr>
          <w:rFonts w:ascii="Arial" w:hAnsi="Arial" w:cs="Arial"/>
          <w:sz w:val="24"/>
          <w:szCs w:val="24"/>
          <w:lang w:eastAsia="zh-CN"/>
        </w:rPr>
        <w:t xml:space="preserve"> the positive benefits brought by cost leadership and differentiation. </w:t>
      </w:r>
    </w:p>
    <w:p w14:paraId="2326D8FA" w14:textId="1257F05F" w:rsidR="001262C4" w:rsidRPr="00BD2FE5" w:rsidRDefault="00EB2D66" w:rsidP="00485CFF">
      <w:pPr>
        <w:pStyle w:val="2"/>
        <w:numPr>
          <w:ilvl w:val="1"/>
          <w:numId w:val="4"/>
        </w:numPr>
        <w:spacing w:beforeLines="50" w:before="120" w:afterLines="200" w:after="480" w:line="480" w:lineRule="auto"/>
        <w:jc w:val="both"/>
        <w:rPr>
          <w:rFonts w:ascii="Arial" w:hAnsi="Arial" w:cs="Arial"/>
        </w:rPr>
      </w:pPr>
      <w:bookmarkStart w:id="9" w:name="_Toc129168334"/>
      <w:r w:rsidRPr="00BD2FE5">
        <w:rPr>
          <w:rFonts w:ascii="Arial" w:hAnsi="Arial" w:cs="Arial"/>
        </w:rPr>
        <w:t>The recommendation for Tesla in future competition</w:t>
      </w:r>
      <w:bookmarkEnd w:id="9"/>
      <w:r w:rsidRPr="00BD2FE5">
        <w:rPr>
          <w:rFonts w:ascii="Arial" w:hAnsi="Arial" w:cs="Arial"/>
        </w:rPr>
        <w:t xml:space="preserve"> </w:t>
      </w:r>
    </w:p>
    <w:p w14:paraId="6465EF3B" w14:textId="6224C711" w:rsidR="000E2701"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This paper makes the following recommendations to address these issues. On the one hand, total Quality Management requires a strong focus on customer value and customer needs, which permeates the entire production process of the company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{"citationID":"2tSW6qH6","properties":{"formattedCitation":"(Sallis, 2014)","plainCitation":"(Sallis, 2014)","noteIndex":0},"citationItems":[{"id":"1E425fjT/tgwsHPM4","uris":["http://zotero.org/users/10703570/items/CCS8SRNA"],"itemData":{"id":580,"type":"book","ISBN":"0-203-41701-1","publisher":"Routledge","title":"Total quality management in education","author":[{"family":"Sallis","given":"Edward"}],"issued":{"date-parts":[["2014"]]}}}],"schema":"https://github.com/citation-style-language/schema/raw/master/csl-citation.json"}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2"/>
        </w:rPr>
        <w:t>(Sallis, 2014)</w:t>
      </w:r>
      <w:r w:rsidRPr="00C3415D">
        <w:rPr>
          <w:rFonts w:ascii="Arial" w:hAnsi="Arial" w:cs="Arial"/>
          <w:sz w:val="24"/>
          <w:szCs w:val="24"/>
          <w:lang w:eastAsia="zh-CN"/>
        </w:rPr>
        <w:fldChar w:fldCharType="end"/>
      </w:r>
      <w:r w:rsidRPr="00C3415D">
        <w:rPr>
          <w:rFonts w:ascii="Arial" w:hAnsi="Arial" w:cs="Arial"/>
          <w:sz w:val="24"/>
          <w:szCs w:val="24"/>
          <w:lang w:eastAsia="zh-CN"/>
        </w:rPr>
        <w:t xml:space="preserve">.  Tesla can use Total Quality Management to focus precisely on and insist on continuous quality improvement in every aspect of business operations, empowering and relying on each and every employee to focus on and solve quality problems. </w:t>
      </w:r>
    </w:p>
    <w:p w14:paraId="5EE66FE5" w14:textId="3B1E2674" w:rsidR="00BD2FE5"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hint="eastAsia"/>
          <w:sz w:val="24"/>
          <w:szCs w:val="24"/>
          <w:lang w:eastAsia="zh-CN"/>
        </w:rPr>
        <w:t>O</w:t>
      </w:r>
      <w:r w:rsidRPr="00C3415D">
        <w:rPr>
          <w:rFonts w:ascii="Arial" w:hAnsi="Arial" w:cs="Arial"/>
          <w:sz w:val="24"/>
          <w:szCs w:val="24"/>
          <w:lang w:eastAsia="zh-CN"/>
        </w:rPr>
        <w:t xml:space="preserve">n the other hand, Tesla should start developing its own modular production platform for its cars. In a modular platform, products from the same platform will take on a common modular architecture, such as the engine compartment, suspension, brakes, transmission, gearbox and other elements of the vehicle's composition, and thus achieve a degree of sharing. At present, almost all global mainstream OEMs have their own production platforms, such as: VW's PQ35 platform, MQB platform, Renault-Nissan Alliance's CMF platform, Toyota's TNGA platform, Ford's C platform and GM's D2UX platform </w:t>
      </w:r>
      <w:r w:rsidRPr="00C3415D">
        <w:rPr>
          <w:rFonts w:ascii="Arial" w:hAnsi="Arial" w:cs="Arial"/>
          <w:sz w:val="24"/>
          <w:szCs w:val="24"/>
          <w:lang w:eastAsia="zh-CN"/>
        </w:rPr>
        <w:fldChar w:fldCharType="begin"/>
      </w:r>
      <w:r w:rsidR="00485CFF" w:rsidRPr="00C3415D">
        <w:rPr>
          <w:rFonts w:ascii="Arial" w:hAnsi="Arial" w:cs="Arial"/>
          <w:sz w:val="24"/>
          <w:szCs w:val="24"/>
          <w:lang w:eastAsia="zh-CN"/>
        </w:rPr>
        <w:instrText xml:space="preserve"> ADDIN ZOTERO_ITEM CSL_CITATION {"citationID":"3IDqGSwc","properties":{"formattedCitation":"(Lamp\\uc0\\u243{}n, Cabanelas and Gonz\\uc0\\u225{}lez-Benito, 2017)","plainCitation":"(Lampón, Cabanelas and González-Benito, 2017)","noteIndex":0},"citationItems":[{"id":"1E425fjT/oTebCVWB","uris":["http://zotero.org/users/10703570/items/K7QZENDC"],"itemData":{"id":582,"type":"article-journal","container-title":"Production Planning &amp; Control","ISSN":"0953-7287","issue":"4","journalAbbreviation":"Production Planning &amp; Control","note":"publisher: Taylor &amp; Francis","page":"335-348","title":"The impact of modular platforms on automobile manufacturing networks","volume":"28","author":[{"family":"Lampón","given":"Jesús F"},{"family":"Cabanelas","given":"Pablo"},{"family":"González-Benito","given":"Javier"}],"issued":{"date-parts":[["2017"]]}}}],"schema":"https://github.com/citation-style-language/schema/raw/master/csl-citation.json"} </w:instrText>
      </w:r>
      <w:r w:rsidRPr="00C3415D">
        <w:rPr>
          <w:rFonts w:ascii="Arial" w:hAnsi="Arial" w:cs="Arial"/>
          <w:sz w:val="24"/>
          <w:szCs w:val="24"/>
          <w:lang w:eastAsia="zh-CN"/>
        </w:rPr>
        <w:fldChar w:fldCharType="separate"/>
      </w:r>
      <w:r w:rsidRPr="00C3415D">
        <w:rPr>
          <w:rFonts w:ascii="Arial" w:hAnsi="Arial" w:cs="Arial"/>
          <w:sz w:val="24"/>
          <w:szCs w:val="28"/>
        </w:rPr>
        <w:t>(Lampón, Cabanelas and González-Benito, 2017)</w:t>
      </w:r>
      <w:r w:rsidRPr="00C3415D">
        <w:rPr>
          <w:rFonts w:ascii="Arial" w:hAnsi="Arial" w:cs="Arial"/>
          <w:sz w:val="24"/>
          <w:szCs w:val="24"/>
          <w:lang w:eastAsia="zh-CN"/>
        </w:rPr>
        <w:fldChar w:fldCharType="end"/>
      </w:r>
      <w:r w:rsidRPr="00C3415D">
        <w:rPr>
          <w:rFonts w:ascii="Arial" w:hAnsi="Arial" w:cs="Arial"/>
          <w:sz w:val="24"/>
          <w:szCs w:val="24"/>
          <w:lang w:eastAsia="zh-CN"/>
        </w:rPr>
        <w:t>. This production model not only allows for rapid expansion of product</w:t>
      </w:r>
      <w:r w:rsidR="000E2701" w:rsidRPr="00C3415D">
        <w:rPr>
          <w:rFonts w:ascii="Arial" w:hAnsi="Arial" w:cs="Arial"/>
          <w:sz w:val="24"/>
          <w:szCs w:val="24"/>
          <w:lang w:eastAsia="zh-CN"/>
        </w:rPr>
        <w:t>ion</w:t>
      </w:r>
      <w:r w:rsidRPr="00C3415D">
        <w:rPr>
          <w:rFonts w:ascii="Arial" w:hAnsi="Arial" w:cs="Arial"/>
          <w:sz w:val="24"/>
          <w:szCs w:val="24"/>
          <w:lang w:eastAsia="zh-CN"/>
        </w:rPr>
        <w:t xml:space="preserve"> capacity but also allows Tesla to use this production platform to quickly launch new model</w:t>
      </w:r>
      <w:r w:rsidR="000E2701" w:rsidRPr="00C3415D">
        <w:rPr>
          <w:rFonts w:ascii="Arial" w:hAnsi="Arial" w:cs="Arial"/>
          <w:sz w:val="24"/>
          <w:szCs w:val="24"/>
          <w:lang w:eastAsia="zh-CN"/>
        </w:rPr>
        <w:t>s</w:t>
      </w:r>
      <w:r w:rsidRPr="00C3415D">
        <w:rPr>
          <w:rFonts w:ascii="Arial" w:hAnsi="Arial" w:cs="Arial"/>
          <w:sz w:val="24"/>
          <w:szCs w:val="24"/>
          <w:lang w:eastAsia="zh-CN"/>
        </w:rPr>
        <w:t>. In addition, as the same modular production platform can be used for multiple models, Tesla can reduce the need to set up new production lines, saving huge production costs and contributing to its profitability.</w:t>
      </w:r>
    </w:p>
    <w:p w14:paraId="42AB1FB6" w14:textId="125B45D6" w:rsidR="00A71DAD" w:rsidRPr="00BD2FE5" w:rsidRDefault="00A71DAD" w:rsidP="00485CFF">
      <w:pPr>
        <w:pStyle w:val="1"/>
        <w:numPr>
          <w:ilvl w:val="0"/>
          <w:numId w:val="4"/>
        </w:numPr>
        <w:spacing w:beforeLines="50" w:before="120" w:afterLines="200" w:after="480" w:line="480" w:lineRule="auto"/>
        <w:jc w:val="both"/>
        <w:rPr>
          <w:rFonts w:ascii="Arial" w:hAnsi="Arial" w:cs="Arial"/>
        </w:rPr>
      </w:pPr>
      <w:bookmarkStart w:id="10" w:name="_Toc129168335"/>
      <w:r w:rsidRPr="00BD2FE5">
        <w:rPr>
          <w:rFonts w:ascii="Arial" w:hAnsi="Arial" w:cs="Arial"/>
        </w:rPr>
        <w:lastRenderedPageBreak/>
        <w:t>Conclusion</w:t>
      </w:r>
      <w:bookmarkEnd w:id="10"/>
    </w:p>
    <w:p w14:paraId="48914F19" w14:textId="2B1F7C0C" w:rsidR="00BD2FE5" w:rsidRPr="00C3415D" w:rsidRDefault="00BD2FE5" w:rsidP="00BD2FE5">
      <w:pPr>
        <w:spacing w:beforeLines="50" w:before="120" w:afterLines="200" w:after="480" w:line="480" w:lineRule="auto"/>
        <w:jc w:val="both"/>
        <w:rPr>
          <w:rFonts w:ascii="Arial" w:hAnsi="Arial" w:cs="Arial"/>
          <w:sz w:val="24"/>
          <w:szCs w:val="24"/>
          <w:lang w:eastAsia="zh-CN"/>
        </w:rPr>
      </w:pPr>
      <w:r w:rsidRPr="00C3415D">
        <w:rPr>
          <w:rFonts w:ascii="Arial" w:hAnsi="Arial" w:cs="Arial"/>
          <w:sz w:val="24"/>
          <w:szCs w:val="24"/>
          <w:lang w:eastAsia="zh-CN"/>
        </w:rPr>
        <w:t xml:space="preserve">The present reports shed light on the competitive strategy used by Tesla. It argues that Tesla has transited from the differentiation strategy to the hybrid strategy with a simultaneous focus on cost leadership and differentiation. Despite the effectiveness of this strategy to help Tesla secure its market share, it has </w:t>
      </w:r>
      <w:r w:rsidR="000E2701" w:rsidRPr="00C3415D">
        <w:rPr>
          <w:rFonts w:ascii="Arial" w:hAnsi="Arial" w:cs="Arial"/>
          <w:sz w:val="24"/>
          <w:szCs w:val="24"/>
          <w:lang w:eastAsia="zh-CN"/>
        </w:rPr>
        <w:t xml:space="preserve">been </w:t>
      </w:r>
      <w:r w:rsidRPr="00C3415D">
        <w:rPr>
          <w:rFonts w:ascii="Arial" w:hAnsi="Arial" w:cs="Arial"/>
          <w:sz w:val="24"/>
          <w:szCs w:val="24"/>
          <w:lang w:eastAsia="zh-CN"/>
        </w:rPr>
        <w:t>subject to problems including limited offerings of models, ineffective quality control</w:t>
      </w:r>
      <w:r w:rsidR="000E2701" w:rsidRPr="00C3415D">
        <w:rPr>
          <w:rFonts w:ascii="Arial" w:hAnsi="Arial" w:cs="Arial"/>
          <w:sz w:val="24"/>
          <w:szCs w:val="24"/>
          <w:lang w:eastAsia="zh-CN"/>
        </w:rPr>
        <w:t>,</w:t>
      </w:r>
      <w:r w:rsidRPr="00C3415D">
        <w:rPr>
          <w:rFonts w:ascii="Arial" w:hAnsi="Arial" w:cs="Arial"/>
          <w:sz w:val="24"/>
          <w:szCs w:val="24"/>
          <w:lang w:eastAsia="zh-CN"/>
        </w:rPr>
        <w:t xml:space="preserve"> and aggressive capital investment. In order to improve Tesla's current capacity levels, accelerate its ability to meet customer orders, drive product sales and market share, optimi</w:t>
      </w:r>
      <w:r w:rsidR="000E2701" w:rsidRPr="00C3415D">
        <w:rPr>
          <w:rFonts w:ascii="Arial" w:hAnsi="Arial" w:cs="Arial"/>
          <w:sz w:val="24"/>
          <w:szCs w:val="24"/>
          <w:lang w:eastAsia="zh-CN"/>
        </w:rPr>
        <w:t>z</w:t>
      </w:r>
      <w:r w:rsidRPr="00C3415D">
        <w:rPr>
          <w:rFonts w:ascii="Arial" w:hAnsi="Arial" w:cs="Arial"/>
          <w:sz w:val="24"/>
          <w:szCs w:val="24"/>
          <w:lang w:eastAsia="zh-CN"/>
        </w:rPr>
        <w:t>e the overall strength of the brand</w:t>
      </w:r>
      <w:r w:rsidR="000E2701" w:rsidRPr="00C3415D">
        <w:rPr>
          <w:rFonts w:ascii="Arial" w:hAnsi="Arial" w:cs="Arial"/>
          <w:sz w:val="24"/>
          <w:szCs w:val="24"/>
          <w:lang w:eastAsia="zh-CN"/>
        </w:rPr>
        <w:t>,</w:t>
      </w:r>
      <w:r w:rsidRPr="00C3415D">
        <w:rPr>
          <w:rFonts w:ascii="Arial" w:hAnsi="Arial" w:cs="Arial"/>
          <w:sz w:val="24"/>
          <w:szCs w:val="24"/>
          <w:lang w:eastAsia="zh-CN"/>
        </w:rPr>
        <w:t xml:space="preserve"> and reduce the frequent and large cost investment in production lines, Tesla should use the means to compensate for its current disadvantages. It is suggested that in the future Tesla could employ total quality control to solve the quality problem and develop </w:t>
      </w:r>
      <w:r w:rsidR="000E2701" w:rsidRPr="00C3415D">
        <w:rPr>
          <w:rFonts w:ascii="Arial" w:hAnsi="Arial" w:cs="Arial"/>
          <w:sz w:val="24"/>
          <w:szCs w:val="24"/>
          <w:lang w:eastAsia="zh-CN"/>
        </w:rPr>
        <w:t>a</w:t>
      </w:r>
      <w:r w:rsidRPr="00C3415D">
        <w:rPr>
          <w:rFonts w:ascii="Arial" w:hAnsi="Arial" w:cs="Arial"/>
          <w:sz w:val="24"/>
          <w:szCs w:val="24"/>
          <w:lang w:eastAsia="zh-CN"/>
        </w:rPr>
        <w:t xml:space="preserve"> modular production platform to ensure new models with minimized costs. </w:t>
      </w:r>
    </w:p>
    <w:p w14:paraId="16720CC0" w14:textId="3F688958" w:rsidR="00BD2FE5" w:rsidRPr="00BD2FE5" w:rsidRDefault="00BD2FE5" w:rsidP="00BD2FE5">
      <w:pPr>
        <w:spacing w:beforeLines="50" w:before="120" w:afterLines="200" w:after="480" w:line="480" w:lineRule="auto"/>
        <w:jc w:val="both"/>
        <w:rPr>
          <w:rFonts w:ascii="Arial" w:hAnsi="Arial" w:cs="Arial"/>
          <w:sz w:val="22"/>
          <w:szCs w:val="22"/>
          <w:lang w:eastAsia="zh-CN"/>
        </w:rPr>
      </w:pPr>
      <w:r>
        <w:rPr>
          <w:rFonts w:ascii="Arial" w:hAnsi="Arial" w:cs="Arial"/>
          <w:sz w:val="22"/>
          <w:szCs w:val="22"/>
          <w:lang w:eastAsia="zh-CN"/>
        </w:rPr>
        <w:br w:type="page"/>
      </w:r>
    </w:p>
    <w:p w14:paraId="185C1265" w14:textId="69FE5B61" w:rsidR="00681208" w:rsidRPr="00BD2FE5" w:rsidRDefault="00681208" w:rsidP="00BD2FE5">
      <w:pPr>
        <w:pStyle w:val="1"/>
        <w:spacing w:beforeLines="50" w:before="120" w:afterLines="200" w:after="480" w:line="480" w:lineRule="auto"/>
        <w:jc w:val="both"/>
        <w:rPr>
          <w:rFonts w:ascii="Arial" w:hAnsi="Arial" w:cs="Arial"/>
        </w:rPr>
      </w:pPr>
      <w:bookmarkStart w:id="11" w:name="_Toc129168336"/>
      <w:r w:rsidRPr="00BD2FE5">
        <w:rPr>
          <w:rFonts w:ascii="Arial" w:hAnsi="Arial" w:cs="Arial"/>
        </w:rPr>
        <w:lastRenderedPageBreak/>
        <w:t>References</w:t>
      </w:r>
      <w:bookmarkEnd w:id="11"/>
    </w:p>
    <w:p w14:paraId="41DB250B" w14:textId="77777777" w:rsidR="00485CFF" w:rsidRPr="00C3415D" w:rsidRDefault="001262C4" w:rsidP="00C3415D">
      <w:pPr>
        <w:pStyle w:val="afc"/>
        <w:spacing w:beforeLines="100" w:before="240" w:afterLines="150" w:after="360" w:line="480" w:lineRule="auto"/>
        <w:rPr>
          <w:rFonts w:ascii="Arial" w:hAnsi="Arial" w:cs="Arial"/>
          <w:sz w:val="24"/>
          <w:szCs w:val="22"/>
        </w:rPr>
      </w:pPr>
      <w:r w:rsidRPr="00BD2FE5">
        <w:rPr>
          <w:rFonts w:ascii="Arial" w:hAnsi="Arial" w:cs="Arial"/>
          <w:sz w:val="22"/>
          <w:szCs w:val="22"/>
        </w:rPr>
        <w:t xml:space="preserve"> </w:t>
      </w:r>
      <w:r w:rsidR="00BD2FE5" w:rsidRPr="00C3415D">
        <w:rPr>
          <w:rFonts w:ascii="Arial" w:hAnsi="Arial" w:cs="Arial"/>
          <w:sz w:val="24"/>
          <w:szCs w:val="24"/>
        </w:rPr>
        <w:fldChar w:fldCharType="begin"/>
      </w:r>
      <w:r w:rsidR="00BD2FE5" w:rsidRPr="00C3415D">
        <w:rPr>
          <w:rFonts w:ascii="Arial" w:hAnsi="Arial" w:cs="Arial"/>
          <w:sz w:val="24"/>
          <w:szCs w:val="24"/>
        </w:rPr>
        <w:instrText xml:space="preserve"> ADDIN ZOTERO_BIBL {"uncited":[],"omitted":[],"custom":[]} CSL_BIBLIOGRAPHY </w:instrText>
      </w:r>
      <w:r w:rsidR="00BD2FE5" w:rsidRPr="00C3415D">
        <w:rPr>
          <w:rFonts w:ascii="Arial" w:hAnsi="Arial" w:cs="Arial"/>
          <w:sz w:val="24"/>
          <w:szCs w:val="24"/>
        </w:rPr>
        <w:fldChar w:fldCharType="separate"/>
      </w:r>
      <w:r w:rsidR="00485CFF" w:rsidRPr="00C3415D">
        <w:rPr>
          <w:rFonts w:ascii="Arial" w:hAnsi="Arial" w:cs="Arial"/>
          <w:sz w:val="24"/>
          <w:szCs w:val="22"/>
        </w:rPr>
        <w:t xml:space="preserve">Alghalith, N. (2018) ‘Tesla: innovation with information technology’, </w:t>
      </w:r>
      <w:r w:rsidR="00485CFF" w:rsidRPr="00C3415D">
        <w:rPr>
          <w:rFonts w:ascii="Arial" w:hAnsi="Arial" w:cs="Arial"/>
          <w:i/>
          <w:iCs/>
          <w:sz w:val="24"/>
          <w:szCs w:val="22"/>
        </w:rPr>
        <w:t>International journal of business research and information technology</w:t>
      </w:r>
      <w:r w:rsidR="00485CFF" w:rsidRPr="00C3415D">
        <w:rPr>
          <w:rFonts w:ascii="Arial" w:hAnsi="Arial" w:cs="Arial"/>
          <w:sz w:val="24"/>
          <w:szCs w:val="22"/>
        </w:rPr>
        <w:t>, 5(1), pp. 37–51.</w:t>
      </w:r>
    </w:p>
    <w:p w14:paraId="0F28F3C3"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BDO (2021) </w:t>
      </w:r>
      <w:r w:rsidRPr="00C3415D">
        <w:rPr>
          <w:rFonts w:ascii="Arial" w:hAnsi="Arial" w:cs="Arial"/>
          <w:i/>
          <w:iCs/>
          <w:sz w:val="24"/>
          <w:szCs w:val="22"/>
        </w:rPr>
        <w:t>Top 20 global carmakers spend another £71.7bn on R&amp;D as electric vehicle rollout gathers pace - BDO</w:t>
      </w:r>
      <w:r w:rsidRPr="00C3415D">
        <w:rPr>
          <w:rFonts w:ascii="Arial" w:hAnsi="Arial" w:cs="Arial"/>
          <w:sz w:val="24"/>
          <w:szCs w:val="22"/>
        </w:rPr>
        <w:t>. Available at: https://www.bdo.co.uk/en-gb/news/2021/top-20-global-carmakers-spend-another-71-7bn-on-r-and-d-as-electric-vehicle-rollout-gathers-pace (Accessed: 5 March 2023).</w:t>
      </w:r>
    </w:p>
    <w:p w14:paraId="311C4560"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Biondi, S. </w:t>
      </w:r>
      <w:r w:rsidRPr="00C3415D">
        <w:rPr>
          <w:rFonts w:ascii="Arial" w:hAnsi="Arial" w:cs="Arial"/>
          <w:i/>
          <w:iCs/>
          <w:sz w:val="24"/>
          <w:szCs w:val="22"/>
        </w:rPr>
        <w:t>et al.</w:t>
      </w:r>
      <w:r w:rsidRPr="00C3415D">
        <w:rPr>
          <w:rFonts w:ascii="Arial" w:hAnsi="Arial" w:cs="Arial"/>
          <w:sz w:val="24"/>
          <w:szCs w:val="22"/>
        </w:rPr>
        <w:t xml:space="preserve"> (2013) ‘A new approach for assessing dealership performance: An application for the automotive industry’, </w:t>
      </w:r>
      <w:r w:rsidRPr="00C3415D">
        <w:rPr>
          <w:rFonts w:ascii="Arial" w:hAnsi="Arial" w:cs="Arial"/>
          <w:i/>
          <w:iCs/>
          <w:sz w:val="24"/>
          <w:szCs w:val="22"/>
        </w:rPr>
        <w:t>International Journal of Engineering Business Management</w:t>
      </w:r>
      <w:r w:rsidRPr="00C3415D">
        <w:rPr>
          <w:rFonts w:ascii="Arial" w:hAnsi="Arial" w:cs="Arial"/>
          <w:sz w:val="24"/>
          <w:szCs w:val="22"/>
        </w:rPr>
        <w:t>, 5(Godište 2013), pp. 5–18.</w:t>
      </w:r>
    </w:p>
    <w:p w14:paraId="249E3CE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Bowman, C. and Asch, D. (1996) </w:t>
      </w:r>
      <w:r w:rsidRPr="00C3415D">
        <w:rPr>
          <w:rFonts w:ascii="Arial" w:hAnsi="Arial" w:cs="Arial"/>
          <w:i/>
          <w:iCs/>
          <w:sz w:val="24"/>
          <w:szCs w:val="22"/>
        </w:rPr>
        <w:t>Managing strategy</w:t>
      </w:r>
      <w:r w:rsidRPr="00C3415D">
        <w:rPr>
          <w:rFonts w:ascii="Arial" w:hAnsi="Arial" w:cs="Arial"/>
          <w:sz w:val="24"/>
          <w:szCs w:val="22"/>
        </w:rPr>
        <w:t>. Springer.</w:t>
      </w:r>
    </w:p>
    <w:p w14:paraId="6594541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CNN Business (2023) </w:t>
      </w:r>
      <w:r w:rsidRPr="00C3415D">
        <w:rPr>
          <w:rFonts w:ascii="Arial" w:hAnsi="Arial" w:cs="Arial"/>
          <w:i/>
          <w:iCs/>
          <w:sz w:val="24"/>
          <w:szCs w:val="22"/>
        </w:rPr>
        <w:t>Tesla cuts prices in China for second time in three months as demand slows</w:t>
      </w:r>
      <w:r w:rsidRPr="00C3415D">
        <w:rPr>
          <w:rFonts w:ascii="Arial" w:hAnsi="Arial" w:cs="Arial"/>
          <w:sz w:val="24"/>
          <w:szCs w:val="22"/>
        </w:rPr>
        <w:t>. Available at: https://edition.cnn.com/2023/01/06/economy/tesla-china-price-cut-slowdown-intl-hnk/index.html (Accessed: 5 March 2023).</w:t>
      </w:r>
    </w:p>
    <w:p w14:paraId="066C050D"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Electrek (2022) </w:t>
      </w:r>
      <w:r w:rsidRPr="00C3415D">
        <w:rPr>
          <w:rFonts w:ascii="Arial" w:hAnsi="Arial" w:cs="Arial"/>
          <w:i/>
          <w:iCs/>
          <w:sz w:val="24"/>
          <w:szCs w:val="22"/>
        </w:rPr>
        <w:t>Tesla spends the most R&amp;D and least in advertising per car sold</w:t>
      </w:r>
      <w:r w:rsidRPr="00C3415D">
        <w:rPr>
          <w:rFonts w:ascii="Arial" w:hAnsi="Arial" w:cs="Arial"/>
          <w:sz w:val="24"/>
          <w:szCs w:val="22"/>
        </w:rPr>
        <w:t>. Available at: https://electrek.co/2022/03/24/tesla-spends-most-rd-least-advertising-car-sold/ (Accessed: 5 March 2023).</w:t>
      </w:r>
    </w:p>
    <w:p w14:paraId="790A8AC0"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Global Newswire (2022) </w:t>
      </w:r>
      <w:r w:rsidRPr="00C3415D">
        <w:rPr>
          <w:rFonts w:ascii="Arial" w:hAnsi="Arial" w:cs="Arial"/>
          <w:i/>
          <w:iCs/>
          <w:sz w:val="24"/>
          <w:szCs w:val="22"/>
        </w:rPr>
        <w:t>CTP, CTC and CTB Integrated Battery Industry Research</w:t>
      </w:r>
      <w:r w:rsidRPr="00C3415D">
        <w:rPr>
          <w:rFonts w:ascii="Arial" w:hAnsi="Arial" w:cs="Arial"/>
          <w:sz w:val="24"/>
          <w:szCs w:val="22"/>
        </w:rPr>
        <w:t>. Available at: https://www.globenewswire.com/news-</w:t>
      </w:r>
      <w:r w:rsidRPr="00C3415D">
        <w:rPr>
          <w:rFonts w:ascii="Arial" w:hAnsi="Arial" w:cs="Arial"/>
          <w:sz w:val="24"/>
          <w:szCs w:val="22"/>
        </w:rPr>
        <w:lastRenderedPageBreak/>
        <w:t>release/2022/10/11/2532207/0/en/CTP-CTC-and-CTB-Integrated-Battery-Industry-Research-Report-2022.html (Accessed: 5 March 2023).</w:t>
      </w:r>
    </w:p>
    <w:p w14:paraId="2479EF72"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Hardman, S., Shiu, E. and Steinberger-Wilckens, R. (2015) ‘Changing the fate of Fuel Cell Vehicles: Can lessons be learnt from Tesla Motors?’, </w:t>
      </w:r>
      <w:r w:rsidRPr="00C3415D">
        <w:rPr>
          <w:rFonts w:ascii="Arial" w:hAnsi="Arial" w:cs="Arial"/>
          <w:i/>
          <w:iCs/>
          <w:sz w:val="24"/>
          <w:szCs w:val="22"/>
        </w:rPr>
        <w:t>international journal of hydrogen energy</w:t>
      </w:r>
      <w:r w:rsidRPr="00C3415D">
        <w:rPr>
          <w:rFonts w:ascii="Arial" w:hAnsi="Arial" w:cs="Arial"/>
          <w:sz w:val="24"/>
          <w:szCs w:val="22"/>
        </w:rPr>
        <w:t>, 40(4), pp. 1625–1638.</w:t>
      </w:r>
    </w:p>
    <w:p w14:paraId="74E3C074"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Inside EVs (2023) </w:t>
      </w:r>
      <w:r w:rsidRPr="00C3415D">
        <w:rPr>
          <w:rFonts w:ascii="Arial" w:hAnsi="Arial" w:cs="Arial"/>
          <w:i/>
          <w:iCs/>
          <w:sz w:val="24"/>
          <w:szCs w:val="22"/>
        </w:rPr>
        <w:t>Tesla’s New Autopilot And Full Self-Driving Hardware Details Surface</w:t>
      </w:r>
      <w:r w:rsidRPr="00C3415D">
        <w:rPr>
          <w:rFonts w:ascii="Arial" w:hAnsi="Arial" w:cs="Arial"/>
          <w:sz w:val="24"/>
          <w:szCs w:val="22"/>
        </w:rPr>
        <w:t>. Available at: https://insideevs.com/news/631569/tesla-new-autopilot-fsd-details-emerge/ (Accessed: 5 March 2023).</w:t>
      </w:r>
    </w:p>
    <w:p w14:paraId="605B0C63"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International Energy Agency (2022) </w:t>
      </w:r>
      <w:r w:rsidRPr="00C3415D">
        <w:rPr>
          <w:rFonts w:ascii="Arial" w:hAnsi="Arial" w:cs="Arial"/>
          <w:i/>
          <w:iCs/>
          <w:sz w:val="24"/>
          <w:szCs w:val="22"/>
        </w:rPr>
        <w:t>World Energy Outlook 2022</w:t>
      </w:r>
      <w:r w:rsidRPr="00C3415D">
        <w:rPr>
          <w:rFonts w:ascii="Arial" w:hAnsi="Arial" w:cs="Arial"/>
          <w:sz w:val="24"/>
          <w:szCs w:val="22"/>
        </w:rPr>
        <w:t>. Available at: https://www.iea.org/reports/world-energy-outlook-2022 (Accessed: 5 March 2023).</w:t>
      </w:r>
    </w:p>
    <w:p w14:paraId="1FF721A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Kim, H. (2020) ‘Analysis of how Tesla creates core innovation capability’, </w:t>
      </w:r>
      <w:r w:rsidRPr="00C3415D">
        <w:rPr>
          <w:rFonts w:ascii="Arial" w:hAnsi="Arial" w:cs="Arial"/>
          <w:i/>
          <w:iCs/>
          <w:sz w:val="24"/>
          <w:szCs w:val="22"/>
        </w:rPr>
        <w:t>International Journal of Business and Management</w:t>
      </w:r>
      <w:r w:rsidRPr="00C3415D">
        <w:rPr>
          <w:rFonts w:ascii="Arial" w:hAnsi="Arial" w:cs="Arial"/>
          <w:sz w:val="24"/>
          <w:szCs w:val="22"/>
        </w:rPr>
        <w:t>, 15(6), pp. 42–61.</w:t>
      </w:r>
    </w:p>
    <w:p w14:paraId="66D409BE"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Lampón, J.F., Cabanelas, P. and González-Benito, J. (2017) ‘The impact of modular platforms on automobile manufacturing networks’, </w:t>
      </w:r>
      <w:r w:rsidRPr="00C3415D">
        <w:rPr>
          <w:rFonts w:ascii="Arial" w:hAnsi="Arial" w:cs="Arial"/>
          <w:i/>
          <w:iCs/>
          <w:sz w:val="24"/>
          <w:szCs w:val="22"/>
        </w:rPr>
        <w:t>Production Planning &amp; Control</w:t>
      </w:r>
      <w:r w:rsidRPr="00C3415D">
        <w:rPr>
          <w:rFonts w:ascii="Arial" w:hAnsi="Arial" w:cs="Arial"/>
          <w:sz w:val="24"/>
          <w:szCs w:val="22"/>
        </w:rPr>
        <w:t>, 28(4), pp. 335–348.</w:t>
      </w:r>
    </w:p>
    <w:p w14:paraId="6F86AFB0"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Long, Z. </w:t>
      </w:r>
      <w:r w:rsidRPr="00C3415D">
        <w:rPr>
          <w:rFonts w:ascii="Arial" w:hAnsi="Arial" w:cs="Arial"/>
          <w:i/>
          <w:iCs/>
          <w:sz w:val="24"/>
          <w:szCs w:val="22"/>
        </w:rPr>
        <w:t>et al.</w:t>
      </w:r>
      <w:r w:rsidRPr="00C3415D">
        <w:rPr>
          <w:rFonts w:ascii="Arial" w:hAnsi="Arial" w:cs="Arial"/>
          <w:sz w:val="24"/>
          <w:szCs w:val="22"/>
        </w:rPr>
        <w:t xml:space="preserve"> (2019) ‘What does Tesla mean to car buyers? Exploring the role of automotive brand in perceptions of battery electric vehicles’, </w:t>
      </w:r>
      <w:r w:rsidRPr="00C3415D">
        <w:rPr>
          <w:rFonts w:ascii="Arial" w:hAnsi="Arial" w:cs="Arial"/>
          <w:i/>
          <w:iCs/>
          <w:sz w:val="24"/>
          <w:szCs w:val="22"/>
        </w:rPr>
        <w:t>Transportation Research Part A: Policy and Practice</w:t>
      </w:r>
      <w:r w:rsidRPr="00C3415D">
        <w:rPr>
          <w:rFonts w:ascii="Arial" w:hAnsi="Arial" w:cs="Arial"/>
          <w:sz w:val="24"/>
          <w:szCs w:val="22"/>
        </w:rPr>
        <w:t>, 129, pp. 185–204.</w:t>
      </w:r>
    </w:p>
    <w:p w14:paraId="1D0EE1D5"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Mordor Intelligence (2023) </w:t>
      </w:r>
      <w:r w:rsidRPr="00C3415D">
        <w:rPr>
          <w:rFonts w:ascii="Arial" w:hAnsi="Arial" w:cs="Arial"/>
          <w:i/>
          <w:iCs/>
          <w:sz w:val="24"/>
          <w:szCs w:val="22"/>
        </w:rPr>
        <w:t>Electric Vehicle Market Analysis - Industry Report - Trends, Size &amp; Share</w:t>
      </w:r>
      <w:r w:rsidRPr="00C3415D">
        <w:rPr>
          <w:rFonts w:ascii="Arial" w:hAnsi="Arial" w:cs="Arial"/>
          <w:sz w:val="24"/>
          <w:szCs w:val="22"/>
        </w:rPr>
        <w:t>. Available at: https://www.mordorintelligence.com/industry-reports/electric-vehicle-market (Accessed: 5 March 2023).</w:t>
      </w:r>
    </w:p>
    <w:p w14:paraId="5EFA7B9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lastRenderedPageBreak/>
        <w:t xml:space="preserve">Reuters (2021) </w:t>
      </w:r>
      <w:r w:rsidRPr="00C3415D">
        <w:rPr>
          <w:rFonts w:ascii="Arial" w:hAnsi="Arial" w:cs="Arial"/>
          <w:i/>
          <w:iCs/>
          <w:sz w:val="24"/>
          <w:szCs w:val="22"/>
        </w:rPr>
        <w:t>Tesla recalls over 500,000 U.S. vehicles to fix pedestrian warning sounds | Reuters</w:t>
      </w:r>
      <w:r w:rsidRPr="00C3415D">
        <w:rPr>
          <w:rFonts w:ascii="Arial" w:hAnsi="Arial" w:cs="Arial"/>
          <w:sz w:val="24"/>
          <w:szCs w:val="22"/>
        </w:rPr>
        <w:t>. Available at: https://www.reuters.com/business/autos-transportation/tesla-recalls-nearly-579000-us-vehicles-over-pedestrian-warning-risk-sounds-2022-02-10/ (Accessed: 5 March 2023).</w:t>
      </w:r>
    </w:p>
    <w:p w14:paraId="4A657B65"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Reuters (2023) </w:t>
      </w:r>
      <w:r w:rsidRPr="00C3415D">
        <w:rPr>
          <w:rFonts w:ascii="Arial" w:hAnsi="Arial" w:cs="Arial"/>
          <w:i/>
          <w:iCs/>
          <w:sz w:val="24"/>
          <w:szCs w:val="22"/>
        </w:rPr>
        <w:t>Factbox: Tesla cuts prices globally in a bid to spur demand</w:t>
      </w:r>
      <w:r w:rsidRPr="00C3415D">
        <w:rPr>
          <w:rFonts w:ascii="Arial" w:hAnsi="Arial" w:cs="Arial"/>
          <w:sz w:val="24"/>
          <w:szCs w:val="22"/>
        </w:rPr>
        <w:t>. Available at: https://www.reuters.com/technology/details-tesla-price-cuts-china-other-asian-markets-2023-01-06/ (Accessed: 5 March 2023).</w:t>
      </w:r>
    </w:p>
    <w:p w14:paraId="323BBC77"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Rimmer, M. (2018) </w:t>
      </w:r>
      <w:r w:rsidRPr="00C3415D">
        <w:rPr>
          <w:rFonts w:ascii="Arial" w:hAnsi="Arial" w:cs="Arial"/>
          <w:i/>
          <w:iCs/>
          <w:sz w:val="24"/>
          <w:szCs w:val="22"/>
        </w:rPr>
        <w:t>Elon Musk’s open innovation: Tesla, intellectual property, and climate change</w:t>
      </w:r>
      <w:r w:rsidRPr="00C3415D">
        <w:rPr>
          <w:rFonts w:ascii="Arial" w:hAnsi="Arial" w:cs="Arial"/>
          <w:sz w:val="24"/>
          <w:szCs w:val="22"/>
        </w:rPr>
        <w:t>. Springer.</w:t>
      </w:r>
    </w:p>
    <w:p w14:paraId="38B9F4DA"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Sallis, E. (2014) </w:t>
      </w:r>
      <w:r w:rsidRPr="00C3415D">
        <w:rPr>
          <w:rFonts w:ascii="Arial" w:hAnsi="Arial" w:cs="Arial"/>
          <w:i/>
          <w:iCs/>
          <w:sz w:val="24"/>
          <w:szCs w:val="22"/>
        </w:rPr>
        <w:t>Total quality management in education</w:t>
      </w:r>
      <w:r w:rsidRPr="00C3415D">
        <w:rPr>
          <w:rFonts w:ascii="Arial" w:hAnsi="Arial" w:cs="Arial"/>
          <w:sz w:val="24"/>
          <w:szCs w:val="22"/>
        </w:rPr>
        <w:t>. Routledge.</w:t>
      </w:r>
    </w:p>
    <w:p w14:paraId="50F31DF2"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Statista (2022) </w:t>
      </w:r>
      <w:r w:rsidRPr="00C3415D">
        <w:rPr>
          <w:rFonts w:ascii="Arial" w:hAnsi="Arial" w:cs="Arial"/>
          <w:i/>
          <w:iCs/>
          <w:sz w:val="24"/>
          <w:szCs w:val="22"/>
        </w:rPr>
        <w:t>Tesla Hasn’t Conquered the World</w:t>
      </w:r>
      <w:r w:rsidRPr="00C3415D">
        <w:rPr>
          <w:rFonts w:ascii="Arial" w:hAnsi="Arial" w:cs="Arial"/>
          <w:sz w:val="24"/>
          <w:szCs w:val="22"/>
        </w:rPr>
        <w:t>. Available at: https://www.google.com.hk/url?sa=i&amp;url=https%3A%2F%2Fwww.statista.com%2Fchart%2F28347%2Ftesla-share-of-bev-unit-sales-by-region-mmo%2F&amp;psig=AOvVaw08pE53f828C3bxZONfbcLy&amp;ust=1678071122758000&amp;source=images&amp;cd=vfe&amp;ved=0CA4QjhxqFwoTCJi-nJ3kw_0CFQAAAAAdAAAAABAT.</w:t>
      </w:r>
    </w:p>
    <w:p w14:paraId="19D0A316"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Statista (2023) </w:t>
      </w:r>
      <w:r w:rsidRPr="00C3415D">
        <w:rPr>
          <w:rFonts w:ascii="Arial" w:hAnsi="Arial" w:cs="Arial"/>
          <w:i/>
          <w:iCs/>
          <w:sz w:val="24"/>
          <w:szCs w:val="22"/>
        </w:rPr>
        <w:t>Chart: Global Electric Car Sales Doubled in 2021</w:t>
      </w:r>
      <w:r w:rsidRPr="00C3415D">
        <w:rPr>
          <w:rFonts w:ascii="Arial" w:hAnsi="Arial" w:cs="Arial"/>
          <w:sz w:val="24"/>
          <w:szCs w:val="22"/>
        </w:rPr>
        <w:t>.</w:t>
      </w:r>
    </w:p>
    <w:p w14:paraId="740D321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TechCrunch (2020) </w:t>
      </w:r>
      <w:r w:rsidRPr="00C3415D">
        <w:rPr>
          <w:rFonts w:ascii="Arial" w:hAnsi="Arial" w:cs="Arial"/>
          <w:i/>
          <w:iCs/>
          <w:sz w:val="24"/>
          <w:szCs w:val="22"/>
        </w:rPr>
        <w:t>Tesla surpasses 2019 goal and delivers 367,500 electric vehicles</w:t>
      </w:r>
      <w:r w:rsidRPr="00C3415D">
        <w:rPr>
          <w:rFonts w:ascii="Arial" w:hAnsi="Arial" w:cs="Arial"/>
          <w:sz w:val="24"/>
          <w:szCs w:val="22"/>
        </w:rPr>
        <w:t>. Available at: https://techcrunch.com/2020/01/03/tesla-surpasses-2019-goal-and-delivers-367500-electric-vehicles/ (Accessed: 5 March 2023).</w:t>
      </w:r>
    </w:p>
    <w:p w14:paraId="3948B2C4"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Teece, D.J. (2018) ‘Tesla and the reshaping of the auto industry’, </w:t>
      </w:r>
      <w:r w:rsidRPr="00C3415D">
        <w:rPr>
          <w:rFonts w:ascii="Arial" w:hAnsi="Arial" w:cs="Arial"/>
          <w:i/>
          <w:iCs/>
          <w:sz w:val="24"/>
          <w:szCs w:val="22"/>
        </w:rPr>
        <w:t>Management and Organization Review</w:t>
      </w:r>
      <w:r w:rsidRPr="00C3415D">
        <w:rPr>
          <w:rFonts w:ascii="Arial" w:hAnsi="Arial" w:cs="Arial"/>
          <w:sz w:val="24"/>
          <w:szCs w:val="22"/>
        </w:rPr>
        <w:t>, 14(3), pp. 501–512.</w:t>
      </w:r>
    </w:p>
    <w:p w14:paraId="34FEEB6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lastRenderedPageBreak/>
        <w:t xml:space="preserve">Tesla (2016) </w:t>
      </w:r>
      <w:r w:rsidRPr="00C3415D">
        <w:rPr>
          <w:rFonts w:ascii="Arial" w:hAnsi="Arial" w:cs="Arial"/>
          <w:i/>
          <w:iCs/>
          <w:sz w:val="24"/>
          <w:szCs w:val="22"/>
        </w:rPr>
        <w:t>The Secret Tesla Motors Master Plan (just between you and me)</w:t>
      </w:r>
      <w:r w:rsidRPr="00C3415D">
        <w:rPr>
          <w:rFonts w:ascii="Arial" w:hAnsi="Arial" w:cs="Arial"/>
          <w:sz w:val="24"/>
          <w:szCs w:val="22"/>
        </w:rPr>
        <w:t>. Available at: https://www.tesla.com/blog/secret-tesla-motors-master-plan-just-between-you-and-me.</w:t>
      </w:r>
    </w:p>
    <w:p w14:paraId="329AE02F"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Tesla (2021) </w:t>
      </w:r>
      <w:r w:rsidRPr="00C3415D">
        <w:rPr>
          <w:rFonts w:ascii="Arial" w:hAnsi="Arial" w:cs="Arial"/>
          <w:i/>
          <w:iCs/>
          <w:sz w:val="24"/>
          <w:szCs w:val="22"/>
        </w:rPr>
        <w:t>Tesla Annual Report 2020</w:t>
      </w:r>
      <w:r w:rsidRPr="00C3415D">
        <w:rPr>
          <w:rFonts w:ascii="Arial" w:hAnsi="Arial" w:cs="Arial"/>
          <w:sz w:val="24"/>
          <w:szCs w:val="22"/>
        </w:rPr>
        <w:t>.</w:t>
      </w:r>
    </w:p>
    <w:p w14:paraId="7A974343"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Virta (2022) </w:t>
      </w:r>
      <w:r w:rsidRPr="00C3415D">
        <w:rPr>
          <w:rFonts w:ascii="Arial" w:hAnsi="Arial" w:cs="Arial"/>
          <w:i/>
          <w:iCs/>
          <w:sz w:val="24"/>
          <w:szCs w:val="22"/>
        </w:rPr>
        <w:t>The Global Electric Vehicle Market In 2022 – Virta</w:t>
      </w:r>
      <w:r w:rsidRPr="00C3415D">
        <w:rPr>
          <w:rFonts w:ascii="Arial" w:hAnsi="Arial" w:cs="Arial"/>
          <w:sz w:val="24"/>
          <w:szCs w:val="22"/>
        </w:rPr>
        <w:t>. Available at: https://www.virta.global/en/global-electric-vehicle-market (Accessed: 5 March 2023).</w:t>
      </w:r>
    </w:p>
    <w:p w14:paraId="17FC5987"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Xiang, H. and Ou, Z. (2019) ‘CRF-based single-stage acoustic modeling with CTC topology’, in. </w:t>
      </w:r>
      <w:r w:rsidRPr="00C3415D">
        <w:rPr>
          <w:rFonts w:ascii="Arial" w:hAnsi="Arial" w:cs="Arial"/>
          <w:i/>
          <w:iCs/>
          <w:sz w:val="24"/>
          <w:szCs w:val="22"/>
        </w:rPr>
        <w:t>ICASSP 2019-2019 IEEE International Conference on Acoustics, Speech and Signal Processing (ICASSP)</w:t>
      </w:r>
      <w:r w:rsidRPr="00C3415D">
        <w:rPr>
          <w:rFonts w:ascii="Arial" w:hAnsi="Arial" w:cs="Arial"/>
          <w:sz w:val="24"/>
          <w:szCs w:val="22"/>
        </w:rPr>
        <w:t>, IEEE, pp. 5676–5680.</w:t>
      </w:r>
    </w:p>
    <w:p w14:paraId="47035101" w14:textId="77777777" w:rsidR="00485CFF" w:rsidRPr="00C3415D" w:rsidRDefault="00485CFF" w:rsidP="00C3415D">
      <w:pPr>
        <w:pStyle w:val="afc"/>
        <w:spacing w:beforeLines="100" w:before="240" w:afterLines="150" w:after="360" w:line="480" w:lineRule="auto"/>
        <w:rPr>
          <w:rFonts w:ascii="Arial" w:hAnsi="Arial" w:cs="Arial"/>
          <w:sz w:val="24"/>
          <w:szCs w:val="22"/>
        </w:rPr>
      </w:pPr>
      <w:r w:rsidRPr="00C3415D">
        <w:rPr>
          <w:rFonts w:ascii="Arial" w:hAnsi="Arial" w:cs="Arial"/>
          <w:sz w:val="24"/>
          <w:szCs w:val="22"/>
        </w:rPr>
        <w:t xml:space="preserve">Yuan, X., Liu, X. and Zuo, J. (2015) ‘The development of new energy vehicles for a sustainable future: A review’, </w:t>
      </w:r>
      <w:r w:rsidRPr="00C3415D">
        <w:rPr>
          <w:rFonts w:ascii="Arial" w:hAnsi="Arial" w:cs="Arial"/>
          <w:i/>
          <w:iCs/>
          <w:sz w:val="24"/>
          <w:szCs w:val="22"/>
        </w:rPr>
        <w:t>Renewable and Sustainable Energy Reviews</w:t>
      </w:r>
      <w:r w:rsidRPr="00C3415D">
        <w:rPr>
          <w:rFonts w:ascii="Arial" w:hAnsi="Arial" w:cs="Arial"/>
          <w:sz w:val="24"/>
          <w:szCs w:val="22"/>
        </w:rPr>
        <w:t>, 42, pp. 298–305.</w:t>
      </w:r>
    </w:p>
    <w:p w14:paraId="252089F3" w14:textId="02FB359F" w:rsidR="00A71DAD" w:rsidRPr="00C3415D" w:rsidRDefault="00BD2FE5" w:rsidP="00C3415D">
      <w:pPr>
        <w:spacing w:beforeLines="100" w:before="240" w:afterLines="150" w:after="360" w:line="480" w:lineRule="auto"/>
        <w:jc w:val="both"/>
        <w:rPr>
          <w:rFonts w:ascii="Arial" w:hAnsi="Arial" w:cs="Arial"/>
          <w:sz w:val="24"/>
          <w:szCs w:val="24"/>
        </w:rPr>
      </w:pPr>
      <w:r w:rsidRPr="00C3415D">
        <w:rPr>
          <w:rFonts w:ascii="Arial" w:hAnsi="Arial" w:cs="Arial"/>
          <w:i/>
          <w:iCs/>
          <w:sz w:val="24"/>
          <w:szCs w:val="24"/>
        </w:rPr>
        <w:fldChar w:fldCharType="end"/>
      </w:r>
    </w:p>
    <w:sectPr w:rsidR="00A71DAD" w:rsidRPr="00C3415D" w:rsidSect="00A71DA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617223" w14:textId="77777777" w:rsidR="008A74A1" w:rsidRDefault="008A74A1" w:rsidP="000A7C32">
      <w:pPr>
        <w:spacing w:after="0" w:line="240" w:lineRule="auto"/>
      </w:pPr>
      <w:r>
        <w:separator/>
      </w:r>
    </w:p>
  </w:endnote>
  <w:endnote w:type="continuationSeparator" w:id="0">
    <w:p w14:paraId="787898B0" w14:textId="77777777" w:rsidR="008A74A1" w:rsidRDefault="008A74A1"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2971732"/>
      <w:docPartObj>
        <w:docPartGallery w:val="Page Numbers (Bottom of Page)"/>
        <w:docPartUnique/>
      </w:docPartObj>
    </w:sdtPr>
    <w:sdtEndPr/>
    <w:sdtContent>
      <w:p w14:paraId="58815931" w14:textId="4187A08A" w:rsidR="00BD2FE5" w:rsidRDefault="00BD2FE5">
        <w:pPr>
          <w:pStyle w:val="a7"/>
          <w:jc w:val="right"/>
        </w:pPr>
        <w:r>
          <w:fldChar w:fldCharType="begin"/>
        </w:r>
        <w:r>
          <w:instrText>PAGE   \* MERGEFORMAT</w:instrText>
        </w:r>
        <w:r>
          <w:fldChar w:fldCharType="separate"/>
        </w:r>
        <w:r w:rsidR="0035490B" w:rsidRPr="0035490B">
          <w:rPr>
            <w:noProof/>
            <w:lang w:val="zh-CN" w:eastAsia="zh-CN"/>
          </w:rPr>
          <w:t>1</w:t>
        </w:r>
        <w:r>
          <w:fldChar w:fldCharType="end"/>
        </w:r>
      </w:p>
    </w:sdtContent>
  </w:sdt>
  <w:p w14:paraId="43D7A98A" w14:textId="77777777" w:rsidR="00BD2FE5" w:rsidRDefault="00BD2FE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D2A59E" w14:textId="77777777" w:rsidR="008A74A1" w:rsidRDefault="008A74A1" w:rsidP="000A7C32">
      <w:pPr>
        <w:spacing w:after="0" w:line="240" w:lineRule="auto"/>
      </w:pPr>
      <w:r>
        <w:separator/>
      </w:r>
    </w:p>
  </w:footnote>
  <w:footnote w:type="continuationSeparator" w:id="0">
    <w:p w14:paraId="1EB191DC" w14:textId="77777777" w:rsidR="008A74A1" w:rsidRDefault="008A74A1"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867E5"/>
    <w:multiLevelType w:val="multilevel"/>
    <w:tmpl w:val="F55EAF9E"/>
    <w:lvl w:ilvl="0">
      <w:start w:val="2"/>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FE85E1D"/>
    <w:multiLevelType w:val="multilevel"/>
    <w:tmpl w:val="86C6C5FE"/>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073307B"/>
    <w:multiLevelType w:val="multilevel"/>
    <w:tmpl w:val="990A7DFE"/>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72F73568"/>
    <w:multiLevelType w:val="hybridMultilevel"/>
    <w:tmpl w:val="27C05F04"/>
    <w:lvl w:ilvl="0" w:tplc="F550A882">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7F0B0F96"/>
    <w:multiLevelType w:val="multilevel"/>
    <w:tmpl w:val="D700B15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xNTc0NzEzMzQyMLFQ0lEKTi0uzszPAykwqQUADXPlxywAAAA="/>
  </w:docVars>
  <w:rsids>
    <w:rsidRoot w:val="00291944"/>
    <w:rsid w:val="0001453D"/>
    <w:rsid w:val="00024EE8"/>
    <w:rsid w:val="00063413"/>
    <w:rsid w:val="000855C6"/>
    <w:rsid w:val="000A7C32"/>
    <w:rsid w:val="000E2701"/>
    <w:rsid w:val="001129E1"/>
    <w:rsid w:val="00120F6E"/>
    <w:rsid w:val="001262C4"/>
    <w:rsid w:val="0017088C"/>
    <w:rsid w:val="00210DE4"/>
    <w:rsid w:val="002368D9"/>
    <w:rsid w:val="002452F1"/>
    <w:rsid w:val="002911D3"/>
    <w:rsid w:val="00291944"/>
    <w:rsid w:val="002B6B57"/>
    <w:rsid w:val="002C5D4A"/>
    <w:rsid w:val="002D65FC"/>
    <w:rsid w:val="002F013B"/>
    <w:rsid w:val="00313FF8"/>
    <w:rsid w:val="0035490B"/>
    <w:rsid w:val="003A5550"/>
    <w:rsid w:val="003D3B0E"/>
    <w:rsid w:val="003F069B"/>
    <w:rsid w:val="003F3DC6"/>
    <w:rsid w:val="00405862"/>
    <w:rsid w:val="00413B98"/>
    <w:rsid w:val="00450384"/>
    <w:rsid w:val="004845E1"/>
    <w:rsid w:val="00485CFF"/>
    <w:rsid w:val="004868A4"/>
    <w:rsid w:val="004B2115"/>
    <w:rsid w:val="004C5647"/>
    <w:rsid w:val="00544D2E"/>
    <w:rsid w:val="0056567C"/>
    <w:rsid w:val="00591C10"/>
    <w:rsid w:val="00635979"/>
    <w:rsid w:val="00640392"/>
    <w:rsid w:val="00681208"/>
    <w:rsid w:val="006851AB"/>
    <w:rsid w:val="006C3381"/>
    <w:rsid w:val="006E1E9A"/>
    <w:rsid w:val="0072369D"/>
    <w:rsid w:val="00766EC9"/>
    <w:rsid w:val="007D65BF"/>
    <w:rsid w:val="00872461"/>
    <w:rsid w:val="008A74A1"/>
    <w:rsid w:val="0097226F"/>
    <w:rsid w:val="009B33B7"/>
    <w:rsid w:val="00A53B49"/>
    <w:rsid w:val="00A628A2"/>
    <w:rsid w:val="00A71DAD"/>
    <w:rsid w:val="00A957A8"/>
    <w:rsid w:val="00AF59DF"/>
    <w:rsid w:val="00B00AF9"/>
    <w:rsid w:val="00B1180C"/>
    <w:rsid w:val="00B21E01"/>
    <w:rsid w:val="00B638B9"/>
    <w:rsid w:val="00B64327"/>
    <w:rsid w:val="00BD2FE5"/>
    <w:rsid w:val="00BD3F14"/>
    <w:rsid w:val="00C05C76"/>
    <w:rsid w:val="00C3415D"/>
    <w:rsid w:val="00C81FD9"/>
    <w:rsid w:val="00C911B4"/>
    <w:rsid w:val="00CC3FD5"/>
    <w:rsid w:val="00D04E59"/>
    <w:rsid w:val="00D136B9"/>
    <w:rsid w:val="00D3109E"/>
    <w:rsid w:val="00D36573"/>
    <w:rsid w:val="00D460E5"/>
    <w:rsid w:val="00DA6A9F"/>
    <w:rsid w:val="00DF4DDC"/>
    <w:rsid w:val="00E30F76"/>
    <w:rsid w:val="00E5513F"/>
    <w:rsid w:val="00E86A50"/>
    <w:rsid w:val="00EA4064"/>
    <w:rsid w:val="00EB2D66"/>
    <w:rsid w:val="00EB7F10"/>
    <w:rsid w:val="00ED4700"/>
    <w:rsid w:val="00EE0504"/>
    <w:rsid w:val="00EF5ED2"/>
    <w:rsid w:val="00F417A0"/>
    <w:rsid w:val="00F51F39"/>
    <w:rsid w:val="00F51F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85CFF"/>
  </w:style>
  <w:style w:type="paragraph" w:styleId="1">
    <w:name w:val="heading 1"/>
    <w:basedOn w:val="a"/>
    <w:next w:val="a"/>
    <w:link w:val="10"/>
    <w:uiPriority w:val="9"/>
    <w:qFormat/>
    <w:rsid w:val="00485CFF"/>
    <w:pPr>
      <w:keepNext/>
      <w:keepLines/>
      <w:spacing w:before="360" w:after="40" w:line="240" w:lineRule="auto"/>
      <w:outlineLvl w:val="0"/>
    </w:pPr>
    <w:rPr>
      <w:rFonts w:asciiTheme="majorHAnsi" w:eastAsiaTheme="majorEastAsia" w:hAnsiTheme="majorHAnsi" w:cstheme="majorBidi"/>
      <w:color w:val="1C6194" w:themeColor="accent6" w:themeShade="BF"/>
      <w:sz w:val="40"/>
      <w:szCs w:val="40"/>
    </w:rPr>
  </w:style>
  <w:style w:type="paragraph" w:styleId="2">
    <w:name w:val="heading 2"/>
    <w:basedOn w:val="a"/>
    <w:next w:val="a"/>
    <w:link w:val="20"/>
    <w:uiPriority w:val="9"/>
    <w:unhideWhenUsed/>
    <w:qFormat/>
    <w:rsid w:val="00485CFF"/>
    <w:pPr>
      <w:keepNext/>
      <w:keepLines/>
      <w:spacing w:before="80" w:after="0" w:line="240" w:lineRule="auto"/>
      <w:outlineLvl w:val="1"/>
    </w:pPr>
    <w:rPr>
      <w:rFonts w:asciiTheme="majorHAnsi" w:eastAsiaTheme="majorEastAsia" w:hAnsiTheme="majorHAnsi" w:cstheme="majorBidi"/>
      <w:color w:val="1C6194" w:themeColor="accent6" w:themeShade="BF"/>
      <w:sz w:val="28"/>
      <w:szCs w:val="28"/>
    </w:rPr>
  </w:style>
  <w:style w:type="paragraph" w:styleId="3">
    <w:name w:val="heading 3"/>
    <w:basedOn w:val="a"/>
    <w:next w:val="a"/>
    <w:link w:val="30"/>
    <w:uiPriority w:val="9"/>
    <w:unhideWhenUsed/>
    <w:qFormat/>
    <w:rsid w:val="00485CFF"/>
    <w:pPr>
      <w:keepNext/>
      <w:keepLines/>
      <w:spacing w:before="80" w:after="0" w:line="240" w:lineRule="auto"/>
      <w:outlineLvl w:val="2"/>
    </w:pPr>
    <w:rPr>
      <w:rFonts w:asciiTheme="majorHAnsi" w:eastAsiaTheme="majorEastAsia" w:hAnsiTheme="majorHAnsi" w:cstheme="majorBidi"/>
      <w:color w:val="1C6194" w:themeColor="accent6" w:themeShade="BF"/>
      <w:sz w:val="24"/>
      <w:szCs w:val="24"/>
    </w:rPr>
  </w:style>
  <w:style w:type="paragraph" w:styleId="4">
    <w:name w:val="heading 4"/>
    <w:basedOn w:val="a"/>
    <w:next w:val="a"/>
    <w:link w:val="40"/>
    <w:uiPriority w:val="9"/>
    <w:semiHidden/>
    <w:unhideWhenUsed/>
    <w:qFormat/>
    <w:rsid w:val="00485CFF"/>
    <w:pPr>
      <w:keepNext/>
      <w:keepLines/>
      <w:spacing w:before="80" w:after="0"/>
      <w:outlineLvl w:val="3"/>
    </w:pPr>
    <w:rPr>
      <w:rFonts w:asciiTheme="majorHAnsi" w:eastAsiaTheme="majorEastAsia" w:hAnsiTheme="majorHAnsi" w:cstheme="majorBidi"/>
      <w:color w:val="2683C6" w:themeColor="accent6"/>
      <w:sz w:val="22"/>
      <w:szCs w:val="22"/>
    </w:rPr>
  </w:style>
  <w:style w:type="paragraph" w:styleId="5">
    <w:name w:val="heading 5"/>
    <w:basedOn w:val="a"/>
    <w:next w:val="a"/>
    <w:link w:val="50"/>
    <w:uiPriority w:val="9"/>
    <w:semiHidden/>
    <w:unhideWhenUsed/>
    <w:qFormat/>
    <w:rsid w:val="00485CFF"/>
    <w:pPr>
      <w:keepNext/>
      <w:keepLines/>
      <w:spacing w:before="40" w:after="0"/>
      <w:outlineLvl w:val="4"/>
    </w:pPr>
    <w:rPr>
      <w:rFonts w:asciiTheme="majorHAnsi" w:eastAsiaTheme="majorEastAsia" w:hAnsiTheme="majorHAnsi" w:cstheme="majorBidi"/>
      <w:i/>
      <w:iCs/>
      <w:color w:val="2683C6" w:themeColor="accent6"/>
      <w:sz w:val="22"/>
      <w:szCs w:val="22"/>
    </w:rPr>
  </w:style>
  <w:style w:type="paragraph" w:styleId="6">
    <w:name w:val="heading 6"/>
    <w:basedOn w:val="a"/>
    <w:next w:val="a"/>
    <w:link w:val="60"/>
    <w:uiPriority w:val="9"/>
    <w:semiHidden/>
    <w:unhideWhenUsed/>
    <w:qFormat/>
    <w:rsid w:val="00485CFF"/>
    <w:pPr>
      <w:keepNext/>
      <w:keepLines/>
      <w:spacing w:before="40" w:after="0"/>
      <w:outlineLvl w:val="5"/>
    </w:pPr>
    <w:rPr>
      <w:rFonts w:asciiTheme="majorHAnsi" w:eastAsiaTheme="majorEastAsia" w:hAnsiTheme="majorHAnsi" w:cstheme="majorBidi"/>
      <w:color w:val="2683C6" w:themeColor="accent6"/>
    </w:rPr>
  </w:style>
  <w:style w:type="paragraph" w:styleId="7">
    <w:name w:val="heading 7"/>
    <w:basedOn w:val="a"/>
    <w:next w:val="a"/>
    <w:link w:val="70"/>
    <w:uiPriority w:val="9"/>
    <w:semiHidden/>
    <w:unhideWhenUsed/>
    <w:qFormat/>
    <w:rsid w:val="00485CFF"/>
    <w:pPr>
      <w:keepNext/>
      <w:keepLines/>
      <w:spacing w:before="40" w:after="0"/>
      <w:outlineLvl w:val="6"/>
    </w:pPr>
    <w:rPr>
      <w:rFonts w:asciiTheme="majorHAnsi" w:eastAsiaTheme="majorEastAsia" w:hAnsiTheme="majorHAnsi" w:cstheme="majorBidi"/>
      <w:b/>
      <w:bCs/>
      <w:color w:val="2683C6" w:themeColor="accent6"/>
    </w:rPr>
  </w:style>
  <w:style w:type="paragraph" w:styleId="8">
    <w:name w:val="heading 8"/>
    <w:basedOn w:val="a"/>
    <w:next w:val="a"/>
    <w:link w:val="80"/>
    <w:uiPriority w:val="9"/>
    <w:semiHidden/>
    <w:unhideWhenUsed/>
    <w:qFormat/>
    <w:rsid w:val="00485CFF"/>
    <w:pPr>
      <w:keepNext/>
      <w:keepLines/>
      <w:spacing w:before="40" w:after="0"/>
      <w:outlineLvl w:val="7"/>
    </w:pPr>
    <w:rPr>
      <w:rFonts w:asciiTheme="majorHAnsi" w:eastAsiaTheme="majorEastAsia" w:hAnsiTheme="majorHAnsi" w:cstheme="majorBidi"/>
      <w:b/>
      <w:bCs/>
      <w:i/>
      <w:iCs/>
      <w:color w:val="2683C6" w:themeColor="accent6"/>
      <w:sz w:val="20"/>
      <w:szCs w:val="20"/>
    </w:rPr>
  </w:style>
  <w:style w:type="paragraph" w:styleId="9">
    <w:name w:val="heading 9"/>
    <w:basedOn w:val="a"/>
    <w:next w:val="a"/>
    <w:link w:val="90"/>
    <w:uiPriority w:val="9"/>
    <w:semiHidden/>
    <w:unhideWhenUsed/>
    <w:qFormat/>
    <w:rsid w:val="00485CFF"/>
    <w:pPr>
      <w:keepNext/>
      <w:keepLines/>
      <w:spacing w:before="40" w:after="0"/>
      <w:outlineLvl w:val="8"/>
    </w:pPr>
    <w:rPr>
      <w:rFonts w:asciiTheme="majorHAnsi" w:eastAsiaTheme="majorEastAsia" w:hAnsiTheme="majorHAnsi" w:cstheme="majorBidi"/>
      <w:i/>
      <w:iCs/>
      <w:color w:val="2683C6" w:themeColor="accent6"/>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485CFF"/>
    <w:pPr>
      <w:spacing w:after="0" w:line="240" w:lineRule="auto"/>
    </w:pPr>
  </w:style>
  <w:style w:type="character" w:customStyle="1" w:styleId="a4">
    <w:name w:val="无间隔 字符"/>
    <w:basedOn w:val="a0"/>
    <w:link w:val="a3"/>
    <w:uiPriority w:val="1"/>
    <w:rsid w:val="00A71DAD"/>
  </w:style>
  <w:style w:type="character" w:customStyle="1" w:styleId="10">
    <w:name w:val="标题 1 字符"/>
    <w:basedOn w:val="a0"/>
    <w:link w:val="1"/>
    <w:uiPriority w:val="9"/>
    <w:rsid w:val="00485CFF"/>
    <w:rPr>
      <w:rFonts w:asciiTheme="majorHAnsi" w:eastAsiaTheme="majorEastAsia" w:hAnsiTheme="majorHAnsi" w:cstheme="majorBidi"/>
      <w:color w:val="1C6194" w:themeColor="accent6" w:themeShade="BF"/>
      <w:sz w:val="40"/>
      <w:szCs w:val="40"/>
    </w:rPr>
  </w:style>
  <w:style w:type="character" w:customStyle="1" w:styleId="20">
    <w:name w:val="标题 2 字符"/>
    <w:basedOn w:val="a0"/>
    <w:link w:val="2"/>
    <w:uiPriority w:val="9"/>
    <w:rsid w:val="00485CFF"/>
    <w:rPr>
      <w:rFonts w:asciiTheme="majorHAnsi" w:eastAsiaTheme="majorEastAsia" w:hAnsiTheme="majorHAnsi" w:cstheme="majorBidi"/>
      <w:color w:val="1C6194" w:themeColor="accent6" w:themeShade="BF"/>
      <w:sz w:val="28"/>
      <w:szCs w:val="28"/>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485CFF"/>
    <w:pPr>
      <w:outlineLvl w:val="9"/>
    </w:pPr>
  </w:style>
  <w:style w:type="paragraph" w:styleId="11">
    <w:name w:val="toc 1"/>
    <w:basedOn w:val="a"/>
    <w:next w:val="a"/>
    <w:autoRedefine/>
    <w:uiPriority w:val="39"/>
    <w:unhideWhenUsed/>
    <w:rsid w:val="00D460E5"/>
    <w:pPr>
      <w:spacing w:after="100"/>
    </w:pPr>
  </w:style>
  <w:style w:type="paragraph" w:styleId="21">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6B9F25" w:themeColor="hyperlink"/>
      <w:u w:val="single"/>
    </w:rPr>
  </w:style>
  <w:style w:type="paragraph" w:styleId="aa">
    <w:name w:val="List Paragraph"/>
    <w:basedOn w:val="a"/>
    <w:uiPriority w:val="34"/>
    <w:qFormat/>
    <w:rsid w:val="003A5550"/>
    <w:pPr>
      <w:ind w:firstLineChars="200" w:firstLine="420"/>
    </w:pPr>
  </w:style>
  <w:style w:type="character" w:customStyle="1" w:styleId="30">
    <w:name w:val="标题 3 字符"/>
    <w:basedOn w:val="a0"/>
    <w:link w:val="3"/>
    <w:uiPriority w:val="9"/>
    <w:rsid w:val="00485CFF"/>
    <w:rPr>
      <w:rFonts w:asciiTheme="majorHAnsi" w:eastAsiaTheme="majorEastAsia" w:hAnsiTheme="majorHAnsi" w:cstheme="majorBidi"/>
      <w:color w:val="1C6194" w:themeColor="accent6" w:themeShade="BF"/>
      <w:sz w:val="24"/>
      <w:szCs w:val="24"/>
    </w:rPr>
  </w:style>
  <w:style w:type="character" w:customStyle="1" w:styleId="40">
    <w:name w:val="标题 4 字符"/>
    <w:basedOn w:val="a0"/>
    <w:link w:val="4"/>
    <w:uiPriority w:val="9"/>
    <w:semiHidden/>
    <w:rsid w:val="00485CFF"/>
    <w:rPr>
      <w:rFonts w:asciiTheme="majorHAnsi" w:eastAsiaTheme="majorEastAsia" w:hAnsiTheme="majorHAnsi" w:cstheme="majorBidi"/>
      <w:color w:val="2683C6" w:themeColor="accent6"/>
      <w:sz w:val="22"/>
      <w:szCs w:val="22"/>
    </w:rPr>
  </w:style>
  <w:style w:type="character" w:customStyle="1" w:styleId="50">
    <w:name w:val="标题 5 字符"/>
    <w:basedOn w:val="a0"/>
    <w:link w:val="5"/>
    <w:uiPriority w:val="9"/>
    <w:semiHidden/>
    <w:rsid w:val="00485CFF"/>
    <w:rPr>
      <w:rFonts w:asciiTheme="majorHAnsi" w:eastAsiaTheme="majorEastAsia" w:hAnsiTheme="majorHAnsi" w:cstheme="majorBidi"/>
      <w:i/>
      <w:iCs/>
      <w:color w:val="2683C6" w:themeColor="accent6"/>
      <w:sz w:val="22"/>
      <w:szCs w:val="22"/>
    </w:rPr>
  </w:style>
  <w:style w:type="character" w:customStyle="1" w:styleId="60">
    <w:name w:val="标题 6 字符"/>
    <w:basedOn w:val="a0"/>
    <w:link w:val="6"/>
    <w:uiPriority w:val="9"/>
    <w:semiHidden/>
    <w:rsid w:val="00485CFF"/>
    <w:rPr>
      <w:rFonts w:asciiTheme="majorHAnsi" w:eastAsiaTheme="majorEastAsia" w:hAnsiTheme="majorHAnsi" w:cstheme="majorBidi"/>
      <w:color w:val="2683C6" w:themeColor="accent6"/>
    </w:rPr>
  </w:style>
  <w:style w:type="character" w:customStyle="1" w:styleId="70">
    <w:name w:val="标题 7 字符"/>
    <w:basedOn w:val="a0"/>
    <w:link w:val="7"/>
    <w:uiPriority w:val="9"/>
    <w:semiHidden/>
    <w:rsid w:val="00485CFF"/>
    <w:rPr>
      <w:rFonts w:asciiTheme="majorHAnsi" w:eastAsiaTheme="majorEastAsia" w:hAnsiTheme="majorHAnsi" w:cstheme="majorBidi"/>
      <w:b/>
      <w:bCs/>
      <w:color w:val="2683C6" w:themeColor="accent6"/>
    </w:rPr>
  </w:style>
  <w:style w:type="character" w:customStyle="1" w:styleId="80">
    <w:name w:val="标题 8 字符"/>
    <w:basedOn w:val="a0"/>
    <w:link w:val="8"/>
    <w:uiPriority w:val="9"/>
    <w:semiHidden/>
    <w:rsid w:val="00485CFF"/>
    <w:rPr>
      <w:rFonts w:asciiTheme="majorHAnsi" w:eastAsiaTheme="majorEastAsia" w:hAnsiTheme="majorHAnsi" w:cstheme="majorBidi"/>
      <w:b/>
      <w:bCs/>
      <w:i/>
      <w:iCs/>
      <w:color w:val="2683C6" w:themeColor="accent6"/>
      <w:sz w:val="20"/>
      <w:szCs w:val="20"/>
    </w:rPr>
  </w:style>
  <w:style w:type="character" w:customStyle="1" w:styleId="90">
    <w:name w:val="标题 9 字符"/>
    <w:basedOn w:val="a0"/>
    <w:link w:val="9"/>
    <w:uiPriority w:val="9"/>
    <w:semiHidden/>
    <w:rsid w:val="00485CFF"/>
    <w:rPr>
      <w:rFonts w:asciiTheme="majorHAnsi" w:eastAsiaTheme="majorEastAsia" w:hAnsiTheme="majorHAnsi" w:cstheme="majorBidi"/>
      <w:i/>
      <w:iCs/>
      <w:color w:val="2683C6" w:themeColor="accent6"/>
      <w:sz w:val="20"/>
      <w:szCs w:val="20"/>
    </w:rPr>
  </w:style>
  <w:style w:type="paragraph" w:styleId="ab">
    <w:name w:val="caption"/>
    <w:basedOn w:val="a"/>
    <w:next w:val="a"/>
    <w:uiPriority w:val="35"/>
    <w:semiHidden/>
    <w:unhideWhenUsed/>
    <w:qFormat/>
    <w:rsid w:val="00485CFF"/>
    <w:pPr>
      <w:spacing w:line="240" w:lineRule="auto"/>
    </w:pPr>
    <w:rPr>
      <w:b/>
      <w:bCs/>
      <w:smallCaps/>
      <w:color w:val="595959" w:themeColor="text1" w:themeTint="A6"/>
    </w:rPr>
  </w:style>
  <w:style w:type="paragraph" w:styleId="ac">
    <w:name w:val="Title"/>
    <w:basedOn w:val="a"/>
    <w:next w:val="a"/>
    <w:link w:val="ad"/>
    <w:uiPriority w:val="10"/>
    <w:qFormat/>
    <w:rsid w:val="00485CF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ad">
    <w:name w:val="标题 字符"/>
    <w:basedOn w:val="a0"/>
    <w:link w:val="ac"/>
    <w:uiPriority w:val="10"/>
    <w:rsid w:val="00485CFF"/>
    <w:rPr>
      <w:rFonts w:asciiTheme="majorHAnsi" w:eastAsiaTheme="majorEastAsia" w:hAnsiTheme="majorHAnsi" w:cstheme="majorBidi"/>
      <w:color w:val="262626" w:themeColor="text1" w:themeTint="D9"/>
      <w:spacing w:val="-15"/>
      <w:sz w:val="96"/>
      <w:szCs w:val="96"/>
    </w:rPr>
  </w:style>
  <w:style w:type="paragraph" w:styleId="ae">
    <w:name w:val="Subtitle"/>
    <w:basedOn w:val="a"/>
    <w:next w:val="a"/>
    <w:link w:val="af"/>
    <w:uiPriority w:val="11"/>
    <w:qFormat/>
    <w:rsid w:val="00485CFF"/>
    <w:pPr>
      <w:numPr>
        <w:ilvl w:val="1"/>
      </w:numPr>
      <w:spacing w:line="240" w:lineRule="auto"/>
    </w:pPr>
    <w:rPr>
      <w:rFonts w:asciiTheme="majorHAnsi" w:eastAsiaTheme="majorEastAsia" w:hAnsiTheme="majorHAnsi" w:cstheme="majorBidi"/>
      <w:sz w:val="30"/>
      <w:szCs w:val="30"/>
    </w:rPr>
  </w:style>
  <w:style w:type="character" w:customStyle="1" w:styleId="af">
    <w:name w:val="副标题 字符"/>
    <w:basedOn w:val="a0"/>
    <w:link w:val="ae"/>
    <w:uiPriority w:val="11"/>
    <w:rsid w:val="00485CFF"/>
    <w:rPr>
      <w:rFonts w:asciiTheme="majorHAnsi" w:eastAsiaTheme="majorEastAsia" w:hAnsiTheme="majorHAnsi" w:cstheme="majorBidi"/>
      <w:sz w:val="30"/>
      <w:szCs w:val="30"/>
    </w:rPr>
  </w:style>
  <w:style w:type="character" w:styleId="af0">
    <w:name w:val="Strong"/>
    <w:basedOn w:val="a0"/>
    <w:uiPriority w:val="22"/>
    <w:qFormat/>
    <w:rsid w:val="00485CFF"/>
    <w:rPr>
      <w:b/>
      <w:bCs/>
    </w:rPr>
  </w:style>
  <w:style w:type="character" w:styleId="af1">
    <w:name w:val="Emphasis"/>
    <w:basedOn w:val="a0"/>
    <w:uiPriority w:val="20"/>
    <w:qFormat/>
    <w:rsid w:val="00485CFF"/>
    <w:rPr>
      <w:i/>
      <w:iCs/>
      <w:color w:val="2683C6" w:themeColor="accent6"/>
    </w:rPr>
  </w:style>
  <w:style w:type="paragraph" w:styleId="af2">
    <w:name w:val="Quote"/>
    <w:basedOn w:val="a"/>
    <w:next w:val="a"/>
    <w:link w:val="af3"/>
    <w:uiPriority w:val="29"/>
    <w:qFormat/>
    <w:rsid w:val="00485CFF"/>
    <w:pPr>
      <w:spacing w:before="160"/>
      <w:ind w:left="720" w:right="720"/>
      <w:jc w:val="center"/>
    </w:pPr>
    <w:rPr>
      <w:i/>
      <w:iCs/>
      <w:color w:val="262626" w:themeColor="text1" w:themeTint="D9"/>
    </w:rPr>
  </w:style>
  <w:style w:type="character" w:customStyle="1" w:styleId="af3">
    <w:name w:val="引用 字符"/>
    <w:basedOn w:val="a0"/>
    <w:link w:val="af2"/>
    <w:uiPriority w:val="29"/>
    <w:rsid w:val="00485CFF"/>
    <w:rPr>
      <w:i/>
      <w:iCs/>
      <w:color w:val="262626" w:themeColor="text1" w:themeTint="D9"/>
    </w:rPr>
  </w:style>
  <w:style w:type="paragraph" w:styleId="af4">
    <w:name w:val="Intense Quote"/>
    <w:basedOn w:val="a"/>
    <w:next w:val="a"/>
    <w:link w:val="af5"/>
    <w:uiPriority w:val="30"/>
    <w:qFormat/>
    <w:rsid w:val="00485CFF"/>
    <w:pPr>
      <w:spacing w:before="160" w:after="160" w:line="264" w:lineRule="auto"/>
      <w:ind w:left="720" w:right="720"/>
      <w:jc w:val="center"/>
    </w:pPr>
    <w:rPr>
      <w:rFonts w:asciiTheme="majorHAnsi" w:eastAsiaTheme="majorEastAsia" w:hAnsiTheme="majorHAnsi" w:cstheme="majorBidi"/>
      <w:i/>
      <w:iCs/>
      <w:color w:val="2683C6" w:themeColor="accent6"/>
      <w:sz w:val="32"/>
      <w:szCs w:val="32"/>
    </w:rPr>
  </w:style>
  <w:style w:type="character" w:customStyle="1" w:styleId="af5">
    <w:name w:val="明显引用 字符"/>
    <w:basedOn w:val="a0"/>
    <w:link w:val="af4"/>
    <w:uiPriority w:val="30"/>
    <w:rsid w:val="00485CFF"/>
    <w:rPr>
      <w:rFonts w:asciiTheme="majorHAnsi" w:eastAsiaTheme="majorEastAsia" w:hAnsiTheme="majorHAnsi" w:cstheme="majorBidi"/>
      <w:i/>
      <w:iCs/>
      <w:color w:val="2683C6" w:themeColor="accent6"/>
      <w:sz w:val="32"/>
      <w:szCs w:val="32"/>
    </w:rPr>
  </w:style>
  <w:style w:type="character" w:styleId="af6">
    <w:name w:val="Subtle Emphasis"/>
    <w:basedOn w:val="a0"/>
    <w:uiPriority w:val="19"/>
    <w:qFormat/>
    <w:rsid w:val="00485CFF"/>
    <w:rPr>
      <w:i/>
      <w:iCs/>
    </w:rPr>
  </w:style>
  <w:style w:type="character" w:styleId="af7">
    <w:name w:val="Intense Emphasis"/>
    <w:basedOn w:val="a0"/>
    <w:uiPriority w:val="21"/>
    <w:qFormat/>
    <w:rsid w:val="00485CFF"/>
    <w:rPr>
      <w:b/>
      <w:bCs/>
      <w:i/>
      <w:iCs/>
    </w:rPr>
  </w:style>
  <w:style w:type="character" w:styleId="af8">
    <w:name w:val="Subtle Reference"/>
    <w:basedOn w:val="a0"/>
    <w:uiPriority w:val="31"/>
    <w:qFormat/>
    <w:rsid w:val="00485CFF"/>
    <w:rPr>
      <w:smallCaps/>
      <w:color w:val="595959" w:themeColor="text1" w:themeTint="A6"/>
    </w:rPr>
  </w:style>
  <w:style w:type="character" w:styleId="af9">
    <w:name w:val="Intense Reference"/>
    <w:basedOn w:val="a0"/>
    <w:uiPriority w:val="32"/>
    <w:qFormat/>
    <w:rsid w:val="00485CFF"/>
    <w:rPr>
      <w:b/>
      <w:bCs/>
      <w:smallCaps/>
      <w:color w:val="2683C6" w:themeColor="accent6"/>
    </w:rPr>
  </w:style>
  <w:style w:type="character" w:styleId="afa">
    <w:name w:val="Book Title"/>
    <w:basedOn w:val="a0"/>
    <w:uiPriority w:val="33"/>
    <w:qFormat/>
    <w:rsid w:val="00485CFF"/>
    <w:rPr>
      <w:b/>
      <w:bCs/>
      <w:caps w:val="0"/>
      <w:smallCaps/>
      <w:spacing w:val="7"/>
      <w:sz w:val="21"/>
      <w:szCs w:val="21"/>
    </w:rPr>
  </w:style>
  <w:style w:type="table" w:styleId="afb">
    <w:name w:val="Table Grid"/>
    <w:basedOn w:val="a1"/>
    <w:uiPriority w:val="39"/>
    <w:rsid w:val="00EB2D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2">
    <w:name w:val="Grid Table 5 Dark Accent 2"/>
    <w:basedOn w:val="a1"/>
    <w:uiPriority w:val="50"/>
    <w:rsid w:val="002452F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F0F2"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8B6C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8B6C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8B6C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8B6C0" w:themeFill="accent2"/>
      </w:tcPr>
    </w:tblStylePr>
    <w:tblStylePr w:type="band1Vert">
      <w:tblPr/>
      <w:tcPr>
        <w:shd w:val="clear" w:color="auto" w:fill="BCE1E5" w:themeFill="accent2" w:themeFillTint="66"/>
      </w:tcPr>
    </w:tblStylePr>
    <w:tblStylePr w:type="band1Horz">
      <w:tblPr/>
      <w:tcPr>
        <w:shd w:val="clear" w:color="auto" w:fill="BCE1E5" w:themeFill="accent2" w:themeFillTint="66"/>
      </w:tcPr>
    </w:tblStylePr>
  </w:style>
  <w:style w:type="paragraph" w:styleId="31">
    <w:name w:val="toc 3"/>
    <w:basedOn w:val="a"/>
    <w:next w:val="a"/>
    <w:autoRedefine/>
    <w:uiPriority w:val="39"/>
    <w:unhideWhenUsed/>
    <w:rsid w:val="00BD2FE5"/>
    <w:pPr>
      <w:ind w:leftChars="400" w:left="840"/>
    </w:pPr>
  </w:style>
  <w:style w:type="paragraph" w:styleId="afc">
    <w:name w:val="Bibliography"/>
    <w:basedOn w:val="a"/>
    <w:next w:val="a"/>
    <w:uiPriority w:val="37"/>
    <w:unhideWhenUsed/>
    <w:rsid w:val="00BD2FE5"/>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蓝绿色">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analyses the competitive strategy of Tesla, indicating its transition from differentiation strategy to the hybrid strategy. Despite the effectiveness of the strategy supporting by Tesla’ leading market share, it has suffered the problems of quality issue, limited models, and aggressive investment. The report suggests Tesla to use total quality control and modular production to address identified issues. </Abstract>
  <CompanyAddress/>
  <CompanyPhone/>
  <CompanyFax/>
  <CompanyEmail>Strategic Management and Sustainability (BMBM6015)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D4C884-2965-4098-98F5-CF030712E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18</Pages>
  <Words>6408</Words>
  <Characters>36526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42849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competitive strategy analysis</dc:title>
  <dc:subject>A case study of Tesla</dc:subject>
  <dc:creator>Jing Cai (2200245)</dc:creator>
  <cp:keywords/>
  <dc:description/>
  <cp:lastModifiedBy>蔡靖</cp:lastModifiedBy>
  <cp:revision>23</cp:revision>
  <dcterms:created xsi:type="dcterms:W3CDTF">2023-03-05T04:07:00Z</dcterms:created>
  <dcterms:modified xsi:type="dcterms:W3CDTF">2023-03-08T12:12:00Z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12ce9f7beda56710da5d10ac0a197e8d397d7420fe0002d41f97725baf1400eb</vt:lpwstr>
  </property>
  <property fmtid="{D5CDD505-2E9C-101B-9397-08002B2CF9AE}" pid="3" name="ZOTERO_PREF_1">
    <vt:lpwstr>&lt;data data-version="3" zotero-version="6.0.22"&gt;&lt;session id="1E425fjT"/&gt;&lt;style id="http://www.zotero.org/styles/harvard-cite-them-right" hasBibliography="1" bibliographyStyleHasBeenSet="1"/&gt;&lt;prefs&gt;&lt;pref name="fieldType" value="Field"/&gt;&lt;/prefs&gt;&lt;/data&gt;</vt:lpwstr>
  </property>
</Properties>
</file>