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740640809"/>
        <w:docPartObj>
          <w:docPartGallery w:val="Cover Pages"/>
          <w:docPartUnique/>
        </w:docPartObj>
      </w:sdtPr>
      <w:sdtEndPr>
        <w:rPr>
          <w:rFonts w:ascii="Arial" w:hAnsi="Arial" w:cs="Arial"/>
          <w:sz w:val="24"/>
          <w:szCs w:val="24"/>
        </w:rPr>
      </w:sdtEndPr>
      <w:sdtContent>
        <w:p w14:paraId="09666DC3" w14:textId="7BAE5486" w:rsidR="00C07AA9" w:rsidRDefault="00C07AA9">
          <w:r>
            <w:rPr>
              <w:noProof/>
            </w:rPr>
            <mc:AlternateContent>
              <mc:Choice Requires="wpg">
                <w:drawing>
                  <wp:anchor distT="0" distB="0" distL="114300" distR="114300" simplePos="0" relativeHeight="251659264" behindDoc="1" locked="0" layoutInCell="1" allowOverlap="1" wp14:anchorId="398D8ADC" wp14:editId="0614FC88">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6A7B29C" w14:textId="5D73C277" w:rsidR="00C07AA9" w:rsidRPr="00C07AA9" w:rsidRDefault="00C378EA">
                                      <w:pPr>
                                        <w:pStyle w:val="NoSpacing"/>
                                        <w:spacing w:before="120"/>
                                        <w:jc w:val="center"/>
                                        <w:rPr>
                                          <w:color w:val="FFFFFF" w:themeColor="background1"/>
                                          <w:sz w:val="28"/>
                                          <w:szCs w:val="28"/>
                                        </w:rPr>
                                      </w:pPr>
                                      <w:r>
                                        <w:rPr>
                                          <w:color w:val="FFFFFF" w:themeColor="background1"/>
                                          <w:sz w:val="28"/>
                                          <w:szCs w:val="28"/>
                                        </w:rPr>
                                        <w:t>Kyle Evans  - Student ID: 1706558.</w:t>
                                      </w:r>
                                    </w:p>
                                  </w:sdtContent>
                                </w:sdt>
                                <w:p w14:paraId="0A7BDE72" w14:textId="19D1E0C5" w:rsidR="00C07AA9" w:rsidRDefault="00C07AA9">
                                  <w:pPr>
                                    <w:pStyle w:val="NoSpacing"/>
                                    <w:spacing w:before="120"/>
                                    <w:jc w:val="center"/>
                                    <w:rPr>
                                      <w:color w:val="FFFFFF" w:themeColor="background1"/>
                                    </w:rPr>
                                  </w:pPr>
                                  <w:r>
                                    <w:rPr>
                                      <w:caps/>
                                      <w:color w:val="FFFFFF" w:themeColor="background1"/>
                                    </w:rPr>
                                    <w:t xml:space="preserve">Lecturer: Claudine Young.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1452D96" w14:textId="3D0EAD1E" w:rsidR="00C07AA9" w:rsidRDefault="00C07AA9">
                                      <w:pPr>
                                        <w:pStyle w:val="NoSpacing"/>
                                        <w:jc w:val="center"/>
                                        <w:rPr>
                                          <w:rFonts w:asciiTheme="majorHAnsi" w:eastAsiaTheme="majorEastAsia" w:hAnsiTheme="majorHAnsi" w:cstheme="majorBidi"/>
                                          <w:caps/>
                                          <w:sz w:val="56"/>
                                          <w:szCs w:val="56"/>
                                        </w:rPr>
                                      </w:pPr>
                                      <w:r w:rsidRPr="00C07AA9">
                                        <w:rPr>
                                          <w:rFonts w:asciiTheme="majorHAnsi" w:eastAsiaTheme="majorEastAsia" w:hAnsiTheme="majorHAnsi" w:cstheme="majorBidi"/>
                                          <w:caps/>
                                          <w:sz w:val="56"/>
                                          <w:szCs w:val="56"/>
                                        </w:rPr>
                                        <w:t>Article Review</w:t>
                                      </w:r>
                                      <w:r>
                                        <w:rPr>
                                          <w:rFonts w:asciiTheme="majorHAnsi" w:eastAsiaTheme="majorEastAsia" w:hAnsiTheme="majorHAnsi" w:cstheme="majorBidi"/>
                                          <w:caps/>
                                          <w:sz w:val="56"/>
                                          <w:szCs w:val="56"/>
                                        </w:rPr>
                                        <w:t>.</w:t>
                                      </w:r>
                                      <w:r w:rsidRPr="00C07AA9">
                                        <w:rPr>
                                          <w:rFonts w:asciiTheme="majorHAnsi" w:eastAsiaTheme="majorEastAsia" w:hAnsiTheme="majorHAnsi" w:cstheme="majorBidi"/>
                                          <w:caps/>
                                          <w:sz w:val="56"/>
                                          <w:szCs w:val="56"/>
                                        </w:rPr>
                                        <w:t xml:space="preserve">             </w:t>
                                      </w:r>
                                      <w:r>
                                        <w:rPr>
                                          <w:rFonts w:asciiTheme="majorHAnsi" w:eastAsiaTheme="majorEastAsia" w:hAnsiTheme="majorHAnsi" w:cstheme="majorBidi"/>
                                          <w:caps/>
                                          <w:sz w:val="56"/>
                                          <w:szCs w:val="56"/>
                                        </w:rPr>
                                        <w:t xml:space="preserve">          </w:t>
                                      </w:r>
                                      <w:r w:rsidRPr="00C07AA9">
                                        <w:rPr>
                                          <w:rFonts w:asciiTheme="majorHAnsi" w:eastAsiaTheme="majorEastAsia" w:hAnsiTheme="majorHAnsi" w:cstheme="majorBidi"/>
                                          <w:caps/>
                                          <w:sz w:val="56"/>
                                          <w:szCs w:val="56"/>
                                        </w:rPr>
                                        <w:t xml:space="preserve"> Module: The Criminal Justice System, Youth Justice and prison systems in England and Wales.</w:t>
                                      </w:r>
                                    </w:p>
                                  </w:sdtContent>
                                </w:sdt>
                                <w:p w14:paraId="156313EA" w14:textId="28F3DC6D" w:rsidR="00C07AA9" w:rsidRDefault="00C07AA9">
                                  <w:pPr>
                                    <w:pStyle w:val="NoSpacing"/>
                                    <w:jc w:val="center"/>
                                    <w:rPr>
                                      <w:rFonts w:asciiTheme="majorHAnsi" w:eastAsiaTheme="majorEastAsia" w:hAnsiTheme="majorHAnsi" w:cstheme="majorBidi"/>
                                      <w:caps/>
                                      <w:sz w:val="56"/>
                                      <w:szCs w:val="56"/>
                                    </w:rPr>
                                  </w:pPr>
                                </w:p>
                                <w:p w14:paraId="2E5C0901" w14:textId="5D64BD04" w:rsidR="00C07AA9" w:rsidRPr="00C07AA9" w:rsidRDefault="00C07AA9">
                                  <w:pPr>
                                    <w:pStyle w:val="NoSpacing"/>
                                    <w:jc w:val="center"/>
                                    <w:rPr>
                                      <w:rFonts w:asciiTheme="majorHAnsi" w:eastAsiaTheme="majorEastAsia" w:hAnsiTheme="majorHAnsi" w:cstheme="majorBidi"/>
                                      <w:caps/>
                                      <w:color w:val="4472C4" w:themeColor="accent1"/>
                                      <w:sz w:val="56"/>
                                      <w:szCs w:val="56"/>
                                    </w:rPr>
                                  </w:pPr>
                                  <w:r>
                                    <w:rPr>
                                      <w:rFonts w:asciiTheme="majorHAnsi" w:eastAsiaTheme="majorEastAsia" w:hAnsiTheme="majorHAnsi" w:cstheme="majorBidi"/>
                                      <w:caps/>
                                      <w:color w:val="4472C4" w:themeColor="accent1"/>
                                      <w:sz w:val="56"/>
                                      <w:szCs w:val="56"/>
                                    </w:rPr>
                                    <w:t>Submission Date: 20/11/2020.</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98D8ADC"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sz w:val="28"/>
                                <w:szCs w:val="2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6A7B29C" w14:textId="5D73C277" w:rsidR="00C07AA9" w:rsidRPr="00C07AA9" w:rsidRDefault="00C378EA">
                                <w:pPr>
                                  <w:pStyle w:val="NoSpacing"/>
                                  <w:spacing w:before="120"/>
                                  <w:jc w:val="center"/>
                                  <w:rPr>
                                    <w:color w:val="FFFFFF" w:themeColor="background1"/>
                                    <w:sz w:val="28"/>
                                    <w:szCs w:val="28"/>
                                  </w:rPr>
                                </w:pPr>
                                <w:r>
                                  <w:rPr>
                                    <w:color w:val="FFFFFF" w:themeColor="background1"/>
                                    <w:sz w:val="28"/>
                                    <w:szCs w:val="28"/>
                                  </w:rPr>
                                  <w:t>Kyle Evans  - Student ID: 1706558.</w:t>
                                </w:r>
                              </w:p>
                            </w:sdtContent>
                          </w:sdt>
                          <w:p w14:paraId="0A7BDE72" w14:textId="19D1E0C5" w:rsidR="00C07AA9" w:rsidRDefault="00C07AA9">
                            <w:pPr>
                              <w:pStyle w:val="NoSpacing"/>
                              <w:spacing w:before="120"/>
                              <w:jc w:val="center"/>
                              <w:rPr>
                                <w:color w:val="FFFFFF" w:themeColor="background1"/>
                              </w:rPr>
                            </w:pPr>
                            <w:r>
                              <w:rPr>
                                <w:caps/>
                                <w:color w:val="FFFFFF" w:themeColor="background1"/>
                              </w:rPr>
                              <w:t xml:space="preserve">Lecturer: Claudine Young.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1452D96" w14:textId="3D0EAD1E" w:rsidR="00C07AA9" w:rsidRDefault="00C07AA9">
                                <w:pPr>
                                  <w:pStyle w:val="NoSpacing"/>
                                  <w:jc w:val="center"/>
                                  <w:rPr>
                                    <w:rFonts w:asciiTheme="majorHAnsi" w:eastAsiaTheme="majorEastAsia" w:hAnsiTheme="majorHAnsi" w:cstheme="majorBidi"/>
                                    <w:caps/>
                                    <w:sz w:val="56"/>
                                    <w:szCs w:val="56"/>
                                  </w:rPr>
                                </w:pPr>
                                <w:r w:rsidRPr="00C07AA9">
                                  <w:rPr>
                                    <w:rFonts w:asciiTheme="majorHAnsi" w:eastAsiaTheme="majorEastAsia" w:hAnsiTheme="majorHAnsi" w:cstheme="majorBidi"/>
                                    <w:caps/>
                                    <w:sz w:val="56"/>
                                    <w:szCs w:val="56"/>
                                  </w:rPr>
                                  <w:t>Article Review</w:t>
                                </w:r>
                                <w:r>
                                  <w:rPr>
                                    <w:rFonts w:asciiTheme="majorHAnsi" w:eastAsiaTheme="majorEastAsia" w:hAnsiTheme="majorHAnsi" w:cstheme="majorBidi"/>
                                    <w:caps/>
                                    <w:sz w:val="56"/>
                                    <w:szCs w:val="56"/>
                                  </w:rPr>
                                  <w:t>.</w:t>
                                </w:r>
                                <w:r w:rsidRPr="00C07AA9">
                                  <w:rPr>
                                    <w:rFonts w:asciiTheme="majorHAnsi" w:eastAsiaTheme="majorEastAsia" w:hAnsiTheme="majorHAnsi" w:cstheme="majorBidi"/>
                                    <w:caps/>
                                    <w:sz w:val="56"/>
                                    <w:szCs w:val="56"/>
                                  </w:rPr>
                                  <w:t xml:space="preserve">             </w:t>
                                </w:r>
                                <w:r>
                                  <w:rPr>
                                    <w:rFonts w:asciiTheme="majorHAnsi" w:eastAsiaTheme="majorEastAsia" w:hAnsiTheme="majorHAnsi" w:cstheme="majorBidi"/>
                                    <w:caps/>
                                    <w:sz w:val="56"/>
                                    <w:szCs w:val="56"/>
                                  </w:rPr>
                                  <w:t xml:space="preserve">          </w:t>
                                </w:r>
                                <w:r w:rsidRPr="00C07AA9">
                                  <w:rPr>
                                    <w:rFonts w:asciiTheme="majorHAnsi" w:eastAsiaTheme="majorEastAsia" w:hAnsiTheme="majorHAnsi" w:cstheme="majorBidi"/>
                                    <w:caps/>
                                    <w:sz w:val="56"/>
                                    <w:szCs w:val="56"/>
                                  </w:rPr>
                                  <w:t xml:space="preserve"> Module: The Criminal Justice System, Youth Justice and prison systems in England and Wales.</w:t>
                                </w:r>
                              </w:p>
                            </w:sdtContent>
                          </w:sdt>
                          <w:p w14:paraId="156313EA" w14:textId="28F3DC6D" w:rsidR="00C07AA9" w:rsidRDefault="00C07AA9">
                            <w:pPr>
                              <w:pStyle w:val="NoSpacing"/>
                              <w:jc w:val="center"/>
                              <w:rPr>
                                <w:rFonts w:asciiTheme="majorHAnsi" w:eastAsiaTheme="majorEastAsia" w:hAnsiTheme="majorHAnsi" w:cstheme="majorBidi"/>
                                <w:caps/>
                                <w:sz w:val="56"/>
                                <w:szCs w:val="56"/>
                              </w:rPr>
                            </w:pPr>
                          </w:p>
                          <w:p w14:paraId="2E5C0901" w14:textId="5D64BD04" w:rsidR="00C07AA9" w:rsidRPr="00C07AA9" w:rsidRDefault="00C07AA9">
                            <w:pPr>
                              <w:pStyle w:val="NoSpacing"/>
                              <w:jc w:val="center"/>
                              <w:rPr>
                                <w:rFonts w:asciiTheme="majorHAnsi" w:eastAsiaTheme="majorEastAsia" w:hAnsiTheme="majorHAnsi" w:cstheme="majorBidi"/>
                                <w:caps/>
                                <w:color w:val="4472C4" w:themeColor="accent1"/>
                                <w:sz w:val="56"/>
                                <w:szCs w:val="56"/>
                              </w:rPr>
                            </w:pPr>
                            <w:r>
                              <w:rPr>
                                <w:rFonts w:asciiTheme="majorHAnsi" w:eastAsiaTheme="majorEastAsia" w:hAnsiTheme="majorHAnsi" w:cstheme="majorBidi"/>
                                <w:caps/>
                                <w:color w:val="4472C4" w:themeColor="accent1"/>
                                <w:sz w:val="56"/>
                                <w:szCs w:val="56"/>
                              </w:rPr>
                              <w:t>Submission Date: 20/11/2020.</w:t>
                            </w:r>
                          </w:p>
                        </w:txbxContent>
                      </v:textbox>
                    </v:shape>
                    <w10:wrap anchorx="page" anchory="page"/>
                  </v:group>
                </w:pict>
              </mc:Fallback>
            </mc:AlternateContent>
          </w:r>
        </w:p>
        <w:p w14:paraId="0C4BE51C" w14:textId="6E28A261" w:rsidR="00C07AA9" w:rsidRDefault="00C07AA9">
          <w:pPr>
            <w:rPr>
              <w:rFonts w:ascii="Arial" w:hAnsi="Arial" w:cs="Arial"/>
              <w:sz w:val="24"/>
              <w:szCs w:val="24"/>
            </w:rPr>
          </w:pPr>
          <w:r>
            <w:rPr>
              <w:rFonts w:ascii="Arial" w:hAnsi="Arial" w:cs="Arial"/>
              <w:sz w:val="24"/>
              <w:szCs w:val="24"/>
            </w:rPr>
            <w:br w:type="page"/>
          </w:r>
        </w:p>
      </w:sdtContent>
    </w:sdt>
    <w:p w14:paraId="60750A09" w14:textId="02F83F43" w:rsidR="00E151F5" w:rsidRDefault="00C07AA9" w:rsidP="00BD0E9E">
      <w:pPr>
        <w:spacing w:line="480" w:lineRule="auto"/>
        <w:rPr>
          <w:rFonts w:ascii="Arial" w:hAnsi="Arial" w:cs="Arial"/>
          <w:sz w:val="24"/>
          <w:szCs w:val="24"/>
        </w:rPr>
      </w:pPr>
      <w:r>
        <w:rPr>
          <w:rFonts w:ascii="Arial" w:hAnsi="Arial" w:cs="Arial"/>
          <w:sz w:val="24"/>
          <w:szCs w:val="24"/>
        </w:rPr>
        <w:lastRenderedPageBreak/>
        <w:t xml:space="preserve">This review is concerned with critically analysing and evaluating the </w:t>
      </w:r>
      <w:r w:rsidR="00A520B1">
        <w:rPr>
          <w:rFonts w:ascii="Arial" w:hAnsi="Arial" w:cs="Arial"/>
          <w:sz w:val="24"/>
          <w:szCs w:val="24"/>
        </w:rPr>
        <w:t>titled work ‘</w:t>
      </w:r>
      <w:r w:rsidR="003A7F60">
        <w:rPr>
          <w:rFonts w:ascii="Arial" w:hAnsi="Arial" w:cs="Arial"/>
          <w:sz w:val="24"/>
          <w:szCs w:val="24"/>
        </w:rPr>
        <w:t>Modernizing and Transforming Criminal Justice in England &amp; Wales, 1997-2015: From New Labour to the Coalition Government</w:t>
      </w:r>
      <w:r w:rsidR="00A520B1">
        <w:rPr>
          <w:rFonts w:ascii="Arial" w:hAnsi="Arial" w:cs="Arial"/>
          <w:sz w:val="24"/>
          <w:szCs w:val="24"/>
        </w:rPr>
        <w:t xml:space="preserve">’ by the author </w:t>
      </w:r>
      <w:r w:rsidR="003A7F60">
        <w:rPr>
          <w:rFonts w:ascii="Arial" w:hAnsi="Arial" w:cs="Arial"/>
          <w:sz w:val="24"/>
          <w:szCs w:val="24"/>
        </w:rPr>
        <w:t>Philip Whitehead</w:t>
      </w:r>
      <w:r w:rsidR="00A520B1">
        <w:rPr>
          <w:rFonts w:ascii="Arial" w:hAnsi="Arial" w:cs="Arial"/>
          <w:sz w:val="24"/>
          <w:szCs w:val="24"/>
        </w:rPr>
        <w:t xml:space="preserve">. </w:t>
      </w:r>
      <w:r w:rsidR="00E73ECE">
        <w:rPr>
          <w:rFonts w:ascii="Arial" w:hAnsi="Arial" w:cs="Arial"/>
          <w:sz w:val="24"/>
          <w:szCs w:val="24"/>
        </w:rPr>
        <w:t>The article that was published in 201</w:t>
      </w:r>
      <w:r w:rsidR="003A7F60">
        <w:rPr>
          <w:rFonts w:ascii="Arial" w:hAnsi="Arial" w:cs="Arial"/>
          <w:sz w:val="24"/>
          <w:szCs w:val="24"/>
        </w:rPr>
        <w:t>6</w:t>
      </w:r>
      <w:r w:rsidR="00E73ECE">
        <w:rPr>
          <w:rFonts w:ascii="Arial" w:hAnsi="Arial" w:cs="Arial"/>
          <w:sz w:val="24"/>
          <w:szCs w:val="24"/>
        </w:rPr>
        <w:t xml:space="preserve"> within the </w:t>
      </w:r>
      <w:r w:rsidR="00EA5D04">
        <w:rPr>
          <w:rFonts w:ascii="Arial" w:hAnsi="Arial" w:cs="Arial"/>
          <w:sz w:val="24"/>
          <w:szCs w:val="24"/>
        </w:rPr>
        <w:t>Federal Sentencing Reporter Journal</w:t>
      </w:r>
      <w:r w:rsidR="00E73ECE">
        <w:rPr>
          <w:rFonts w:ascii="Arial" w:hAnsi="Arial" w:cs="Arial"/>
          <w:sz w:val="24"/>
          <w:szCs w:val="24"/>
        </w:rPr>
        <w:t xml:space="preserve">, </w:t>
      </w:r>
      <w:r w:rsidR="00A45EAD">
        <w:rPr>
          <w:rFonts w:ascii="Arial" w:hAnsi="Arial" w:cs="Arial"/>
          <w:sz w:val="24"/>
          <w:szCs w:val="24"/>
        </w:rPr>
        <w:t xml:space="preserve">is regarding the topic of </w:t>
      </w:r>
      <w:r w:rsidR="007616D6">
        <w:rPr>
          <w:rFonts w:ascii="Arial" w:hAnsi="Arial" w:cs="Arial"/>
          <w:sz w:val="24"/>
          <w:szCs w:val="24"/>
        </w:rPr>
        <w:t>C</w:t>
      </w:r>
      <w:r w:rsidR="00A45EAD">
        <w:rPr>
          <w:rFonts w:ascii="Arial" w:hAnsi="Arial" w:cs="Arial"/>
          <w:sz w:val="24"/>
          <w:szCs w:val="24"/>
        </w:rPr>
        <w:t xml:space="preserve">riminal </w:t>
      </w:r>
      <w:r w:rsidR="007616D6">
        <w:rPr>
          <w:rFonts w:ascii="Arial" w:hAnsi="Arial" w:cs="Arial"/>
          <w:sz w:val="24"/>
          <w:szCs w:val="24"/>
        </w:rPr>
        <w:t>J</w:t>
      </w:r>
      <w:r w:rsidR="00A45EAD">
        <w:rPr>
          <w:rFonts w:ascii="Arial" w:hAnsi="Arial" w:cs="Arial"/>
          <w:sz w:val="24"/>
          <w:szCs w:val="24"/>
        </w:rPr>
        <w:t>ustice</w:t>
      </w:r>
      <w:r w:rsidR="007616D6">
        <w:rPr>
          <w:rFonts w:ascii="Arial" w:hAnsi="Arial" w:cs="Arial"/>
          <w:sz w:val="24"/>
          <w:szCs w:val="24"/>
        </w:rPr>
        <w:t xml:space="preserve"> </w:t>
      </w:r>
      <w:r w:rsidR="00A45EAD">
        <w:rPr>
          <w:rFonts w:ascii="Arial" w:hAnsi="Arial" w:cs="Arial"/>
          <w:sz w:val="24"/>
          <w:szCs w:val="24"/>
        </w:rPr>
        <w:t>in</w:t>
      </w:r>
      <w:r w:rsidR="007616D6">
        <w:rPr>
          <w:rFonts w:ascii="Arial" w:hAnsi="Arial" w:cs="Arial"/>
          <w:sz w:val="24"/>
          <w:szCs w:val="24"/>
        </w:rPr>
        <w:t xml:space="preserve"> the context of how the</w:t>
      </w:r>
      <w:r w:rsidR="00EA5D04">
        <w:rPr>
          <w:rFonts w:ascii="Arial" w:hAnsi="Arial" w:cs="Arial"/>
          <w:sz w:val="24"/>
          <w:szCs w:val="24"/>
        </w:rPr>
        <w:t xml:space="preserve"> changes and updates made towards the system in England &amp; Wales are reviewed and perceived</w:t>
      </w:r>
      <w:r w:rsidR="007616D6">
        <w:rPr>
          <w:rFonts w:ascii="Arial" w:hAnsi="Arial" w:cs="Arial"/>
          <w:sz w:val="24"/>
          <w:szCs w:val="24"/>
        </w:rPr>
        <w:t xml:space="preserve">. </w:t>
      </w:r>
      <w:r w:rsidR="002A124B">
        <w:rPr>
          <w:rFonts w:ascii="Arial" w:hAnsi="Arial" w:cs="Arial"/>
          <w:sz w:val="24"/>
          <w:szCs w:val="24"/>
        </w:rPr>
        <w:t xml:space="preserve">The </w:t>
      </w:r>
      <w:r w:rsidR="001C2EEE">
        <w:rPr>
          <w:rFonts w:ascii="Arial" w:hAnsi="Arial" w:cs="Arial"/>
          <w:sz w:val="24"/>
          <w:szCs w:val="24"/>
        </w:rPr>
        <w:t>key purpose</w:t>
      </w:r>
      <w:r w:rsidR="002A124B">
        <w:rPr>
          <w:rFonts w:ascii="Arial" w:hAnsi="Arial" w:cs="Arial"/>
          <w:sz w:val="24"/>
          <w:szCs w:val="24"/>
        </w:rPr>
        <w:t xml:space="preserve"> of th</w:t>
      </w:r>
      <w:r w:rsidR="001C2EEE">
        <w:rPr>
          <w:rFonts w:ascii="Arial" w:hAnsi="Arial" w:cs="Arial"/>
          <w:sz w:val="24"/>
          <w:szCs w:val="24"/>
        </w:rPr>
        <w:t>e paper</w:t>
      </w:r>
      <w:r w:rsidR="002A124B">
        <w:rPr>
          <w:rFonts w:ascii="Arial" w:hAnsi="Arial" w:cs="Arial"/>
          <w:sz w:val="24"/>
          <w:szCs w:val="24"/>
        </w:rPr>
        <w:t xml:space="preserve"> is to </w:t>
      </w:r>
      <w:r w:rsidR="001C2EEE">
        <w:rPr>
          <w:rFonts w:ascii="Arial" w:hAnsi="Arial" w:cs="Arial"/>
          <w:sz w:val="24"/>
          <w:szCs w:val="24"/>
        </w:rPr>
        <w:t>provide in</w:t>
      </w:r>
      <w:r w:rsidR="002A124B">
        <w:rPr>
          <w:rFonts w:ascii="Arial" w:hAnsi="Arial" w:cs="Arial"/>
          <w:sz w:val="24"/>
          <w:szCs w:val="24"/>
        </w:rPr>
        <w:t xml:space="preserve"> depth </w:t>
      </w:r>
      <w:r w:rsidR="001C2EEE">
        <w:rPr>
          <w:rFonts w:ascii="Arial" w:hAnsi="Arial" w:cs="Arial"/>
          <w:sz w:val="24"/>
          <w:szCs w:val="24"/>
        </w:rPr>
        <w:t xml:space="preserve">evidence that showcases </w:t>
      </w:r>
      <w:r w:rsidR="006114E6">
        <w:rPr>
          <w:rFonts w:ascii="Arial" w:hAnsi="Arial" w:cs="Arial"/>
          <w:sz w:val="24"/>
          <w:szCs w:val="24"/>
        </w:rPr>
        <w:t>for the most part,</w:t>
      </w:r>
      <w:r w:rsidR="000914FD">
        <w:rPr>
          <w:rFonts w:ascii="Arial" w:hAnsi="Arial" w:cs="Arial"/>
          <w:sz w:val="24"/>
          <w:szCs w:val="24"/>
        </w:rPr>
        <w:t xml:space="preserve"> </w:t>
      </w:r>
      <w:r w:rsidR="006114E6">
        <w:rPr>
          <w:rFonts w:ascii="Arial" w:hAnsi="Arial" w:cs="Arial"/>
          <w:sz w:val="24"/>
          <w:szCs w:val="24"/>
        </w:rPr>
        <w:t xml:space="preserve">Criminal Justice </w:t>
      </w:r>
      <w:r w:rsidR="00EA5D04">
        <w:rPr>
          <w:rFonts w:ascii="Arial" w:hAnsi="Arial" w:cs="Arial"/>
          <w:sz w:val="24"/>
          <w:szCs w:val="24"/>
        </w:rPr>
        <w:t xml:space="preserve">within England &amp; Wales </w:t>
      </w:r>
      <w:r w:rsidR="000914FD">
        <w:rPr>
          <w:rFonts w:ascii="Arial" w:hAnsi="Arial" w:cs="Arial"/>
          <w:sz w:val="24"/>
          <w:szCs w:val="24"/>
        </w:rPr>
        <w:t>cannot</w:t>
      </w:r>
      <w:r w:rsidR="006114E6">
        <w:rPr>
          <w:rFonts w:ascii="Arial" w:hAnsi="Arial" w:cs="Arial"/>
          <w:sz w:val="24"/>
          <w:szCs w:val="24"/>
        </w:rPr>
        <w:t xml:space="preserve"> currently be understood as being</w:t>
      </w:r>
      <w:r w:rsidR="00484470">
        <w:rPr>
          <w:rFonts w:ascii="Arial" w:hAnsi="Arial" w:cs="Arial"/>
          <w:sz w:val="24"/>
          <w:szCs w:val="24"/>
        </w:rPr>
        <w:t xml:space="preserve"> a stable and flawless system due to the overhaul</w:t>
      </w:r>
      <w:r w:rsidR="00A31A30">
        <w:rPr>
          <w:rFonts w:ascii="Arial" w:hAnsi="Arial" w:cs="Arial"/>
          <w:sz w:val="24"/>
          <w:szCs w:val="24"/>
        </w:rPr>
        <w:t>s</w:t>
      </w:r>
      <w:r w:rsidR="00484470">
        <w:rPr>
          <w:rFonts w:ascii="Arial" w:hAnsi="Arial" w:cs="Arial"/>
          <w:sz w:val="24"/>
          <w:szCs w:val="24"/>
        </w:rPr>
        <w:t xml:space="preserve"> witnessed within the period of 1997-20</w:t>
      </w:r>
      <w:r w:rsidR="007F7093">
        <w:rPr>
          <w:rFonts w:ascii="Arial" w:hAnsi="Arial" w:cs="Arial"/>
          <w:sz w:val="24"/>
          <w:szCs w:val="24"/>
        </w:rPr>
        <w:t>1</w:t>
      </w:r>
      <w:r w:rsidR="00484470">
        <w:rPr>
          <w:rFonts w:ascii="Arial" w:hAnsi="Arial" w:cs="Arial"/>
          <w:sz w:val="24"/>
          <w:szCs w:val="24"/>
        </w:rPr>
        <w:t>5</w:t>
      </w:r>
      <w:r w:rsidR="00E64E33">
        <w:rPr>
          <w:rFonts w:ascii="Arial" w:hAnsi="Arial" w:cs="Arial"/>
          <w:sz w:val="24"/>
          <w:szCs w:val="24"/>
        </w:rPr>
        <w:t xml:space="preserve">. </w:t>
      </w:r>
      <w:r w:rsidR="00A31A30">
        <w:rPr>
          <w:rFonts w:ascii="Arial" w:hAnsi="Arial" w:cs="Arial"/>
          <w:sz w:val="24"/>
          <w:szCs w:val="24"/>
        </w:rPr>
        <w:t>The document reveals that for the most part, the continuity and consistent progression of the Criminal Justice System</w:t>
      </w:r>
      <w:r w:rsidR="007A1952">
        <w:rPr>
          <w:rFonts w:ascii="Arial" w:hAnsi="Arial" w:cs="Arial"/>
          <w:sz w:val="24"/>
          <w:szCs w:val="24"/>
        </w:rPr>
        <w:t xml:space="preserve"> (CJS)</w:t>
      </w:r>
      <w:r w:rsidR="00E64E33">
        <w:rPr>
          <w:rFonts w:ascii="Arial" w:hAnsi="Arial" w:cs="Arial"/>
          <w:sz w:val="24"/>
          <w:szCs w:val="24"/>
        </w:rPr>
        <w:t xml:space="preserve"> can be seen as bearing little importance, with the involvement of political ideology and economic focuses perhaps being of considerable influence</w:t>
      </w:r>
      <w:r w:rsidR="00C41807">
        <w:rPr>
          <w:rFonts w:ascii="Arial" w:hAnsi="Arial" w:cs="Arial"/>
          <w:sz w:val="24"/>
          <w:szCs w:val="24"/>
        </w:rPr>
        <w:t>. In relation to the</w:t>
      </w:r>
      <w:r w:rsidR="00E64E33">
        <w:rPr>
          <w:rFonts w:ascii="Arial" w:hAnsi="Arial" w:cs="Arial"/>
          <w:sz w:val="24"/>
          <w:szCs w:val="24"/>
        </w:rPr>
        <w:t xml:space="preserve"> document’s highlighted overall aim</w:t>
      </w:r>
      <w:r w:rsidR="00C41807">
        <w:rPr>
          <w:rFonts w:ascii="Arial" w:hAnsi="Arial" w:cs="Arial"/>
          <w:sz w:val="24"/>
          <w:szCs w:val="24"/>
        </w:rPr>
        <w:t>,</w:t>
      </w:r>
      <w:r w:rsidR="00E64E33">
        <w:rPr>
          <w:rFonts w:ascii="Arial" w:hAnsi="Arial" w:cs="Arial"/>
          <w:sz w:val="24"/>
          <w:szCs w:val="24"/>
        </w:rPr>
        <w:t xml:space="preserve"> although outlining a clear and concise path regarding the transforming of Criminal Justice over the stated time period, </w:t>
      </w:r>
      <w:r w:rsidR="00027798">
        <w:rPr>
          <w:rFonts w:ascii="Arial" w:hAnsi="Arial" w:cs="Arial"/>
          <w:sz w:val="24"/>
          <w:szCs w:val="24"/>
        </w:rPr>
        <w:t>there is a noticeable</w:t>
      </w:r>
      <w:r w:rsidR="00695B51">
        <w:rPr>
          <w:rFonts w:ascii="Arial" w:hAnsi="Arial" w:cs="Arial"/>
          <w:sz w:val="24"/>
          <w:szCs w:val="24"/>
        </w:rPr>
        <w:t xml:space="preserve"> overall</w:t>
      </w:r>
      <w:r w:rsidR="00027798">
        <w:rPr>
          <w:rFonts w:ascii="Arial" w:hAnsi="Arial" w:cs="Arial"/>
          <w:sz w:val="24"/>
          <w:szCs w:val="24"/>
        </w:rPr>
        <w:t xml:space="preserve"> emphasis placed on the political context across the written timeline compared to perhaps more </w:t>
      </w:r>
      <w:r w:rsidR="00D83E39">
        <w:rPr>
          <w:rFonts w:ascii="Arial" w:hAnsi="Arial" w:cs="Arial"/>
          <w:sz w:val="24"/>
          <w:szCs w:val="24"/>
        </w:rPr>
        <w:t>specific examples from areas within the system.</w:t>
      </w:r>
      <w:r w:rsidR="00027798">
        <w:rPr>
          <w:rFonts w:ascii="Arial" w:hAnsi="Arial" w:cs="Arial"/>
          <w:sz w:val="24"/>
          <w:szCs w:val="24"/>
        </w:rPr>
        <w:t xml:space="preserve"> </w:t>
      </w:r>
    </w:p>
    <w:p w14:paraId="695E63AF" w14:textId="65232144" w:rsidR="00D83E39" w:rsidRDefault="00D83E39" w:rsidP="00BD0E9E">
      <w:pPr>
        <w:spacing w:line="480" w:lineRule="auto"/>
        <w:rPr>
          <w:rFonts w:ascii="Arial" w:hAnsi="Arial" w:cs="Arial"/>
          <w:sz w:val="24"/>
          <w:szCs w:val="24"/>
        </w:rPr>
      </w:pPr>
    </w:p>
    <w:p w14:paraId="0FC00EBD" w14:textId="5B87D34F" w:rsidR="00D83E39" w:rsidRDefault="00D83E39" w:rsidP="00BD0E9E">
      <w:pPr>
        <w:spacing w:line="480" w:lineRule="auto"/>
        <w:rPr>
          <w:rFonts w:ascii="Arial" w:hAnsi="Arial" w:cs="Arial"/>
          <w:sz w:val="24"/>
          <w:szCs w:val="24"/>
        </w:rPr>
      </w:pPr>
      <w:r>
        <w:rPr>
          <w:rFonts w:ascii="Arial" w:hAnsi="Arial" w:cs="Arial"/>
          <w:sz w:val="24"/>
          <w:szCs w:val="24"/>
        </w:rPr>
        <w:t xml:space="preserve">From the offset, the paper can be seen as immediately </w:t>
      </w:r>
      <w:r w:rsidR="00E339F6">
        <w:rPr>
          <w:rFonts w:ascii="Arial" w:hAnsi="Arial" w:cs="Arial"/>
          <w:sz w:val="24"/>
          <w:szCs w:val="24"/>
        </w:rPr>
        <w:t>tackling the subject matter in question and does a great job at providing a</w:t>
      </w:r>
      <w:r w:rsidR="00DA4A02">
        <w:rPr>
          <w:rFonts w:ascii="Arial" w:hAnsi="Arial" w:cs="Arial"/>
          <w:sz w:val="24"/>
          <w:szCs w:val="24"/>
        </w:rPr>
        <w:t>n initial</w:t>
      </w:r>
      <w:r w:rsidR="00E339F6">
        <w:rPr>
          <w:rFonts w:ascii="Arial" w:hAnsi="Arial" w:cs="Arial"/>
          <w:sz w:val="24"/>
          <w:szCs w:val="24"/>
        </w:rPr>
        <w:t xml:space="preserve"> brief that allow</w:t>
      </w:r>
      <w:r w:rsidR="007A1952">
        <w:rPr>
          <w:rFonts w:ascii="Arial" w:hAnsi="Arial" w:cs="Arial"/>
          <w:sz w:val="24"/>
          <w:szCs w:val="24"/>
        </w:rPr>
        <w:t>s</w:t>
      </w:r>
      <w:r w:rsidR="00E339F6">
        <w:rPr>
          <w:rFonts w:ascii="Arial" w:hAnsi="Arial" w:cs="Arial"/>
          <w:sz w:val="24"/>
          <w:szCs w:val="24"/>
        </w:rPr>
        <w:t xml:space="preserve"> for the interpretation of the author’s intentions</w:t>
      </w:r>
      <w:r w:rsidR="007A1952">
        <w:rPr>
          <w:rFonts w:ascii="Arial" w:hAnsi="Arial" w:cs="Arial"/>
          <w:sz w:val="24"/>
          <w:szCs w:val="24"/>
        </w:rPr>
        <w:t>, which</w:t>
      </w:r>
      <w:r w:rsidR="00E339F6">
        <w:rPr>
          <w:rFonts w:ascii="Arial" w:hAnsi="Arial" w:cs="Arial"/>
          <w:sz w:val="24"/>
          <w:szCs w:val="24"/>
        </w:rPr>
        <w:t xml:space="preserve"> in this case mirror those explained by Bristol University Press (2020) regarding Whitehead which is</w:t>
      </w:r>
      <w:r w:rsidR="007A1952">
        <w:rPr>
          <w:rFonts w:ascii="Arial" w:hAnsi="Arial" w:cs="Arial"/>
          <w:sz w:val="24"/>
          <w:szCs w:val="24"/>
        </w:rPr>
        <w:t xml:space="preserve">, an obvious focus on gauging the humanitarian perspective on the fundamentals of the CJS and in turn, evaluating and assessing changes </w:t>
      </w:r>
      <w:r w:rsidR="009659DA">
        <w:rPr>
          <w:rFonts w:ascii="Arial" w:hAnsi="Arial" w:cs="Arial"/>
          <w:sz w:val="24"/>
          <w:szCs w:val="24"/>
        </w:rPr>
        <w:t xml:space="preserve">relating to this viewpoint within the system when </w:t>
      </w:r>
      <w:r w:rsidR="00DA4A02">
        <w:rPr>
          <w:rFonts w:ascii="Arial" w:hAnsi="Arial" w:cs="Arial"/>
          <w:sz w:val="24"/>
          <w:szCs w:val="24"/>
        </w:rPr>
        <w:t>necessary</w:t>
      </w:r>
      <w:r w:rsidR="009659DA">
        <w:rPr>
          <w:rFonts w:ascii="Arial" w:hAnsi="Arial" w:cs="Arial"/>
          <w:sz w:val="24"/>
          <w:szCs w:val="24"/>
        </w:rPr>
        <w:t xml:space="preserve">. </w:t>
      </w:r>
      <w:r w:rsidR="00DA4A02">
        <w:rPr>
          <w:rFonts w:ascii="Arial" w:hAnsi="Arial" w:cs="Arial"/>
          <w:sz w:val="24"/>
          <w:szCs w:val="24"/>
        </w:rPr>
        <w:t xml:space="preserve">In relation to this, it can be viewed as a useful addition to the wider </w:t>
      </w:r>
      <w:r w:rsidR="00DA4A02">
        <w:rPr>
          <w:rFonts w:ascii="Arial" w:hAnsi="Arial" w:cs="Arial"/>
          <w:sz w:val="24"/>
          <w:szCs w:val="24"/>
        </w:rPr>
        <w:lastRenderedPageBreak/>
        <w:t>literature of Criminal Justice as it solely focuses on providing knowledge that is well rounded and analysed specifically to the regional level of England &amp; Wales. As well as this, it provides contribution to the topic of</w:t>
      </w:r>
      <w:r w:rsidR="007F7093">
        <w:rPr>
          <w:rFonts w:ascii="Arial" w:hAnsi="Arial" w:cs="Arial"/>
          <w:sz w:val="24"/>
          <w:szCs w:val="24"/>
        </w:rPr>
        <w:t xml:space="preserve"> understanding the</w:t>
      </w:r>
      <w:r w:rsidR="00DA4A02">
        <w:rPr>
          <w:rFonts w:ascii="Arial" w:hAnsi="Arial" w:cs="Arial"/>
          <w:sz w:val="24"/>
          <w:szCs w:val="24"/>
        </w:rPr>
        <w:t xml:space="preserve"> true purpose of </w:t>
      </w:r>
      <w:r w:rsidR="007F7093">
        <w:rPr>
          <w:rFonts w:ascii="Arial" w:hAnsi="Arial" w:cs="Arial"/>
          <w:sz w:val="24"/>
          <w:szCs w:val="24"/>
        </w:rPr>
        <w:t xml:space="preserve">what constitutes </w:t>
      </w:r>
      <w:r w:rsidR="00DA4A02">
        <w:rPr>
          <w:rFonts w:ascii="Arial" w:hAnsi="Arial" w:cs="Arial"/>
          <w:sz w:val="24"/>
          <w:szCs w:val="24"/>
        </w:rPr>
        <w:t>Criminal Justice</w:t>
      </w:r>
      <w:r w:rsidR="00DF4AAE">
        <w:rPr>
          <w:rFonts w:ascii="Arial" w:hAnsi="Arial" w:cs="Arial"/>
          <w:sz w:val="24"/>
          <w:szCs w:val="24"/>
        </w:rPr>
        <w:t xml:space="preserve">, which apart from </w:t>
      </w:r>
      <w:r w:rsidR="007F7093">
        <w:rPr>
          <w:rFonts w:ascii="Arial" w:hAnsi="Arial" w:cs="Arial"/>
          <w:sz w:val="24"/>
          <w:szCs w:val="24"/>
        </w:rPr>
        <w:t xml:space="preserve">critical research </w:t>
      </w:r>
      <w:r w:rsidR="00DF4AAE">
        <w:rPr>
          <w:rFonts w:ascii="Arial" w:hAnsi="Arial" w:cs="Arial"/>
          <w:sz w:val="24"/>
          <w:szCs w:val="24"/>
        </w:rPr>
        <w:t xml:space="preserve">work </w:t>
      </w:r>
      <w:r w:rsidR="007F7093">
        <w:rPr>
          <w:rFonts w:ascii="Arial" w:hAnsi="Arial" w:cs="Arial"/>
          <w:sz w:val="24"/>
          <w:szCs w:val="24"/>
        </w:rPr>
        <w:t>such as that of</w:t>
      </w:r>
      <w:r w:rsidR="00DF4AAE">
        <w:rPr>
          <w:rFonts w:ascii="Arial" w:hAnsi="Arial" w:cs="Arial"/>
          <w:sz w:val="24"/>
          <w:szCs w:val="24"/>
        </w:rPr>
        <w:t xml:space="preserve"> Damaska (2008) could be seen as one</w:t>
      </w:r>
      <w:r w:rsidR="0000497C">
        <w:rPr>
          <w:rFonts w:ascii="Arial" w:hAnsi="Arial" w:cs="Arial"/>
          <w:sz w:val="24"/>
          <w:szCs w:val="24"/>
        </w:rPr>
        <w:t xml:space="preserve"> of</w:t>
      </w:r>
      <w:r w:rsidR="00DF4AAE">
        <w:rPr>
          <w:rFonts w:ascii="Arial" w:hAnsi="Arial" w:cs="Arial"/>
          <w:sz w:val="24"/>
          <w:szCs w:val="24"/>
        </w:rPr>
        <w:t xml:space="preserve"> the least covered areas of Criminal Justice literature in the last decade and a half. </w:t>
      </w:r>
      <w:r w:rsidR="0000497C">
        <w:rPr>
          <w:rFonts w:ascii="Arial" w:hAnsi="Arial" w:cs="Arial"/>
          <w:sz w:val="24"/>
          <w:szCs w:val="24"/>
        </w:rPr>
        <w:t xml:space="preserve">However, much like these contributions of regional specific knowledge are made evident through the use of the linear format within the paper, it could also be regarded as </w:t>
      </w:r>
      <w:r w:rsidR="00204EB5">
        <w:rPr>
          <w:rFonts w:ascii="Arial" w:hAnsi="Arial" w:cs="Arial"/>
          <w:sz w:val="24"/>
          <w:szCs w:val="24"/>
        </w:rPr>
        <w:t xml:space="preserve">a limitation in some instances. For example, the lack of statistical evidence or specific case studies alongside the timeline </w:t>
      </w:r>
      <w:r w:rsidR="008C4569">
        <w:rPr>
          <w:rFonts w:ascii="Arial" w:hAnsi="Arial" w:cs="Arial"/>
          <w:sz w:val="24"/>
          <w:szCs w:val="24"/>
        </w:rPr>
        <w:t xml:space="preserve">result in the document being far more divisive than conclusive, due to the subjectiveness of issues such as financial cuts or legislation changes. Due to this, it could be speculated that if the paper had made better use of material such as statistical charts or case study segments, it would allow for </w:t>
      </w:r>
      <w:r w:rsidR="003C7363">
        <w:rPr>
          <w:rFonts w:ascii="Arial" w:hAnsi="Arial" w:cs="Arial"/>
          <w:sz w:val="24"/>
          <w:szCs w:val="24"/>
        </w:rPr>
        <w:t xml:space="preserve">a more </w:t>
      </w:r>
      <w:r w:rsidR="008C4569">
        <w:rPr>
          <w:rFonts w:ascii="Arial" w:hAnsi="Arial" w:cs="Arial"/>
          <w:sz w:val="24"/>
          <w:szCs w:val="24"/>
        </w:rPr>
        <w:t>certified</w:t>
      </w:r>
      <w:r w:rsidR="003C7363">
        <w:rPr>
          <w:rFonts w:ascii="Arial" w:hAnsi="Arial" w:cs="Arial"/>
          <w:sz w:val="24"/>
          <w:szCs w:val="24"/>
        </w:rPr>
        <w:t xml:space="preserve"> and effective educating on completion of reading with little allowance for subjective interpretation on the matters within being possible.</w:t>
      </w:r>
    </w:p>
    <w:p w14:paraId="56A09A75" w14:textId="6A5254DD" w:rsidR="00E90CE5" w:rsidRDefault="00E90CE5" w:rsidP="00BD0E9E">
      <w:pPr>
        <w:spacing w:line="480" w:lineRule="auto"/>
        <w:rPr>
          <w:rFonts w:ascii="Arial" w:hAnsi="Arial" w:cs="Arial"/>
          <w:sz w:val="24"/>
          <w:szCs w:val="24"/>
        </w:rPr>
      </w:pPr>
    </w:p>
    <w:p w14:paraId="5336DC6A" w14:textId="49717270" w:rsidR="008B13B8" w:rsidRDefault="008B13B8" w:rsidP="00BD0E9E">
      <w:pPr>
        <w:spacing w:line="480" w:lineRule="auto"/>
        <w:rPr>
          <w:rFonts w:ascii="Arial" w:hAnsi="Arial" w:cs="Arial"/>
          <w:sz w:val="24"/>
          <w:szCs w:val="24"/>
        </w:rPr>
      </w:pPr>
      <w:r>
        <w:rPr>
          <w:rFonts w:ascii="Arial" w:hAnsi="Arial" w:cs="Arial"/>
          <w:sz w:val="24"/>
          <w:szCs w:val="24"/>
        </w:rPr>
        <w:t xml:space="preserve">Another factor that could be considered regarding the article is the publication date. Even though the publication date could still be deemed as very recent, a subject such as the one in question can be very fast changing due to the influence of outside events such as </w:t>
      </w:r>
      <w:r w:rsidR="00000AAF">
        <w:rPr>
          <w:rFonts w:ascii="Arial" w:hAnsi="Arial" w:cs="Arial"/>
          <w:sz w:val="24"/>
          <w:szCs w:val="24"/>
        </w:rPr>
        <w:t>governmental change or replacement for example.</w:t>
      </w:r>
      <w:r w:rsidR="007F7093">
        <w:rPr>
          <w:rFonts w:ascii="Arial" w:hAnsi="Arial" w:cs="Arial"/>
          <w:sz w:val="24"/>
          <w:szCs w:val="24"/>
        </w:rPr>
        <w:t xml:space="preserve"> </w:t>
      </w:r>
      <w:r w:rsidR="00E750A4">
        <w:rPr>
          <w:rFonts w:ascii="Arial" w:hAnsi="Arial" w:cs="Arial"/>
          <w:sz w:val="24"/>
          <w:szCs w:val="24"/>
        </w:rPr>
        <w:t xml:space="preserve">The </w:t>
      </w:r>
      <w:r w:rsidR="003D3B64">
        <w:rPr>
          <w:rFonts w:ascii="Arial" w:hAnsi="Arial" w:cs="Arial"/>
          <w:sz w:val="24"/>
          <w:szCs w:val="24"/>
        </w:rPr>
        <w:t xml:space="preserve">relatability still </w:t>
      </w:r>
      <w:r w:rsidR="00E750A4">
        <w:rPr>
          <w:rFonts w:ascii="Arial" w:hAnsi="Arial" w:cs="Arial"/>
          <w:sz w:val="24"/>
          <w:szCs w:val="24"/>
        </w:rPr>
        <w:t>held by the article under review can be classed a</w:t>
      </w:r>
      <w:r w:rsidR="003D3B64">
        <w:rPr>
          <w:rFonts w:ascii="Arial" w:hAnsi="Arial" w:cs="Arial"/>
          <w:sz w:val="24"/>
          <w:szCs w:val="24"/>
        </w:rPr>
        <w:t>s very strong,</w:t>
      </w:r>
      <w:r w:rsidR="00002F2B">
        <w:rPr>
          <w:rFonts w:ascii="Arial" w:hAnsi="Arial" w:cs="Arial"/>
          <w:sz w:val="24"/>
          <w:szCs w:val="24"/>
        </w:rPr>
        <w:t xml:space="preserve"> Thanks</w:t>
      </w:r>
      <w:r w:rsidR="003D3B64">
        <w:rPr>
          <w:rFonts w:ascii="Arial" w:hAnsi="Arial" w:cs="Arial"/>
          <w:sz w:val="24"/>
          <w:szCs w:val="24"/>
        </w:rPr>
        <w:t xml:space="preserve"> to the use of now deemed unrelatable literature on the matter in a cross-examination format. As</w:t>
      </w:r>
      <w:r w:rsidR="00BA0E19">
        <w:rPr>
          <w:rFonts w:ascii="Arial" w:hAnsi="Arial" w:cs="Arial"/>
          <w:sz w:val="24"/>
          <w:szCs w:val="24"/>
        </w:rPr>
        <w:t xml:space="preserve"> </w:t>
      </w:r>
      <w:r w:rsidR="003D3B64">
        <w:rPr>
          <w:rFonts w:ascii="Arial" w:hAnsi="Arial" w:cs="Arial"/>
          <w:sz w:val="24"/>
          <w:szCs w:val="24"/>
        </w:rPr>
        <w:t>Cassese (200</w:t>
      </w:r>
      <w:r w:rsidR="00BA0E19">
        <w:rPr>
          <w:rFonts w:ascii="Arial" w:hAnsi="Arial" w:cs="Arial"/>
          <w:sz w:val="24"/>
          <w:szCs w:val="24"/>
        </w:rPr>
        <w:t xml:space="preserve">3) evidently showcases, </w:t>
      </w:r>
      <w:r w:rsidR="003D3B64">
        <w:rPr>
          <w:rFonts w:ascii="Arial" w:hAnsi="Arial" w:cs="Arial"/>
          <w:sz w:val="24"/>
          <w:szCs w:val="24"/>
        </w:rPr>
        <w:t xml:space="preserve">during the </w:t>
      </w:r>
      <w:r w:rsidR="00BA0E19">
        <w:rPr>
          <w:rFonts w:ascii="Arial" w:hAnsi="Arial" w:cs="Arial"/>
          <w:sz w:val="24"/>
          <w:szCs w:val="24"/>
        </w:rPr>
        <w:t>time period of this publication the</w:t>
      </w:r>
      <w:r w:rsidR="007F7093">
        <w:rPr>
          <w:rFonts w:ascii="Arial" w:hAnsi="Arial" w:cs="Arial"/>
          <w:sz w:val="24"/>
          <w:szCs w:val="24"/>
        </w:rPr>
        <w:t>r</w:t>
      </w:r>
      <w:r w:rsidR="00705CDA">
        <w:rPr>
          <w:rFonts w:ascii="Arial" w:hAnsi="Arial" w:cs="Arial"/>
          <w:sz w:val="24"/>
          <w:szCs w:val="24"/>
        </w:rPr>
        <w:t xml:space="preserve">e </w:t>
      </w:r>
      <w:r w:rsidR="00BA0E19">
        <w:rPr>
          <w:rFonts w:ascii="Arial" w:hAnsi="Arial" w:cs="Arial"/>
          <w:sz w:val="24"/>
          <w:szCs w:val="24"/>
        </w:rPr>
        <w:t>was actually</w:t>
      </w:r>
      <w:r w:rsidR="007F7093">
        <w:rPr>
          <w:rFonts w:ascii="Arial" w:hAnsi="Arial" w:cs="Arial"/>
          <w:sz w:val="24"/>
          <w:szCs w:val="24"/>
        </w:rPr>
        <w:t xml:space="preserve"> a </w:t>
      </w:r>
      <w:r w:rsidR="00705CDA">
        <w:rPr>
          <w:rFonts w:ascii="Arial" w:hAnsi="Arial" w:cs="Arial"/>
          <w:sz w:val="24"/>
          <w:szCs w:val="24"/>
        </w:rPr>
        <w:t>strong belief amongst the academic majority within the Criminal Justice environment that the overall proceedings and structure</w:t>
      </w:r>
      <w:r w:rsidR="007F7093">
        <w:rPr>
          <w:rFonts w:ascii="Arial" w:hAnsi="Arial" w:cs="Arial"/>
          <w:sz w:val="24"/>
          <w:szCs w:val="24"/>
        </w:rPr>
        <w:t xml:space="preserve"> </w:t>
      </w:r>
      <w:r w:rsidR="00705CDA">
        <w:rPr>
          <w:rFonts w:ascii="Arial" w:hAnsi="Arial" w:cs="Arial"/>
          <w:sz w:val="24"/>
          <w:szCs w:val="24"/>
        </w:rPr>
        <w:t xml:space="preserve">of the CJS should </w:t>
      </w:r>
      <w:r w:rsidR="00705CDA">
        <w:rPr>
          <w:rFonts w:ascii="Arial" w:hAnsi="Arial" w:cs="Arial"/>
          <w:sz w:val="24"/>
          <w:szCs w:val="24"/>
        </w:rPr>
        <w:lastRenderedPageBreak/>
        <w:t>remain the same</w:t>
      </w:r>
      <w:r w:rsidR="0067124D">
        <w:rPr>
          <w:rFonts w:ascii="Arial" w:hAnsi="Arial" w:cs="Arial"/>
          <w:sz w:val="24"/>
          <w:szCs w:val="24"/>
        </w:rPr>
        <w:t xml:space="preserve">. In comparison, the chosen work by </w:t>
      </w:r>
      <w:r w:rsidR="00C00AD9">
        <w:rPr>
          <w:rFonts w:ascii="Arial" w:hAnsi="Arial" w:cs="Arial"/>
          <w:sz w:val="24"/>
          <w:szCs w:val="24"/>
        </w:rPr>
        <w:t>Whitehead</w:t>
      </w:r>
      <w:r w:rsidR="0067124D">
        <w:rPr>
          <w:rFonts w:ascii="Arial" w:hAnsi="Arial" w:cs="Arial"/>
          <w:sz w:val="24"/>
          <w:szCs w:val="24"/>
        </w:rPr>
        <w:t xml:space="preserve"> (201</w:t>
      </w:r>
      <w:r w:rsidR="00C00AD9">
        <w:rPr>
          <w:rFonts w:ascii="Arial" w:hAnsi="Arial" w:cs="Arial"/>
          <w:sz w:val="24"/>
          <w:szCs w:val="24"/>
        </w:rPr>
        <w:t>6</w:t>
      </w:r>
      <w:r w:rsidR="0067124D">
        <w:rPr>
          <w:rFonts w:ascii="Arial" w:hAnsi="Arial" w:cs="Arial"/>
          <w:sz w:val="24"/>
          <w:szCs w:val="24"/>
        </w:rPr>
        <w:t>) can be</w:t>
      </w:r>
      <w:r w:rsidR="00620684">
        <w:rPr>
          <w:rFonts w:ascii="Arial" w:hAnsi="Arial" w:cs="Arial"/>
          <w:sz w:val="24"/>
          <w:szCs w:val="24"/>
        </w:rPr>
        <w:t xml:space="preserve"> deemed very accurate, as</w:t>
      </w:r>
      <w:r w:rsidR="0067124D">
        <w:rPr>
          <w:rFonts w:ascii="Arial" w:hAnsi="Arial" w:cs="Arial"/>
          <w:sz w:val="24"/>
          <w:szCs w:val="24"/>
        </w:rPr>
        <w:t xml:space="preserve"> </w:t>
      </w:r>
      <w:r w:rsidR="00620684">
        <w:rPr>
          <w:rFonts w:ascii="Arial" w:hAnsi="Arial" w:cs="Arial"/>
          <w:sz w:val="24"/>
          <w:szCs w:val="24"/>
        </w:rPr>
        <w:t xml:space="preserve">it </w:t>
      </w:r>
      <w:r w:rsidR="00705CDA">
        <w:rPr>
          <w:rFonts w:ascii="Arial" w:hAnsi="Arial" w:cs="Arial"/>
          <w:sz w:val="24"/>
          <w:szCs w:val="24"/>
        </w:rPr>
        <w:t>contribute</w:t>
      </w:r>
      <w:r w:rsidR="00620684">
        <w:rPr>
          <w:rFonts w:ascii="Arial" w:hAnsi="Arial" w:cs="Arial"/>
          <w:sz w:val="24"/>
          <w:szCs w:val="24"/>
        </w:rPr>
        <w:t>s</w:t>
      </w:r>
      <w:r w:rsidR="00705CDA">
        <w:rPr>
          <w:rFonts w:ascii="Arial" w:hAnsi="Arial" w:cs="Arial"/>
          <w:sz w:val="24"/>
          <w:szCs w:val="24"/>
        </w:rPr>
        <w:t xml:space="preserve"> valid knowledge </w:t>
      </w:r>
      <w:r w:rsidR="00620684">
        <w:rPr>
          <w:rFonts w:ascii="Arial" w:hAnsi="Arial" w:cs="Arial"/>
          <w:sz w:val="24"/>
          <w:szCs w:val="24"/>
        </w:rPr>
        <w:t>on the topic area of</w:t>
      </w:r>
      <w:r w:rsidR="00705CDA">
        <w:rPr>
          <w:rFonts w:ascii="Arial" w:hAnsi="Arial" w:cs="Arial"/>
          <w:sz w:val="24"/>
          <w:szCs w:val="24"/>
        </w:rPr>
        <w:t xml:space="preserve"> the </w:t>
      </w:r>
      <w:r w:rsidR="00620684">
        <w:rPr>
          <w:rFonts w:ascii="Arial" w:hAnsi="Arial" w:cs="Arial"/>
          <w:sz w:val="24"/>
          <w:szCs w:val="24"/>
        </w:rPr>
        <w:t>Criminal J</w:t>
      </w:r>
      <w:r w:rsidR="0067124D">
        <w:rPr>
          <w:rFonts w:ascii="Arial" w:hAnsi="Arial" w:cs="Arial"/>
          <w:sz w:val="24"/>
          <w:szCs w:val="24"/>
        </w:rPr>
        <w:t>ustice</w:t>
      </w:r>
      <w:r w:rsidR="00C00AD9">
        <w:rPr>
          <w:rFonts w:ascii="Arial" w:hAnsi="Arial" w:cs="Arial"/>
          <w:sz w:val="24"/>
          <w:szCs w:val="24"/>
        </w:rPr>
        <w:t xml:space="preserve"> proceedings</w:t>
      </w:r>
      <w:r w:rsidR="0067124D">
        <w:rPr>
          <w:rFonts w:ascii="Arial" w:hAnsi="Arial" w:cs="Arial"/>
          <w:sz w:val="24"/>
          <w:szCs w:val="24"/>
        </w:rPr>
        <w:t xml:space="preserve"> requir</w:t>
      </w:r>
      <w:r w:rsidR="00620684">
        <w:rPr>
          <w:rFonts w:ascii="Arial" w:hAnsi="Arial" w:cs="Arial"/>
          <w:sz w:val="24"/>
          <w:szCs w:val="24"/>
        </w:rPr>
        <w:t>ing</w:t>
      </w:r>
      <w:r w:rsidR="0067124D">
        <w:rPr>
          <w:rFonts w:ascii="Arial" w:hAnsi="Arial" w:cs="Arial"/>
          <w:sz w:val="24"/>
          <w:szCs w:val="24"/>
        </w:rPr>
        <w:t xml:space="preserve"> a more </w:t>
      </w:r>
      <w:r w:rsidR="00C00AD9">
        <w:rPr>
          <w:rFonts w:ascii="Arial" w:hAnsi="Arial" w:cs="Arial"/>
          <w:sz w:val="24"/>
          <w:szCs w:val="24"/>
        </w:rPr>
        <w:t xml:space="preserve">modernised and technology friendly </w:t>
      </w:r>
      <w:r w:rsidR="00620684">
        <w:rPr>
          <w:rFonts w:ascii="Arial" w:hAnsi="Arial" w:cs="Arial"/>
          <w:sz w:val="24"/>
          <w:szCs w:val="24"/>
        </w:rPr>
        <w:t>approach</w:t>
      </w:r>
      <w:r w:rsidR="006E0F0F">
        <w:rPr>
          <w:rFonts w:ascii="Arial" w:hAnsi="Arial" w:cs="Arial"/>
          <w:sz w:val="24"/>
          <w:szCs w:val="24"/>
        </w:rPr>
        <w:t xml:space="preserve"> </w:t>
      </w:r>
      <w:r w:rsidR="00705CDA">
        <w:rPr>
          <w:rFonts w:ascii="Arial" w:hAnsi="Arial" w:cs="Arial"/>
          <w:sz w:val="24"/>
          <w:szCs w:val="24"/>
        </w:rPr>
        <w:t xml:space="preserve">that coincides with the transitions of society </w:t>
      </w:r>
      <w:r w:rsidR="006E0F0F">
        <w:rPr>
          <w:rFonts w:ascii="Arial" w:hAnsi="Arial" w:cs="Arial"/>
          <w:sz w:val="24"/>
          <w:szCs w:val="24"/>
        </w:rPr>
        <w:t xml:space="preserve">rather than that of </w:t>
      </w:r>
      <w:r w:rsidR="00C00AD9">
        <w:rPr>
          <w:rFonts w:ascii="Arial" w:hAnsi="Arial" w:cs="Arial"/>
          <w:sz w:val="24"/>
          <w:szCs w:val="24"/>
        </w:rPr>
        <w:t xml:space="preserve">the former. </w:t>
      </w:r>
    </w:p>
    <w:p w14:paraId="4D2F74D7" w14:textId="30A24156" w:rsidR="005A0747" w:rsidRDefault="005A0747" w:rsidP="00BD0E9E">
      <w:pPr>
        <w:spacing w:line="480" w:lineRule="auto"/>
        <w:rPr>
          <w:rFonts w:ascii="Arial" w:hAnsi="Arial" w:cs="Arial"/>
          <w:sz w:val="24"/>
          <w:szCs w:val="24"/>
        </w:rPr>
      </w:pPr>
    </w:p>
    <w:p w14:paraId="5BB142ED" w14:textId="2EDED7B9" w:rsidR="005A0747" w:rsidRDefault="00002F2B" w:rsidP="00BD0E9E">
      <w:pPr>
        <w:spacing w:line="480" w:lineRule="auto"/>
        <w:rPr>
          <w:rFonts w:ascii="Arial" w:hAnsi="Arial" w:cs="Arial"/>
          <w:sz w:val="24"/>
          <w:szCs w:val="24"/>
        </w:rPr>
      </w:pPr>
      <w:r>
        <w:rPr>
          <w:rFonts w:ascii="Arial" w:hAnsi="Arial" w:cs="Arial"/>
          <w:sz w:val="24"/>
          <w:szCs w:val="24"/>
        </w:rPr>
        <w:t xml:space="preserve">Throughout the paper but, particularly the several sections surrounding the political change over within government around the years of 2009/2010, the author </w:t>
      </w:r>
      <w:r w:rsidR="003F003D">
        <w:rPr>
          <w:rFonts w:ascii="Arial" w:hAnsi="Arial" w:cs="Arial"/>
          <w:sz w:val="24"/>
          <w:szCs w:val="24"/>
        </w:rPr>
        <w:t>brilliantly ensures there is a fairness kept with the writing style leaving no inclination of any bi</w:t>
      </w:r>
      <w:r w:rsidR="007E6F53">
        <w:rPr>
          <w:rFonts w:ascii="Arial" w:hAnsi="Arial" w:cs="Arial"/>
          <w:sz w:val="24"/>
          <w:szCs w:val="24"/>
        </w:rPr>
        <w:t>as</w:t>
      </w:r>
      <w:r w:rsidR="003F003D">
        <w:rPr>
          <w:rFonts w:ascii="Arial" w:hAnsi="Arial" w:cs="Arial"/>
          <w:sz w:val="24"/>
          <w:szCs w:val="24"/>
        </w:rPr>
        <w:t xml:space="preserve">ed beliefs. As </w:t>
      </w:r>
      <w:r w:rsidR="007E6F53">
        <w:rPr>
          <w:rFonts w:ascii="Arial" w:hAnsi="Arial" w:cs="Arial"/>
          <w:sz w:val="24"/>
          <w:szCs w:val="24"/>
        </w:rPr>
        <w:t xml:space="preserve">Miller &amp; Whitehead (2017) </w:t>
      </w:r>
      <w:r w:rsidR="00762C9B">
        <w:rPr>
          <w:rFonts w:ascii="Arial" w:hAnsi="Arial" w:cs="Arial"/>
          <w:sz w:val="24"/>
          <w:szCs w:val="24"/>
        </w:rPr>
        <w:t>inform</w:t>
      </w:r>
      <w:r w:rsidR="00367560">
        <w:rPr>
          <w:rFonts w:ascii="Arial" w:hAnsi="Arial" w:cs="Arial"/>
          <w:sz w:val="24"/>
          <w:szCs w:val="24"/>
        </w:rPr>
        <w:t>,</w:t>
      </w:r>
      <w:r w:rsidR="00762C9B">
        <w:rPr>
          <w:rFonts w:ascii="Arial" w:hAnsi="Arial" w:cs="Arial"/>
          <w:sz w:val="24"/>
          <w:szCs w:val="24"/>
        </w:rPr>
        <w:t xml:space="preserve"> </w:t>
      </w:r>
      <w:r w:rsidR="003F003D">
        <w:rPr>
          <w:rFonts w:ascii="Arial" w:hAnsi="Arial" w:cs="Arial"/>
          <w:sz w:val="24"/>
          <w:szCs w:val="24"/>
        </w:rPr>
        <w:t xml:space="preserve">the importance of this </w:t>
      </w:r>
      <w:r w:rsidR="00762C9B">
        <w:rPr>
          <w:rFonts w:ascii="Arial" w:hAnsi="Arial" w:cs="Arial"/>
          <w:sz w:val="24"/>
          <w:szCs w:val="24"/>
        </w:rPr>
        <w:t xml:space="preserve">cannot be overshadowed due to how manipulative and misinforming biased information can be within the field of Criminal Justice. </w:t>
      </w:r>
      <w:r w:rsidR="00793B2A">
        <w:rPr>
          <w:rFonts w:ascii="Arial" w:hAnsi="Arial" w:cs="Arial"/>
          <w:sz w:val="24"/>
          <w:szCs w:val="24"/>
        </w:rPr>
        <w:t>However, in terms of the piece under review this is far from the case due to the previously mentioned</w:t>
      </w:r>
      <w:r w:rsidR="003F003D">
        <w:rPr>
          <w:rFonts w:ascii="Arial" w:hAnsi="Arial" w:cs="Arial"/>
          <w:sz w:val="24"/>
          <w:szCs w:val="24"/>
        </w:rPr>
        <w:t xml:space="preserve"> structural </w:t>
      </w:r>
      <w:r w:rsidR="00793B2A">
        <w:rPr>
          <w:rFonts w:ascii="Arial" w:hAnsi="Arial" w:cs="Arial"/>
          <w:sz w:val="24"/>
          <w:szCs w:val="24"/>
        </w:rPr>
        <w:t xml:space="preserve">credibility, as well as the professional and </w:t>
      </w:r>
      <w:r w:rsidR="00367560">
        <w:rPr>
          <w:rFonts w:ascii="Arial" w:hAnsi="Arial" w:cs="Arial"/>
          <w:sz w:val="24"/>
          <w:szCs w:val="24"/>
        </w:rPr>
        <w:t>balanced</w:t>
      </w:r>
      <w:r w:rsidR="00793B2A">
        <w:rPr>
          <w:rFonts w:ascii="Arial" w:hAnsi="Arial" w:cs="Arial"/>
          <w:sz w:val="24"/>
          <w:szCs w:val="24"/>
        </w:rPr>
        <w:t xml:space="preserve"> </w:t>
      </w:r>
      <w:r w:rsidR="00367560">
        <w:rPr>
          <w:rFonts w:ascii="Arial" w:hAnsi="Arial" w:cs="Arial"/>
          <w:sz w:val="24"/>
          <w:szCs w:val="24"/>
        </w:rPr>
        <w:t xml:space="preserve">use of language </w:t>
      </w:r>
      <w:r w:rsidR="00793B2A">
        <w:rPr>
          <w:rFonts w:ascii="Arial" w:hAnsi="Arial" w:cs="Arial"/>
          <w:sz w:val="24"/>
          <w:szCs w:val="24"/>
        </w:rPr>
        <w:t>by the author. As a result of this, the article</w:t>
      </w:r>
      <w:r w:rsidR="00607A76">
        <w:rPr>
          <w:rFonts w:ascii="Arial" w:hAnsi="Arial" w:cs="Arial"/>
          <w:sz w:val="24"/>
          <w:szCs w:val="24"/>
        </w:rPr>
        <w:t xml:space="preserve"> is provided in </w:t>
      </w:r>
      <w:r w:rsidR="003F003D">
        <w:rPr>
          <w:rFonts w:ascii="Arial" w:hAnsi="Arial" w:cs="Arial"/>
          <w:sz w:val="24"/>
          <w:szCs w:val="24"/>
        </w:rPr>
        <w:t xml:space="preserve">an inclusive nature </w:t>
      </w:r>
      <w:r w:rsidR="00607A76">
        <w:rPr>
          <w:rFonts w:ascii="Arial" w:hAnsi="Arial" w:cs="Arial"/>
          <w:sz w:val="24"/>
          <w:szCs w:val="24"/>
        </w:rPr>
        <w:t xml:space="preserve">and is aimed at </w:t>
      </w:r>
      <w:r w:rsidR="003F003D">
        <w:rPr>
          <w:rFonts w:ascii="Arial" w:hAnsi="Arial" w:cs="Arial"/>
          <w:sz w:val="24"/>
          <w:szCs w:val="24"/>
        </w:rPr>
        <w:t>anyone interested with the</w:t>
      </w:r>
      <w:r w:rsidR="00891647">
        <w:rPr>
          <w:rFonts w:ascii="Arial" w:hAnsi="Arial" w:cs="Arial"/>
          <w:sz w:val="24"/>
          <w:szCs w:val="24"/>
        </w:rPr>
        <w:t xml:space="preserve"> subject matter </w:t>
      </w:r>
      <w:r w:rsidR="00607A76">
        <w:rPr>
          <w:rFonts w:ascii="Arial" w:hAnsi="Arial" w:cs="Arial"/>
          <w:sz w:val="24"/>
          <w:szCs w:val="24"/>
        </w:rPr>
        <w:t xml:space="preserve">who wishes to </w:t>
      </w:r>
      <w:r w:rsidR="003F003D">
        <w:rPr>
          <w:rFonts w:ascii="Arial" w:hAnsi="Arial" w:cs="Arial"/>
          <w:sz w:val="24"/>
          <w:szCs w:val="24"/>
        </w:rPr>
        <w:t>gain</w:t>
      </w:r>
      <w:r w:rsidR="00607A76">
        <w:rPr>
          <w:rFonts w:ascii="Arial" w:hAnsi="Arial" w:cs="Arial"/>
          <w:sz w:val="24"/>
          <w:szCs w:val="24"/>
        </w:rPr>
        <w:t xml:space="preserve"> general </w:t>
      </w:r>
      <w:r w:rsidR="003F003D">
        <w:rPr>
          <w:rFonts w:ascii="Arial" w:hAnsi="Arial" w:cs="Arial"/>
          <w:sz w:val="24"/>
          <w:szCs w:val="24"/>
        </w:rPr>
        <w:t>knowledge</w:t>
      </w:r>
      <w:r w:rsidR="00607A76">
        <w:rPr>
          <w:rFonts w:ascii="Arial" w:hAnsi="Arial" w:cs="Arial"/>
          <w:sz w:val="24"/>
          <w:szCs w:val="24"/>
        </w:rPr>
        <w:t xml:space="preserve"> with no political affiliation but</w:t>
      </w:r>
      <w:r w:rsidR="00891647">
        <w:rPr>
          <w:rFonts w:ascii="Arial" w:hAnsi="Arial" w:cs="Arial"/>
          <w:sz w:val="24"/>
          <w:szCs w:val="24"/>
        </w:rPr>
        <w:t xml:space="preserve">, whilst also not skipping over or undermining any </w:t>
      </w:r>
      <w:r w:rsidR="00607A76">
        <w:rPr>
          <w:rFonts w:ascii="Arial" w:hAnsi="Arial" w:cs="Arial"/>
          <w:sz w:val="24"/>
          <w:szCs w:val="24"/>
        </w:rPr>
        <w:t>clear political ideology or intentions relating to the CJS</w:t>
      </w:r>
      <w:r w:rsidR="00891647">
        <w:rPr>
          <w:rFonts w:ascii="Arial" w:hAnsi="Arial" w:cs="Arial"/>
          <w:sz w:val="24"/>
          <w:szCs w:val="24"/>
        </w:rPr>
        <w:t>, meaning it is still very much academically aligned</w:t>
      </w:r>
      <w:r w:rsidR="00607A76">
        <w:rPr>
          <w:rFonts w:ascii="Arial" w:hAnsi="Arial" w:cs="Arial"/>
          <w:sz w:val="24"/>
          <w:szCs w:val="24"/>
        </w:rPr>
        <w:t xml:space="preserve"> and critically evaluative</w:t>
      </w:r>
      <w:r w:rsidR="00BA7930">
        <w:rPr>
          <w:rFonts w:ascii="Arial" w:hAnsi="Arial" w:cs="Arial"/>
          <w:sz w:val="24"/>
          <w:szCs w:val="24"/>
        </w:rPr>
        <w:t xml:space="preserve"> (Bottoms &amp; Tankebe, 2012)</w:t>
      </w:r>
      <w:r w:rsidR="00891647">
        <w:rPr>
          <w:rFonts w:ascii="Arial" w:hAnsi="Arial" w:cs="Arial"/>
          <w:sz w:val="24"/>
          <w:szCs w:val="24"/>
        </w:rPr>
        <w:t xml:space="preserve">. </w:t>
      </w:r>
    </w:p>
    <w:p w14:paraId="5A601F92" w14:textId="34A80260" w:rsidR="0003787F" w:rsidRDefault="0003787F" w:rsidP="00BD0E9E">
      <w:pPr>
        <w:spacing w:line="480" w:lineRule="auto"/>
        <w:rPr>
          <w:rFonts w:ascii="Arial" w:hAnsi="Arial" w:cs="Arial"/>
          <w:sz w:val="24"/>
          <w:szCs w:val="24"/>
        </w:rPr>
      </w:pPr>
    </w:p>
    <w:p w14:paraId="2C6FEAA7" w14:textId="6C08A7CC" w:rsidR="0003787F" w:rsidRDefault="00701981" w:rsidP="00BD0E9E">
      <w:pPr>
        <w:spacing w:line="480" w:lineRule="auto"/>
        <w:rPr>
          <w:rFonts w:ascii="Arial" w:hAnsi="Arial" w:cs="Arial"/>
          <w:sz w:val="24"/>
          <w:szCs w:val="24"/>
        </w:rPr>
      </w:pPr>
      <w:r>
        <w:rPr>
          <w:rFonts w:ascii="Arial" w:hAnsi="Arial" w:cs="Arial"/>
          <w:sz w:val="24"/>
          <w:szCs w:val="24"/>
        </w:rPr>
        <w:t>As is p</w:t>
      </w:r>
      <w:r w:rsidR="00336325">
        <w:rPr>
          <w:rFonts w:ascii="Arial" w:hAnsi="Arial" w:cs="Arial"/>
          <w:sz w:val="24"/>
          <w:szCs w:val="24"/>
        </w:rPr>
        <w:t xml:space="preserve">ersistently alluded to </w:t>
      </w:r>
      <w:r>
        <w:rPr>
          <w:rFonts w:ascii="Arial" w:hAnsi="Arial" w:cs="Arial"/>
          <w:sz w:val="24"/>
          <w:szCs w:val="24"/>
        </w:rPr>
        <w:t>throughout</w:t>
      </w:r>
      <w:r w:rsidR="00336325">
        <w:rPr>
          <w:rFonts w:ascii="Arial" w:hAnsi="Arial" w:cs="Arial"/>
          <w:sz w:val="24"/>
          <w:szCs w:val="24"/>
        </w:rPr>
        <w:t xml:space="preserve"> sections </w:t>
      </w:r>
      <w:r>
        <w:rPr>
          <w:rFonts w:ascii="Arial" w:hAnsi="Arial" w:cs="Arial"/>
          <w:sz w:val="24"/>
          <w:szCs w:val="24"/>
        </w:rPr>
        <w:t xml:space="preserve">one to five </w:t>
      </w:r>
      <w:r w:rsidR="00336325">
        <w:rPr>
          <w:rFonts w:ascii="Arial" w:hAnsi="Arial" w:cs="Arial"/>
          <w:sz w:val="24"/>
          <w:szCs w:val="24"/>
        </w:rPr>
        <w:t>of the paper</w:t>
      </w:r>
      <w:r w:rsidR="00287CB5">
        <w:rPr>
          <w:rFonts w:ascii="Arial" w:hAnsi="Arial" w:cs="Arial"/>
          <w:sz w:val="24"/>
          <w:szCs w:val="24"/>
        </w:rPr>
        <w:t xml:space="preserve">, arguably the most prominent issue raised </w:t>
      </w:r>
      <w:r>
        <w:rPr>
          <w:rFonts w:ascii="Arial" w:hAnsi="Arial" w:cs="Arial"/>
          <w:sz w:val="24"/>
          <w:szCs w:val="24"/>
        </w:rPr>
        <w:t xml:space="preserve">within </w:t>
      </w:r>
      <w:r w:rsidR="00287CB5">
        <w:rPr>
          <w:rFonts w:ascii="Arial" w:hAnsi="Arial" w:cs="Arial"/>
          <w:sz w:val="24"/>
          <w:szCs w:val="24"/>
        </w:rPr>
        <w:t>the piece is to do with the</w:t>
      </w:r>
      <w:r w:rsidR="00E87BC6">
        <w:rPr>
          <w:rFonts w:ascii="Arial" w:hAnsi="Arial" w:cs="Arial"/>
          <w:sz w:val="24"/>
          <w:szCs w:val="24"/>
        </w:rPr>
        <w:t xml:space="preserve"> lack of stability and continued progression within the whole Criminal Justice System </w:t>
      </w:r>
      <w:r w:rsidR="00833011">
        <w:rPr>
          <w:rFonts w:ascii="Arial" w:hAnsi="Arial" w:cs="Arial"/>
          <w:sz w:val="24"/>
          <w:szCs w:val="24"/>
        </w:rPr>
        <w:t xml:space="preserve">(CJS) </w:t>
      </w:r>
      <w:r w:rsidR="00E87BC6">
        <w:rPr>
          <w:rFonts w:ascii="Arial" w:hAnsi="Arial" w:cs="Arial"/>
          <w:sz w:val="24"/>
          <w:szCs w:val="24"/>
        </w:rPr>
        <w:t>of England &amp; Wales through the time period of 1997-2015. As Whitehead (2016) identifies repeatedly over the course of the article, there is a</w:t>
      </w:r>
      <w:r w:rsidR="00833011">
        <w:rPr>
          <w:rFonts w:ascii="Arial" w:hAnsi="Arial" w:cs="Arial"/>
          <w:sz w:val="24"/>
          <w:szCs w:val="24"/>
        </w:rPr>
        <w:t xml:space="preserve">n undeniable </w:t>
      </w:r>
      <w:r w:rsidR="00E87BC6">
        <w:rPr>
          <w:rFonts w:ascii="Arial" w:hAnsi="Arial" w:cs="Arial"/>
          <w:sz w:val="24"/>
          <w:szCs w:val="24"/>
        </w:rPr>
        <w:t xml:space="preserve">lack of continuation </w:t>
      </w:r>
      <w:r w:rsidR="00E87BC6">
        <w:rPr>
          <w:rFonts w:ascii="Arial" w:hAnsi="Arial" w:cs="Arial"/>
          <w:sz w:val="24"/>
          <w:szCs w:val="24"/>
        </w:rPr>
        <w:lastRenderedPageBreak/>
        <w:t>or even remotely connecte</w:t>
      </w:r>
      <w:r w:rsidR="00833011">
        <w:rPr>
          <w:rFonts w:ascii="Arial" w:hAnsi="Arial" w:cs="Arial"/>
          <w:sz w:val="24"/>
          <w:szCs w:val="24"/>
        </w:rPr>
        <w:t xml:space="preserve">d alterations from change to change across the CJS during the majority of this time period. The reasoning for this although perhaps rather obvious, is to do with the impact </w:t>
      </w:r>
      <w:r w:rsidR="00E45D0F">
        <w:rPr>
          <w:rFonts w:ascii="Arial" w:hAnsi="Arial" w:cs="Arial"/>
          <w:sz w:val="24"/>
          <w:szCs w:val="24"/>
        </w:rPr>
        <w:t>political change such as a general election or reformed government can have on the Criminal Justice proceedings. In contrast</w:t>
      </w:r>
      <w:r w:rsidR="00367560">
        <w:rPr>
          <w:rFonts w:ascii="Arial" w:hAnsi="Arial" w:cs="Arial"/>
          <w:sz w:val="24"/>
          <w:szCs w:val="24"/>
        </w:rPr>
        <w:t xml:space="preserve">, </w:t>
      </w:r>
      <w:r w:rsidR="00E45D0F">
        <w:rPr>
          <w:rFonts w:ascii="Arial" w:hAnsi="Arial" w:cs="Arial"/>
          <w:sz w:val="24"/>
          <w:szCs w:val="24"/>
        </w:rPr>
        <w:t>Wood (2013) offers the questioning that</w:t>
      </w:r>
      <w:r w:rsidR="00367560">
        <w:rPr>
          <w:rFonts w:ascii="Arial" w:hAnsi="Arial" w:cs="Arial"/>
          <w:sz w:val="24"/>
          <w:szCs w:val="24"/>
        </w:rPr>
        <w:t xml:space="preserve"> </w:t>
      </w:r>
      <w:r w:rsidR="00E45D0F">
        <w:rPr>
          <w:rFonts w:ascii="Arial" w:hAnsi="Arial" w:cs="Arial"/>
          <w:sz w:val="24"/>
          <w:szCs w:val="24"/>
        </w:rPr>
        <w:t>despite being</w:t>
      </w:r>
      <w:r w:rsidR="00401E19">
        <w:rPr>
          <w:rFonts w:ascii="Arial" w:hAnsi="Arial" w:cs="Arial"/>
          <w:sz w:val="24"/>
          <w:szCs w:val="24"/>
        </w:rPr>
        <w:t xml:space="preserve"> true as the government control of fundamentals such finances, legislation and resources can be very influential, this is the result of traditional democratic ways</w:t>
      </w:r>
      <w:r w:rsidR="00367560">
        <w:rPr>
          <w:rFonts w:ascii="Arial" w:hAnsi="Arial" w:cs="Arial"/>
          <w:sz w:val="24"/>
          <w:szCs w:val="24"/>
        </w:rPr>
        <w:t xml:space="preserve"> and not unique to the time period highlighted by the paper</w:t>
      </w:r>
      <w:r w:rsidR="00401E19">
        <w:rPr>
          <w:rFonts w:ascii="Arial" w:hAnsi="Arial" w:cs="Arial"/>
          <w:sz w:val="24"/>
          <w:szCs w:val="24"/>
        </w:rPr>
        <w:t xml:space="preserve">. </w:t>
      </w:r>
      <w:r w:rsidR="0049343D">
        <w:rPr>
          <w:rFonts w:ascii="Arial" w:hAnsi="Arial" w:cs="Arial"/>
          <w:sz w:val="24"/>
          <w:szCs w:val="24"/>
        </w:rPr>
        <w:t>This perspective differs from the issues raised</w:t>
      </w:r>
      <w:r w:rsidR="00367560">
        <w:rPr>
          <w:rFonts w:ascii="Arial" w:hAnsi="Arial" w:cs="Arial"/>
          <w:sz w:val="24"/>
          <w:szCs w:val="24"/>
        </w:rPr>
        <w:t xml:space="preserve"> by Whitehead </w:t>
      </w:r>
      <w:r w:rsidR="0049343D">
        <w:rPr>
          <w:rFonts w:ascii="Arial" w:hAnsi="Arial" w:cs="Arial"/>
          <w:sz w:val="24"/>
          <w:szCs w:val="24"/>
        </w:rPr>
        <w:t xml:space="preserve">because, Wood (2013) argues that it has been and still to this day is the case that government policy and preference depending on the core beliefs and stance taken by the members and supporters, is always going to differ to a certain extent from the opposition or predecessor meaning there will always be some sort of change experienced with the CJS. </w:t>
      </w:r>
    </w:p>
    <w:p w14:paraId="78C28B5B" w14:textId="5A6920E9" w:rsidR="0049343D" w:rsidRDefault="0049343D" w:rsidP="00BD0E9E">
      <w:pPr>
        <w:spacing w:line="480" w:lineRule="auto"/>
        <w:rPr>
          <w:rFonts w:ascii="Arial" w:hAnsi="Arial" w:cs="Arial"/>
          <w:sz w:val="24"/>
          <w:szCs w:val="24"/>
        </w:rPr>
      </w:pPr>
    </w:p>
    <w:p w14:paraId="0E20786B" w14:textId="474AA605" w:rsidR="0049343D" w:rsidRDefault="0049343D" w:rsidP="00BD0E9E">
      <w:pPr>
        <w:spacing w:line="480" w:lineRule="auto"/>
        <w:rPr>
          <w:rFonts w:ascii="Arial" w:hAnsi="Arial" w:cs="Arial"/>
          <w:sz w:val="24"/>
          <w:szCs w:val="24"/>
        </w:rPr>
      </w:pPr>
      <w:r>
        <w:rPr>
          <w:rFonts w:ascii="Arial" w:hAnsi="Arial" w:cs="Arial"/>
          <w:sz w:val="24"/>
          <w:szCs w:val="24"/>
        </w:rPr>
        <w:t xml:space="preserve">On the other hand, Farrall &amp; Jennings (2012) offer support to </w:t>
      </w:r>
      <w:r w:rsidR="006F7822">
        <w:rPr>
          <w:rFonts w:ascii="Arial" w:hAnsi="Arial" w:cs="Arial"/>
          <w:sz w:val="24"/>
          <w:szCs w:val="24"/>
        </w:rPr>
        <w:t xml:space="preserve">the perspective by Whitehead by explaining </w:t>
      </w:r>
      <w:r w:rsidR="009C3982">
        <w:rPr>
          <w:rFonts w:ascii="Arial" w:hAnsi="Arial" w:cs="Arial"/>
          <w:sz w:val="24"/>
          <w:szCs w:val="24"/>
        </w:rPr>
        <w:t>in the few decades after World War Two,</w:t>
      </w:r>
      <w:r w:rsidR="00035596">
        <w:rPr>
          <w:rFonts w:ascii="Arial" w:hAnsi="Arial" w:cs="Arial"/>
          <w:sz w:val="24"/>
          <w:szCs w:val="24"/>
        </w:rPr>
        <w:t xml:space="preserve"> Britain had numerous governmental examples of acting in the best interest of the nation and </w:t>
      </w:r>
      <w:r w:rsidR="009C3982">
        <w:rPr>
          <w:rFonts w:ascii="Arial" w:hAnsi="Arial" w:cs="Arial"/>
          <w:sz w:val="24"/>
          <w:szCs w:val="24"/>
        </w:rPr>
        <w:t xml:space="preserve">trying to build continued improvement </w:t>
      </w:r>
      <w:r w:rsidR="00293092">
        <w:rPr>
          <w:rFonts w:ascii="Arial" w:hAnsi="Arial" w:cs="Arial"/>
          <w:sz w:val="24"/>
          <w:szCs w:val="24"/>
        </w:rPr>
        <w:t xml:space="preserve">on matters such as the CJS and </w:t>
      </w:r>
      <w:r w:rsidR="00035596">
        <w:rPr>
          <w:rFonts w:ascii="Arial" w:hAnsi="Arial" w:cs="Arial"/>
          <w:sz w:val="24"/>
          <w:szCs w:val="24"/>
        </w:rPr>
        <w:t xml:space="preserve">not simply focussing on being as different as possible to the opposition just to increase popularity and support. </w:t>
      </w:r>
      <w:r w:rsidR="00293092">
        <w:rPr>
          <w:rFonts w:ascii="Arial" w:hAnsi="Arial" w:cs="Arial"/>
          <w:sz w:val="24"/>
          <w:szCs w:val="24"/>
        </w:rPr>
        <w:t xml:space="preserve">Adding further support to the issues raised within this article regarding lack of stability </w:t>
      </w:r>
      <w:r w:rsidR="003F5FA3">
        <w:rPr>
          <w:rFonts w:ascii="Arial" w:hAnsi="Arial" w:cs="Arial"/>
          <w:sz w:val="24"/>
          <w:szCs w:val="24"/>
        </w:rPr>
        <w:t>in the CJS of England &amp; Wales, Jones &amp; Newburn (2005) offer the case of private prisons being a prime example of this because, when a decision as significant as privatising a certain percentage of UK prisons is made, it clearly showcases that the focus does not sit with continued improvement and progression but actually, with financial</w:t>
      </w:r>
      <w:r w:rsidR="008B024C">
        <w:rPr>
          <w:rFonts w:ascii="Arial" w:hAnsi="Arial" w:cs="Arial"/>
          <w:sz w:val="24"/>
          <w:szCs w:val="24"/>
        </w:rPr>
        <w:t xml:space="preserve">, management and distribution concerns. Both </w:t>
      </w:r>
      <w:r w:rsidR="008B024C">
        <w:rPr>
          <w:rFonts w:ascii="Arial" w:hAnsi="Arial" w:cs="Arial"/>
          <w:sz w:val="24"/>
          <w:szCs w:val="24"/>
        </w:rPr>
        <w:lastRenderedPageBreak/>
        <w:t xml:space="preserve">these points provide the predominant </w:t>
      </w:r>
      <w:r w:rsidR="005111C3">
        <w:rPr>
          <w:rFonts w:ascii="Arial" w:hAnsi="Arial" w:cs="Arial"/>
          <w:sz w:val="24"/>
          <w:szCs w:val="24"/>
        </w:rPr>
        <w:t xml:space="preserve">opinion expressed </w:t>
      </w:r>
      <w:r w:rsidR="008B024C">
        <w:rPr>
          <w:rFonts w:ascii="Arial" w:hAnsi="Arial" w:cs="Arial"/>
          <w:sz w:val="24"/>
          <w:szCs w:val="24"/>
        </w:rPr>
        <w:t xml:space="preserve">by Whitehead with added legitimacy, as they offer a clear source of academically inclined external literature that are also concerned with the same issues regarding the CJS in England &amp; Wales. </w:t>
      </w:r>
    </w:p>
    <w:p w14:paraId="633DB3C0" w14:textId="5125AB75" w:rsidR="00701981" w:rsidRDefault="00701981" w:rsidP="00BD0E9E">
      <w:pPr>
        <w:spacing w:line="480" w:lineRule="auto"/>
        <w:rPr>
          <w:rFonts w:ascii="Arial" w:hAnsi="Arial" w:cs="Arial"/>
          <w:sz w:val="24"/>
          <w:szCs w:val="24"/>
        </w:rPr>
      </w:pPr>
    </w:p>
    <w:p w14:paraId="4B8CF338" w14:textId="15CFE782" w:rsidR="006777CC" w:rsidRDefault="00265092" w:rsidP="00BD0E9E">
      <w:pPr>
        <w:spacing w:line="480" w:lineRule="auto"/>
        <w:rPr>
          <w:rFonts w:ascii="Arial" w:hAnsi="Arial" w:cs="Arial"/>
          <w:sz w:val="24"/>
          <w:szCs w:val="24"/>
        </w:rPr>
      </w:pPr>
      <w:r>
        <w:rPr>
          <w:rFonts w:ascii="Arial" w:hAnsi="Arial" w:cs="Arial"/>
          <w:sz w:val="24"/>
          <w:szCs w:val="24"/>
        </w:rPr>
        <w:t xml:space="preserve">Shifting the focus from what is included within the paper and how that can be viewed, there can also be an evaluation based on what is not covered or perhaps not mentioned substantially within the literature. Upon critical reading there can be no denying that the most significant omission is in terms of actual evidence of modernisation within the CJS of England &amp; Wales. Despite offering an extensive analysis of </w:t>
      </w:r>
      <w:r w:rsidR="000E72F3">
        <w:rPr>
          <w:rFonts w:ascii="Arial" w:hAnsi="Arial" w:cs="Arial"/>
          <w:sz w:val="24"/>
          <w:szCs w:val="24"/>
        </w:rPr>
        <w:t xml:space="preserve">instances of change within the system, how and why it transformed under different government regimes and to what extent could these be considered improvements or negative alterations, there are very little acknowledgements of the actual modern changes that are known to have taken place regarding Criminal Justice in recent years. </w:t>
      </w:r>
    </w:p>
    <w:p w14:paraId="63F129F6" w14:textId="77777777" w:rsidR="005111C3" w:rsidRDefault="005111C3" w:rsidP="00BD0E9E">
      <w:pPr>
        <w:spacing w:line="480" w:lineRule="auto"/>
        <w:rPr>
          <w:rFonts w:ascii="Arial" w:hAnsi="Arial" w:cs="Arial"/>
          <w:sz w:val="24"/>
          <w:szCs w:val="24"/>
        </w:rPr>
      </w:pPr>
    </w:p>
    <w:p w14:paraId="2D2F981F" w14:textId="35E3A400" w:rsidR="00701981" w:rsidRDefault="000E72F3" w:rsidP="00BD0E9E">
      <w:pPr>
        <w:spacing w:line="480" w:lineRule="auto"/>
        <w:rPr>
          <w:rFonts w:ascii="Arial" w:hAnsi="Arial" w:cs="Arial"/>
          <w:sz w:val="24"/>
          <w:szCs w:val="24"/>
        </w:rPr>
      </w:pPr>
      <w:r>
        <w:rPr>
          <w:rFonts w:ascii="Arial" w:hAnsi="Arial" w:cs="Arial"/>
          <w:sz w:val="24"/>
          <w:szCs w:val="24"/>
        </w:rPr>
        <w:t>For example, within section five of the paper</w:t>
      </w:r>
      <w:r w:rsidR="006777CC">
        <w:rPr>
          <w:rFonts w:ascii="Arial" w:hAnsi="Arial" w:cs="Arial"/>
          <w:sz w:val="24"/>
          <w:szCs w:val="24"/>
        </w:rPr>
        <w:t xml:space="preserve"> there is an in-depth overview of the policy reforms made under the Coalition Government in a bid to transform areas like policing but</w:t>
      </w:r>
      <w:r w:rsidR="00072C30">
        <w:rPr>
          <w:rFonts w:ascii="Arial" w:hAnsi="Arial" w:cs="Arial"/>
          <w:sz w:val="24"/>
          <w:szCs w:val="24"/>
        </w:rPr>
        <w:t>,</w:t>
      </w:r>
      <w:r w:rsidR="006777CC">
        <w:rPr>
          <w:rFonts w:ascii="Arial" w:hAnsi="Arial" w:cs="Arial"/>
          <w:sz w:val="24"/>
          <w:szCs w:val="24"/>
        </w:rPr>
        <w:t xml:space="preserve"> little explanation given to the in-person changes that made this possible </w:t>
      </w:r>
      <w:r w:rsidR="00072C30">
        <w:rPr>
          <w:rFonts w:ascii="Arial" w:hAnsi="Arial" w:cs="Arial"/>
          <w:sz w:val="24"/>
          <w:szCs w:val="24"/>
        </w:rPr>
        <w:t>such as the overhaul of police training, development and requirements under the creation of the College of Policing institute</w:t>
      </w:r>
      <w:r w:rsidR="006777CC">
        <w:rPr>
          <w:rFonts w:ascii="Arial" w:hAnsi="Arial" w:cs="Arial"/>
          <w:sz w:val="24"/>
          <w:szCs w:val="24"/>
        </w:rPr>
        <w:t>. Furthe</w:t>
      </w:r>
      <w:r w:rsidR="00072C30">
        <w:rPr>
          <w:rFonts w:ascii="Arial" w:hAnsi="Arial" w:cs="Arial"/>
          <w:sz w:val="24"/>
          <w:szCs w:val="24"/>
        </w:rPr>
        <w:t xml:space="preserve">rmore, </w:t>
      </w:r>
      <w:r w:rsidR="00652C41">
        <w:rPr>
          <w:rFonts w:ascii="Arial" w:hAnsi="Arial" w:cs="Arial"/>
          <w:sz w:val="24"/>
          <w:szCs w:val="24"/>
        </w:rPr>
        <w:t xml:space="preserve">this is supported by Lister (2013) who explains that the </w:t>
      </w:r>
      <w:r w:rsidR="00251548">
        <w:rPr>
          <w:rFonts w:ascii="Arial" w:hAnsi="Arial" w:cs="Arial"/>
          <w:sz w:val="24"/>
          <w:szCs w:val="24"/>
        </w:rPr>
        <w:t xml:space="preserve">significance of the changes made to areas of Criminal Justice such as policing under the Coalition Government can be severely overlooked unless articulately identified, due to how vague the explanation and importance of </w:t>
      </w:r>
      <w:r w:rsidR="00251548">
        <w:rPr>
          <w:rFonts w:ascii="Arial" w:hAnsi="Arial" w:cs="Arial"/>
          <w:sz w:val="24"/>
          <w:szCs w:val="24"/>
        </w:rPr>
        <w:lastRenderedPageBreak/>
        <w:t xml:space="preserve">certain inclusions like the College of Policing were within </w:t>
      </w:r>
      <w:r w:rsidR="008E3C12">
        <w:rPr>
          <w:rFonts w:ascii="Arial" w:hAnsi="Arial" w:cs="Arial"/>
          <w:sz w:val="24"/>
          <w:szCs w:val="24"/>
        </w:rPr>
        <w:t xml:space="preserve">provided information apart from the Government’s full manifesto itself. </w:t>
      </w:r>
      <w:r w:rsidR="00D40640">
        <w:rPr>
          <w:rFonts w:ascii="Arial" w:hAnsi="Arial" w:cs="Arial"/>
          <w:sz w:val="24"/>
          <w:szCs w:val="24"/>
        </w:rPr>
        <w:t xml:space="preserve">However, there is a potential reasoning for this that is provided by Reiner (2013) which states that when discussing or providing knowledge on a very divisive period of UK governance such as that of the Coalition Government, it can be very difficult to keep politically unbiased due to the subjective nature of the changes made under that government. </w:t>
      </w:r>
      <w:r w:rsidR="0012184A">
        <w:rPr>
          <w:rFonts w:ascii="Arial" w:hAnsi="Arial" w:cs="Arial"/>
          <w:sz w:val="24"/>
          <w:szCs w:val="24"/>
        </w:rPr>
        <w:t xml:space="preserve">This perhaps offers some explanation to the omissions within the paper, as the focus was on trying to keep as closely aligned as possible to Criminal Justice despite also acknowledging the political ideology links that are apparent within the CJS across the mentioned time period. </w:t>
      </w:r>
    </w:p>
    <w:p w14:paraId="79176179" w14:textId="1103581F" w:rsidR="005111C3" w:rsidRDefault="005111C3" w:rsidP="00BD0E9E">
      <w:pPr>
        <w:spacing w:line="480" w:lineRule="auto"/>
        <w:rPr>
          <w:rFonts w:ascii="Arial" w:hAnsi="Arial" w:cs="Arial"/>
          <w:sz w:val="24"/>
          <w:szCs w:val="24"/>
        </w:rPr>
      </w:pPr>
    </w:p>
    <w:p w14:paraId="485845CC" w14:textId="699C0D8E" w:rsidR="005111C3" w:rsidRDefault="005111C3" w:rsidP="00BD0E9E">
      <w:pPr>
        <w:spacing w:line="480" w:lineRule="auto"/>
        <w:rPr>
          <w:rFonts w:ascii="Arial" w:hAnsi="Arial" w:cs="Arial"/>
          <w:sz w:val="24"/>
          <w:szCs w:val="24"/>
        </w:rPr>
      </w:pPr>
      <w:r>
        <w:rPr>
          <w:rFonts w:ascii="Arial" w:hAnsi="Arial" w:cs="Arial"/>
          <w:sz w:val="24"/>
          <w:szCs w:val="24"/>
        </w:rPr>
        <w:t>In re</w:t>
      </w:r>
      <w:r w:rsidR="005C314A">
        <w:rPr>
          <w:rFonts w:ascii="Arial" w:hAnsi="Arial" w:cs="Arial"/>
          <w:sz w:val="24"/>
          <w:szCs w:val="24"/>
        </w:rPr>
        <w:t>lation</w:t>
      </w:r>
      <w:r>
        <w:rPr>
          <w:rFonts w:ascii="Arial" w:hAnsi="Arial" w:cs="Arial"/>
          <w:sz w:val="24"/>
          <w:szCs w:val="24"/>
        </w:rPr>
        <w:t xml:space="preserve"> to the previously mentioned political ideology, </w:t>
      </w:r>
      <w:r w:rsidR="006532E8">
        <w:rPr>
          <w:rFonts w:ascii="Arial" w:hAnsi="Arial" w:cs="Arial"/>
          <w:sz w:val="24"/>
          <w:szCs w:val="24"/>
        </w:rPr>
        <w:t xml:space="preserve">even though the </w:t>
      </w:r>
      <w:r w:rsidR="005C314A">
        <w:rPr>
          <w:rFonts w:ascii="Arial" w:hAnsi="Arial" w:cs="Arial"/>
          <w:sz w:val="24"/>
          <w:szCs w:val="24"/>
        </w:rPr>
        <w:t xml:space="preserve">entirety of the paper contributes </w:t>
      </w:r>
      <w:r w:rsidR="006532E8">
        <w:rPr>
          <w:rFonts w:ascii="Arial" w:hAnsi="Arial" w:cs="Arial"/>
          <w:sz w:val="24"/>
          <w:szCs w:val="24"/>
        </w:rPr>
        <w:t>to</w:t>
      </w:r>
      <w:r w:rsidR="005C314A">
        <w:rPr>
          <w:rFonts w:ascii="Arial" w:hAnsi="Arial" w:cs="Arial"/>
          <w:sz w:val="24"/>
          <w:szCs w:val="24"/>
        </w:rPr>
        <w:t xml:space="preserve"> outlining how big of a factor politics is in regards to the CJS</w:t>
      </w:r>
      <w:r w:rsidR="006532E8">
        <w:rPr>
          <w:rFonts w:ascii="Arial" w:hAnsi="Arial" w:cs="Arial"/>
          <w:sz w:val="24"/>
          <w:szCs w:val="24"/>
        </w:rPr>
        <w:t xml:space="preserve">, within section four there is a significant amount of detail that directly showcases this in an effective manner. The </w:t>
      </w:r>
      <w:r w:rsidR="004557E7">
        <w:rPr>
          <w:rFonts w:ascii="Arial" w:hAnsi="Arial" w:cs="Arial"/>
          <w:sz w:val="24"/>
          <w:szCs w:val="24"/>
        </w:rPr>
        <w:t xml:space="preserve">provided information </w:t>
      </w:r>
      <w:r w:rsidR="006532E8">
        <w:rPr>
          <w:rFonts w:ascii="Arial" w:hAnsi="Arial" w:cs="Arial"/>
          <w:sz w:val="24"/>
          <w:szCs w:val="24"/>
        </w:rPr>
        <w:t>concerning the events prior to the 2010 general election such as</w:t>
      </w:r>
      <w:r w:rsidR="002F49FD">
        <w:rPr>
          <w:rFonts w:ascii="Arial" w:hAnsi="Arial" w:cs="Arial"/>
          <w:sz w:val="24"/>
          <w:szCs w:val="24"/>
        </w:rPr>
        <w:t>,</w:t>
      </w:r>
      <w:r w:rsidR="006532E8">
        <w:rPr>
          <w:rFonts w:ascii="Arial" w:hAnsi="Arial" w:cs="Arial"/>
          <w:sz w:val="24"/>
          <w:szCs w:val="24"/>
        </w:rPr>
        <w:t xml:space="preserve"> </w:t>
      </w:r>
      <w:r w:rsidR="002F49FD">
        <w:rPr>
          <w:rFonts w:ascii="Arial" w:hAnsi="Arial" w:cs="Arial"/>
          <w:sz w:val="24"/>
          <w:szCs w:val="24"/>
        </w:rPr>
        <w:t>the dissecting of the prisons with a purpose publication by the conservative party, illustrate an obvious attempt by the do</w:t>
      </w:r>
      <w:r w:rsidR="004557E7">
        <w:rPr>
          <w:rFonts w:ascii="Arial" w:hAnsi="Arial" w:cs="Arial"/>
          <w:sz w:val="24"/>
          <w:szCs w:val="24"/>
        </w:rPr>
        <w:t xml:space="preserve">cument </w:t>
      </w:r>
      <w:r w:rsidR="002F49FD">
        <w:rPr>
          <w:rFonts w:ascii="Arial" w:hAnsi="Arial" w:cs="Arial"/>
          <w:sz w:val="24"/>
          <w:szCs w:val="24"/>
        </w:rPr>
        <w:t xml:space="preserve">at </w:t>
      </w:r>
      <w:r w:rsidR="007373B7">
        <w:rPr>
          <w:rFonts w:ascii="Arial" w:hAnsi="Arial" w:cs="Arial"/>
          <w:sz w:val="24"/>
          <w:szCs w:val="24"/>
        </w:rPr>
        <w:t xml:space="preserve">trying to </w:t>
      </w:r>
      <w:r w:rsidR="004557E7">
        <w:rPr>
          <w:rFonts w:ascii="Arial" w:hAnsi="Arial" w:cs="Arial"/>
          <w:sz w:val="24"/>
          <w:szCs w:val="24"/>
        </w:rPr>
        <w:t>insist</w:t>
      </w:r>
      <w:r w:rsidR="007373B7">
        <w:rPr>
          <w:rFonts w:ascii="Arial" w:hAnsi="Arial" w:cs="Arial"/>
          <w:sz w:val="24"/>
          <w:szCs w:val="24"/>
        </w:rPr>
        <w:t xml:space="preserve"> that th</w:t>
      </w:r>
      <w:r w:rsidR="005009B8">
        <w:rPr>
          <w:rFonts w:ascii="Arial" w:hAnsi="Arial" w:cs="Arial"/>
          <w:sz w:val="24"/>
          <w:szCs w:val="24"/>
        </w:rPr>
        <w:t>ose connected to the performance and principles of the CJS are</w:t>
      </w:r>
      <w:r w:rsidR="007373B7">
        <w:rPr>
          <w:rFonts w:ascii="Arial" w:hAnsi="Arial" w:cs="Arial"/>
          <w:sz w:val="24"/>
          <w:szCs w:val="24"/>
        </w:rPr>
        <w:t xml:space="preserve"> accustomed to these </w:t>
      </w:r>
      <w:r w:rsidR="005009B8">
        <w:rPr>
          <w:rFonts w:ascii="Arial" w:hAnsi="Arial" w:cs="Arial"/>
          <w:sz w:val="24"/>
          <w:szCs w:val="24"/>
        </w:rPr>
        <w:t xml:space="preserve">political </w:t>
      </w:r>
      <w:r w:rsidR="007373B7">
        <w:rPr>
          <w:rFonts w:ascii="Arial" w:hAnsi="Arial" w:cs="Arial"/>
          <w:sz w:val="24"/>
          <w:szCs w:val="24"/>
        </w:rPr>
        <w:t xml:space="preserve">proceedings. Interestingly, </w:t>
      </w:r>
      <w:r w:rsidR="004557E7">
        <w:rPr>
          <w:rFonts w:ascii="Arial" w:hAnsi="Arial" w:cs="Arial"/>
          <w:sz w:val="24"/>
          <w:szCs w:val="24"/>
        </w:rPr>
        <w:t>the accuracy of this information is strengthened by Williams &amp; Robinson (2006) wh</w:t>
      </w:r>
      <w:r w:rsidR="005009B8">
        <w:rPr>
          <w:rFonts w:ascii="Arial" w:hAnsi="Arial" w:cs="Arial"/>
          <w:sz w:val="24"/>
          <w:szCs w:val="24"/>
        </w:rPr>
        <w:t xml:space="preserve">o educate that due to the way in which democratic countries operate, </w:t>
      </w:r>
      <w:r w:rsidR="00763D7E">
        <w:rPr>
          <w:rFonts w:ascii="Arial" w:hAnsi="Arial" w:cs="Arial"/>
          <w:sz w:val="24"/>
          <w:szCs w:val="24"/>
        </w:rPr>
        <w:t xml:space="preserve">the structure and function of Criminal Justice is the only thing that can be considered unlinked from political ideology due to the behaviour and operating of the systems being </w:t>
      </w:r>
      <w:r w:rsidR="00B752E0">
        <w:rPr>
          <w:rFonts w:ascii="Arial" w:hAnsi="Arial" w:cs="Arial"/>
          <w:sz w:val="24"/>
          <w:szCs w:val="24"/>
        </w:rPr>
        <w:t xml:space="preserve">significantly dependent on political philosophy or sociological theory. </w:t>
      </w:r>
      <w:r w:rsidR="002614D5">
        <w:rPr>
          <w:rFonts w:ascii="Arial" w:hAnsi="Arial" w:cs="Arial"/>
          <w:sz w:val="24"/>
          <w:szCs w:val="24"/>
        </w:rPr>
        <w:t xml:space="preserve">Due to this, the paper can be understood as expressing the opinion that </w:t>
      </w:r>
      <w:r w:rsidR="002177FD">
        <w:rPr>
          <w:rFonts w:ascii="Arial" w:hAnsi="Arial" w:cs="Arial"/>
          <w:sz w:val="24"/>
          <w:szCs w:val="24"/>
        </w:rPr>
        <w:t>although</w:t>
      </w:r>
      <w:r w:rsidR="002614D5">
        <w:rPr>
          <w:rFonts w:ascii="Arial" w:hAnsi="Arial" w:cs="Arial"/>
          <w:sz w:val="24"/>
          <w:szCs w:val="24"/>
        </w:rPr>
        <w:t xml:space="preserve"> not always being as adequate as required, </w:t>
      </w:r>
      <w:r w:rsidR="002614D5">
        <w:rPr>
          <w:rFonts w:ascii="Arial" w:hAnsi="Arial" w:cs="Arial"/>
          <w:sz w:val="24"/>
          <w:szCs w:val="24"/>
        </w:rPr>
        <w:lastRenderedPageBreak/>
        <w:t xml:space="preserve">the CJS of England &amp; Wales is </w:t>
      </w:r>
      <w:r w:rsidR="002177FD">
        <w:rPr>
          <w:rFonts w:ascii="Arial" w:hAnsi="Arial" w:cs="Arial"/>
          <w:sz w:val="24"/>
          <w:szCs w:val="24"/>
        </w:rPr>
        <w:t xml:space="preserve">forced to be kept in this state unless drastic changes such as, making Criminal Justice a legitimate independent entity within society separate of any ideological principles are ever made. </w:t>
      </w:r>
    </w:p>
    <w:p w14:paraId="22C0DD80" w14:textId="5BFE33F7" w:rsidR="00D0321B" w:rsidRDefault="00D0321B" w:rsidP="00BD0E9E">
      <w:pPr>
        <w:spacing w:line="480" w:lineRule="auto"/>
        <w:rPr>
          <w:rFonts w:ascii="Arial" w:hAnsi="Arial" w:cs="Arial"/>
          <w:sz w:val="24"/>
          <w:szCs w:val="24"/>
        </w:rPr>
      </w:pPr>
    </w:p>
    <w:p w14:paraId="688969AB" w14:textId="40887540" w:rsidR="00854F72" w:rsidRDefault="00F7715B" w:rsidP="00BD0E9E">
      <w:pPr>
        <w:spacing w:line="480" w:lineRule="auto"/>
        <w:rPr>
          <w:rFonts w:ascii="Arial" w:hAnsi="Arial" w:cs="Arial"/>
          <w:sz w:val="24"/>
          <w:szCs w:val="24"/>
        </w:rPr>
      </w:pPr>
      <w:r>
        <w:rPr>
          <w:rFonts w:ascii="Arial" w:hAnsi="Arial" w:cs="Arial"/>
          <w:sz w:val="24"/>
          <w:szCs w:val="24"/>
        </w:rPr>
        <w:t>In summary, this article can be considered a legitimate and effective contribution to knowledge on the topic area of Criminal Justice across England &amp; Wales. Despite being considered a more divisive than conclusive review on the Criminal Justice System within these regions</w:t>
      </w:r>
      <w:r w:rsidR="004D6222">
        <w:rPr>
          <w:rFonts w:ascii="Arial" w:hAnsi="Arial" w:cs="Arial"/>
          <w:sz w:val="24"/>
          <w:szCs w:val="24"/>
        </w:rPr>
        <w:t xml:space="preserve"> due to the subjective nature of the political literature included</w:t>
      </w:r>
      <w:r>
        <w:rPr>
          <w:rFonts w:ascii="Arial" w:hAnsi="Arial" w:cs="Arial"/>
          <w:sz w:val="24"/>
          <w:szCs w:val="24"/>
        </w:rPr>
        <w:t>, the author holds a high level of legitimacy throughout with emphasis put on providing critical</w:t>
      </w:r>
      <w:r w:rsidR="004D6222">
        <w:rPr>
          <w:rFonts w:ascii="Arial" w:hAnsi="Arial" w:cs="Arial"/>
          <w:sz w:val="24"/>
          <w:szCs w:val="24"/>
        </w:rPr>
        <w:t xml:space="preserve"> educational information rather than debatable or biased content. This can be seen with the numerous instances of perspective strengthening regarding viewpoints made by the author</w:t>
      </w:r>
      <w:r w:rsidR="00D860B6">
        <w:rPr>
          <w:rFonts w:ascii="Arial" w:hAnsi="Arial" w:cs="Arial"/>
          <w:sz w:val="24"/>
          <w:szCs w:val="24"/>
        </w:rPr>
        <w:t xml:space="preserve">, with both </w:t>
      </w:r>
      <w:r w:rsidR="00D860B6" w:rsidRPr="00D860B6">
        <w:rPr>
          <w:rFonts w:ascii="Arial" w:hAnsi="Arial" w:cs="Arial"/>
          <w:sz w:val="24"/>
          <w:szCs w:val="24"/>
        </w:rPr>
        <w:t>Farrall &amp; Jennings (2012)</w:t>
      </w:r>
      <w:r w:rsidR="00D860B6">
        <w:rPr>
          <w:rFonts w:ascii="Arial" w:hAnsi="Arial" w:cs="Arial"/>
          <w:sz w:val="24"/>
          <w:szCs w:val="24"/>
        </w:rPr>
        <w:t xml:space="preserve"> &amp; </w:t>
      </w:r>
      <w:r w:rsidR="00D860B6" w:rsidRPr="00D860B6">
        <w:rPr>
          <w:rFonts w:ascii="Arial" w:hAnsi="Arial" w:cs="Arial"/>
          <w:sz w:val="24"/>
          <w:szCs w:val="24"/>
        </w:rPr>
        <w:t>Williams &amp; Robinson (2006)</w:t>
      </w:r>
      <w:r w:rsidR="00D860B6">
        <w:rPr>
          <w:rFonts w:ascii="Arial" w:hAnsi="Arial" w:cs="Arial"/>
          <w:sz w:val="24"/>
          <w:szCs w:val="24"/>
        </w:rPr>
        <w:t xml:space="preserve"> being prime examples of this regarding the need for stability within the Criminal Justice System and the link of political ideology within Criminal Justice respectively. </w:t>
      </w:r>
      <w:r w:rsidR="00216E3F">
        <w:rPr>
          <w:rFonts w:ascii="Arial" w:hAnsi="Arial" w:cs="Arial"/>
          <w:sz w:val="24"/>
          <w:szCs w:val="24"/>
        </w:rPr>
        <w:t>On the other hand, as mentioned previously the conclusiveness of the paper can be questioned</w:t>
      </w:r>
      <w:r w:rsidR="00833FE3">
        <w:rPr>
          <w:rFonts w:ascii="Arial" w:hAnsi="Arial" w:cs="Arial"/>
          <w:sz w:val="24"/>
          <w:szCs w:val="24"/>
        </w:rPr>
        <w:t xml:space="preserve"> due to the more explanatory based format of the document, rather than more factual case studies or research data.</w:t>
      </w:r>
      <w:r w:rsidR="00E1195E">
        <w:rPr>
          <w:rFonts w:ascii="Arial" w:hAnsi="Arial" w:cs="Arial"/>
          <w:sz w:val="24"/>
          <w:szCs w:val="24"/>
        </w:rPr>
        <w:t xml:space="preserve"> As well as this, there can also be limitations noted due to the omission or substantial lack of certain information. </w:t>
      </w:r>
    </w:p>
    <w:p w14:paraId="4E06DCE2" w14:textId="77777777" w:rsidR="0039503B" w:rsidRDefault="0039503B" w:rsidP="00BD0E9E">
      <w:pPr>
        <w:spacing w:line="480" w:lineRule="auto"/>
        <w:rPr>
          <w:rFonts w:ascii="Arial" w:hAnsi="Arial" w:cs="Arial"/>
          <w:sz w:val="24"/>
          <w:szCs w:val="24"/>
        </w:rPr>
      </w:pPr>
    </w:p>
    <w:p w14:paraId="421C7AF9" w14:textId="41E3990F" w:rsidR="00D0321B" w:rsidRDefault="00833FE3" w:rsidP="00BD0E9E">
      <w:pPr>
        <w:spacing w:line="480" w:lineRule="auto"/>
        <w:rPr>
          <w:rFonts w:ascii="Arial" w:hAnsi="Arial" w:cs="Arial"/>
          <w:sz w:val="24"/>
          <w:szCs w:val="24"/>
        </w:rPr>
      </w:pPr>
      <w:r>
        <w:rPr>
          <w:rFonts w:ascii="Arial" w:hAnsi="Arial" w:cs="Arial"/>
          <w:sz w:val="24"/>
          <w:szCs w:val="24"/>
        </w:rPr>
        <w:t xml:space="preserve">This was highlighted by Lister (2013), who explained that because </w:t>
      </w:r>
      <w:r w:rsidR="00E1195E">
        <w:rPr>
          <w:rFonts w:ascii="Arial" w:hAnsi="Arial" w:cs="Arial"/>
          <w:sz w:val="24"/>
          <w:szCs w:val="24"/>
        </w:rPr>
        <w:t xml:space="preserve">of certain omissions like in-person changes to police training, requirements and development under the College of Policing creation, </w:t>
      </w:r>
      <w:r w:rsidR="00A9624C">
        <w:rPr>
          <w:rFonts w:ascii="Arial" w:hAnsi="Arial" w:cs="Arial"/>
          <w:sz w:val="24"/>
          <w:szCs w:val="24"/>
        </w:rPr>
        <w:t xml:space="preserve">the educational level of the paper is slightly impacted as it is not as in depth as it could be on times. </w:t>
      </w:r>
      <w:r w:rsidR="007B41EB">
        <w:rPr>
          <w:rFonts w:ascii="Arial" w:hAnsi="Arial" w:cs="Arial"/>
          <w:sz w:val="24"/>
          <w:szCs w:val="24"/>
        </w:rPr>
        <w:t xml:space="preserve">However, as already made </w:t>
      </w:r>
      <w:r w:rsidR="007B41EB">
        <w:rPr>
          <w:rFonts w:ascii="Arial" w:hAnsi="Arial" w:cs="Arial"/>
          <w:sz w:val="24"/>
          <w:szCs w:val="24"/>
        </w:rPr>
        <w:lastRenderedPageBreak/>
        <w:t xml:space="preserve">clear the professional, relatable and most importantly critical nature of the article, means that it provides an accurate insight into showcasing the identified link between Criminal Justice proceedings and political ideology and also the general </w:t>
      </w:r>
      <w:r w:rsidR="001C2854">
        <w:rPr>
          <w:rFonts w:ascii="Arial" w:hAnsi="Arial" w:cs="Arial"/>
          <w:sz w:val="24"/>
          <w:szCs w:val="24"/>
        </w:rPr>
        <w:t xml:space="preserve">understanding during the period of 1997-2015 of the Criminal Justice System in England &amp; Wales. </w:t>
      </w:r>
      <w:r w:rsidR="007A7C11">
        <w:rPr>
          <w:rFonts w:ascii="Arial" w:hAnsi="Arial" w:cs="Arial"/>
          <w:sz w:val="24"/>
          <w:szCs w:val="24"/>
        </w:rPr>
        <w:t xml:space="preserve">So, even though there could be recommendations made to include more statistical research or case study information, there can be no denying the paper holds a very useful purpose within the wider literature of the subject matter. </w:t>
      </w:r>
    </w:p>
    <w:p w14:paraId="6ADFDA0E" w14:textId="28BD497E" w:rsidR="004A7CA7" w:rsidRDefault="004A7CA7" w:rsidP="00BD0E9E">
      <w:pPr>
        <w:spacing w:line="480" w:lineRule="auto"/>
        <w:rPr>
          <w:rFonts w:ascii="Arial" w:hAnsi="Arial" w:cs="Arial"/>
          <w:sz w:val="24"/>
          <w:szCs w:val="24"/>
        </w:rPr>
      </w:pPr>
    </w:p>
    <w:p w14:paraId="00B92ABD" w14:textId="77777777" w:rsidR="004A7CA7" w:rsidRDefault="004A7CA7" w:rsidP="00BD0E9E">
      <w:pPr>
        <w:spacing w:line="480" w:lineRule="auto"/>
        <w:rPr>
          <w:rFonts w:ascii="Arial" w:hAnsi="Arial" w:cs="Arial"/>
          <w:sz w:val="24"/>
          <w:szCs w:val="24"/>
        </w:rPr>
      </w:pPr>
    </w:p>
    <w:p w14:paraId="2DF586BC" w14:textId="3F3EB051" w:rsidR="00FB5AB5" w:rsidRDefault="00FB5AB5" w:rsidP="00BD0E9E">
      <w:pPr>
        <w:spacing w:line="480" w:lineRule="auto"/>
        <w:rPr>
          <w:rFonts w:ascii="Arial" w:hAnsi="Arial" w:cs="Arial"/>
          <w:sz w:val="24"/>
          <w:szCs w:val="24"/>
        </w:rPr>
      </w:pPr>
    </w:p>
    <w:p w14:paraId="62FEDAFB" w14:textId="77777777" w:rsidR="00FB5AB5" w:rsidRDefault="00FB5AB5" w:rsidP="00BD0E9E">
      <w:pPr>
        <w:spacing w:line="480" w:lineRule="auto"/>
        <w:rPr>
          <w:rFonts w:ascii="Arial" w:hAnsi="Arial" w:cs="Arial"/>
          <w:sz w:val="24"/>
          <w:szCs w:val="24"/>
        </w:rPr>
      </w:pPr>
    </w:p>
    <w:p w14:paraId="27CED5E9" w14:textId="44F10830" w:rsidR="00C768C3" w:rsidRDefault="00C768C3" w:rsidP="00BD0E9E">
      <w:pPr>
        <w:spacing w:line="480" w:lineRule="auto"/>
        <w:rPr>
          <w:rFonts w:ascii="Arial" w:hAnsi="Arial" w:cs="Arial"/>
          <w:sz w:val="24"/>
          <w:szCs w:val="24"/>
        </w:rPr>
      </w:pPr>
    </w:p>
    <w:p w14:paraId="6DD3EA48" w14:textId="77777777" w:rsidR="00C768C3" w:rsidRDefault="00C768C3" w:rsidP="00BD0E9E">
      <w:pPr>
        <w:spacing w:line="480" w:lineRule="auto"/>
        <w:rPr>
          <w:rFonts w:ascii="Arial" w:hAnsi="Arial" w:cs="Arial"/>
          <w:sz w:val="24"/>
          <w:szCs w:val="24"/>
        </w:rPr>
      </w:pPr>
    </w:p>
    <w:p w14:paraId="07327E95" w14:textId="372EDF10" w:rsidR="00EC028A" w:rsidRDefault="00EC028A" w:rsidP="00BD0E9E">
      <w:pPr>
        <w:spacing w:line="480" w:lineRule="auto"/>
        <w:rPr>
          <w:rFonts w:ascii="Arial" w:hAnsi="Arial" w:cs="Arial"/>
          <w:sz w:val="24"/>
          <w:szCs w:val="24"/>
        </w:rPr>
      </w:pPr>
    </w:p>
    <w:p w14:paraId="1C3046DA" w14:textId="77777777" w:rsidR="00EC028A" w:rsidRDefault="00EC028A" w:rsidP="00BD0E9E">
      <w:pPr>
        <w:spacing w:line="480" w:lineRule="auto"/>
        <w:rPr>
          <w:rFonts w:ascii="Arial" w:hAnsi="Arial" w:cs="Arial"/>
          <w:sz w:val="24"/>
          <w:szCs w:val="24"/>
        </w:rPr>
      </w:pPr>
    </w:p>
    <w:p w14:paraId="6A2CC6D8" w14:textId="52D52AE1" w:rsidR="007E620D" w:rsidRDefault="007E620D" w:rsidP="00BD0E9E">
      <w:pPr>
        <w:spacing w:line="480" w:lineRule="auto"/>
        <w:rPr>
          <w:rFonts w:ascii="Arial" w:hAnsi="Arial" w:cs="Arial"/>
          <w:sz w:val="24"/>
          <w:szCs w:val="24"/>
        </w:rPr>
      </w:pPr>
    </w:p>
    <w:p w14:paraId="56DACE7B" w14:textId="23302F3C" w:rsidR="007E620D" w:rsidRDefault="007E620D" w:rsidP="00BD0E9E">
      <w:pPr>
        <w:spacing w:line="480" w:lineRule="auto"/>
        <w:rPr>
          <w:rFonts w:ascii="Arial" w:hAnsi="Arial" w:cs="Arial"/>
          <w:sz w:val="24"/>
          <w:szCs w:val="24"/>
        </w:rPr>
      </w:pPr>
    </w:p>
    <w:p w14:paraId="0A90CF84" w14:textId="7075AFB3" w:rsidR="007E620D" w:rsidRDefault="007E620D" w:rsidP="00BD0E9E">
      <w:pPr>
        <w:spacing w:line="480" w:lineRule="auto"/>
        <w:rPr>
          <w:rFonts w:ascii="Arial" w:hAnsi="Arial" w:cs="Arial"/>
          <w:sz w:val="24"/>
          <w:szCs w:val="24"/>
        </w:rPr>
      </w:pPr>
    </w:p>
    <w:p w14:paraId="06590DDE" w14:textId="7854B2A0" w:rsidR="00C36580" w:rsidRDefault="00C36580" w:rsidP="00BD0E9E">
      <w:pPr>
        <w:spacing w:line="480" w:lineRule="auto"/>
        <w:rPr>
          <w:rFonts w:ascii="Arial" w:hAnsi="Arial" w:cs="Arial"/>
          <w:sz w:val="24"/>
          <w:szCs w:val="24"/>
        </w:rPr>
      </w:pPr>
    </w:p>
    <w:p w14:paraId="64558CDF" w14:textId="77777777" w:rsidR="0039503B" w:rsidRDefault="0039503B" w:rsidP="00BD0E9E">
      <w:pPr>
        <w:spacing w:line="480" w:lineRule="auto"/>
        <w:rPr>
          <w:rFonts w:ascii="Arial" w:hAnsi="Arial" w:cs="Arial"/>
          <w:sz w:val="24"/>
          <w:szCs w:val="24"/>
        </w:rPr>
      </w:pPr>
    </w:p>
    <w:p w14:paraId="24B86ACE" w14:textId="3F6BC0A2" w:rsidR="007E620D" w:rsidRDefault="007E620D" w:rsidP="00BD0E9E">
      <w:pPr>
        <w:spacing w:line="480" w:lineRule="auto"/>
        <w:rPr>
          <w:rFonts w:ascii="Arial" w:hAnsi="Arial" w:cs="Arial"/>
          <w:b/>
          <w:bCs/>
          <w:sz w:val="24"/>
          <w:szCs w:val="24"/>
          <w:u w:val="single"/>
        </w:rPr>
      </w:pPr>
      <w:r>
        <w:rPr>
          <w:rFonts w:ascii="Arial" w:hAnsi="Arial" w:cs="Arial"/>
          <w:b/>
          <w:bCs/>
          <w:sz w:val="24"/>
          <w:szCs w:val="24"/>
          <w:u w:val="single"/>
        </w:rPr>
        <w:lastRenderedPageBreak/>
        <w:t xml:space="preserve">References </w:t>
      </w:r>
    </w:p>
    <w:p w14:paraId="5FCDE854" w14:textId="167BC9A6" w:rsidR="002822F1" w:rsidRPr="002822F1" w:rsidRDefault="002822F1" w:rsidP="00BD0E9E">
      <w:pPr>
        <w:spacing w:line="480" w:lineRule="auto"/>
        <w:rPr>
          <w:rFonts w:ascii="Arial" w:hAnsi="Arial" w:cs="Arial"/>
          <w:sz w:val="24"/>
          <w:szCs w:val="24"/>
        </w:rPr>
      </w:pPr>
      <w:r>
        <w:rPr>
          <w:rFonts w:ascii="Arial" w:hAnsi="Arial" w:cs="Arial"/>
          <w:sz w:val="24"/>
          <w:szCs w:val="24"/>
        </w:rPr>
        <w:t xml:space="preserve">Bottoms, A. &amp; Tankebe, J. (2012) </w:t>
      </w:r>
      <w:r>
        <w:rPr>
          <w:rFonts w:ascii="Arial" w:hAnsi="Arial" w:cs="Arial"/>
          <w:i/>
          <w:iCs/>
          <w:sz w:val="24"/>
          <w:szCs w:val="24"/>
        </w:rPr>
        <w:t>Beyond Procedural Justice: A Dialogic Approach to Legitimacy in Criminal Justice.</w:t>
      </w:r>
      <w:r>
        <w:rPr>
          <w:rFonts w:ascii="Arial" w:hAnsi="Arial" w:cs="Arial"/>
          <w:sz w:val="24"/>
          <w:szCs w:val="24"/>
        </w:rPr>
        <w:t xml:space="preserve"> Published – Winter 2012. Published by The Journal of Criminal Law &amp; Criminology, North Western University School of Law, Chicago USA. (Accessed on – 28/10/2020). </w:t>
      </w:r>
    </w:p>
    <w:p w14:paraId="5F214253" w14:textId="3044F092" w:rsidR="00AE0C18" w:rsidRPr="00AE0C18" w:rsidRDefault="00AE0C18" w:rsidP="00BD0E9E">
      <w:pPr>
        <w:spacing w:line="480" w:lineRule="auto"/>
        <w:rPr>
          <w:rFonts w:ascii="Arial" w:hAnsi="Arial" w:cs="Arial"/>
          <w:sz w:val="24"/>
          <w:szCs w:val="24"/>
        </w:rPr>
      </w:pPr>
      <w:r>
        <w:rPr>
          <w:rFonts w:ascii="Arial" w:hAnsi="Arial" w:cs="Arial"/>
          <w:sz w:val="24"/>
          <w:szCs w:val="24"/>
        </w:rPr>
        <w:t xml:space="preserve">Bristol University Press (2020) ‘Publishing with Purpose: Philip Whitehead’ [Online] (Last Updated – September 2020) </w:t>
      </w:r>
      <w:r>
        <w:rPr>
          <w:rFonts w:ascii="Arial" w:hAnsi="Arial" w:cs="Arial"/>
          <w:sz w:val="24"/>
          <w:szCs w:val="24"/>
          <w:u w:val="single"/>
        </w:rPr>
        <w:t xml:space="preserve">Available at - </w:t>
      </w:r>
      <w:hyperlink r:id="rId4" w:history="1">
        <w:r w:rsidRPr="009601E0">
          <w:rPr>
            <w:rStyle w:val="Hyperlink"/>
            <w:rFonts w:ascii="Arial" w:hAnsi="Arial" w:cs="Arial"/>
            <w:sz w:val="24"/>
            <w:szCs w:val="24"/>
          </w:rPr>
          <w:t>https://bristoluniversitypress.co.uk/philip-whitehead</w:t>
        </w:r>
      </w:hyperlink>
      <w:r>
        <w:rPr>
          <w:rFonts w:ascii="Arial" w:hAnsi="Arial" w:cs="Arial"/>
          <w:sz w:val="24"/>
          <w:szCs w:val="24"/>
          <w:u w:val="single"/>
        </w:rPr>
        <w:t xml:space="preserve"> </w:t>
      </w:r>
      <w:r>
        <w:rPr>
          <w:rFonts w:ascii="Arial" w:hAnsi="Arial" w:cs="Arial"/>
          <w:sz w:val="24"/>
          <w:szCs w:val="24"/>
        </w:rPr>
        <w:t xml:space="preserve">(Accessed on - 27/10/2020). </w:t>
      </w:r>
    </w:p>
    <w:p w14:paraId="78F40186" w14:textId="5423091B" w:rsidR="008C6987" w:rsidRPr="008C6987" w:rsidRDefault="008C6987" w:rsidP="00BD0E9E">
      <w:pPr>
        <w:spacing w:line="480" w:lineRule="auto"/>
        <w:rPr>
          <w:rFonts w:ascii="Arial" w:hAnsi="Arial" w:cs="Arial"/>
          <w:sz w:val="24"/>
          <w:szCs w:val="24"/>
        </w:rPr>
      </w:pPr>
      <w:r>
        <w:rPr>
          <w:rFonts w:ascii="Arial" w:hAnsi="Arial" w:cs="Arial"/>
          <w:sz w:val="24"/>
          <w:szCs w:val="24"/>
        </w:rPr>
        <w:t xml:space="preserve">Cassese, A. (2003) </w:t>
      </w:r>
      <w:r>
        <w:rPr>
          <w:rFonts w:ascii="Arial" w:hAnsi="Arial" w:cs="Arial"/>
          <w:i/>
          <w:iCs/>
          <w:sz w:val="24"/>
          <w:szCs w:val="24"/>
        </w:rPr>
        <w:t>Reflections on International Criminal Justice.</w:t>
      </w:r>
      <w:r>
        <w:rPr>
          <w:rFonts w:ascii="Arial" w:hAnsi="Arial" w:cs="Arial"/>
          <w:sz w:val="24"/>
          <w:szCs w:val="24"/>
        </w:rPr>
        <w:t xml:space="preserve"> Published – May 2003. Published by Wiley Publications Ltd, Hoboken, New Jersey USA. (Accessed on – 27/10/2020). </w:t>
      </w:r>
    </w:p>
    <w:p w14:paraId="3FD157E4" w14:textId="686C138C" w:rsidR="00C768C3" w:rsidRDefault="00C768C3" w:rsidP="00BD0E9E">
      <w:pPr>
        <w:spacing w:line="480" w:lineRule="auto"/>
        <w:rPr>
          <w:rFonts w:ascii="Arial" w:hAnsi="Arial" w:cs="Arial"/>
          <w:sz w:val="24"/>
          <w:szCs w:val="24"/>
        </w:rPr>
      </w:pPr>
      <w:r>
        <w:rPr>
          <w:rFonts w:ascii="Arial" w:hAnsi="Arial" w:cs="Arial"/>
          <w:sz w:val="24"/>
          <w:szCs w:val="24"/>
        </w:rPr>
        <w:t xml:space="preserve">Damaska, M. (2008) </w:t>
      </w:r>
      <w:r>
        <w:rPr>
          <w:rFonts w:ascii="Arial" w:hAnsi="Arial" w:cs="Arial"/>
          <w:i/>
          <w:iCs/>
          <w:sz w:val="24"/>
          <w:szCs w:val="24"/>
        </w:rPr>
        <w:t xml:space="preserve">What is the point of International Criminal Justice. </w:t>
      </w:r>
      <w:r>
        <w:rPr>
          <w:rFonts w:ascii="Arial" w:hAnsi="Arial" w:cs="Arial"/>
          <w:sz w:val="24"/>
          <w:szCs w:val="24"/>
        </w:rPr>
        <w:t xml:space="preserve">Published – Autumn 2008. Published by Faculty of Law, Yale University, Connecticut USA. (Accessed on – 27/10/2020). </w:t>
      </w:r>
    </w:p>
    <w:p w14:paraId="1536D673" w14:textId="201A3190" w:rsidR="00572A60" w:rsidRPr="00572A60" w:rsidRDefault="00572A60" w:rsidP="00BD0E9E">
      <w:pPr>
        <w:spacing w:line="480" w:lineRule="auto"/>
        <w:rPr>
          <w:rFonts w:ascii="Arial" w:hAnsi="Arial" w:cs="Arial"/>
          <w:sz w:val="24"/>
          <w:szCs w:val="24"/>
        </w:rPr>
      </w:pPr>
      <w:r>
        <w:rPr>
          <w:rFonts w:ascii="Arial" w:hAnsi="Arial" w:cs="Arial"/>
          <w:sz w:val="24"/>
          <w:szCs w:val="24"/>
        </w:rPr>
        <w:t xml:space="preserve">Farrall, S. &amp; Jennings, W. (2012) </w:t>
      </w:r>
      <w:r>
        <w:rPr>
          <w:rFonts w:ascii="Arial" w:hAnsi="Arial" w:cs="Arial"/>
          <w:i/>
          <w:iCs/>
          <w:sz w:val="24"/>
          <w:szCs w:val="24"/>
        </w:rPr>
        <w:t>Policy Feedback and the Criminal Justice Agenda.</w:t>
      </w:r>
      <w:r>
        <w:rPr>
          <w:rFonts w:ascii="Arial" w:hAnsi="Arial" w:cs="Arial"/>
          <w:sz w:val="24"/>
          <w:szCs w:val="24"/>
        </w:rPr>
        <w:t xml:space="preserve"> Published – April 2012. Published by Journal of Contemporary British History, Taylor &amp; Francis Group Publishing Ltd, Howick Place, London UK (Accessed on – 28/10/2020). </w:t>
      </w:r>
    </w:p>
    <w:p w14:paraId="3DAB9F1D" w14:textId="6F893682" w:rsidR="00F93EC5" w:rsidRDefault="00F93EC5" w:rsidP="00BD0E9E">
      <w:pPr>
        <w:spacing w:line="480" w:lineRule="auto"/>
        <w:rPr>
          <w:rFonts w:ascii="Arial" w:hAnsi="Arial" w:cs="Arial"/>
          <w:sz w:val="24"/>
          <w:szCs w:val="24"/>
        </w:rPr>
      </w:pPr>
      <w:r>
        <w:rPr>
          <w:rFonts w:ascii="Arial" w:hAnsi="Arial" w:cs="Arial"/>
          <w:sz w:val="24"/>
          <w:szCs w:val="24"/>
        </w:rPr>
        <w:t xml:space="preserve">Jones, </w:t>
      </w:r>
      <w:r w:rsidR="00C478AC">
        <w:rPr>
          <w:rFonts w:ascii="Arial" w:hAnsi="Arial" w:cs="Arial"/>
          <w:sz w:val="24"/>
          <w:szCs w:val="24"/>
        </w:rPr>
        <w:t xml:space="preserve">T. &amp; Newburn, T. (2005) </w:t>
      </w:r>
      <w:r w:rsidR="00C478AC">
        <w:rPr>
          <w:rFonts w:ascii="Arial" w:hAnsi="Arial" w:cs="Arial"/>
          <w:i/>
          <w:iCs/>
          <w:sz w:val="24"/>
          <w:szCs w:val="24"/>
        </w:rPr>
        <w:t>Comparative Criminal Justice Policy: The Case of Private Prisons.</w:t>
      </w:r>
      <w:r w:rsidR="00C478AC">
        <w:rPr>
          <w:rFonts w:ascii="Arial" w:hAnsi="Arial" w:cs="Arial"/>
          <w:sz w:val="24"/>
          <w:szCs w:val="24"/>
        </w:rPr>
        <w:t xml:space="preserve"> Published – January 2005. Published by The British Journal of Criminology, Oxford University Press, England UK. (Accessed on – 28/10/2020). </w:t>
      </w:r>
    </w:p>
    <w:p w14:paraId="7DFD0B1D" w14:textId="77777777" w:rsidR="00542AC1" w:rsidRDefault="00542AC1" w:rsidP="00BD0E9E">
      <w:pPr>
        <w:spacing w:line="480" w:lineRule="auto"/>
        <w:rPr>
          <w:rFonts w:ascii="Arial" w:hAnsi="Arial" w:cs="Arial"/>
          <w:sz w:val="24"/>
          <w:szCs w:val="24"/>
        </w:rPr>
      </w:pPr>
    </w:p>
    <w:p w14:paraId="3D0A33ED" w14:textId="0C2E7B2B" w:rsidR="00C36580" w:rsidRPr="00232EF8" w:rsidRDefault="00C36580" w:rsidP="00BD0E9E">
      <w:pPr>
        <w:spacing w:line="480" w:lineRule="auto"/>
        <w:rPr>
          <w:rFonts w:ascii="Arial" w:hAnsi="Arial" w:cs="Arial"/>
          <w:sz w:val="24"/>
          <w:szCs w:val="24"/>
        </w:rPr>
      </w:pPr>
      <w:r>
        <w:rPr>
          <w:rFonts w:ascii="Arial" w:hAnsi="Arial" w:cs="Arial"/>
          <w:sz w:val="24"/>
          <w:szCs w:val="24"/>
        </w:rPr>
        <w:lastRenderedPageBreak/>
        <w:t xml:space="preserve">Lister, S. (2013) </w:t>
      </w:r>
      <w:r>
        <w:rPr>
          <w:rFonts w:ascii="Arial" w:hAnsi="Arial" w:cs="Arial"/>
          <w:i/>
          <w:iCs/>
          <w:sz w:val="24"/>
          <w:szCs w:val="24"/>
        </w:rPr>
        <w:t>The New Politics of the Police: Police and Crime Commissioners and the Operational Indepen</w:t>
      </w:r>
      <w:r w:rsidR="00232EF8">
        <w:rPr>
          <w:rFonts w:ascii="Arial" w:hAnsi="Arial" w:cs="Arial"/>
          <w:i/>
          <w:iCs/>
          <w:sz w:val="24"/>
          <w:szCs w:val="24"/>
        </w:rPr>
        <w:t>dence of the Police.</w:t>
      </w:r>
      <w:r w:rsidR="00232EF8">
        <w:rPr>
          <w:rFonts w:ascii="Arial" w:hAnsi="Arial" w:cs="Arial"/>
          <w:sz w:val="24"/>
          <w:szCs w:val="24"/>
        </w:rPr>
        <w:t xml:space="preserve"> Published – March, 2013. Published by Policing: A Journal of Policy and Practice, Oxford University Press, England UK. (Accessed on – 10/11/2020). </w:t>
      </w:r>
    </w:p>
    <w:p w14:paraId="03C71DF2" w14:textId="50D14F39" w:rsidR="00FB5AB5" w:rsidRDefault="00FB5AB5" w:rsidP="00BD0E9E">
      <w:pPr>
        <w:spacing w:line="480" w:lineRule="auto"/>
        <w:rPr>
          <w:rFonts w:ascii="Arial" w:hAnsi="Arial" w:cs="Arial"/>
          <w:sz w:val="24"/>
          <w:szCs w:val="24"/>
        </w:rPr>
      </w:pPr>
      <w:r>
        <w:rPr>
          <w:rFonts w:ascii="Arial" w:hAnsi="Arial" w:cs="Arial"/>
          <w:sz w:val="24"/>
          <w:szCs w:val="24"/>
        </w:rPr>
        <w:t xml:space="preserve">Miller, L. &amp; Whitehead, J. (2017) </w:t>
      </w:r>
      <w:r>
        <w:rPr>
          <w:rFonts w:ascii="Arial" w:hAnsi="Arial" w:cs="Arial"/>
          <w:i/>
          <w:iCs/>
          <w:sz w:val="24"/>
          <w:szCs w:val="24"/>
        </w:rPr>
        <w:t>Report Writing for Criminal Justice Professionals.</w:t>
      </w:r>
      <w:r>
        <w:rPr>
          <w:rFonts w:ascii="Arial" w:hAnsi="Arial" w:cs="Arial"/>
          <w:sz w:val="24"/>
          <w:szCs w:val="24"/>
        </w:rPr>
        <w:t xml:space="preserve"> </w:t>
      </w:r>
      <w:r w:rsidR="00D377A1">
        <w:rPr>
          <w:rFonts w:ascii="Arial" w:hAnsi="Arial" w:cs="Arial"/>
          <w:sz w:val="24"/>
          <w:szCs w:val="24"/>
        </w:rPr>
        <w:t xml:space="preserve">Published – Summer 2017. Published by Routledge Publications, Abingdon, England UK. (Accessed on – 28/10/2020). </w:t>
      </w:r>
    </w:p>
    <w:p w14:paraId="08D90E1C" w14:textId="3001F320" w:rsidR="00F229B2" w:rsidRPr="00F229B2" w:rsidRDefault="00F229B2" w:rsidP="00BD0E9E">
      <w:pPr>
        <w:spacing w:line="480" w:lineRule="auto"/>
        <w:rPr>
          <w:rFonts w:ascii="Arial" w:hAnsi="Arial" w:cs="Arial"/>
          <w:sz w:val="24"/>
          <w:szCs w:val="24"/>
        </w:rPr>
      </w:pPr>
      <w:r>
        <w:rPr>
          <w:rFonts w:ascii="Arial" w:hAnsi="Arial" w:cs="Arial"/>
          <w:sz w:val="24"/>
          <w:szCs w:val="24"/>
        </w:rPr>
        <w:t xml:space="preserve">Reiner, R. (2013) </w:t>
      </w:r>
      <w:r>
        <w:rPr>
          <w:rFonts w:ascii="Arial" w:hAnsi="Arial" w:cs="Arial"/>
          <w:i/>
          <w:iCs/>
          <w:sz w:val="24"/>
          <w:szCs w:val="24"/>
        </w:rPr>
        <w:t>Who Governs? Democracy, Plutocracy, Science and Prophecy in Policing.</w:t>
      </w:r>
      <w:r>
        <w:rPr>
          <w:rFonts w:ascii="Arial" w:hAnsi="Arial" w:cs="Arial"/>
          <w:sz w:val="24"/>
          <w:szCs w:val="24"/>
        </w:rPr>
        <w:t xml:space="preserve"> Published – March, 2013. Published by Journal of Criminology &amp; Criminal Justice, SAGE Publications, Newbury Park, California, USA. (Accessed on – 10/11/2020). </w:t>
      </w:r>
    </w:p>
    <w:p w14:paraId="24C8DE69" w14:textId="14ADD93E" w:rsidR="00FF6C1C" w:rsidRDefault="00FF6C1C" w:rsidP="00BD0E9E">
      <w:pPr>
        <w:spacing w:line="480" w:lineRule="auto"/>
        <w:rPr>
          <w:rFonts w:ascii="Arial" w:hAnsi="Arial" w:cs="Arial"/>
          <w:sz w:val="24"/>
          <w:szCs w:val="24"/>
        </w:rPr>
      </w:pPr>
      <w:r>
        <w:rPr>
          <w:rFonts w:ascii="Arial" w:hAnsi="Arial" w:cs="Arial"/>
          <w:sz w:val="24"/>
          <w:szCs w:val="24"/>
        </w:rPr>
        <w:t xml:space="preserve">Whitehead, P. (2016) </w:t>
      </w:r>
      <w:r>
        <w:rPr>
          <w:rFonts w:ascii="Arial" w:hAnsi="Arial" w:cs="Arial"/>
          <w:i/>
          <w:iCs/>
          <w:sz w:val="24"/>
          <w:szCs w:val="24"/>
        </w:rPr>
        <w:t>Modernizing and Transforming Criminal Justice in England &amp; Wales, 1997-2015: From New Labour to the Coalition Government.</w:t>
      </w:r>
      <w:r>
        <w:rPr>
          <w:rFonts w:ascii="Arial" w:hAnsi="Arial" w:cs="Arial"/>
          <w:sz w:val="24"/>
          <w:szCs w:val="24"/>
        </w:rPr>
        <w:t xml:space="preserve"> Published </w:t>
      </w:r>
      <w:r w:rsidR="00C2702C">
        <w:rPr>
          <w:rFonts w:ascii="Arial" w:hAnsi="Arial" w:cs="Arial"/>
          <w:sz w:val="24"/>
          <w:szCs w:val="24"/>
        </w:rPr>
        <w:t>–</w:t>
      </w:r>
      <w:r>
        <w:rPr>
          <w:rFonts w:ascii="Arial" w:hAnsi="Arial" w:cs="Arial"/>
          <w:sz w:val="24"/>
          <w:szCs w:val="24"/>
        </w:rPr>
        <w:t xml:space="preserve"> </w:t>
      </w:r>
      <w:r w:rsidR="00C2702C">
        <w:rPr>
          <w:rFonts w:ascii="Arial" w:hAnsi="Arial" w:cs="Arial"/>
          <w:sz w:val="24"/>
          <w:szCs w:val="24"/>
        </w:rPr>
        <w:t xml:space="preserve">April 2016. Published by Federal Sentencing Reporter Journal, </w:t>
      </w:r>
      <w:r w:rsidR="008B3B24">
        <w:rPr>
          <w:rFonts w:ascii="Arial" w:hAnsi="Arial" w:cs="Arial"/>
          <w:sz w:val="24"/>
          <w:szCs w:val="24"/>
        </w:rPr>
        <w:t xml:space="preserve">University of California Press, </w:t>
      </w:r>
      <w:r w:rsidR="00C2702C">
        <w:rPr>
          <w:rFonts w:ascii="Arial" w:hAnsi="Arial" w:cs="Arial"/>
          <w:sz w:val="24"/>
          <w:szCs w:val="24"/>
        </w:rPr>
        <w:t xml:space="preserve">USA. (Accessed on – 27/10/2020). </w:t>
      </w:r>
    </w:p>
    <w:p w14:paraId="6C73D1CC" w14:textId="6190EEB5" w:rsidR="00D36E1D" w:rsidRPr="00D36E1D" w:rsidRDefault="00D36E1D" w:rsidP="00BD0E9E">
      <w:pPr>
        <w:spacing w:line="480" w:lineRule="auto"/>
        <w:rPr>
          <w:rFonts w:ascii="Arial" w:hAnsi="Arial" w:cs="Arial"/>
          <w:sz w:val="24"/>
          <w:szCs w:val="24"/>
        </w:rPr>
      </w:pPr>
      <w:r>
        <w:rPr>
          <w:rFonts w:ascii="Arial" w:hAnsi="Arial" w:cs="Arial"/>
          <w:sz w:val="24"/>
          <w:szCs w:val="24"/>
        </w:rPr>
        <w:t xml:space="preserve">Williams, E. &amp; Robinson, M. (2006) </w:t>
      </w:r>
      <w:r>
        <w:rPr>
          <w:rFonts w:ascii="Arial" w:hAnsi="Arial" w:cs="Arial"/>
          <w:i/>
          <w:iCs/>
          <w:sz w:val="24"/>
          <w:szCs w:val="24"/>
        </w:rPr>
        <w:t>Ideology and Criminal Justice: Suggestions for a Pedagogical Model.</w:t>
      </w:r>
      <w:r>
        <w:rPr>
          <w:rFonts w:ascii="Arial" w:hAnsi="Arial" w:cs="Arial"/>
          <w:sz w:val="24"/>
          <w:szCs w:val="24"/>
        </w:rPr>
        <w:t xml:space="preserve"> Published – August 2006. Published by Journal of Criminal Justice Education (Vol 15, Issue 2), </w:t>
      </w:r>
      <w:r w:rsidR="00B221F1">
        <w:rPr>
          <w:rFonts w:ascii="Arial" w:hAnsi="Arial" w:cs="Arial"/>
          <w:sz w:val="24"/>
          <w:szCs w:val="24"/>
        </w:rPr>
        <w:t xml:space="preserve">Taylor &amp; Francis Group Publishing Ltd, Howick Place, London, UK. (Accessed on – 12/11/2020). </w:t>
      </w:r>
    </w:p>
    <w:p w14:paraId="07674910" w14:textId="610CD53B" w:rsidR="006317FF" w:rsidRPr="006317FF" w:rsidRDefault="006317FF" w:rsidP="00BD0E9E">
      <w:pPr>
        <w:spacing w:line="480" w:lineRule="auto"/>
        <w:rPr>
          <w:rFonts w:ascii="Arial" w:hAnsi="Arial" w:cs="Arial"/>
          <w:sz w:val="24"/>
          <w:szCs w:val="24"/>
        </w:rPr>
      </w:pPr>
      <w:r>
        <w:rPr>
          <w:rFonts w:ascii="Arial" w:hAnsi="Arial" w:cs="Arial"/>
          <w:sz w:val="24"/>
          <w:szCs w:val="24"/>
        </w:rPr>
        <w:t xml:space="preserve">Wood, J. (2013) </w:t>
      </w:r>
      <w:r>
        <w:rPr>
          <w:rFonts w:ascii="Arial" w:hAnsi="Arial" w:cs="Arial"/>
          <w:i/>
          <w:iCs/>
          <w:sz w:val="24"/>
          <w:szCs w:val="24"/>
        </w:rPr>
        <w:t xml:space="preserve">Public Opinion Criminal Justice. </w:t>
      </w:r>
      <w:r>
        <w:rPr>
          <w:rFonts w:ascii="Arial" w:hAnsi="Arial" w:cs="Arial"/>
          <w:sz w:val="24"/>
          <w:szCs w:val="24"/>
        </w:rPr>
        <w:t xml:space="preserve">Published – May 2013. Published by Routledge Publications, Abingdon, England UK. (Accessed on – 28/10/2020). </w:t>
      </w:r>
    </w:p>
    <w:p w14:paraId="6A7C22E7" w14:textId="406DECD2" w:rsidR="007E620D" w:rsidRDefault="007E620D" w:rsidP="00BD0E9E">
      <w:pPr>
        <w:spacing w:line="480" w:lineRule="auto"/>
        <w:rPr>
          <w:rFonts w:ascii="Arial" w:hAnsi="Arial" w:cs="Arial"/>
          <w:sz w:val="24"/>
          <w:szCs w:val="24"/>
        </w:rPr>
      </w:pPr>
    </w:p>
    <w:p w14:paraId="2B2351C8" w14:textId="77777777" w:rsidR="007E620D" w:rsidRPr="00BD0E9E" w:rsidRDefault="007E620D" w:rsidP="00BD0E9E">
      <w:pPr>
        <w:spacing w:line="480" w:lineRule="auto"/>
        <w:rPr>
          <w:rFonts w:ascii="Arial" w:hAnsi="Arial" w:cs="Arial"/>
          <w:sz w:val="24"/>
          <w:szCs w:val="24"/>
        </w:rPr>
      </w:pPr>
    </w:p>
    <w:sectPr w:rsidR="007E620D" w:rsidRPr="00BD0E9E" w:rsidSect="00C07AA9">
      <w:pgSz w:w="11906" w:h="16838" w:code="9"/>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E9E"/>
    <w:rsid w:val="00000AAF"/>
    <w:rsid w:val="00002F2B"/>
    <w:rsid w:val="0000497C"/>
    <w:rsid w:val="00027798"/>
    <w:rsid w:val="00031BD4"/>
    <w:rsid w:val="00035596"/>
    <w:rsid w:val="0003787F"/>
    <w:rsid w:val="00067E73"/>
    <w:rsid w:val="00072C30"/>
    <w:rsid w:val="00081A88"/>
    <w:rsid w:val="000914FD"/>
    <w:rsid w:val="000E72F3"/>
    <w:rsid w:val="0012184A"/>
    <w:rsid w:val="001C2854"/>
    <w:rsid w:val="001C2EEE"/>
    <w:rsid w:val="00204EB5"/>
    <w:rsid w:val="00215FA5"/>
    <w:rsid w:val="00216E3F"/>
    <w:rsid w:val="002177FD"/>
    <w:rsid w:val="002225FD"/>
    <w:rsid w:val="00230862"/>
    <w:rsid w:val="00232EF8"/>
    <w:rsid w:val="00237BF2"/>
    <w:rsid w:val="002416D5"/>
    <w:rsid w:val="00251548"/>
    <w:rsid w:val="002614D5"/>
    <w:rsid w:val="00265092"/>
    <w:rsid w:val="00265C73"/>
    <w:rsid w:val="002822F1"/>
    <w:rsid w:val="00287CB5"/>
    <w:rsid w:val="00293092"/>
    <w:rsid w:val="002A124B"/>
    <w:rsid w:val="002A2D4E"/>
    <w:rsid w:val="002B0D12"/>
    <w:rsid w:val="002B727D"/>
    <w:rsid w:val="002D1EE3"/>
    <w:rsid w:val="002F49FD"/>
    <w:rsid w:val="003256CA"/>
    <w:rsid w:val="00336325"/>
    <w:rsid w:val="00367560"/>
    <w:rsid w:val="0039503B"/>
    <w:rsid w:val="003A7F60"/>
    <w:rsid w:val="003C0E5E"/>
    <w:rsid w:val="003C7363"/>
    <w:rsid w:val="003D3B64"/>
    <w:rsid w:val="003F003D"/>
    <w:rsid w:val="003F2F71"/>
    <w:rsid w:val="003F5FA3"/>
    <w:rsid w:val="00401E19"/>
    <w:rsid w:val="004557E7"/>
    <w:rsid w:val="00484470"/>
    <w:rsid w:val="0049343D"/>
    <w:rsid w:val="004A4BA4"/>
    <w:rsid w:val="004A7CA7"/>
    <w:rsid w:val="004D6222"/>
    <w:rsid w:val="005009B8"/>
    <w:rsid w:val="005111C3"/>
    <w:rsid w:val="00524C35"/>
    <w:rsid w:val="00542AC1"/>
    <w:rsid w:val="005557CB"/>
    <w:rsid w:val="00567036"/>
    <w:rsid w:val="00572A60"/>
    <w:rsid w:val="00585431"/>
    <w:rsid w:val="00596711"/>
    <w:rsid w:val="005A0747"/>
    <w:rsid w:val="005A33C0"/>
    <w:rsid w:val="005A7971"/>
    <w:rsid w:val="005C314A"/>
    <w:rsid w:val="005F6650"/>
    <w:rsid w:val="00607A76"/>
    <w:rsid w:val="006114E6"/>
    <w:rsid w:val="0061513F"/>
    <w:rsid w:val="00620684"/>
    <w:rsid w:val="006317FF"/>
    <w:rsid w:val="00650658"/>
    <w:rsid w:val="00652C41"/>
    <w:rsid w:val="006532E8"/>
    <w:rsid w:val="00654129"/>
    <w:rsid w:val="00661C10"/>
    <w:rsid w:val="0067124D"/>
    <w:rsid w:val="006777CC"/>
    <w:rsid w:val="00681094"/>
    <w:rsid w:val="00695B51"/>
    <w:rsid w:val="006E0F0F"/>
    <w:rsid w:val="006F7822"/>
    <w:rsid w:val="00701981"/>
    <w:rsid w:val="00705CDA"/>
    <w:rsid w:val="007373B7"/>
    <w:rsid w:val="007616D6"/>
    <w:rsid w:val="00762C9B"/>
    <w:rsid w:val="00763D7E"/>
    <w:rsid w:val="00765AAF"/>
    <w:rsid w:val="00793B2A"/>
    <w:rsid w:val="007A1952"/>
    <w:rsid w:val="007A430B"/>
    <w:rsid w:val="007A7C11"/>
    <w:rsid w:val="007B344A"/>
    <w:rsid w:val="007B41EB"/>
    <w:rsid w:val="007C3955"/>
    <w:rsid w:val="007E620D"/>
    <w:rsid w:val="007E6F53"/>
    <w:rsid w:val="007F7093"/>
    <w:rsid w:val="008039F3"/>
    <w:rsid w:val="00815720"/>
    <w:rsid w:val="00833011"/>
    <w:rsid w:val="00833FE3"/>
    <w:rsid w:val="00854F72"/>
    <w:rsid w:val="00891647"/>
    <w:rsid w:val="00896EC4"/>
    <w:rsid w:val="008B024C"/>
    <w:rsid w:val="008B13B8"/>
    <w:rsid w:val="008B18AD"/>
    <w:rsid w:val="008B3B24"/>
    <w:rsid w:val="008C4569"/>
    <w:rsid w:val="008C52BD"/>
    <w:rsid w:val="008C6987"/>
    <w:rsid w:val="008E3C12"/>
    <w:rsid w:val="009251B8"/>
    <w:rsid w:val="009308EA"/>
    <w:rsid w:val="00943A5C"/>
    <w:rsid w:val="00957640"/>
    <w:rsid w:val="0096087B"/>
    <w:rsid w:val="009659DA"/>
    <w:rsid w:val="009807F1"/>
    <w:rsid w:val="009A722F"/>
    <w:rsid w:val="009B6F35"/>
    <w:rsid w:val="009C3982"/>
    <w:rsid w:val="009C6ADE"/>
    <w:rsid w:val="00A27F5C"/>
    <w:rsid w:val="00A31A30"/>
    <w:rsid w:val="00A379DF"/>
    <w:rsid w:val="00A45EAD"/>
    <w:rsid w:val="00A520B1"/>
    <w:rsid w:val="00A9624C"/>
    <w:rsid w:val="00AA4D33"/>
    <w:rsid w:val="00AA6192"/>
    <w:rsid w:val="00AE0C18"/>
    <w:rsid w:val="00B11EEC"/>
    <w:rsid w:val="00B221F1"/>
    <w:rsid w:val="00B752E0"/>
    <w:rsid w:val="00BA0E19"/>
    <w:rsid w:val="00BA7930"/>
    <w:rsid w:val="00BD0E9E"/>
    <w:rsid w:val="00C00AD9"/>
    <w:rsid w:val="00C07AA9"/>
    <w:rsid w:val="00C2702C"/>
    <w:rsid w:val="00C36580"/>
    <w:rsid w:val="00C36B85"/>
    <w:rsid w:val="00C378EA"/>
    <w:rsid w:val="00C41807"/>
    <w:rsid w:val="00C478AC"/>
    <w:rsid w:val="00C768C3"/>
    <w:rsid w:val="00C9491D"/>
    <w:rsid w:val="00D0321B"/>
    <w:rsid w:val="00D112D3"/>
    <w:rsid w:val="00D254AD"/>
    <w:rsid w:val="00D36E1D"/>
    <w:rsid w:val="00D377A1"/>
    <w:rsid w:val="00D40640"/>
    <w:rsid w:val="00D76F47"/>
    <w:rsid w:val="00D83E39"/>
    <w:rsid w:val="00D860B6"/>
    <w:rsid w:val="00DA4A02"/>
    <w:rsid w:val="00DF4AAE"/>
    <w:rsid w:val="00E1195E"/>
    <w:rsid w:val="00E151F5"/>
    <w:rsid w:val="00E339F6"/>
    <w:rsid w:val="00E45D0F"/>
    <w:rsid w:val="00E64E33"/>
    <w:rsid w:val="00E73ECE"/>
    <w:rsid w:val="00E750A4"/>
    <w:rsid w:val="00E75955"/>
    <w:rsid w:val="00E80125"/>
    <w:rsid w:val="00E87BC6"/>
    <w:rsid w:val="00E90CE5"/>
    <w:rsid w:val="00E9301F"/>
    <w:rsid w:val="00EA5D04"/>
    <w:rsid w:val="00EC028A"/>
    <w:rsid w:val="00F154D8"/>
    <w:rsid w:val="00F229B2"/>
    <w:rsid w:val="00F25079"/>
    <w:rsid w:val="00F61FC7"/>
    <w:rsid w:val="00F70D74"/>
    <w:rsid w:val="00F7715B"/>
    <w:rsid w:val="00F93EC5"/>
    <w:rsid w:val="00FB5AB5"/>
    <w:rsid w:val="00FF6C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CEE38"/>
  <w15:chartTrackingRefBased/>
  <w15:docId w15:val="{28379267-4840-42CF-B40D-27496A6D8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07AA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07AA9"/>
    <w:rPr>
      <w:rFonts w:eastAsiaTheme="minorEastAsia"/>
      <w:lang w:val="en-US"/>
    </w:rPr>
  </w:style>
  <w:style w:type="character" w:styleId="Hyperlink">
    <w:name w:val="Hyperlink"/>
    <w:basedOn w:val="DefaultParagraphFont"/>
    <w:uiPriority w:val="99"/>
    <w:unhideWhenUsed/>
    <w:rsid w:val="007E620D"/>
    <w:rPr>
      <w:color w:val="0563C1" w:themeColor="hyperlink"/>
      <w:u w:val="single"/>
    </w:rPr>
  </w:style>
  <w:style w:type="character" w:styleId="UnresolvedMention">
    <w:name w:val="Unresolved Mention"/>
    <w:basedOn w:val="DefaultParagraphFont"/>
    <w:uiPriority w:val="99"/>
    <w:semiHidden/>
    <w:unhideWhenUsed/>
    <w:rsid w:val="007E620D"/>
    <w:rPr>
      <w:color w:val="605E5C"/>
      <w:shd w:val="clear" w:color="auto" w:fill="E1DFDD"/>
    </w:rPr>
  </w:style>
  <w:style w:type="character" w:styleId="FollowedHyperlink">
    <w:name w:val="FollowedHyperlink"/>
    <w:basedOn w:val="DefaultParagraphFont"/>
    <w:uiPriority w:val="99"/>
    <w:semiHidden/>
    <w:unhideWhenUsed/>
    <w:rsid w:val="00EC028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bristoluniversitypress.co.uk/philip-whitehe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1200</TotalTime>
  <Pages>11</Pages>
  <Words>2461</Words>
  <Characters>14030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Article Review.                        Module: The Criminal Justice System, Youth Justice and prison systems in England and Wales.</vt:lpstr>
    </vt:vector>
  </TitlesOfParts>
  <Company/>
  <LinksUpToDate>false</LinksUpToDate>
  <CharactersWithSpaces>16459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Article Review.                        Module: The Criminal Justice System, Youth Justice and prison systems in England and Wales.</dc:title>
  <dc:subject/>
  <dc:creator>Kyle Evans  - Student ID: 1706558.</dc:creator>
  <cp:keywords/>
  <dc:description/>
  <cp:lastModifiedBy>Kyle Evans</cp:lastModifiedBy>
  <cp:revision>99</cp:revision>
  <dcterms:created xsi:type="dcterms:W3CDTF">2020-10-26T16:16:00Z</dcterms:created>
  <dcterms:modified xsi:type="dcterms:W3CDTF">2020-11-19T15:05:00Z</dcterms:modified>
</cp:coreProperties>
</file>