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B27DC0" w14:textId="77777777" w:rsidR="008373B4" w:rsidRPr="00AC5F83" w:rsidRDefault="008373B4" w:rsidP="001E51CC">
      <w:pPr>
        <w:rPr>
          <w:rFonts w:ascii="Arial" w:eastAsia="Arial" w:hAnsi="Arial" w:cs="Arial"/>
          <w:b/>
          <w:bCs/>
          <w:sz w:val="32"/>
          <w:szCs w:val="32"/>
        </w:rPr>
      </w:pPr>
    </w:p>
    <w:p w14:paraId="1C8EF6AF" w14:textId="77777777" w:rsidR="008373B4" w:rsidRPr="00AC5F83" w:rsidRDefault="008373B4">
      <w:pPr>
        <w:jc w:val="center"/>
        <w:rPr>
          <w:rFonts w:ascii="Arial" w:eastAsia="Arial" w:hAnsi="Arial" w:cs="Arial"/>
          <w:b/>
          <w:bCs/>
          <w:sz w:val="32"/>
          <w:szCs w:val="32"/>
        </w:rPr>
      </w:pPr>
    </w:p>
    <w:p w14:paraId="339A5970" w14:textId="77777777" w:rsidR="008373B4" w:rsidRPr="00AC5F83" w:rsidRDefault="00436FE4">
      <w:pPr>
        <w:jc w:val="center"/>
        <w:rPr>
          <w:rFonts w:ascii="Arial" w:eastAsia="Arial" w:hAnsi="Arial" w:cs="Arial"/>
          <w:b/>
          <w:bCs/>
          <w:sz w:val="32"/>
          <w:szCs w:val="32"/>
        </w:rPr>
      </w:pPr>
      <w:r w:rsidRPr="00AC5F83">
        <w:rPr>
          <w:rFonts w:ascii="Arial" w:eastAsia="Arial" w:hAnsi="Arial" w:cs="Arial"/>
          <w:b/>
          <w:bCs/>
          <w:noProof/>
          <w:sz w:val="32"/>
          <w:szCs w:val="32"/>
          <w:lang w:eastAsia="en-GB"/>
        </w:rPr>
        <w:drawing>
          <wp:inline distT="114300" distB="114300" distL="114300" distR="114300" wp14:anchorId="0833C49D" wp14:editId="450A62AC">
            <wp:extent cx="1209675" cy="47625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1209675" cy="476250"/>
                    </a:xfrm>
                    <a:prstGeom prst="rect">
                      <a:avLst/>
                    </a:prstGeom>
                    <a:ln/>
                  </pic:spPr>
                </pic:pic>
              </a:graphicData>
            </a:graphic>
          </wp:inline>
        </w:drawing>
      </w:r>
    </w:p>
    <w:p w14:paraId="4365EA90" w14:textId="77777777" w:rsidR="008373B4" w:rsidRPr="00AC5F83" w:rsidRDefault="008373B4">
      <w:pPr>
        <w:jc w:val="center"/>
        <w:rPr>
          <w:rFonts w:ascii="Arial" w:eastAsia="Arial" w:hAnsi="Arial" w:cs="Arial"/>
          <w:b/>
          <w:bCs/>
          <w:sz w:val="32"/>
          <w:szCs w:val="32"/>
        </w:rPr>
      </w:pPr>
    </w:p>
    <w:p w14:paraId="37E47E17" w14:textId="77777777" w:rsidR="008373B4" w:rsidRPr="00AC5F83" w:rsidRDefault="00436FE4">
      <w:pPr>
        <w:jc w:val="center"/>
        <w:rPr>
          <w:rFonts w:ascii="Arial" w:eastAsia="Arial" w:hAnsi="Arial" w:cs="Arial"/>
          <w:b/>
          <w:bCs/>
          <w:sz w:val="32"/>
          <w:szCs w:val="32"/>
        </w:rPr>
      </w:pPr>
      <w:r w:rsidRPr="00AC5F83">
        <w:rPr>
          <w:rFonts w:ascii="Arial" w:eastAsia="Arial" w:hAnsi="Arial" w:cs="Arial"/>
          <w:b/>
          <w:bCs/>
          <w:sz w:val="32"/>
          <w:szCs w:val="32"/>
        </w:rPr>
        <w:t>Programme: Master of Business Administration</w:t>
      </w:r>
    </w:p>
    <w:p w14:paraId="53C601C9" w14:textId="77777777" w:rsidR="008373B4" w:rsidRPr="00AC5F83" w:rsidRDefault="00436FE4">
      <w:pPr>
        <w:jc w:val="center"/>
        <w:rPr>
          <w:rFonts w:ascii="Arial" w:eastAsia="Arial" w:hAnsi="Arial" w:cs="Arial"/>
          <w:b/>
          <w:bCs/>
          <w:sz w:val="32"/>
          <w:szCs w:val="32"/>
        </w:rPr>
      </w:pPr>
      <w:r w:rsidRPr="00AC5F83">
        <w:rPr>
          <w:rFonts w:ascii="Arial" w:eastAsia="Arial" w:hAnsi="Arial" w:cs="Arial"/>
          <w:b/>
          <w:bCs/>
          <w:sz w:val="32"/>
          <w:szCs w:val="32"/>
        </w:rPr>
        <w:t>Module: Dissertation</w:t>
      </w:r>
    </w:p>
    <w:p w14:paraId="6E3F5628" w14:textId="77777777" w:rsidR="008373B4" w:rsidRPr="00AC5F83" w:rsidRDefault="00436FE4">
      <w:pPr>
        <w:jc w:val="center"/>
        <w:rPr>
          <w:rFonts w:ascii="Arial" w:eastAsia="Arial" w:hAnsi="Arial" w:cs="Arial"/>
          <w:b/>
          <w:bCs/>
          <w:sz w:val="32"/>
          <w:szCs w:val="32"/>
        </w:rPr>
      </w:pPr>
      <w:r w:rsidRPr="00AC5F83">
        <w:rPr>
          <w:rFonts w:ascii="Arial" w:eastAsia="Arial" w:hAnsi="Arial" w:cs="Arial"/>
          <w:b/>
          <w:bCs/>
          <w:sz w:val="32"/>
          <w:szCs w:val="32"/>
        </w:rPr>
        <w:t>Module code: LCMB7035</w:t>
      </w:r>
    </w:p>
    <w:p w14:paraId="3C300A52" w14:textId="58577DAD" w:rsidR="008373B4" w:rsidRPr="00AC5F83" w:rsidRDefault="00436FE4" w:rsidP="00362103">
      <w:pPr>
        <w:jc w:val="center"/>
        <w:rPr>
          <w:rFonts w:ascii="Arial" w:eastAsia="Arial" w:hAnsi="Arial" w:cs="Arial"/>
          <w:b/>
          <w:bCs/>
          <w:sz w:val="32"/>
          <w:szCs w:val="32"/>
        </w:rPr>
      </w:pPr>
      <w:r w:rsidRPr="00AC5F83">
        <w:rPr>
          <w:rFonts w:ascii="Arial" w:eastAsia="Arial" w:hAnsi="Arial" w:cs="Arial"/>
          <w:b/>
          <w:bCs/>
          <w:sz w:val="32"/>
          <w:szCs w:val="32"/>
        </w:rPr>
        <w:t>Lecturer: Masud Ibrahim</w:t>
      </w:r>
    </w:p>
    <w:p w14:paraId="1A08C974" w14:textId="5E44F037" w:rsidR="008373B4" w:rsidRPr="00AC5F83" w:rsidRDefault="00436FE4">
      <w:pPr>
        <w:jc w:val="center"/>
        <w:rPr>
          <w:rFonts w:ascii="Arial" w:eastAsia="Arial" w:hAnsi="Arial" w:cs="Arial"/>
          <w:b/>
          <w:bCs/>
          <w:sz w:val="32"/>
          <w:szCs w:val="32"/>
        </w:rPr>
      </w:pPr>
      <w:r w:rsidRPr="00AC5F83">
        <w:rPr>
          <w:rFonts w:ascii="Arial" w:eastAsia="Arial" w:hAnsi="Arial" w:cs="Arial"/>
          <w:b/>
          <w:bCs/>
          <w:sz w:val="32"/>
          <w:szCs w:val="32"/>
        </w:rPr>
        <w:t xml:space="preserve">Topic: Green logistics practices and their impact on environmental performance: </w:t>
      </w:r>
      <w:r w:rsidR="00AC5F83" w:rsidRPr="00AC5F83">
        <w:rPr>
          <w:rFonts w:ascii="Arial" w:eastAsia="Arial" w:hAnsi="Arial" w:cs="Arial"/>
          <w:b/>
          <w:bCs/>
          <w:sz w:val="32"/>
          <w:szCs w:val="32"/>
        </w:rPr>
        <w:t>A case</w:t>
      </w:r>
      <w:r w:rsidRPr="00AC5F83">
        <w:rPr>
          <w:rFonts w:ascii="Arial" w:eastAsia="Arial" w:hAnsi="Arial" w:cs="Arial"/>
          <w:b/>
          <w:bCs/>
          <w:sz w:val="32"/>
          <w:szCs w:val="32"/>
        </w:rPr>
        <w:t xml:space="preserve"> study of Tesla</w:t>
      </w:r>
    </w:p>
    <w:p w14:paraId="426856B7" w14:textId="77777777" w:rsidR="004424FB" w:rsidRPr="00AC5F83" w:rsidRDefault="004424FB">
      <w:pPr>
        <w:rPr>
          <w:rFonts w:ascii="Arial" w:hAnsi="Arial" w:cs="Arial"/>
          <w:b/>
          <w:bCs/>
        </w:rPr>
      </w:pPr>
      <w:bookmarkStart w:id="0" w:name="_43u4j4b7appi" w:colFirst="0" w:colLast="0"/>
      <w:bookmarkEnd w:id="0"/>
      <w:r w:rsidRPr="00AC5F83">
        <w:rPr>
          <w:rFonts w:ascii="Arial" w:hAnsi="Arial" w:cs="Arial"/>
        </w:rPr>
        <w:br w:type="page"/>
      </w:r>
    </w:p>
    <w:sdt>
      <w:sdtPr>
        <w:rPr>
          <w:rFonts w:ascii="Arial" w:eastAsia="Times New Roman" w:hAnsi="Arial" w:cs="Arial"/>
          <w:color w:val="auto"/>
          <w:sz w:val="24"/>
          <w:szCs w:val="24"/>
          <w:lang w:val="en-GB" w:eastAsia="en-IN"/>
        </w:rPr>
        <w:id w:val="1767345376"/>
        <w:docPartObj>
          <w:docPartGallery w:val="Table of Contents"/>
          <w:docPartUnique/>
        </w:docPartObj>
      </w:sdtPr>
      <w:sdtEndPr>
        <w:rPr>
          <w:b/>
          <w:bCs/>
          <w:noProof/>
        </w:rPr>
      </w:sdtEndPr>
      <w:sdtContent>
        <w:p w14:paraId="27E29966" w14:textId="3AEA6614" w:rsidR="004424FB" w:rsidRPr="00AC5F83" w:rsidRDefault="004424FB" w:rsidP="004424FB">
          <w:pPr>
            <w:pStyle w:val="TOCHeading"/>
            <w:spacing w:line="360" w:lineRule="auto"/>
            <w:jc w:val="center"/>
            <w:rPr>
              <w:rFonts w:ascii="Arial" w:hAnsi="Arial" w:cs="Arial"/>
              <w:b/>
              <w:bCs/>
              <w:color w:val="auto"/>
              <w:sz w:val="24"/>
              <w:szCs w:val="24"/>
              <w:lang w:val="en-GB"/>
            </w:rPr>
          </w:pPr>
          <w:r w:rsidRPr="00AC5F83">
            <w:rPr>
              <w:rFonts w:ascii="Arial" w:hAnsi="Arial" w:cs="Arial"/>
              <w:b/>
              <w:bCs/>
              <w:color w:val="auto"/>
              <w:sz w:val="24"/>
              <w:szCs w:val="24"/>
              <w:lang w:val="en-GB"/>
            </w:rPr>
            <w:t>Table of Contents</w:t>
          </w:r>
        </w:p>
        <w:p w14:paraId="12A0EF3D" w14:textId="646EE485" w:rsidR="00AC5F83" w:rsidRPr="00AC5F83" w:rsidRDefault="004424FB" w:rsidP="00AC5F83">
          <w:pPr>
            <w:pStyle w:val="TOC1"/>
            <w:tabs>
              <w:tab w:val="right" w:leader="dot" w:pos="9019"/>
            </w:tabs>
            <w:spacing w:after="0"/>
            <w:rPr>
              <w:rFonts w:ascii="Arial" w:eastAsiaTheme="minorEastAsia" w:hAnsi="Arial" w:cs="Arial"/>
              <w:noProof/>
              <w:color w:val="000000" w:themeColor="text1"/>
              <w:sz w:val="22"/>
              <w:szCs w:val="22"/>
              <w:lang w:eastAsia="en-GB"/>
            </w:rPr>
          </w:pPr>
          <w:r w:rsidRPr="00AC5F83">
            <w:rPr>
              <w:rFonts w:ascii="Arial" w:hAnsi="Arial" w:cs="Arial"/>
            </w:rPr>
            <w:fldChar w:fldCharType="begin"/>
          </w:r>
          <w:r w:rsidRPr="00AC5F83">
            <w:rPr>
              <w:rFonts w:ascii="Arial" w:hAnsi="Arial" w:cs="Arial"/>
            </w:rPr>
            <w:instrText xml:space="preserve"> TOC \o "1-3" \h \z \u </w:instrText>
          </w:r>
          <w:r w:rsidRPr="00AC5F83">
            <w:rPr>
              <w:rFonts w:ascii="Arial" w:hAnsi="Arial" w:cs="Arial"/>
            </w:rPr>
            <w:fldChar w:fldCharType="separate"/>
          </w:r>
          <w:hyperlink w:anchor="_Toc221123237" w:history="1">
            <w:r w:rsidR="00AC5F83" w:rsidRPr="00AC5F83">
              <w:rPr>
                <w:rStyle w:val="Hyperlink"/>
                <w:rFonts w:ascii="Arial" w:eastAsia="Arial" w:hAnsi="Arial" w:cs="Arial"/>
                <w:noProof/>
                <w:color w:val="000000" w:themeColor="text1"/>
              </w:rPr>
              <w:t>Introduction</w:t>
            </w:r>
            <w:r w:rsidR="00AC5F83" w:rsidRPr="00AC5F83">
              <w:rPr>
                <w:rFonts w:ascii="Arial" w:hAnsi="Arial" w:cs="Arial"/>
                <w:noProof/>
                <w:webHidden/>
                <w:color w:val="000000" w:themeColor="text1"/>
              </w:rPr>
              <w:tab/>
            </w:r>
            <w:r w:rsidR="00AC5F83" w:rsidRPr="00AC5F83">
              <w:rPr>
                <w:rFonts w:ascii="Arial" w:hAnsi="Arial" w:cs="Arial"/>
                <w:noProof/>
                <w:webHidden/>
                <w:color w:val="000000" w:themeColor="text1"/>
              </w:rPr>
              <w:fldChar w:fldCharType="begin"/>
            </w:r>
            <w:r w:rsidR="00AC5F83" w:rsidRPr="00AC5F83">
              <w:rPr>
                <w:rFonts w:ascii="Arial" w:hAnsi="Arial" w:cs="Arial"/>
                <w:noProof/>
                <w:webHidden/>
                <w:color w:val="000000" w:themeColor="text1"/>
              </w:rPr>
              <w:instrText xml:space="preserve"> PAGEREF _Toc221123237 \h </w:instrText>
            </w:r>
            <w:r w:rsidR="00AC5F83" w:rsidRPr="00AC5F83">
              <w:rPr>
                <w:rFonts w:ascii="Arial" w:hAnsi="Arial" w:cs="Arial"/>
                <w:noProof/>
                <w:webHidden/>
                <w:color w:val="000000" w:themeColor="text1"/>
              </w:rPr>
            </w:r>
            <w:r w:rsidR="00AC5F83" w:rsidRPr="00AC5F83">
              <w:rPr>
                <w:rFonts w:ascii="Arial" w:hAnsi="Arial" w:cs="Arial"/>
                <w:noProof/>
                <w:webHidden/>
                <w:color w:val="000000" w:themeColor="text1"/>
              </w:rPr>
              <w:fldChar w:fldCharType="separate"/>
            </w:r>
            <w:r w:rsidR="00AC5F83" w:rsidRPr="00AC5F83">
              <w:rPr>
                <w:rFonts w:ascii="Arial" w:hAnsi="Arial" w:cs="Arial"/>
                <w:noProof/>
                <w:webHidden/>
                <w:color w:val="000000" w:themeColor="text1"/>
              </w:rPr>
              <w:t>2</w:t>
            </w:r>
            <w:r w:rsidR="00AC5F83" w:rsidRPr="00AC5F83">
              <w:rPr>
                <w:rFonts w:ascii="Arial" w:hAnsi="Arial" w:cs="Arial"/>
                <w:noProof/>
                <w:webHidden/>
                <w:color w:val="000000" w:themeColor="text1"/>
              </w:rPr>
              <w:fldChar w:fldCharType="end"/>
            </w:r>
          </w:hyperlink>
        </w:p>
        <w:p w14:paraId="4306AB76" w14:textId="42CDC3B0" w:rsidR="00AC5F83" w:rsidRPr="00AC5F83" w:rsidRDefault="00AC5F83" w:rsidP="00AC5F83">
          <w:pPr>
            <w:pStyle w:val="TOC1"/>
            <w:tabs>
              <w:tab w:val="right" w:leader="dot" w:pos="9019"/>
            </w:tabs>
            <w:spacing w:after="0"/>
            <w:rPr>
              <w:rFonts w:ascii="Arial" w:eastAsiaTheme="minorEastAsia" w:hAnsi="Arial" w:cs="Arial"/>
              <w:noProof/>
              <w:color w:val="000000" w:themeColor="text1"/>
              <w:sz w:val="22"/>
              <w:szCs w:val="22"/>
              <w:lang w:eastAsia="en-GB"/>
            </w:rPr>
          </w:pPr>
          <w:hyperlink w:anchor="_Toc221123238" w:history="1">
            <w:r w:rsidRPr="00AC5F83">
              <w:rPr>
                <w:rStyle w:val="Hyperlink"/>
                <w:rFonts w:ascii="Arial" w:eastAsia="Arial" w:hAnsi="Arial" w:cs="Arial"/>
                <w:noProof/>
                <w:color w:val="000000" w:themeColor="text1"/>
              </w:rPr>
              <w:t>Literature Review</w:t>
            </w:r>
            <w:r w:rsidRPr="00AC5F83">
              <w:rPr>
                <w:rFonts w:ascii="Arial" w:hAnsi="Arial" w:cs="Arial"/>
                <w:noProof/>
                <w:webHidden/>
                <w:color w:val="000000" w:themeColor="text1"/>
              </w:rPr>
              <w:tab/>
            </w:r>
            <w:r w:rsidRPr="00AC5F83">
              <w:rPr>
                <w:rFonts w:ascii="Arial" w:hAnsi="Arial" w:cs="Arial"/>
                <w:noProof/>
                <w:webHidden/>
                <w:color w:val="000000" w:themeColor="text1"/>
              </w:rPr>
              <w:fldChar w:fldCharType="begin"/>
            </w:r>
            <w:r w:rsidRPr="00AC5F83">
              <w:rPr>
                <w:rFonts w:ascii="Arial" w:hAnsi="Arial" w:cs="Arial"/>
                <w:noProof/>
                <w:webHidden/>
                <w:color w:val="000000" w:themeColor="text1"/>
              </w:rPr>
              <w:instrText xml:space="preserve"> PAGEREF _Toc221123238 \h </w:instrText>
            </w:r>
            <w:r w:rsidRPr="00AC5F83">
              <w:rPr>
                <w:rFonts w:ascii="Arial" w:hAnsi="Arial" w:cs="Arial"/>
                <w:noProof/>
                <w:webHidden/>
                <w:color w:val="000000" w:themeColor="text1"/>
              </w:rPr>
            </w:r>
            <w:r w:rsidRPr="00AC5F83">
              <w:rPr>
                <w:rFonts w:ascii="Arial" w:hAnsi="Arial" w:cs="Arial"/>
                <w:noProof/>
                <w:webHidden/>
                <w:color w:val="000000" w:themeColor="text1"/>
              </w:rPr>
              <w:fldChar w:fldCharType="separate"/>
            </w:r>
            <w:r w:rsidRPr="00AC5F83">
              <w:rPr>
                <w:rFonts w:ascii="Arial" w:hAnsi="Arial" w:cs="Arial"/>
                <w:noProof/>
                <w:webHidden/>
                <w:color w:val="000000" w:themeColor="text1"/>
              </w:rPr>
              <w:t>5</w:t>
            </w:r>
            <w:r w:rsidRPr="00AC5F83">
              <w:rPr>
                <w:rFonts w:ascii="Arial" w:hAnsi="Arial" w:cs="Arial"/>
                <w:noProof/>
                <w:webHidden/>
                <w:color w:val="000000" w:themeColor="text1"/>
              </w:rPr>
              <w:fldChar w:fldCharType="end"/>
            </w:r>
          </w:hyperlink>
        </w:p>
        <w:p w14:paraId="71EC9F76" w14:textId="75300E6B" w:rsidR="00AC5F83" w:rsidRPr="00AC5F83" w:rsidRDefault="00AC5F83" w:rsidP="00AC5F83">
          <w:pPr>
            <w:pStyle w:val="TOC1"/>
            <w:tabs>
              <w:tab w:val="right" w:leader="dot" w:pos="9019"/>
            </w:tabs>
            <w:spacing w:after="0"/>
            <w:rPr>
              <w:rFonts w:ascii="Arial" w:eastAsiaTheme="minorEastAsia" w:hAnsi="Arial" w:cs="Arial"/>
              <w:noProof/>
              <w:color w:val="000000" w:themeColor="text1"/>
              <w:sz w:val="22"/>
              <w:szCs w:val="22"/>
              <w:lang w:eastAsia="en-GB"/>
            </w:rPr>
          </w:pPr>
          <w:hyperlink w:anchor="_Toc221123239" w:history="1">
            <w:r w:rsidRPr="00AC5F83">
              <w:rPr>
                <w:rStyle w:val="Hyperlink"/>
                <w:rFonts w:ascii="Arial" w:eastAsia="Arial" w:hAnsi="Arial" w:cs="Arial"/>
                <w:noProof/>
                <w:color w:val="000000" w:themeColor="text1"/>
              </w:rPr>
              <w:t>Research methodology</w:t>
            </w:r>
            <w:r w:rsidRPr="00AC5F83">
              <w:rPr>
                <w:rFonts w:ascii="Arial" w:hAnsi="Arial" w:cs="Arial"/>
                <w:noProof/>
                <w:webHidden/>
                <w:color w:val="000000" w:themeColor="text1"/>
              </w:rPr>
              <w:tab/>
            </w:r>
            <w:r w:rsidRPr="00AC5F83">
              <w:rPr>
                <w:rFonts w:ascii="Arial" w:hAnsi="Arial" w:cs="Arial"/>
                <w:noProof/>
                <w:webHidden/>
                <w:color w:val="000000" w:themeColor="text1"/>
              </w:rPr>
              <w:fldChar w:fldCharType="begin"/>
            </w:r>
            <w:r w:rsidRPr="00AC5F83">
              <w:rPr>
                <w:rFonts w:ascii="Arial" w:hAnsi="Arial" w:cs="Arial"/>
                <w:noProof/>
                <w:webHidden/>
                <w:color w:val="000000" w:themeColor="text1"/>
              </w:rPr>
              <w:instrText xml:space="preserve"> PAGEREF _Toc221123239 \h </w:instrText>
            </w:r>
            <w:r w:rsidRPr="00AC5F83">
              <w:rPr>
                <w:rFonts w:ascii="Arial" w:hAnsi="Arial" w:cs="Arial"/>
                <w:noProof/>
                <w:webHidden/>
                <w:color w:val="000000" w:themeColor="text1"/>
              </w:rPr>
            </w:r>
            <w:r w:rsidRPr="00AC5F83">
              <w:rPr>
                <w:rFonts w:ascii="Arial" w:hAnsi="Arial" w:cs="Arial"/>
                <w:noProof/>
                <w:webHidden/>
                <w:color w:val="000000" w:themeColor="text1"/>
              </w:rPr>
              <w:fldChar w:fldCharType="separate"/>
            </w:r>
            <w:r w:rsidRPr="00AC5F83">
              <w:rPr>
                <w:rFonts w:ascii="Arial" w:hAnsi="Arial" w:cs="Arial"/>
                <w:noProof/>
                <w:webHidden/>
                <w:color w:val="000000" w:themeColor="text1"/>
              </w:rPr>
              <w:t>10</w:t>
            </w:r>
            <w:r w:rsidRPr="00AC5F83">
              <w:rPr>
                <w:rFonts w:ascii="Arial" w:hAnsi="Arial" w:cs="Arial"/>
                <w:noProof/>
                <w:webHidden/>
                <w:color w:val="000000" w:themeColor="text1"/>
              </w:rPr>
              <w:fldChar w:fldCharType="end"/>
            </w:r>
          </w:hyperlink>
        </w:p>
        <w:p w14:paraId="1DAE6AA7" w14:textId="55462CD4" w:rsidR="00AC5F83" w:rsidRPr="00AC5F83" w:rsidRDefault="00AC5F83" w:rsidP="00AC5F83">
          <w:pPr>
            <w:pStyle w:val="TOC1"/>
            <w:tabs>
              <w:tab w:val="right" w:leader="dot" w:pos="9019"/>
            </w:tabs>
            <w:spacing w:after="0"/>
            <w:rPr>
              <w:rFonts w:ascii="Arial" w:eastAsiaTheme="minorEastAsia" w:hAnsi="Arial" w:cs="Arial"/>
              <w:noProof/>
              <w:color w:val="000000" w:themeColor="text1"/>
              <w:sz w:val="22"/>
              <w:szCs w:val="22"/>
              <w:lang w:eastAsia="en-GB"/>
            </w:rPr>
          </w:pPr>
          <w:hyperlink w:anchor="_Toc221123240" w:history="1">
            <w:r w:rsidRPr="00AC5F83">
              <w:rPr>
                <w:rStyle w:val="Hyperlink"/>
                <w:rFonts w:ascii="Arial" w:eastAsia="Arial" w:hAnsi="Arial" w:cs="Arial"/>
                <w:noProof/>
                <w:color w:val="000000" w:themeColor="text1"/>
              </w:rPr>
              <w:t>Risks</w:t>
            </w:r>
            <w:r w:rsidRPr="00AC5F83">
              <w:rPr>
                <w:rFonts w:ascii="Arial" w:hAnsi="Arial" w:cs="Arial"/>
                <w:noProof/>
                <w:webHidden/>
                <w:color w:val="000000" w:themeColor="text1"/>
              </w:rPr>
              <w:tab/>
            </w:r>
            <w:r w:rsidRPr="00AC5F83">
              <w:rPr>
                <w:rFonts w:ascii="Arial" w:hAnsi="Arial" w:cs="Arial"/>
                <w:noProof/>
                <w:webHidden/>
                <w:color w:val="000000" w:themeColor="text1"/>
              </w:rPr>
              <w:fldChar w:fldCharType="begin"/>
            </w:r>
            <w:r w:rsidRPr="00AC5F83">
              <w:rPr>
                <w:rFonts w:ascii="Arial" w:hAnsi="Arial" w:cs="Arial"/>
                <w:noProof/>
                <w:webHidden/>
                <w:color w:val="000000" w:themeColor="text1"/>
              </w:rPr>
              <w:instrText xml:space="preserve"> PAGEREF _Toc221123240 \h </w:instrText>
            </w:r>
            <w:r w:rsidRPr="00AC5F83">
              <w:rPr>
                <w:rFonts w:ascii="Arial" w:hAnsi="Arial" w:cs="Arial"/>
                <w:noProof/>
                <w:webHidden/>
                <w:color w:val="000000" w:themeColor="text1"/>
              </w:rPr>
            </w:r>
            <w:r w:rsidRPr="00AC5F83">
              <w:rPr>
                <w:rFonts w:ascii="Arial" w:hAnsi="Arial" w:cs="Arial"/>
                <w:noProof/>
                <w:webHidden/>
                <w:color w:val="000000" w:themeColor="text1"/>
              </w:rPr>
              <w:fldChar w:fldCharType="separate"/>
            </w:r>
            <w:r w:rsidRPr="00AC5F83">
              <w:rPr>
                <w:rFonts w:ascii="Arial" w:hAnsi="Arial" w:cs="Arial"/>
                <w:noProof/>
                <w:webHidden/>
                <w:color w:val="000000" w:themeColor="text1"/>
              </w:rPr>
              <w:t>10</w:t>
            </w:r>
            <w:r w:rsidRPr="00AC5F83">
              <w:rPr>
                <w:rFonts w:ascii="Arial" w:hAnsi="Arial" w:cs="Arial"/>
                <w:noProof/>
                <w:webHidden/>
                <w:color w:val="000000" w:themeColor="text1"/>
              </w:rPr>
              <w:fldChar w:fldCharType="end"/>
            </w:r>
          </w:hyperlink>
        </w:p>
        <w:p w14:paraId="473E5B04" w14:textId="0BB187F7" w:rsidR="00AC5F83" w:rsidRDefault="00AC5F83" w:rsidP="00AC5F83">
          <w:pPr>
            <w:pStyle w:val="TOC1"/>
            <w:tabs>
              <w:tab w:val="right" w:leader="dot" w:pos="9019"/>
            </w:tabs>
            <w:spacing w:after="0"/>
            <w:rPr>
              <w:rFonts w:asciiTheme="minorHAnsi" w:eastAsiaTheme="minorEastAsia" w:hAnsiTheme="minorHAnsi" w:cstheme="minorBidi"/>
              <w:noProof/>
              <w:sz w:val="22"/>
              <w:szCs w:val="22"/>
              <w:lang w:eastAsia="en-GB"/>
            </w:rPr>
          </w:pPr>
          <w:hyperlink w:anchor="_Toc221123241" w:history="1">
            <w:r w:rsidRPr="00AC5F83">
              <w:rPr>
                <w:rStyle w:val="Hyperlink"/>
                <w:rFonts w:ascii="Arial" w:eastAsia="Arial" w:hAnsi="Arial" w:cs="Arial"/>
                <w:noProof/>
                <w:color w:val="000000" w:themeColor="text1"/>
              </w:rPr>
              <w:t>Timeline (Gantt chart)</w:t>
            </w:r>
            <w:r w:rsidRPr="00AC5F83">
              <w:rPr>
                <w:rFonts w:ascii="Arial" w:hAnsi="Arial" w:cs="Arial"/>
                <w:noProof/>
                <w:webHidden/>
                <w:color w:val="000000" w:themeColor="text1"/>
              </w:rPr>
              <w:tab/>
            </w:r>
            <w:r w:rsidRPr="00AC5F83">
              <w:rPr>
                <w:rFonts w:ascii="Arial" w:hAnsi="Arial" w:cs="Arial"/>
                <w:noProof/>
                <w:webHidden/>
                <w:color w:val="000000" w:themeColor="text1"/>
              </w:rPr>
              <w:fldChar w:fldCharType="begin"/>
            </w:r>
            <w:r w:rsidRPr="00AC5F83">
              <w:rPr>
                <w:rFonts w:ascii="Arial" w:hAnsi="Arial" w:cs="Arial"/>
                <w:noProof/>
                <w:webHidden/>
                <w:color w:val="000000" w:themeColor="text1"/>
              </w:rPr>
              <w:instrText xml:space="preserve"> PAGEREF _Toc221123241 \h </w:instrText>
            </w:r>
            <w:r w:rsidRPr="00AC5F83">
              <w:rPr>
                <w:rFonts w:ascii="Arial" w:hAnsi="Arial" w:cs="Arial"/>
                <w:noProof/>
                <w:webHidden/>
                <w:color w:val="000000" w:themeColor="text1"/>
              </w:rPr>
            </w:r>
            <w:r w:rsidRPr="00AC5F83">
              <w:rPr>
                <w:rFonts w:ascii="Arial" w:hAnsi="Arial" w:cs="Arial"/>
                <w:noProof/>
                <w:webHidden/>
                <w:color w:val="000000" w:themeColor="text1"/>
              </w:rPr>
              <w:fldChar w:fldCharType="separate"/>
            </w:r>
            <w:r w:rsidRPr="00AC5F83">
              <w:rPr>
                <w:rFonts w:ascii="Arial" w:hAnsi="Arial" w:cs="Arial"/>
                <w:noProof/>
                <w:webHidden/>
                <w:color w:val="000000" w:themeColor="text1"/>
              </w:rPr>
              <w:t>11</w:t>
            </w:r>
            <w:r w:rsidRPr="00AC5F83">
              <w:rPr>
                <w:rFonts w:ascii="Arial" w:hAnsi="Arial" w:cs="Arial"/>
                <w:noProof/>
                <w:webHidden/>
                <w:color w:val="000000" w:themeColor="text1"/>
              </w:rPr>
              <w:fldChar w:fldCharType="end"/>
            </w:r>
          </w:hyperlink>
        </w:p>
        <w:p w14:paraId="3B23AD1B" w14:textId="4F9E9AAE" w:rsidR="004424FB" w:rsidRPr="00AC5F83" w:rsidRDefault="004424FB" w:rsidP="004424FB">
          <w:pPr>
            <w:rPr>
              <w:rFonts w:ascii="Arial" w:hAnsi="Arial" w:cs="Arial"/>
            </w:rPr>
          </w:pPr>
          <w:r w:rsidRPr="00AC5F83">
            <w:rPr>
              <w:rFonts w:ascii="Arial" w:hAnsi="Arial" w:cs="Arial"/>
              <w:b/>
              <w:bCs/>
              <w:noProof/>
            </w:rPr>
            <w:fldChar w:fldCharType="end"/>
          </w:r>
        </w:p>
      </w:sdtContent>
    </w:sdt>
    <w:p w14:paraId="5E251C90" w14:textId="619F96C8" w:rsidR="008373B4" w:rsidRPr="00AC5F83" w:rsidRDefault="00436FE4">
      <w:pPr>
        <w:pStyle w:val="Heading1"/>
        <w:rPr>
          <w:rFonts w:ascii="Arial" w:eastAsia="Arial" w:hAnsi="Arial" w:cs="Arial"/>
        </w:rPr>
      </w:pPr>
      <w:r w:rsidRPr="00AC5F83">
        <w:rPr>
          <w:rFonts w:ascii="Arial" w:hAnsi="Arial" w:cs="Arial"/>
        </w:rPr>
        <w:lastRenderedPageBreak/>
        <w:br w:type="page"/>
      </w:r>
    </w:p>
    <w:p w14:paraId="50C5ADB5" w14:textId="77777777" w:rsidR="008373B4" w:rsidRPr="00AC5F83" w:rsidRDefault="00436FE4">
      <w:pPr>
        <w:pStyle w:val="Heading1"/>
        <w:rPr>
          <w:rFonts w:ascii="Arial" w:eastAsia="Arial" w:hAnsi="Arial" w:cs="Arial"/>
        </w:rPr>
      </w:pPr>
      <w:bookmarkStart w:id="1" w:name="_j9r38yfhvlyn" w:colFirst="0" w:colLast="0"/>
      <w:bookmarkStart w:id="2" w:name="_Toc221123237"/>
      <w:bookmarkEnd w:id="1"/>
      <w:r w:rsidRPr="00AC5F83">
        <w:rPr>
          <w:rFonts w:ascii="Arial" w:eastAsia="Arial" w:hAnsi="Arial" w:cs="Arial"/>
        </w:rPr>
        <w:lastRenderedPageBreak/>
        <w:t>Introduction</w:t>
      </w:r>
      <w:bookmarkEnd w:id="2"/>
    </w:p>
    <w:p w14:paraId="4AA5DA16" w14:textId="77777777" w:rsidR="008373B4" w:rsidRPr="00AC5F83" w:rsidRDefault="00436FE4">
      <w:pPr>
        <w:rPr>
          <w:rFonts w:ascii="Arial" w:eastAsia="Arial" w:hAnsi="Arial" w:cs="Arial"/>
          <w:b/>
          <w:bCs/>
          <w:i/>
          <w:iCs/>
        </w:rPr>
      </w:pPr>
      <w:r w:rsidRPr="00AC5F83">
        <w:rPr>
          <w:rFonts w:ascii="Arial" w:eastAsia="Arial" w:hAnsi="Arial" w:cs="Arial"/>
          <w:b/>
          <w:bCs/>
          <w:i/>
          <w:iCs/>
        </w:rPr>
        <w:t>Background</w:t>
      </w:r>
    </w:p>
    <w:p w14:paraId="57AC55F5" w14:textId="2BD1047F" w:rsidR="008373B4" w:rsidRPr="00AC5F83" w:rsidRDefault="00436FE4">
      <w:pPr>
        <w:rPr>
          <w:rFonts w:ascii="Arial" w:eastAsia="Arial" w:hAnsi="Arial" w:cs="Arial"/>
        </w:rPr>
      </w:pPr>
      <w:r w:rsidRPr="00AC5F83">
        <w:rPr>
          <w:rFonts w:ascii="Arial" w:eastAsia="Arial" w:hAnsi="Arial" w:cs="Arial"/>
        </w:rPr>
        <w:t xml:space="preserve">Green logistics practices indicate the activities integrating eco-friendly strategies within operational segments such as the supply chain in order to minimise environmental impacts (Roy and Mohanty, 2024). It has been recognised that automotive companies face common environmental issues such as carbon emissions and waste in the way of business transition. For instance, the key actions include green logistics using green transportation, using renewable resources in manufacturing, integrating tech for inventory management and investing in sustainable packaging. Tesla faces the issues of huge carbon emissions in the US as well as working to find the scope of promoting environmental performance (Tesla, 2025).  Based on the views of Ahmad </w:t>
      </w:r>
      <w:r w:rsidRPr="00AC5F83">
        <w:rPr>
          <w:rFonts w:ascii="Arial" w:eastAsia="Arial" w:hAnsi="Arial" w:cs="Arial"/>
          <w:i/>
          <w:iCs/>
        </w:rPr>
        <w:t xml:space="preserve">et al. </w:t>
      </w:r>
      <w:r w:rsidRPr="00AC5F83">
        <w:rPr>
          <w:rFonts w:ascii="Arial" w:eastAsia="Arial" w:hAnsi="Arial" w:cs="Arial"/>
        </w:rPr>
        <w:t xml:space="preserve">(2022), negative contribution in the environmental impact </w:t>
      </w:r>
      <w:r w:rsidR="00C16665" w:rsidRPr="00AC5F83">
        <w:rPr>
          <w:rFonts w:ascii="Arial" w:eastAsia="Arial" w:hAnsi="Arial" w:cs="Arial"/>
        </w:rPr>
        <w:t>affects</w:t>
      </w:r>
      <w:r w:rsidRPr="00AC5F83">
        <w:rPr>
          <w:rFonts w:ascii="Arial" w:eastAsia="Arial" w:hAnsi="Arial" w:cs="Arial"/>
        </w:rPr>
        <w:t xml:space="preserve"> the brand reputation in the operating market. The following figure highlights production stumped by the shortage and shutdown. </w:t>
      </w:r>
    </w:p>
    <w:p w14:paraId="096A7B4A" w14:textId="77777777" w:rsidR="008373B4" w:rsidRPr="00AC5F83" w:rsidRDefault="00436FE4">
      <w:pPr>
        <w:jc w:val="center"/>
        <w:rPr>
          <w:rFonts w:ascii="Arial" w:eastAsia="Arial" w:hAnsi="Arial" w:cs="Arial"/>
        </w:rPr>
      </w:pPr>
      <w:r w:rsidRPr="00AC5F83">
        <w:rPr>
          <w:rFonts w:ascii="Arial" w:eastAsia="Arial" w:hAnsi="Arial" w:cs="Arial"/>
        </w:rPr>
        <w:t xml:space="preserve">  </w:t>
      </w:r>
      <w:r w:rsidRPr="00AC5F83">
        <w:rPr>
          <w:rFonts w:ascii="Arial" w:eastAsia="Arial" w:hAnsi="Arial" w:cs="Arial"/>
          <w:noProof/>
          <w:lang w:eastAsia="en-GB"/>
        </w:rPr>
        <w:drawing>
          <wp:inline distT="114300" distB="114300" distL="114300" distR="114300" wp14:anchorId="3A783DB2" wp14:editId="31E3AE01">
            <wp:extent cx="4286250" cy="2619375"/>
            <wp:effectExtent l="12700" t="12700" r="12700" b="127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286250" cy="2619375"/>
                    </a:xfrm>
                    <a:prstGeom prst="rect">
                      <a:avLst/>
                    </a:prstGeom>
                    <a:ln w="12700">
                      <a:solidFill>
                        <a:srgbClr val="000000"/>
                      </a:solidFill>
                      <a:prstDash val="solid"/>
                    </a:ln>
                  </pic:spPr>
                </pic:pic>
              </a:graphicData>
            </a:graphic>
          </wp:inline>
        </w:drawing>
      </w:r>
    </w:p>
    <w:p w14:paraId="55086CD8" w14:textId="77777777" w:rsidR="008373B4" w:rsidRPr="00AC5F83" w:rsidRDefault="00436FE4">
      <w:pPr>
        <w:jc w:val="center"/>
        <w:rPr>
          <w:rFonts w:ascii="Arial" w:eastAsia="Arial" w:hAnsi="Arial" w:cs="Arial"/>
          <w:b/>
          <w:bCs/>
        </w:rPr>
      </w:pPr>
      <w:r w:rsidRPr="00AC5F83">
        <w:rPr>
          <w:rFonts w:ascii="Arial" w:eastAsia="Arial" w:hAnsi="Arial" w:cs="Arial"/>
          <w:b/>
          <w:bCs/>
        </w:rPr>
        <w:t>Figure 1: Tesla's Production Stumped</w:t>
      </w:r>
    </w:p>
    <w:p w14:paraId="3F4485B1" w14:textId="77777777" w:rsidR="008373B4" w:rsidRPr="00AC5F83" w:rsidRDefault="00436FE4">
      <w:pPr>
        <w:jc w:val="center"/>
        <w:rPr>
          <w:rFonts w:ascii="Arial" w:eastAsia="Arial" w:hAnsi="Arial" w:cs="Arial"/>
        </w:rPr>
      </w:pPr>
      <w:r w:rsidRPr="00AC5F83">
        <w:rPr>
          <w:rFonts w:ascii="Arial" w:eastAsia="Arial" w:hAnsi="Arial" w:cs="Arial"/>
        </w:rPr>
        <w:t>(Source: Statista, 2026)</w:t>
      </w:r>
    </w:p>
    <w:p w14:paraId="703905B7" w14:textId="77777777" w:rsidR="004B7249" w:rsidRDefault="00436FE4">
      <w:pPr>
        <w:rPr>
          <w:rFonts w:ascii="Arial" w:eastAsia="Arial" w:hAnsi="Arial" w:cs="Arial"/>
        </w:rPr>
      </w:pPr>
      <w:r w:rsidRPr="00AC5F83">
        <w:rPr>
          <w:rFonts w:ascii="Arial" w:eastAsia="Arial" w:hAnsi="Arial" w:cs="Arial"/>
        </w:rPr>
        <w:t xml:space="preserve">In the year 2022, the production of Tesla was down by 15% within the era of zero-COVID regulations (Statista, 2026). Negative contributions to the environment by the operational activities of Tesla have reduced the shareholder deck in the car market. As per Hooli and Halim (2025), building EVs generates significant mining as well as subsoil pollution along with high greenhouse gas (CO2) emissions. In addition, the waste of batteries and other equipment of EVs is difficult to recycle. At present, Tesla is investing in the EV market to follow the business trends and maintain the leadership </w:t>
      </w:r>
      <w:r w:rsidRPr="00AC5F83">
        <w:rPr>
          <w:rFonts w:ascii="Arial" w:eastAsia="Arial" w:hAnsi="Arial" w:cs="Arial"/>
        </w:rPr>
        <w:lastRenderedPageBreak/>
        <w:t>value that maximises the environmental impact. Thus, implementing green logistics practices, Tesla can improve its environmental performance through the use of renewable energy and follow the circular economy model for recycling waste.</w:t>
      </w:r>
    </w:p>
    <w:p w14:paraId="07CE991D" w14:textId="77777777" w:rsidR="0085799D" w:rsidRDefault="0085799D">
      <w:pPr>
        <w:rPr>
          <w:rFonts w:ascii="Arial" w:eastAsia="Arial" w:hAnsi="Arial" w:cs="Arial"/>
        </w:rPr>
      </w:pPr>
    </w:p>
    <w:p w14:paraId="42C9AE5E" w14:textId="1B06BDA7" w:rsidR="008373B4" w:rsidRPr="0085799D" w:rsidRDefault="00A57EE3">
      <w:pPr>
        <w:rPr>
          <w:rFonts w:ascii="Arial" w:eastAsia="Arial" w:hAnsi="Arial" w:cs="Arial"/>
          <w:sz w:val="26"/>
          <w:szCs w:val="26"/>
        </w:rPr>
      </w:pPr>
      <w:r w:rsidRPr="00A57EE3">
        <w:rPr>
          <w:rFonts w:ascii="Arial" w:eastAsia="Arial" w:hAnsi="Arial" w:cs="Arial"/>
          <w:b/>
          <w:bCs/>
          <w:i/>
          <w:iCs/>
          <w:sz w:val="26"/>
          <w:szCs w:val="26"/>
        </w:rPr>
        <w:t>Sustainability</w:t>
      </w:r>
      <w:r>
        <w:rPr>
          <w:rFonts w:ascii="Arial" w:eastAsia="Arial" w:hAnsi="Arial" w:cs="Arial"/>
          <w:sz w:val="26"/>
          <w:szCs w:val="26"/>
        </w:rPr>
        <w:t xml:space="preserve"> </w:t>
      </w:r>
      <w:r w:rsidRPr="00DE3CF1">
        <w:rPr>
          <w:rFonts w:ascii="Arial" w:eastAsia="Arial" w:hAnsi="Arial" w:cs="Arial"/>
          <w:sz w:val="26"/>
          <w:szCs w:val="26"/>
        </w:rPr>
        <w:t>is</w:t>
      </w:r>
      <w:r w:rsidR="00DE3CF1" w:rsidRPr="00DE3CF1">
        <w:rPr>
          <w:rFonts w:ascii="Arial" w:eastAsia="Arial" w:hAnsi="Arial" w:cs="Arial"/>
          <w:sz w:val="26"/>
          <w:szCs w:val="26"/>
        </w:rPr>
        <w:t xml:space="preserve"> defined as development that meets the needs of the present without compromising the ability of future generations to meet their own needs.</w:t>
      </w:r>
    </w:p>
    <w:p w14:paraId="4E332889" w14:textId="77777777" w:rsidR="008373B4" w:rsidRPr="00AC5F83" w:rsidRDefault="00436FE4">
      <w:pPr>
        <w:rPr>
          <w:rFonts w:ascii="Arial" w:eastAsia="Arial" w:hAnsi="Arial" w:cs="Arial"/>
          <w:b/>
          <w:bCs/>
          <w:i/>
          <w:iCs/>
        </w:rPr>
      </w:pPr>
      <w:r w:rsidRPr="00AC5F83">
        <w:rPr>
          <w:rFonts w:ascii="Arial" w:eastAsia="Arial" w:hAnsi="Arial" w:cs="Arial"/>
          <w:b/>
          <w:bCs/>
          <w:i/>
          <w:iCs/>
        </w:rPr>
        <w:t>Research problem</w:t>
      </w:r>
    </w:p>
    <w:p w14:paraId="1BA6E830" w14:textId="5F2FA3B0" w:rsidR="008373B4" w:rsidRPr="00AC5F83" w:rsidRDefault="00436FE4">
      <w:pPr>
        <w:rPr>
          <w:rFonts w:ascii="Arial" w:eastAsia="Arial" w:hAnsi="Arial" w:cs="Arial"/>
        </w:rPr>
      </w:pPr>
      <w:r w:rsidRPr="00AC5F83">
        <w:rPr>
          <w:rFonts w:ascii="Arial" w:eastAsia="Arial" w:hAnsi="Arial" w:cs="Arial"/>
        </w:rPr>
        <w:t xml:space="preserve">The automotive sector is recognised to face the issues of massive carbon emissions, Resource Depletion and waste from operational activities. Tesla has posted issues on maintaining emission standards in the operating market (Shepardson, 2025).                                                                                                                                                                                                                                                                                                                                             Therefore, this research is going to address the challenges of environmental issues in Tesla implementing </w:t>
      </w:r>
      <w:r w:rsidR="00C16665" w:rsidRPr="00AC5F83">
        <w:rPr>
          <w:rFonts w:ascii="Arial" w:eastAsia="Arial" w:hAnsi="Arial" w:cs="Arial"/>
        </w:rPr>
        <w:t>green</w:t>
      </w:r>
      <w:r w:rsidRPr="00AC5F83">
        <w:rPr>
          <w:rFonts w:ascii="Arial" w:eastAsia="Arial" w:hAnsi="Arial" w:cs="Arial"/>
        </w:rPr>
        <w:t xml:space="preserve"> logistics practices.</w:t>
      </w:r>
    </w:p>
    <w:p w14:paraId="6D2639CC" w14:textId="77777777" w:rsidR="008373B4" w:rsidRPr="00AC5F83" w:rsidRDefault="00436FE4">
      <w:pPr>
        <w:rPr>
          <w:rFonts w:ascii="Arial" w:eastAsia="Arial" w:hAnsi="Arial" w:cs="Arial"/>
          <w:b/>
          <w:bCs/>
          <w:i/>
          <w:iCs/>
        </w:rPr>
      </w:pPr>
      <w:r w:rsidRPr="00AC5F83">
        <w:rPr>
          <w:rFonts w:ascii="Arial" w:eastAsia="Arial" w:hAnsi="Arial" w:cs="Arial"/>
          <w:b/>
          <w:bCs/>
          <w:i/>
          <w:iCs/>
        </w:rPr>
        <w:t xml:space="preserve">Rationale  </w:t>
      </w:r>
    </w:p>
    <w:p w14:paraId="6E84486F" w14:textId="77777777" w:rsidR="008373B4" w:rsidRPr="00AC5F83" w:rsidRDefault="00436FE4">
      <w:pPr>
        <w:rPr>
          <w:rFonts w:ascii="Arial" w:eastAsia="Arial" w:hAnsi="Arial" w:cs="Arial"/>
        </w:rPr>
      </w:pPr>
      <w:r w:rsidRPr="00AC5F83">
        <w:rPr>
          <w:rFonts w:ascii="Arial" w:eastAsia="Arial" w:hAnsi="Arial" w:cs="Arial"/>
        </w:rPr>
        <w:t xml:space="preserve">The key issues within the automotive sector related to environmental performance include the huge carbon emissions, waste problem and pollution (Li </w:t>
      </w:r>
      <w:r w:rsidRPr="00AC5F83">
        <w:rPr>
          <w:rFonts w:ascii="Arial" w:eastAsia="Arial" w:hAnsi="Arial" w:cs="Arial"/>
          <w:i/>
          <w:iCs/>
        </w:rPr>
        <w:t>et al</w:t>
      </w:r>
      <w:r w:rsidRPr="00AC5F83">
        <w:rPr>
          <w:rFonts w:ascii="Arial" w:eastAsia="Arial" w:hAnsi="Arial" w:cs="Arial"/>
        </w:rPr>
        <w:t xml:space="preserve">. 2022). At present, business organisations such as Tesla are investing in innovation and research to meet the market demand and promote competitive power. The following figure highlights the 17.75% of R&amp;D investment by Tesla from its profit. The current issues of the automotive companies are greenwashing activities that impact their brand reputation. Both the brand value and market demand can be decreased due to the negative effects of EV manufacturing. </w:t>
      </w:r>
    </w:p>
    <w:p w14:paraId="63DBB7F1" w14:textId="77777777" w:rsidR="008373B4" w:rsidRPr="00AC5F83" w:rsidRDefault="00436FE4">
      <w:pPr>
        <w:jc w:val="center"/>
        <w:rPr>
          <w:rFonts w:ascii="Arial" w:eastAsia="Arial" w:hAnsi="Arial" w:cs="Arial"/>
        </w:rPr>
      </w:pPr>
      <w:r w:rsidRPr="00AC5F83">
        <w:rPr>
          <w:rFonts w:ascii="Arial" w:eastAsia="Arial" w:hAnsi="Arial" w:cs="Arial"/>
          <w:noProof/>
          <w:lang w:eastAsia="en-GB"/>
        </w:rPr>
        <w:drawing>
          <wp:inline distT="114300" distB="114300" distL="114300" distR="114300" wp14:anchorId="06973C20" wp14:editId="72EA5058">
            <wp:extent cx="4362450" cy="2114550"/>
            <wp:effectExtent l="12700" t="12700" r="12700" b="1270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362450" cy="2114550"/>
                    </a:xfrm>
                    <a:prstGeom prst="rect">
                      <a:avLst/>
                    </a:prstGeom>
                    <a:ln w="12700">
                      <a:solidFill>
                        <a:srgbClr val="000000"/>
                      </a:solidFill>
                      <a:prstDash val="solid"/>
                    </a:ln>
                  </pic:spPr>
                </pic:pic>
              </a:graphicData>
            </a:graphic>
          </wp:inline>
        </w:drawing>
      </w:r>
    </w:p>
    <w:p w14:paraId="7F2C8EDC" w14:textId="77777777" w:rsidR="008373B4" w:rsidRPr="00AC5F83" w:rsidRDefault="00436FE4">
      <w:pPr>
        <w:jc w:val="center"/>
        <w:rPr>
          <w:rFonts w:ascii="Arial" w:eastAsia="Arial" w:hAnsi="Arial" w:cs="Arial"/>
          <w:b/>
          <w:bCs/>
        </w:rPr>
      </w:pPr>
      <w:r w:rsidRPr="00AC5F83">
        <w:rPr>
          <w:rFonts w:ascii="Arial" w:eastAsia="Arial" w:hAnsi="Arial" w:cs="Arial"/>
          <w:b/>
          <w:bCs/>
        </w:rPr>
        <w:t>Figure 2: R&amp;D investment of Tesla</w:t>
      </w:r>
    </w:p>
    <w:p w14:paraId="6B7186DB" w14:textId="77777777" w:rsidR="008373B4" w:rsidRPr="00AC5F83" w:rsidRDefault="00436FE4">
      <w:pPr>
        <w:jc w:val="center"/>
        <w:rPr>
          <w:rFonts w:ascii="Arial" w:eastAsia="Arial" w:hAnsi="Arial" w:cs="Arial"/>
        </w:rPr>
      </w:pPr>
      <w:r w:rsidRPr="00AC5F83">
        <w:rPr>
          <w:rFonts w:ascii="Arial" w:eastAsia="Arial" w:hAnsi="Arial" w:cs="Arial"/>
        </w:rPr>
        <w:t>(Source: Statista, 2025)</w:t>
      </w:r>
    </w:p>
    <w:p w14:paraId="7D4F5FFD" w14:textId="77777777" w:rsidR="008373B4" w:rsidRPr="00AC5F83" w:rsidRDefault="00436FE4">
      <w:pPr>
        <w:rPr>
          <w:rFonts w:ascii="Arial" w:eastAsia="Arial" w:hAnsi="Arial" w:cs="Arial"/>
        </w:rPr>
      </w:pPr>
      <w:r w:rsidRPr="00AC5F83">
        <w:rPr>
          <w:rFonts w:ascii="Arial" w:eastAsia="Arial" w:hAnsi="Arial" w:cs="Arial"/>
        </w:rPr>
        <w:t xml:space="preserve">Companies like Tesla have started to invest in green logistics practices in order to promote CSR value and carbon credits in an effective manner. Based on the views of </w:t>
      </w:r>
      <w:r w:rsidRPr="00AC5F83">
        <w:rPr>
          <w:rFonts w:ascii="Arial" w:eastAsia="Arial" w:hAnsi="Arial" w:cs="Arial"/>
        </w:rPr>
        <w:lastRenderedPageBreak/>
        <w:t xml:space="preserve">Leung </w:t>
      </w:r>
      <w:r w:rsidRPr="00AC5F83">
        <w:rPr>
          <w:rFonts w:ascii="Arial" w:eastAsia="Arial" w:hAnsi="Arial" w:cs="Arial"/>
          <w:i/>
          <w:iCs/>
        </w:rPr>
        <w:t xml:space="preserve">et al. </w:t>
      </w:r>
      <w:r w:rsidRPr="00AC5F83">
        <w:rPr>
          <w:rFonts w:ascii="Arial" w:eastAsia="Arial" w:hAnsi="Arial" w:cs="Arial"/>
        </w:rPr>
        <w:t>(2023), consequences of the green logistics practices in a company include fuel and energy saving, as well as better compliance with environmental regulations. However, facing the financial pressure and market dynamics, Tesla is facing issues in adopting green logistics successfully. The rationale behind developing this research will be to address the complexity of adopting green logistics practices in Tesla and identify the way of promoting environmental performance.</w:t>
      </w:r>
    </w:p>
    <w:p w14:paraId="6922646B" w14:textId="77777777" w:rsidR="008373B4" w:rsidRPr="00AC5F83" w:rsidRDefault="00436FE4">
      <w:pPr>
        <w:rPr>
          <w:rFonts w:ascii="Arial" w:eastAsia="Arial" w:hAnsi="Arial" w:cs="Arial"/>
          <w:b/>
          <w:bCs/>
          <w:i/>
          <w:iCs/>
        </w:rPr>
      </w:pPr>
      <w:r w:rsidRPr="00AC5F83">
        <w:rPr>
          <w:rFonts w:ascii="Arial" w:eastAsia="Arial" w:hAnsi="Arial" w:cs="Arial"/>
          <w:b/>
          <w:bCs/>
          <w:i/>
          <w:iCs/>
        </w:rPr>
        <w:t>Research aim</w:t>
      </w:r>
    </w:p>
    <w:p w14:paraId="67735248" w14:textId="51813E3D" w:rsidR="008373B4" w:rsidRPr="00AC5F83" w:rsidRDefault="00436FE4">
      <w:pPr>
        <w:rPr>
          <w:rFonts w:ascii="Arial" w:eastAsia="Arial" w:hAnsi="Arial" w:cs="Arial"/>
        </w:rPr>
      </w:pPr>
      <w:r w:rsidRPr="00AC5F83">
        <w:rPr>
          <w:rFonts w:ascii="Arial" w:eastAsia="Arial" w:hAnsi="Arial" w:cs="Arial"/>
        </w:rPr>
        <w:t xml:space="preserve">The key aim of this research is to evaluate the role of </w:t>
      </w:r>
      <w:r w:rsidR="00C16665" w:rsidRPr="00AC5F83">
        <w:rPr>
          <w:rFonts w:ascii="Arial" w:eastAsia="Arial" w:hAnsi="Arial" w:cs="Arial"/>
        </w:rPr>
        <w:t>green</w:t>
      </w:r>
      <w:r w:rsidRPr="00AC5F83">
        <w:rPr>
          <w:rFonts w:ascii="Arial" w:eastAsia="Arial" w:hAnsi="Arial" w:cs="Arial"/>
        </w:rPr>
        <w:t xml:space="preserve"> logistics practices in managing environmental performance within the automotive sector, considering the case of Tesla.</w:t>
      </w:r>
    </w:p>
    <w:p w14:paraId="4E288632" w14:textId="21B9ACA7" w:rsidR="008373B4" w:rsidRPr="00AC5F83" w:rsidRDefault="00AC5F83">
      <w:pPr>
        <w:rPr>
          <w:rFonts w:ascii="Arial" w:eastAsia="Arial" w:hAnsi="Arial" w:cs="Arial"/>
          <w:b/>
          <w:bCs/>
          <w:i/>
          <w:iCs/>
        </w:rPr>
      </w:pPr>
      <w:r w:rsidRPr="00AC5F83">
        <w:rPr>
          <w:rFonts w:ascii="Arial" w:eastAsia="Arial" w:hAnsi="Arial" w:cs="Arial"/>
          <w:b/>
          <w:bCs/>
          <w:i/>
          <w:iCs/>
        </w:rPr>
        <w:t>Research Objectives</w:t>
      </w:r>
    </w:p>
    <w:p w14:paraId="03B1178A" w14:textId="60A7898D" w:rsidR="008373B4" w:rsidRPr="00AC5F83" w:rsidRDefault="00436FE4">
      <w:pPr>
        <w:numPr>
          <w:ilvl w:val="0"/>
          <w:numId w:val="1"/>
        </w:numPr>
        <w:rPr>
          <w:rFonts w:ascii="Arial" w:eastAsia="Arial" w:hAnsi="Arial" w:cs="Arial"/>
        </w:rPr>
      </w:pPr>
      <w:r w:rsidRPr="00AC5F83">
        <w:rPr>
          <w:rFonts w:ascii="Arial" w:eastAsia="Arial" w:hAnsi="Arial" w:cs="Arial"/>
        </w:rPr>
        <w:t xml:space="preserve">To explore the factors of </w:t>
      </w:r>
      <w:r w:rsidR="00C16665" w:rsidRPr="00AC5F83">
        <w:rPr>
          <w:rFonts w:ascii="Arial" w:eastAsia="Arial" w:hAnsi="Arial" w:cs="Arial"/>
        </w:rPr>
        <w:t>green</w:t>
      </w:r>
      <w:r w:rsidRPr="00AC5F83">
        <w:rPr>
          <w:rFonts w:ascii="Arial" w:eastAsia="Arial" w:hAnsi="Arial" w:cs="Arial"/>
        </w:rPr>
        <w:t xml:space="preserve"> logistics practices for dealing with environmental performance in Tesla</w:t>
      </w:r>
    </w:p>
    <w:p w14:paraId="3BE0C7C6" w14:textId="4D8F6984" w:rsidR="008373B4" w:rsidRPr="00AC5F83" w:rsidRDefault="00436FE4">
      <w:pPr>
        <w:numPr>
          <w:ilvl w:val="0"/>
          <w:numId w:val="1"/>
        </w:numPr>
        <w:rPr>
          <w:rFonts w:ascii="Arial" w:eastAsia="Arial" w:hAnsi="Arial" w:cs="Arial"/>
        </w:rPr>
      </w:pPr>
      <w:r w:rsidRPr="00AC5F83">
        <w:rPr>
          <w:rFonts w:ascii="Arial" w:eastAsia="Arial" w:hAnsi="Arial" w:cs="Arial"/>
        </w:rPr>
        <w:t xml:space="preserve">To evaluate the positive aspects of investing in </w:t>
      </w:r>
      <w:r w:rsidR="00C16665" w:rsidRPr="00AC5F83">
        <w:rPr>
          <w:rFonts w:ascii="Arial" w:eastAsia="Arial" w:hAnsi="Arial" w:cs="Arial"/>
        </w:rPr>
        <w:t>green</w:t>
      </w:r>
      <w:r w:rsidRPr="00AC5F83">
        <w:rPr>
          <w:rFonts w:ascii="Arial" w:eastAsia="Arial" w:hAnsi="Arial" w:cs="Arial"/>
        </w:rPr>
        <w:t xml:space="preserve"> logistics practices for promoting environmental performance in Tesla </w:t>
      </w:r>
    </w:p>
    <w:p w14:paraId="395CCB13" w14:textId="6D4351CF" w:rsidR="008373B4" w:rsidRPr="00AC5F83" w:rsidRDefault="00436FE4">
      <w:pPr>
        <w:numPr>
          <w:ilvl w:val="0"/>
          <w:numId w:val="1"/>
        </w:numPr>
        <w:rPr>
          <w:rFonts w:ascii="Arial" w:eastAsia="Arial" w:hAnsi="Arial" w:cs="Arial"/>
        </w:rPr>
      </w:pPr>
      <w:r w:rsidRPr="00AC5F83">
        <w:rPr>
          <w:rFonts w:ascii="Arial" w:eastAsia="Arial" w:hAnsi="Arial" w:cs="Arial"/>
        </w:rPr>
        <w:t xml:space="preserve">To investigate the challenges of implementing </w:t>
      </w:r>
      <w:r w:rsidR="00C16665" w:rsidRPr="00AC5F83">
        <w:rPr>
          <w:rFonts w:ascii="Arial" w:eastAsia="Arial" w:hAnsi="Arial" w:cs="Arial"/>
        </w:rPr>
        <w:t>green</w:t>
      </w:r>
      <w:r w:rsidRPr="00AC5F83">
        <w:rPr>
          <w:rFonts w:ascii="Arial" w:eastAsia="Arial" w:hAnsi="Arial" w:cs="Arial"/>
        </w:rPr>
        <w:t xml:space="preserve"> logistics practices for handling Tesla’s environmental performance  </w:t>
      </w:r>
    </w:p>
    <w:p w14:paraId="37E77111" w14:textId="6CE1BDC9" w:rsidR="008373B4" w:rsidRPr="00AC5F83" w:rsidRDefault="00436FE4">
      <w:pPr>
        <w:numPr>
          <w:ilvl w:val="0"/>
          <w:numId w:val="1"/>
        </w:numPr>
        <w:rPr>
          <w:rFonts w:ascii="Arial" w:eastAsia="Arial" w:hAnsi="Arial" w:cs="Arial"/>
        </w:rPr>
      </w:pPr>
      <w:r w:rsidRPr="00AC5F83">
        <w:rPr>
          <w:rFonts w:ascii="Arial" w:eastAsia="Arial" w:hAnsi="Arial" w:cs="Arial"/>
        </w:rPr>
        <w:t xml:space="preserve">To recommend strategies to Tesla for </w:t>
      </w:r>
      <w:proofErr w:type="gramStart"/>
      <w:r w:rsidRPr="00AC5F83">
        <w:rPr>
          <w:rFonts w:ascii="Arial" w:eastAsia="Arial" w:hAnsi="Arial" w:cs="Arial"/>
        </w:rPr>
        <w:t>improving  environmental</w:t>
      </w:r>
      <w:proofErr w:type="gramEnd"/>
      <w:r w:rsidRPr="00AC5F83">
        <w:rPr>
          <w:rFonts w:ascii="Arial" w:eastAsia="Arial" w:hAnsi="Arial" w:cs="Arial"/>
        </w:rPr>
        <w:t xml:space="preserve"> performance with the help of </w:t>
      </w:r>
      <w:r w:rsidR="00C16665" w:rsidRPr="00AC5F83">
        <w:rPr>
          <w:rFonts w:ascii="Arial" w:eastAsia="Arial" w:hAnsi="Arial" w:cs="Arial"/>
        </w:rPr>
        <w:t>green</w:t>
      </w:r>
      <w:r w:rsidRPr="00AC5F83">
        <w:rPr>
          <w:rFonts w:ascii="Arial" w:eastAsia="Arial" w:hAnsi="Arial" w:cs="Arial"/>
        </w:rPr>
        <w:t xml:space="preserve"> logistics practices</w:t>
      </w:r>
    </w:p>
    <w:p w14:paraId="44E978DC" w14:textId="77777777" w:rsidR="008373B4" w:rsidRPr="00AC5F83" w:rsidRDefault="00436FE4">
      <w:pPr>
        <w:rPr>
          <w:rFonts w:ascii="Arial" w:eastAsia="Arial" w:hAnsi="Arial" w:cs="Arial"/>
          <w:b/>
          <w:bCs/>
          <w:i/>
          <w:iCs/>
        </w:rPr>
      </w:pPr>
      <w:r w:rsidRPr="00AC5F83">
        <w:rPr>
          <w:rFonts w:ascii="Arial" w:eastAsia="Arial" w:hAnsi="Arial" w:cs="Arial"/>
          <w:b/>
          <w:bCs/>
          <w:i/>
          <w:iCs/>
        </w:rPr>
        <w:t>Research Questions</w:t>
      </w:r>
    </w:p>
    <w:p w14:paraId="4BCE680A" w14:textId="070C3C75" w:rsidR="008373B4" w:rsidRPr="00AC5F83" w:rsidRDefault="00436FE4">
      <w:pPr>
        <w:numPr>
          <w:ilvl w:val="0"/>
          <w:numId w:val="1"/>
        </w:numPr>
        <w:rPr>
          <w:rFonts w:ascii="Arial" w:eastAsia="Arial" w:hAnsi="Arial" w:cs="Arial"/>
        </w:rPr>
      </w:pPr>
      <w:r w:rsidRPr="00AC5F83">
        <w:rPr>
          <w:rFonts w:ascii="Arial" w:eastAsia="Arial" w:hAnsi="Arial" w:cs="Arial"/>
        </w:rPr>
        <w:t xml:space="preserve">What are the factors of </w:t>
      </w:r>
      <w:r w:rsidR="00C16665" w:rsidRPr="00AC5F83">
        <w:rPr>
          <w:rFonts w:ascii="Arial" w:eastAsia="Arial" w:hAnsi="Arial" w:cs="Arial"/>
        </w:rPr>
        <w:t>green</w:t>
      </w:r>
      <w:r w:rsidRPr="00AC5F83">
        <w:rPr>
          <w:rFonts w:ascii="Arial" w:eastAsia="Arial" w:hAnsi="Arial" w:cs="Arial"/>
        </w:rPr>
        <w:t xml:space="preserve"> logistics practices for dealing with environmental performance in Tesla?</w:t>
      </w:r>
    </w:p>
    <w:p w14:paraId="487A127C" w14:textId="48218AFC" w:rsidR="008373B4" w:rsidRPr="00AC5F83" w:rsidRDefault="00436FE4">
      <w:pPr>
        <w:numPr>
          <w:ilvl w:val="0"/>
          <w:numId w:val="1"/>
        </w:numPr>
        <w:rPr>
          <w:rFonts w:ascii="Arial" w:eastAsia="Arial" w:hAnsi="Arial" w:cs="Arial"/>
        </w:rPr>
      </w:pPr>
      <w:r w:rsidRPr="00AC5F83">
        <w:rPr>
          <w:rFonts w:ascii="Arial" w:eastAsia="Arial" w:hAnsi="Arial" w:cs="Arial"/>
        </w:rPr>
        <w:t xml:space="preserve">What are the positive aspects of investing in </w:t>
      </w:r>
      <w:r w:rsidR="00C16665" w:rsidRPr="00AC5F83">
        <w:rPr>
          <w:rFonts w:ascii="Arial" w:eastAsia="Arial" w:hAnsi="Arial" w:cs="Arial"/>
        </w:rPr>
        <w:t>green</w:t>
      </w:r>
      <w:r w:rsidRPr="00AC5F83">
        <w:rPr>
          <w:rFonts w:ascii="Arial" w:eastAsia="Arial" w:hAnsi="Arial" w:cs="Arial"/>
        </w:rPr>
        <w:t xml:space="preserve"> logistics practices for promoting environmental performance in Tesla?</w:t>
      </w:r>
    </w:p>
    <w:p w14:paraId="0E240A7F" w14:textId="58ED62B1" w:rsidR="008373B4" w:rsidRPr="00AC5F83" w:rsidRDefault="00436FE4">
      <w:pPr>
        <w:numPr>
          <w:ilvl w:val="0"/>
          <w:numId w:val="1"/>
        </w:numPr>
        <w:rPr>
          <w:rFonts w:ascii="Arial" w:eastAsia="Arial" w:hAnsi="Arial" w:cs="Arial"/>
        </w:rPr>
      </w:pPr>
      <w:r w:rsidRPr="00AC5F83">
        <w:rPr>
          <w:rFonts w:ascii="Arial" w:eastAsia="Arial" w:hAnsi="Arial" w:cs="Arial"/>
        </w:rPr>
        <w:t xml:space="preserve">What challenges are involved in implementing </w:t>
      </w:r>
      <w:r w:rsidR="00C16665" w:rsidRPr="00AC5F83">
        <w:rPr>
          <w:rFonts w:ascii="Arial" w:eastAsia="Arial" w:hAnsi="Arial" w:cs="Arial"/>
        </w:rPr>
        <w:t>green</w:t>
      </w:r>
      <w:r w:rsidRPr="00AC5F83">
        <w:rPr>
          <w:rFonts w:ascii="Arial" w:eastAsia="Arial" w:hAnsi="Arial" w:cs="Arial"/>
        </w:rPr>
        <w:t xml:space="preserve"> logistics practices for handling Tesla’s environmental performance?</w:t>
      </w:r>
    </w:p>
    <w:p w14:paraId="17B36FBF" w14:textId="022E0AD3" w:rsidR="008373B4" w:rsidRPr="00AC5F83" w:rsidRDefault="00436FE4">
      <w:pPr>
        <w:numPr>
          <w:ilvl w:val="0"/>
          <w:numId w:val="1"/>
        </w:numPr>
        <w:rPr>
          <w:rFonts w:ascii="Arial" w:eastAsia="Arial" w:hAnsi="Arial" w:cs="Arial"/>
        </w:rPr>
      </w:pPr>
      <w:r w:rsidRPr="00AC5F83">
        <w:rPr>
          <w:rFonts w:ascii="Arial" w:eastAsia="Arial" w:hAnsi="Arial" w:cs="Arial"/>
        </w:rPr>
        <w:t xml:space="preserve">What are the strategies for Tesla for improving environmental performance with the help of </w:t>
      </w:r>
      <w:r w:rsidR="00C16665" w:rsidRPr="00AC5F83">
        <w:rPr>
          <w:rFonts w:ascii="Arial" w:eastAsia="Arial" w:hAnsi="Arial" w:cs="Arial"/>
        </w:rPr>
        <w:t>green</w:t>
      </w:r>
      <w:r w:rsidRPr="00AC5F83">
        <w:rPr>
          <w:rFonts w:ascii="Arial" w:eastAsia="Arial" w:hAnsi="Arial" w:cs="Arial"/>
        </w:rPr>
        <w:t xml:space="preserve"> logistics practices?</w:t>
      </w:r>
    </w:p>
    <w:p w14:paraId="0D954803" w14:textId="21ECDD6A" w:rsidR="00AC2F8E" w:rsidRPr="00AC5F83" w:rsidRDefault="00436FE4">
      <w:pPr>
        <w:rPr>
          <w:rFonts w:ascii="Arial" w:eastAsia="Arial" w:hAnsi="Arial" w:cs="Arial"/>
          <w:b/>
          <w:bCs/>
          <w:i/>
          <w:iCs/>
        </w:rPr>
      </w:pPr>
      <w:r w:rsidRPr="00AC5F83">
        <w:rPr>
          <w:rFonts w:ascii="Arial" w:eastAsia="Arial" w:hAnsi="Arial" w:cs="Arial"/>
          <w:b/>
          <w:bCs/>
          <w:i/>
          <w:iCs/>
        </w:rPr>
        <w:t xml:space="preserve">Significance </w:t>
      </w:r>
    </w:p>
    <w:p w14:paraId="05790FB0" w14:textId="1E5D0DB6" w:rsidR="008373B4" w:rsidRPr="00AC5F83" w:rsidRDefault="00436FE4">
      <w:pPr>
        <w:rPr>
          <w:rFonts w:ascii="Arial" w:eastAsia="Arial" w:hAnsi="Arial" w:cs="Arial"/>
          <w:b/>
          <w:bCs/>
          <w:i/>
          <w:iCs/>
        </w:rPr>
      </w:pPr>
      <w:r w:rsidRPr="00AC5F83">
        <w:rPr>
          <w:rFonts w:ascii="Arial" w:eastAsia="Arial" w:hAnsi="Arial" w:cs="Arial"/>
        </w:rPr>
        <w:t xml:space="preserve">This research will provide a broad description of </w:t>
      </w:r>
      <w:r w:rsidR="00C16665" w:rsidRPr="00AC5F83">
        <w:rPr>
          <w:rFonts w:ascii="Arial" w:eastAsia="Arial" w:hAnsi="Arial" w:cs="Arial"/>
        </w:rPr>
        <w:t>green</w:t>
      </w:r>
      <w:r w:rsidRPr="00AC5F83">
        <w:rPr>
          <w:rFonts w:ascii="Arial" w:eastAsia="Arial" w:hAnsi="Arial" w:cs="Arial"/>
        </w:rPr>
        <w:t xml:space="preserve"> logistics practices in the automotive sector to deal with the aspect of environmental performance. The discussion of this research will play an important role for the small and medium-sized automotive companies to ensure long-term growth, handling the environmental performance in the operational market in an effective manner. In other words, this </w:t>
      </w:r>
      <w:r w:rsidRPr="00AC5F83">
        <w:rPr>
          <w:rFonts w:ascii="Arial" w:eastAsia="Arial" w:hAnsi="Arial" w:cs="Arial"/>
        </w:rPr>
        <w:lastRenderedPageBreak/>
        <w:t xml:space="preserve">research will find out the effectiveness and challenges of using </w:t>
      </w:r>
      <w:r w:rsidR="00C16665" w:rsidRPr="00AC5F83">
        <w:rPr>
          <w:rFonts w:ascii="Arial" w:eastAsia="Arial" w:hAnsi="Arial" w:cs="Arial"/>
        </w:rPr>
        <w:t>green</w:t>
      </w:r>
      <w:r w:rsidRPr="00AC5F83">
        <w:rPr>
          <w:rFonts w:ascii="Arial" w:eastAsia="Arial" w:hAnsi="Arial" w:cs="Arial"/>
        </w:rPr>
        <w:t xml:space="preserve"> logistics practices in Tesla for improving brand reputation and environmental performance. Thus, the findings of this research will highlight the need for environmental performance in the automotive sector by investing in </w:t>
      </w:r>
      <w:r w:rsidR="00C16665" w:rsidRPr="00AC5F83">
        <w:rPr>
          <w:rFonts w:ascii="Arial" w:eastAsia="Arial" w:hAnsi="Arial" w:cs="Arial"/>
        </w:rPr>
        <w:t>green</w:t>
      </w:r>
      <w:r w:rsidRPr="00AC5F83">
        <w:rPr>
          <w:rFonts w:ascii="Arial" w:eastAsia="Arial" w:hAnsi="Arial" w:cs="Arial"/>
        </w:rPr>
        <w:t xml:space="preserve"> logistics practices. </w:t>
      </w:r>
    </w:p>
    <w:p w14:paraId="105B88BD" w14:textId="77777777" w:rsidR="008373B4" w:rsidRPr="00AC5F83" w:rsidRDefault="00436FE4">
      <w:pPr>
        <w:rPr>
          <w:rFonts w:ascii="Arial" w:eastAsia="Arial" w:hAnsi="Arial" w:cs="Arial"/>
          <w:b/>
          <w:bCs/>
          <w:i/>
          <w:iCs/>
        </w:rPr>
      </w:pPr>
      <w:r w:rsidRPr="00AC5F83">
        <w:rPr>
          <w:rFonts w:ascii="Arial" w:eastAsia="Arial" w:hAnsi="Arial" w:cs="Arial"/>
          <w:b/>
          <w:bCs/>
          <w:i/>
          <w:iCs/>
        </w:rPr>
        <w:t xml:space="preserve">Structure of the dissertation </w:t>
      </w:r>
    </w:p>
    <w:p w14:paraId="22997E2C" w14:textId="77777777" w:rsidR="008373B4" w:rsidRPr="00AC5F83" w:rsidRDefault="00436FE4">
      <w:pPr>
        <w:jc w:val="center"/>
        <w:rPr>
          <w:rFonts w:ascii="Arial" w:eastAsia="Arial" w:hAnsi="Arial" w:cs="Arial"/>
          <w:b/>
          <w:bCs/>
        </w:rPr>
      </w:pPr>
      <w:r w:rsidRPr="00AC5F83">
        <w:rPr>
          <w:rFonts w:ascii="Arial" w:eastAsia="Arial" w:hAnsi="Arial" w:cs="Arial"/>
          <w:b/>
          <w:bCs/>
          <w:noProof/>
          <w:lang w:eastAsia="en-GB"/>
        </w:rPr>
        <w:drawing>
          <wp:inline distT="114300" distB="114300" distL="114300" distR="114300" wp14:anchorId="22192D11" wp14:editId="3AE2AAA3">
            <wp:extent cx="5731200" cy="33274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3327400"/>
                    </a:xfrm>
                    <a:prstGeom prst="rect">
                      <a:avLst/>
                    </a:prstGeom>
                    <a:ln w="12700">
                      <a:solidFill>
                        <a:srgbClr val="000000"/>
                      </a:solidFill>
                      <a:prstDash val="solid"/>
                    </a:ln>
                  </pic:spPr>
                </pic:pic>
              </a:graphicData>
            </a:graphic>
          </wp:inline>
        </w:drawing>
      </w:r>
    </w:p>
    <w:p w14:paraId="758A2AB5" w14:textId="77777777" w:rsidR="008373B4" w:rsidRPr="00AC5F83" w:rsidRDefault="00436FE4">
      <w:pPr>
        <w:jc w:val="center"/>
        <w:rPr>
          <w:rFonts w:ascii="Arial" w:eastAsia="Arial" w:hAnsi="Arial" w:cs="Arial"/>
          <w:b/>
          <w:bCs/>
        </w:rPr>
      </w:pPr>
      <w:r w:rsidRPr="00AC5F83">
        <w:rPr>
          <w:rFonts w:ascii="Arial" w:eastAsia="Arial" w:hAnsi="Arial" w:cs="Arial"/>
          <w:b/>
          <w:bCs/>
        </w:rPr>
        <w:t>Figure 3: Structure of the dissertation</w:t>
      </w:r>
    </w:p>
    <w:p w14:paraId="509561F5" w14:textId="77777777" w:rsidR="008373B4" w:rsidRPr="00AC5F83" w:rsidRDefault="00436FE4">
      <w:pPr>
        <w:jc w:val="center"/>
        <w:rPr>
          <w:rFonts w:ascii="Arial" w:eastAsia="Arial" w:hAnsi="Arial" w:cs="Arial"/>
        </w:rPr>
      </w:pPr>
      <w:r w:rsidRPr="00AC5F83">
        <w:rPr>
          <w:rFonts w:ascii="Arial" w:eastAsia="Arial" w:hAnsi="Arial" w:cs="Arial"/>
        </w:rPr>
        <w:t>(Source: Self-developed)</w:t>
      </w:r>
    </w:p>
    <w:p w14:paraId="0DDBC5C1" w14:textId="77777777" w:rsidR="008373B4" w:rsidRPr="00AC5F83" w:rsidRDefault="00436FE4">
      <w:pPr>
        <w:pStyle w:val="Heading1"/>
        <w:rPr>
          <w:rFonts w:ascii="Arial" w:eastAsia="Arial" w:hAnsi="Arial" w:cs="Arial"/>
        </w:rPr>
      </w:pPr>
      <w:bookmarkStart w:id="3" w:name="_54ppolew8z7b" w:colFirst="0" w:colLast="0"/>
      <w:bookmarkStart w:id="4" w:name="_Toc221123238"/>
      <w:bookmarkEnd w:id="3"/>
      <w:r w:rsidRPr="00AC5F83">
        <w:rPr>
          <w:rFonts w:ascii="Arial" w:eastAsia="Arial" w:hAnsi="Arial" w:cs="Arial"/>
        </w:rPr>
        <w:t>Literature Review</w:t>
      </w:r>
      <w:bookmarkEnd w:id="4"/>
      <w:r w:rsidRPr="00AC5F83">
        <w:rPr>
          <w:rFonts w:ascii="Arial" w:eastAsia="Arial" w:hAnsi="Arial" w:cs="Arial"/>
        </w:rPr>
        <w:t xml:space="preserve"> </w:t>
      </w:r>
    </w:p>
    <w:p w14:paraId="433E371C" w14:textId="77777777" w:rsidR="008373B4" w:rsidRPr="00AC5F83" w:rsidRDefault="00436FE4">
      <w:pPr>
        <w:rPr>
          <w:rFonts w:ascii="Arial" w:eastAsia="Arial" w:hAnsi="Arial" w:cs="Arial"/>
          <w:b/>
          <w:bCs/>
          <w:i/>
          <w:iCs/>
        </w:rPr>
      </w:pPr>
      <w:r w:rsidRPr="00AC5F83">
        <w:rPr>
          <w:rFonts w:ascii="Arial" w:eastAsia="Arial" w:hAnsi="Arial" w:cs="Arial"/>
          <w:b/>
          <w:bCs/>
          <w:i/>
          <w:iCs/>
        </w:rPr>
        <w:t>Aspects of Green logistics practices on environmental performance</w:t>
      </w:r>
    </w:p>
    <w:p w14:paraId="44D4F747" w14:textId="7F210CC1" w:rsidR="008373B4" w:rsidRPr="00AC5F83" w:rsidRDefault="00436FE4">
      <w:pPr>
        <w:rPr>
          <w:rFonts w:ascii="Arial" w:eastAsia="Arial" w:hAnsi="Arial" w:cs="Arial"/>
          <w:highlight w:val="white"/>
        </w:rPr>
      </w:pPr>
      <w:r w:rsidRPr="00AC5F83">
        <w:rPr>
          <w:rFonts w:ascii="Arial" w:eastAsia="Arial" w:hAnsi="Arial" w:cs="Arial"/>
        </w:rPr>
        <w:t xml:space="preserve">Green logistics practice on environmental performance management depends on eco-friendly transportation, energy-efficient process of coordination. Understanding the strategy of sustainable planning creates scope for better environmental performance management and reduces harmful impact. As per the opinion of </w:t>
      </w:r>
      <w:r w:rsidRPr="00AC5F83">
        <w:rPr>
          <w:rFonts w:ascii="Arial" w:eastAsia="Arial" w:hAnsi="Arial" w:cs="Arial"/>
          <w:highlight w:val="white"/>
        </w:rPr>
        <w:t xml:space="preserve">Jayarathna </w:t>
      </w:r>
      <w:r w:rsidRPr="00AC5F83">
        <w:rPr>
          <w:rFonts w:ascii="Arial" w:eastAsia="Arial" w:hAnsi="Arial" w:cs="Arial"/>
          <w:i/>
          <w:iCs/>
          <w:highlight w:val="white"/>
        </w:rPr>
        <w:t>et al</w:t>
      </w:r>
      <w:r w:rsidRPr="00AC5F83">
        <w:rPr>
          <w:rFonts w:ascii="Arial" w:eastAsia="Arial" w:hAnsi="Arial" w:cs="Arial"/>
          <w:highlight w:val="white"/>
        </w:rPr>
        <w:t>. (2025), the need is to increase the scope of environmental sustainability with green logistics practices. Integration of eco-friendly strategies helps to achieve success in inventory management, and the consequences are observed in profit maximisation</w:t>
      </w:r>
      <w:r w:rsidR="001F7684" w:rsidRPr="00AC5F83">
        <w:rPr>
          <w:rFonts w:ascii="Arial" w:eastAsia="Arial" w:hAnsi="Arial" w:cs="Arial"/>
          <w:highlight w:val="white"/>
        </w:rPr>
        <w:t>.</w:t>
      </w:r>
      <w:r w:rsidRPr="00AC5F83">
        <w:rPr>
          <w:rFonts w:ascii="Arial" w:eastAsia="Arial" w:hAnsi="Arial" w:cs="Arial"/>
          <w:highlight w:val="white"/>
        </w:rPr>
        <w:t xml:space="preserve"> </w:t>
      </w:r>
    </w:p>
    <w:p w14:paraId="7BBE6830" w14:textId="14A202FE" w:rsidR="008373B4" w:rsidRPr="00AC5F83" w:rsidRDefault="00436FE4">
      <w:pPr>
        <w:rPr>
          <w:rFonts w:ascii="Arial" w:eastAsia="Arial" w:hAnsi="Arial" w:cs="Arial"/>
          <w:highlight w:val="white"/>
        </w:rPr>
      </w:pPr>
      <w:r w:rsidRPr="00AC5F83">
        <w:rPr>
          <w:rFonts w:ascii="Arial" w:eastAsia="Arial" w:hAnsi="Arial" w:cs="Arial"/>
          <w:highlight w:val="white"/>
        </w:rPr>
        <w:t>According to the perspectives of Galdos</w:t>
      </w:r>
      <w:r w:rsidRPr="00AC5F83">
        <w:rPr>
          <w:rFonts w:ascii="Cambria Math" w:eastAsia="Arial" w:hAnsi="Cambria Math" w:cs="Cambria Math"/>
          <w:highlight w:val="white"/>
        </w:rPr>
        <w:t>‐</w:t>
      </w:r>
      <w:proofErr w:type="spellStart"/>
      <w:r w:rsidRPr="00AC5F83">
        <w:rPr>
          <w:rFonts w:ascii="Arial" w:eastAsia="Arial" w:hAnsi="Arial" w:cs="Arial"/>
          <w:highlight w:val="white"/>
        </w:rPr>
        <w:t>Urbizu</w:t>
      </w:r>
      <w:proofErr w:type="spellEnd"/>
      <w:r w:rsidRPr="00AC5F83">
        <w:rPr>
          <w:rFonts w:ascii="Arial" w:eastAsia="Arial" w:hAnsi="Arial" w:cs="Arial"/>
          <w:highlight w:val="white"/>
        </w:rPr>
        <w:t xml:space="preserve"> </w:t>
      </w:r>
      <w:r w:rsidRPr="00AC5F83">
        <w:rPr>
          <w:rFonts w:ascii="Arial" w:eastAsia="Arial" w:hAnsi="Arial" w:cs="Arial"/>
          <w:i/>
          <w:iCs/>
          <w:highlight w:val="white"/>
        </w:rPr>
        <w:t>et al</w:t>
      </w:r>
      <w:r w:rsidRPr="00AC5F83">
        <w:rPr>
          <w:rFonts w:ascii="Arial" w:eastAsia="Arial" w:hAnsi="Arial" w:cs="Arial"/>
          <w:highlight w:val="white"/>
        </w:rPr>
        <w:t xml:space="preserve">. (2024), maintenance of logistic circularity and maintaining a low-carbon supply chain is essential. Tech-driven inventory management practice helps in ensuring the reduction of harmful footprint, and achieving success in desired value estimation becomes easier. In this context, </w:t>
      </w:r>
      <w:r w:rsidRPr="00AC5F83">
        <w:rPr>
          <w:rFonts w:ascii="Arial" w:eastAsia="Arial" w:hAnsi="Arial" w:cs="Arial"/>
          <w:highlight w:val="white"/>
        </w:rPr>
        <w:lastRenderedPageBreak/>
        <w:t xml:space="preserve">Jayarathna </w:t>
      </w:r>
      <w:r w:rsidRPr="00AC5F83">
        <w:rPr>
          <w:rFonts w:ascii="Arial" w:eastAsia="Arial" w:hAnsi="Arial" w:cs="Arial"/>
          <w:i/>
          <w:iCs/>
          <w:highlight w:val="white"/>
        </w:rPr>
        <w:t>et al</w:t>
      </w:r>
      <w:r w:rsidRPr="00AC5F83">
        <w:rPr>
          <w:rFonts w:ascii="Arial" w:eastAsia="Arial" w:hAnsi="Arial" w:cs="Arial"/>
          <w:highlight w:val="white"/>
        </w:rPr>
        <w:t>. (2025), disagreed and stated that the development of green logistics infrastructure needs a transition in the policy. Over the last few years, Tesla has made adequate investments in the development of EV infrastructure, and the consequences are observed in gaining practical outcomes. Crucial factors determining the green logistics practice are eco-friendly transportation, green warehousing, and sustainable support planning. Therefore, the need is to ensure the reduction of harmful environmental footprint and determine the opportunity to achieve success.</w:t>
      </w:r>
      <w:r w:rsidR="001F7684" w:rsidRPr="00AC5F83">
        <w:rPr>
          <w:rFonts w:ascii="Arial" w:eastAsia="Arial" w:hAnsi="Arial" w:cs="Arial"/>
          <w:highlight w:val="white"/>
        </w:rPr>
        <w:t xml:space="preserve"> </w:t>
      </w:r>
      <w:r w:rsidRPr="00AC5F83">
        <w:rPr>
          <w:rFonts w:ascii="Arial" w:eastAsia="Arial" w:hAnsi="Arial" w:cs="Arial"/>
          <w:highlight w:val="white"/>
        </w:rPr>
        <w:t xml:space="preserve">According to the view of Khan </w:t>
      </w:r>
      <w:r w:rsidRPr="00AC5F83">
        <w:rPr>
          <w:rFonts w:ascii="Arial" w:eastAsia="Arial" w:hAnsi="Arial" w:cs="Arial"/>
          <w:i/>
          <w:iCs/>
          <w:highlight w:val="white"/>
        </w:rPr>
        <w:t>et al</w:t>
      </w:r>
      <w:r w:rsidRPr="00AC5F83">
        <w:rPr>
          <w:rFonts w:ascii="Arial" w:eastAsia="Arial" w:hAnsi="Arial" w:cs="Arial"/>
          <w:highlight w:val="white"/>
        </w:rPr>
        <w:t xml:space="preserve">. (2024), the EV market transition provides an opportunity to deal with the challenges. An optimal strategy of inventory control creates an opportunity to determine opportunity and achieve success in the desired objectives. In this context, Jayarathna </w:t>
      </w:r>
      <w:r w:rsidRPr="00AC5F83">
        <w:rPr>
          <w:rFonts w:ascii="Arial" w:eastAsia="Arial" w:hAnsi="Arial" w:cs="Arial"/>
          <w:i/>
          <w:iCs/>
          <w:highlight w:val="white"/>
        </w:rPr>
        <w:t>et al</w:t>
      </w:r>
      <w:r w:rsidRPr="00AC5F83">
        <w:rPr>
          <w:rFonts w:ascii="Arial" w:eastAsia="Arial" w:hAnsi="Arial" w:cs="Arial"/>
          <w:highlight w:val="white"/>
        </w:rPr>
        <w:t>. (2025) agreed and stated that it needs to focus on the challenges and consequences found in reaching an adequate scope of success. Henceforth, the need is to deal with the barriers and determine the opportunity for value creation regarding the concerned scenario.</w:t>
      </w:r>
    </w:p>
    <w:p w14:paraId="52AFEC14" w14:textId="278E9D21" w:rsidR="008373B4" w:rsidRPr="00AC5F83" w:rsidRDefault="00436FE4">
      <w:pPr>
        <w:rPr>
          <w:rFonts w:ascii="Arial" w:eastAsia="Arial" w:hAnsi="Arial" w:cs="Arial"/>
          <w:b/>
          <w:bCs/>
          <w:i/>
          <w:iCs/>
        </w:rPr>
      </w:pPr>
      <w:r w:rsidRPr="00AC5F83">
        <w:rPr>
          <w:rFonts w:ascii="Arial" w:eastAsia="Arial" w:hAnsi="Arial" w:cs="Arial"/>
          <w:b/>
          <w:bCs/>
          <w:i/>
          <w:iCs/>
        </w:rPr>
        <w:t xml:space="preserve">Challenges of implementing </w:t>
      </w:r>
      <w:r w:rsidR="00C16665" w:rsidRPr="00AC5F83">
        <w:rPr>
          <w:rFonts w:ascii="Arial" w:eastAsia="Arial" w:hAnsi="Arial" w:cs="Arial"/>
          <w:b/>
          <w:bCs/>
          <w:i/>
          <w:iCs/>
        </w:rPr>
        <w:t>green</w:t>
      </w:r>
      <w:r w:rsidRPr="00AC5F83">
        <w:rPr>
          <w:rFonts w:ascii="Arial" w:eastAsia="Arial" w:hAnsi="Arial" w:cs="Arial"/>
          <w:b/>
          <w:bCs/>
          <w:i/>
          <w:iCs/>
        </w:rPr>
        <w:t xml:space="preserve"> logistics practices for improving environmental performance</w:t>
      </w:r>
    </w:p>
    <w:p w14:paraId="420091CF" w14:textId="77777777" w:rsidR="008373B4" w:rsidRPr="00AC5F83" w:rsidRDefault="00436FE4">
      <w:pPr>
        <w:rPr>
          <w:rFonts w:ascii="Arial" w:eastAsia="Arial" w:hAnsi="Arial" w:cs="Arial"/>
          <w:highlight w:val="white"/>
        </w:rPr>
      </w:pPr>
      <w:r w:rsidRPr="00AC5F83">
        <w:rPr>
          <w:rFonts w:ascii="Arial" w:eastAsia="Arial" w:hAnsi="Arial" w:cs="Arial"/>
        </w:rPr>
        <w:t xml:space="preserve">A major barrier observed in the implementation of green logistics is the high upfront cost, complexity in the supply chain, and limitations in infrastructure. As per the opinion of </w:t>
      </w:r>
      <w:r w:rsidRPr="00AC5F83">
        <w:rPr>
          <w:rFonts w:ascii="Arial" w:eastAsia="Arial" w:hAnsi="Arial" w:cs="Arial"/>
          <w:highlight w:val="white"/>
        </w:rPr>
        <w:t xml:space="preserve">Nicoletti and </w:t>
      </w:r>
      <w:proofErr w:type="spellStart"/>
      <w:r w:rsidRPr="00AC5F83">
        <w:rPr>
          <w:rFonts w:ascii="Arial" w:eastAsia="Arial" w:hAnsi="Arial" w:cs="Arial"/>
          <w:highlight w:val="white"/>
        </w:rPr>
        <w:t>Appolloni</w:t>
      </w:r>
      <w:proofErr w:type="spellEnd"/>
      <w:r w:rsidRPr="00AC5F83">
        <w:rPr>
          <w:rFonts w:ascii="Arial" w:eastAsia="Arial" w:hAnsi="Arial" w:cs="Arial"/>
          <w:highlight w:val="white"/>
        </w:rPr>
        <w:t xml:space="preserve"> (2024), the complexity of infrastructure creates a challenge in the implementation of better performance. Infrastructural gaps are created due to the lack of awareness, and consequences are observed in the failure to achieve better environmental performance. In this context, Galdos</w:t>
      </w:r>
      <w:r w:rsidRPr="00AC5F83">
        <w:rPr>
          <w:rFonts w:ascii="Cambria Math" w:eastAsia="Arial" w:hAnsi="Cambria Math" w:cs="Cambria Math"/>
          <w:highlight w:val="white"/>
        </w:rPr>
        <w:t>‐</w:t>
      </w:r>
      <w:proofErr w:type="spellStart"/>
      <w:r w:rsidRPr="00AC5F83">
        <w:rPr>
          <w:rFonts w:ascii="Arial" w:eastAsia="Arial" w:hAnsi="Arial" w:cs="Arial"/>
          <w:highlight w:val="white"/>
        </w:rPr>
        <w:t>Urbizu</w:t>
      </w:r>
      <w:proofErr w:type="spellEnd"/>
      <w:r w:rsidRPr="00AC5F83">
        <w:rPr>
          <w:rFonts w:ascii="Arial" w:eastAsia="Arial" w:hAnsi="Arial" w:cs="Arial"/>
          <w:highlight w:val="white"/>
        </w:rPr>
        <w:t xml:space="preserve"> </w:t>
      </w:r>
      <w:r w:rsidRPr="00AC5F83">
        <w:rPr>
          <w:rFonts w:ascii="Arial" w:eastAsia="Arial" w:hAnsi="Arial" w:cs="Arial"/>
          <w:i/>
          <w:iCs/>
          <w:highlight w:val="white"/>
        </w:rPr>
        <w:t>et al</w:t>
      </w:r>
      <w:r w:rsidRPr="00AC5F83">
        <w:rPr>
          <w:rFonts w:ascii="Arial" w:eastAsia="Arial" w:hAnsi="Arial" w:cs="Arial"/>
          <w:highlight w:val="white"/>
        </w:rPr>
        <w:t>. (2024) opined that the need is to deal with the existing issues and achieve success. Therefore, the need is to identify the existing barriers and achieve success in reaching the desired targets.</w:t>
      </w:r>
    </w:p>
    <w:p w14:paraId="2AE6842C" w14:textId="77777777" w:rsidR="008373B4" w:rsidRPr="00AC5F83" w:rsidRDefault="00436FE4">
      <w:pPr>
        <w:rPr>
          <w:rFonts w:ascii="Arial" w:eastAsia="Arial" w:hAnsi="Arial" w:cs="Arial"/>
          <w:b/>
          <w:bCs/>
          <w:i/>
          <w:iCs/>
        </w:rPr>
      </w:pPr>
      <w:r w:rsidRPr="00AC5F83">
        <w:rPr>
          <w:rFonts w:ascii="Arial" w:eastAsia="Arial" w:hAnsi="Arial" w:cs="Arial"/>
          <w:highlight w:val="white"/>
        </w:rPr>
        <w:t xml:space="preserve">Addressing the regulatory barriers is necessary to deal with the constraints and consequences observed in reaching desired targets. According to the view of </w:t>
      </w:r>
      <w:proofErr w:type="spellStart"/>
      <w:r w:rsidRPr="00AC5F83">
        <w:rPr>
          <w:rFonts w:ascii="Arial" w:eastAsia="Arial" w:hAnsi="Arial" w:cs="Arial"/>
          <w:highlight w:val="white"/>
        </w:rPr>
        <w:t>Nikseresht</w:t>
      </w:r>
      <w:proofErr w:type="spellEnd"/>
      <w:r w:rsidRPr="00AC5F83">
        <w:rPr>
          <w:rFonts w:ascii="Arial" w:eastAsia="Arial" w:hAnsi="Arial" w:cs="Arial"/>
          <w:highlight w:val="white"/>
        </w:rPr>
        <w:t xml:space="preserve"> </w:t>
      </w:r>
      <w:r w:rsidRPr="00AC5F83">
        <w:rPr>
          <w:rFonts w:ascii="Arial" w:eastAsia="Arial" w:hAnsi="Arial" w:cs="Arial"/>
          <w:i/>
          <w:iCs/>
          <w:highlight w:val="white"/>
        </w:rPr>
        <w:t>et al</w:t>
      </w:r>
      <w:r w:rsidRPr="00AC5F83">
        <w:rPr>
          <w:rFonts w:ascii="Arial" w:eastAsia="Arial" w:hAnsi="Arial" w:cs="Arial"/>
          <w:highlight w:val="white"/>
        </w:rPr>
        <w:t>. (2024), it is important to deal with the gap observed in infrastructure and determine success. Implementation of green logistics practices experiences difficulty due to budget constraints, and the impact is found in fulfilling the desired vision. In the context, Galdos</w:t>
      </w:r>
      <w:r w:rsidRPr="00AC5F83">
        <w:rPr>
          <w:rFonts w:ascii="Cambria Math" w:eastAsia="Arial" w:hAnsi="Cambria Math" w:cs="Cambria Math"/>
          <w:highlight w:val="white"/>
        </w:rPr>
        <w:t>‐</w:t>
      </w:r>
      <w:proofErr w:type="spellStart"/>
      <w:r w:rsidRPr="00AC5F83">
        <w:rPr>
          <w:rFonts w:ascii="Arial" w:eastAsia="Arial" w:hAnsi="Arial" w:cs="Arial"/>
          <w:highlight w:val="white"/>
        </w:rPr>
        <w:t>Urbizu</w:t>
      </w:r>
      <w:proofErr w:type="spellEnd"/>
      <w:r w:rsidRPr="00AC5F83">
        <w:rPr>
          <w:rFonts w:ascii="Arial" w:eastAsia="Arial" w:hAnsi="Arial" w:cs="Arial"/>
          <w:highlight w:val="white"/>
        </w:rPr>
        <w:t xml:space="preserve"> </w:t>
      </w:r>
      <w:r w:rsidRPr="00AC5F83">
        <w:rPr>
          <w:rFonts w:ascii="Arial" w:eastAsia="Arial" w:hAnsi="Arial" w:cs="Arial"/>
          <w:i/>
          <w:iCs/>
          <w:highlight w:val="white"/>
        </w:rPr>
        <w:t>et al</w:t>
      </w:r>
      <w:r w:rsidRPr="00AC5F83">
        <w:rPr>
          <w:rFonts w:ascii="Arial" w:eastAsia="Arial" w:hAnsi="Arial" w:cs="Arial"/>
          <w:highlight w:val="white"/>
        </w:rPr>
        <w:t xml:space="preserve">. (2024), agreed and opined that the need is to deal with the challenges and consequences observed in gaining progress.  Henceforth, it is necessary to achieve success in green logistics implementation with the improvement of environmental performance. </w:t>
      </w:r>
    </w:p>
    <w:p w14:paraId="68695AE2" w14:textId="77777777" w:rsidR="008373B4" w:rsidRPr="00AC5F83" w:rsidRDefault="00436FE4">
      <w:pPr>
        <w:rPr>
          <w:rFonts w:ascii="Arial" w:eastAsia="Arial" w:hAnsi="Arial" w:cs="Arial"/>
        </w:rPr>
      </w:pPr>
      <w:r w:rsidRPr="00AC5F83">
        <w:rPr>
          <w:rFonts w:ascii="Arial" w:eastAsia="Arial" w:hAnsi="Arial" w:cs="Arial"/>
        </w:rPr>
        <w:lastRenderedPageBreak/>
        <w:t xml:space="preserve">Financial Constraints are recognised as one of the key challenges for the automotive companies in implementing green logistics practices and promoting environmental performance. Based on the views of Korra and </w:t>
      </w:r>
      <w:proofErr w:type="spellStart"/>
      <w:r w:rsidRPr="00AC5F83">
        <w:rPr>
          <w:rFonts w:ascii="Arial" w:eastAsia="Arial" w:hAnsi="Arial" w:cs="Arial"/>
        </w:rPr>
        <w:t>Valaboju</w:t>
      </w:r>
      <w:proofErr w:type="spellEnd"/>
      <w:r w:rsidRPr="00AC5F83">
        <w:rPr>
          <w:rFonts w:ascii="Arial" w:eastAsia="Arial" w:hAnsi="Arial" w:cs="Arial"/>
        </w:rPr>
        <w:t xml:space="preserve"> (2024), an upfront investment is required to prepare energy-efficient warehouses. High costs of operational activities within the automotive sector are significant barriers to investment for innovation and research (Braidy </w:t>
      </w:r>
      <w:r w:rsidRPr="00AC5F83">
        <w:rPr>
          <w:rFonts w:ascii="Arial" w:eastAsia="Arial" w:hAnsi="Arial" w:cs="Arial"/>
          <w:i/>
          <w:iCs/>
        </w:rPr>
        <w:t>et al.</w:t>
      </w:r>
      <w:r w:rsidRPr="00AC5F83">
        <w:rPr>
          <w:rFonts w:ascii="Arial" w:eastAsia="Arial" w:hAnsi="Arial" w:cs="Arial"/>
        </w:rPr>
        <w:t xml:space="preserve"> 2025). Automotive business organisations that struggle with increased carbon emissions face the complexity of providing a huge investment to handle the financial pressure. On the other hand, Abdelaziz and Munawaroh (2024) have stated the green logistics activities within the automotive sector that include the activities of the automotive supply chain and integrate some alternative fuels within the operational activities. Lack of cultural awareness as well as flexibility within a business organisation are the barriers to implementing green logistics practices. </w:t>
      </w:r>
    </w:p>
    <w:p w14:paraId="2CD07435" w14:textId="77777777" w:rsidR="008373B4" w:rsidRPr="00AC5F83" w:rsidRDefault="00436FE4">
      <w:pPr>
        <w:rPr>
          <w:rFonts w:ascii="Arial" w:eastAsia="Arial" w:hAnsi="Arial" w:cs="Arial"/>
          <w:b/>
          <w:bCs/>
          <w:shd w:val="clear" w:color="auto" w:fill="FF9900"/>
        </w:rPr>
      </w:pPr>
      <w:r w:rsidRPr="00AC5F83">
        <w:rPr>
          <w:rFonts w:ascii="Arial" w:eastAsia="Arial" w:hAnsi="Arial" w:cs="Arial"/>
        </w:rPr>
        <w:t xml:space="preserve">It has been recognised from the literature source that automotive companies use traditional manufacturing models within the operational segment and show a resistance to adopting new tools or techniques (Wankhede and Vinodh, 2022). Technological advancements that can balance sustainability with operational cost is difficult to implement for the automotive sector. The aim towards environmental performance improvement is significantly disrupted because of the lack of resistance. On the contrary, Chen (2022) has highlighted the lack of expertise within the automotive sector in terms of lowering carbon emissions using new technological systems. Limited access to the actual equipment has made the green logistics practices difficult for automotive firms.   </w:t>
      </w:r>
    </w:p>
    <w:p w14:paraId="5406E281" w14:textId="0E7FB385" w:rsidR="008373B4" w:rsidRPr="00AC5F83" w:rsidRDefault="00436FE4">
      <w:pPr>
        <w:rPr>
          <w:rFonts w:ascii="Arial" w:eastAsia="Arial" w:hAnsi="Arial" w:cs="Arial"/>
          <w:b/>
          <w:bCs/>
          <w:i/>
          <w:iCs/>
        </w:rPr>
      </w:pPr>
      <w:r w:rsidRPr="00AC5F83">
        <w:rPr>
          <w:rFonts w:ascii="Arial" w:eastAsia="Arial" w:hAnsi="Arial" w:cs="Arial"/>
          <w:b/>
          <w:bCs/>
          <w:i/>
          <w:iCs/>
        </w:rPr>
        <w:t xml:space="preserve">Strategies to conduct successful </w:t>
      </w:r>
      <w:r w:rsidR="00C16665" w:rsidRPr="00AC5F83">
        <w:rPr>
          <w:rFonts w:ascii="Arial" w:eastAsia="Arial" w:hAnsi="Arial" w:cs="Arial"/>
          <w:b/>
          <w:bCs/>
          <w:i/>
          <w:iCs/>
        </w:rPr>
        <w:t>green</w:t>
      </w:r>
      <w:r w:rsidRPr="00AC5F83">
        <w:rPr>
          <w:rFonts w:ascii="Arial" w:eastAsia="Arial" w:hAnsi="Arial" w:cs="Arial"/>
          <w:b/>
          <w:bCs/>
          <w:i/>
          <w:iCs/>
        </w:rPr>
        <w:t xml:space="preserve"> logistics practices implementation, boosting environmental performance</w:t>
      </w:r>
    </w:p>
    <w:p w14:paraId="272C531F" w14:textId="77777777" w:rsidR="008373B4" w:rsidRPr="00AC5F83" w:rsidRDefault="00436FE4">
      <w:pPr>
        <w:rPr>
          <w:rFonts w:ascii="Arial" w:eastAsia="Arial" w:hAnsi="Arial" w:cs="Arial"/>
        </w:rPr>
      </w:pPr>
      <w:r w:rsidRPr="00AC5F83">
        <w:rPr>
          <w:rFonts w:ascii="Arial" w:eastAsia="Arial" w:hAnsi="Arial" w:cs="Arial"/>
        </w:rPr>
        <w:t xml:space="preserve">Collaborative supply chain creation is a common way used by businesses to shift towards green logistics practices and boost environmental performance. </w:t>
      </w:r>
      <w:proofErr w:type="spellStart"/>
      <w:r w:rsidRPr="00AC5F83">
        <w:rPr>
          <w:rFonts w:ascii="Arial" w:eastAsia="Arial" w:hAnsi="Arial" w:cs="Arial"/>
        </w:rPr>
        <w:t>Nzeva</w:t>
      </w:r>
      <w:proofErr w:type="spellEnd"/>
      <w:r w:rsidRPr="00AC5F83">
        <w:rPr>
          <w:rFonts w:ascii="Arial" w:eastAsia="Arial" w:hAnsi="Arial" w:cs="Arial"/>
        </w:rPr>
        <w:t xml:space="preserve"> </w:t>
      </w:r>
      <w:r w:rsidRPr="00AC5F83">
        <w:rPr>
          <w:rFonts w:ascii="Arial" w:eastAsia="Arial" w:hAnsi="Arial" w:cs="Arial"/>
          <w:i/>
          <w:iCs/>
        </w:rPr>
        <w:t xml:space="preserve">et al. </w:t>
      </w:r>
      <w:r w:rsidRPr="00AC5F83">
        <w:rPr>
          <w:rFonts w:ascii="Arial" w:eastAsia="Arial" w:hAnsi="Arial" w:cs="Arial"/>
        </w:rPr>
        <w:t xml:space="preserve">(2025) have stated that eco-conscious suppliers enforce green procurement policies in firms. Furthermore, the companies that aim to promote carbon credits can engage in cross-industry collaboration for better sustainability. On the other hand, </w:t>
      </w:r>
      <w:proofErr w:type="spellStart"/>
      <w:r w:rsidRPr="00AC5F83">
        <w:rPr>
          <w:rFonts w:ascii="Arial" w:eastAsia="Arial" w:hAnsi="Arial" w:cs="Arial"/>
        </w:rPr>
        <w:t>Letunovska</w:t>
      </w:r>
      <w:proofErr w:type="spellEnd"/>
      <w:r w:rsidRPr="00AC5F83">
        <w:rPr>
          <w:rFonts w:ascii="Arial" w:eastAsia="Arial" w:hAnsi="Arial" w:cs="Arial"/>
        </w:rPr>
        <w:t xml:space="preserve"> </w:t>
      </w:r>
      <w:r w:rsidRPr="00AC5F83">
        <w:rPr>
          <w:rFonts w:ascii="Arial" w:eastAsia="Arial" w:hAnsi="Arial" w:cs="Arial"/>
          <w:i/>
          <w:iCs/>
        </w:rPr>
        <w:t xml:space="preserve">et al. </w:t>
      </w:r>
      <w:r w:rsidRPr="00AC5F83">
        <w:rPr>
          <w:rFonts w:ascii="Arial" w:eastAsia="Arial" w:hAnsi="Arial" w:cs="Arial"/>
        </w:rPr>
        <w:t xml:space="preserve">(2023) have stated that involving suppliers in green logistics practices boosts the ethical standard. Automotive companies can access green equipment within a limited budget to process further logistic activities and improve the organisation's performance. On the other hand, business organisations are recognised to invest in automation to lower the negative impact of operational activities in the automotive </w:t>
      </w:r>
      <w:r w:rsidRPr="00AC5F83">
        <w:rPr>
          <w:rFonts w:ascii="Arial" w:eastAsia="Arial" w:hAnsi="Arial" w:cs="Arial"/>
        </w:rPr>
        <w:lastRenderedPageBreak/>
        <w:t xml:space="preserve">sector. As per </w:t>
      </w:r>
      <w:proofErr w:type="spellStart"/>
      <w:r w:rsidRPr="00AC5F83">
        <w:rPr>
          <w:rFonts w:ascii="Arial" w:eastAsia="Arial" w:hAnsi="Arial" w:cs="Arial"/>
        </w:rPr>
        <w:t>Lazaroiu</w:t>
      </w:r>
      <w:proofErr w:type="spellEnd"/>
      <w:r w:rsidRPr="00AC5F83">
        <w:rPr>
          <w:rFonts w:ascii="Arial" w:eastAsia="Arial" w:hAnsi="Arial" w:cs="Arial"/>
        </w:rPr>
        <w:t xml:space="preserve"> </w:t>
      </w:r>
      <w:r w:rsidRPr="00AC5F83">
        <w:rPr>
          <w:rFonts w:ascii="Arial" w:eastAsia="Arial" w:hAnsi="Arial" w:cs="Arial"/>
          <w:i/>
          <w:iCs/>
        </w:rPr>
        <w:t xml:space="preserve">et al. </w:t>
      </w:r>
      <w:r w:rsidRPr="00AC5F83">
        <w:rPr>
          <w:rFonts w:ascii="Arial" w:eastAsia="Arial" w:hAnsi="Arial" w:cs="Arial"/>
        </w:rPr>
        <w:t>(2022), employing AI, IoT, and big data, companies can make better, data-driven, and real-time decisions to optimise resource use. The green logistics practices of automotive firms track the new logistics activities as well as the waste recycling process in an automated way, through an energy-efficient way under technological advancement.</w:t>
      </w:r>
    </w:p>
    <w:p w14:paraId="6A7D8115" w14:textId="77777777" w:rsidR="008373B4" w:rsidRPr="00AC5F83" w:rsidRDefault="00436FE4">
      <w:pPr>
        <w:rPr>
          <w:rFonts w:ascii="Arial" w:eastAsia="Arial" w:hAnsi="Arial" w:cs="Arial"/>
          <w:b/>
          <w:bCs/>
          <w:i/>
          <w:iCs/>
        </w:rPr>
      </w:pPr>
      <w:r w:rsidRPr="00AC5F83">
        <w:rPr>
          <w:rFonts w:ascii="Arial" w:eastAsia="Arial" w:hAnsi="Arial" w:cs="Arial"/>
          <w:b/>
          <w:bCs/>
          <w:i/>
          <w:iCs/>
        </w:rPr>
        <w:t>Theoretical framework</w:t>
      </w:r>
    </w:p>
    <w:p w14:paraId="6BCE0500" w14:textId="77777777" w:rsidR="008373B4" w:rsidRPr="00AC5F83" w:rsidRDefault="00436FE4">
      <w:pPr>
        <w:rPr>
          <w:rFonts w:ascii="Arial" w:eastAsia="Arial" w:hAnsi="Arial" w:cs="Arial"/>
          <w:b/>
          <w:bCs/>
          <w:i/>
          <w:iCs/>
        </w:rPr>
      </w:pPr>
      <w:r w:rsidRPr="00AC5F83">
        <w:rPr>
          <w:rFonts w:ascii="Arial" w:eastAsia="Arial" w:hAnsi="Arial" w:cs="Arial"/>
          <w:b/>
          <w:bCs/>
          <w:i/>
          <w:iCs/>
        </w:rPr>
        <w:t>Resource dependence theory (RDT)</w:t>
      </w:r>
    </w:p>
    <w:p w14:paraId="59A2D34D" w14:textId="77777777" w:rsidR="008373B4" w:rsidRPr="00AC5F83" w:rsidRDefault="00436FE4">
      <w:pPr>
        <w:rPr>
          <w:rFonts w:ascii="Arial" w:eastAsia="Arial" w:hAnsi="Arial" w:cs="Arial"/>
        </w:rPr>
      </w:pPr>
      <w:r w:rsidRPr="00AC5F83">
        <w:rPr>
          <w:rFonts w:ascii="Arial" w:eastAsia="Arial" w:hAnsi="Arial" w:cs="Arial"/>
        </w:rPr>
        <w:t xml:space="preserve">The main context of RDT is that companies must acquire from external sources for survival. Jiang </w:t>
      </w:r>
      <w:r w:rsidRPr="00AC5F83">
        <w:rPr>
          <w:rFonts w:ascii="Arial" w:eastAsia="Arial" w:hAnsi="Arial" w:cs="Arial"/>
          <w:i/>
          <w:iCs/>
        </w:rPr>
        <w:t xml:space="preserve">et al. </w:t>
      </w:r>
      <w:r w:rsidRPr="00AC5F83">
        <w:rPr>
          <w:rFonts w:ascii="Arial" w:eastAsia="Arial" w:hAnsi="Arial" w:cs="Arial"/>
        </w:rPr>
        <w:t xml:space="preserve">(2023) have stated that RDT is well-aligned with the nature of international business activities and suggested processing with cross-border interdependencies. In the way of practising green logistics practices, the automotive firms can apply RDT and balance among capital, labour and materials. Under this theoretical aspect, the organisations are motivated by the entities that control the required resources, shape organisational behaviour as well as strategy. The challenges faced by automotive firms, such as a lack of expertise and resources, can be managed in an effective manner through a successful application of RDT. Thus, the environmental performance of Tesla can be promoted by mitigating the internal and external risks. </w:t>
      </w:r>
    </w:p>
    <w:p w14:paraId="56910604" w14:textId="77777777" w:rsidR="008373B4" w:rsidRPr="00AC5F83" w:rsidRDefault="00436FE4">
      <w:pPr>
        <w:jc w:val="center"/>
        <w:rPr>
          <w:rFonts w:ascii="Arial" w:eastAsia="Arial" w:hAnsi="Arial" w:cs="Arial"/>
          <w:b/>
          <w:bCs/>
        </w:rPr>
      </w:pPr>
      <w:r w:rsidRPr="00AC5F83">
        <w:rPr>
          <w:rFonts w:ascii="Arial" w:eastAsia="Arial" w:hAnsi="Arial" w:cs="Arial"/>
          <w:b/>
          <w:bCs/>
          <w:noProof/>
          <w:lang w:eastAsia="en-GB"/>
        </w:rPr>
        <w:drawing>
          <wp:inline distT="114300" distB="114300" distL="114300" distR="114300" wp14:anchorId="24B8F14E" wp14:editId="660DF8C1">
            <wp:extent cx="5731200" cy="3797300"/>
            <wp:effectExtent l="12700" t="12700" r="12700" b="127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731200" cy="3797300"/>
                    </a:xfrm>
                    <a:prstGeom prst="rect">
                      <a:avLst/>
                    </a:prstGeom>
                    <a:ln w="12700">
                      <a:solidFill>
                        <a:srgbClr val="000000"/>
                      </a:solidFill>
                      <a:prstDash val="solid"/>
                    </a:ln>
                  </pic:spPr>
                </pic:pic>
              </a:graphicData>
            </a:graphic>
          </wp:inline>
        </w:drawing>
      </w:r>
    </w:p>
    <w:p w14:paraId="14A0A784" w14:textId="77777777" w:rsidR="008373B4" w:rsidRPr="00AC5F83" w:rsidRDefault="00436FE4">
      <w:pPr>
        <w:jc w:val="center"/>
        <w:rPr>
          <w:rFonts w:ascii="Arial" w:eastAsia="Arial" w:hAnsi="Arial" w:cs="Arial"/>
          <w:b/>
          <w:bCs/>
        </w:rPr>
      </w:pPr>
      <w:r w:rsidRPr="00AC5F83">
        <w:rPr>
          <w:rFonts w:ascii="Arial" w:eastAsia="Arial" w:hAnsi="Arial" w:cs="Arial"/>
          <w:b/>
          <w:bCs/>
        </w:rPr>
        <w:t>Figure 4: RDT</w:t>
      </w:r>
    </w:p>
    <w:p w14:paraId="7247212E" w14:textId="77777777" w:rsidR="008373B4" w:rsidRPr="00AC5F83" w:rsidRDefault="00436FE4">
      <w:pPr>
        <w:jc w:val="center"/>
        <w:rPr>
          <w:rFonts w:ascii="Arial" w:eastAsia="Arial" w:hAnsi="Arial" w:cs="Arial"/>
        </w:rPr>
      </w:pPr>
      <w:r w:rsidRPr="00AC5F83">
        <w:rPr>
          <w:rFonts w:ascii="Arial" w:eastAsia="Arial" w:hAnsi="Arial" w:cs="Arial"/>
        </w:rPr>
        <w:lastRenderedPageBreak/>
        <w:t xml:space="preserve">(Source: Inspired by Jiang </w:t>
      </w:r>
      <w:r w:rsidRPr="00AC5F83">
        <w:rPr>
          <w:rFonts w:ascii="Arial" w:eastAsia="Arial" w:hAnsi="Arial" w:cs="Arial"/>
          <w:i/>
          <w:iCs/>
        </w:rPr>
        <w:t>et al</w:t>
      </w:r>
      <w:r w:rsidRPr="00AC5F83">
        <w:rPr>
          <w:rFonts w:ascii="Arial" w:eastAsia="Arial" w:hAnsi="Arial" w:cs="Arial"/>
        </w:rPr>
        <w:t>. 2023)</w:t>
      </w:r>
    </w:p>
    <w:p w14:paraId="2DD0E4B0" w14:textId="77777777" w:rsidR="008373B4" w:rsidRPr="00AC5F83" w:rsidRDefault="008373B4">
      <w:pPr>
        <w:jc w:val="center"/>
        <w:rPr>
          <w:rFonts w:ascii="Arial" w:eastAsia="Arial" w:hAnsi="Arial" w:cs="Arial"/>
        </w:rPr>
      </w:pPr>
    </w:p>
    <w:p w14:paraId="41E1FAE5" w14:textId="77777777" w:rsidR="008373B4" w:rsidRPr="00AC5F83" w:rsidRDefault="00436FE4">
      <w:pPr>
        <w:jc w:val="left"/>
        <w:rPr>
          <w:rFonts w:ascii="Arial" w:eastAsia="Arial" w:hAnsi="Arial" w:cs="Arial"/>
          <w:b/>
          <w:bCs/>
          <w:i/>
          <w:iCs/>
        </w:rPr>
      </w:pPr>
      <w:r w:rsidRPr="00AC5F83">
        <w:rPr>
          <w:rFonts w:ascii="Arial" w:eastAsia="Arial" w:hAnsi="Arial" w:cs="Arial"/>
          <w:b/>
          <w:bCs/>
          <w:i/>
          <w:iCs/>
        </w:rPr>
        <w:t>Triple Bottom Line (TBL)</w:t>
      </w:r>
    </w:p>
    <w:p w14:paraId="1562FD8F" w14:textId="77777777" w:rsidR="008373B4" w:rsidRPr="00AC5F83" w:rsidRDefault="00436FE4">
      <w:pPr>
        <w:rPr>
          <w:rFonts w:ascii="Arial" w:eastAsia="Arial" w:hAnsi="Arial" w:cs="Arial"/>
        </w:rPr>
      </w:pPr>
      <w:r w:rsidRPr="00AC5F83">
        <w:rPr>
          <w:rFonts w:ascii="Arial" w:eastAsia="Arial" w:hAnsi="Arial" w:cs="Arial"/>
        </w:rPr>
        <w:t xml:space="preserve">The application of TBL can be helpful to Tesla for improving its environmental performance with the successful implementation of green logistics practices. As per Mattera and Gava (2022), TBL includes the factors of the planet, people and profits, which promote a company towards green practices in an ethical way. The factor “planet” can motivate Tesla to eliminate the traditional aspect of manufacturing and proceed with sustainable manufacturing. The practices of using solar energy for reducing the carbon emissions can promote the economic (profit) performance of Tesla. People are the factor of TBL that can enable high-tech manufacturing jobs at Tesla by providing training. Therefore, green logistics practices in Tesla can be supported by TBL, which leads to environmental performance in an effective way.  </w:t>
      </w:r>
    </w:p>
    <w:p w14:paraId="11A60CAD" w14:textId="77777777" w:rsidR="008373B4" w:rsidRPr="00AC5F83" w:rsidRDefault="00436FE4">
      <w:pPr>
        <w:jc w:val="center"/>
        <w:rPr>
          <w:rFonts w:ascii="Arial" w:eastAsia="Arial" w:hAnsi="Arial" w:cs="Arial"/>
          <w:b/>
          <w:bCs/>
        </w:rPr>
      </w:pPr>
      <w:r w:rsidRPr="00AC5F83">
        <w:rPr>
          <w:rFonts w:ascii="Arial" w:eastAsia="Arial" w:hAnsi="Arial" w:cs="Arial"/>
          <w:b/>
          <w:bCs/>
          <w:noProof/>
          <w:lang w:eastAsia="en-GB"/>
        </w:rPr>
        <w:drawing>
          <wp:inline distT="114300" distB="114300" distL="114300" distR="114300" wp14:anchorId="410CDF87" wp14:editId="25E80899">
            <wp:extent cx="2958938" cy="2479292"/>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2958938" cy="2479292"/>
                    </a:xfrm>
                    <a:prstGeom prst="rect">
                      <a:avLst/>
                    </a:prstGeom>
                    <a:ln w="12700">
                      <a:solidFill>
                        <a:srgbClr val="000000"/>
                      </a:solidFill>
                      <a:prstDash val="solid"/>
                    </a:ln>
                  </pic:spPr>
                </pic:pic>
              </a:graphicData>
            </a:graphic>
          </wp:inline>
        </w:drawing>
      </w:r>
    </w:p>
    <w:p w14:paraId="2A410564" w14:textId="77777777" w:rsidR="008373B4" w:rsidRPr="00AC5F83" w:rsidRDefault="00436FE4">
      <w:pPr>
        <w:jc w:val="center"/>
        <w:rPr>
          <w:rFonts w:ascii="Arial" w:eastAsia="Arial" w:hAnsi="Arial" w:cs="Arial"/>
          <w:b/>
          <w:bCs/>
        </w:rPr>
      </w:pPr>
      <w:r w:rsidRPr="00AC5F83">
        <w:rPr>
          <w:rFonts w:ascii="Arial" w:eastAsia="Arial" w:hAnsi="Arial" w:cs="Arial"/>
          <w:b/>
          <w:bCs/>
        </w:rPr>
        <w:t>Figure 5: TBL</w:t>
      </w:r>
    </w:p>
    <w:p w14:paraId="1B789E2E" w14:textId="77777777" w:rsidR="008373B4" w:rsidRPr="00AC5F83" w:rsidRDefault="00436FE4">
      <w:pPr>
        <w:jc w:val="center"/>
        <w:rPr>
          <w:rFonts w:ascii="Arial" w:eastAsia="Arial" w:hAnsi="Arial" w:cs="Arial"/>
        </w:rPr>
      </w:pPr>
      <w:r w:rsidRPr="00AC5F83">
        <w:rPr>
          <w:rFonts w:ascii="Arial" w:eastAsia="Arial" w:hAnsi="Arial" w:cs="Arial"/>
        </w:rPr>
        <w:t>(Source: Inspired by Mattera and Gava, 2022)</w:t>
      </w:r>
    </w:p>
    <w:p w14:paraId="7D58FDCF" w14:textId="77777777" w:rsidR="008373B4" w:rsidRPr="00AC5F83" w:rsidRDefault="008373B4">
      <w:pPr>
        <w:jc w:val="left"/>
        <w:rPr>
          <w:rFonts w:ascii="Arial" w:eastAsia="Arial" w:hAnsi="Arial" w:cs="Arial"/>
          <w:b/>
          <w:bCs/>
        </w:rPr>
      </w:pPr>
    </w:p>
    <w:p w14:paraId="5A0DE9C1" w14:textId="77777777" w:rsidR="008373B4" w:rsidRPr="00AC5F83" w:rsidRDefault="00436FE4">
      <w:pPr>
        <w:rPr>
          <w:rFonts w:ascii="Arial" w:eastAsia="Arial" w:hAnsi="Arial" w:cs="Arial"/>
          <w:b/>
          <w:bCs/>
          <w:i/>
          <w:iCs/>
        </w:rPr>
      </w:pPr>
      <w:r w:rsidRPr="00AC5F83">
        <w:rPr>
          <w:rFonts w:ascii="Arial" w:eastAsia="Arial" w:hAnsi="Arial" w:cs="Arial"/>
          <w:b/>
          <w:bCs/>
          <w:i/>
          <w:iCs/>
        </w:rPr>
        <w:t>Limitation</w:t>
      </w:r>
    </w:p>
    <w:p w14:paraId="62CD7F2E" w14:textId="672D72B3" w:rsidR="008373B4" w:rsidRPr="00AC5F83" w:rsidRDefault="00436FE4">
      <w:pPr>
        <w:rPr>
          <w:rFonts w:ascii="Arial" w:eastAsia="Arial" w:hAnsi="Arial" w:cs="Arial"/>
        </w:rPr>
      </w:pPr>
      <w:r w:rsidRPr="00AC5F83">
        <w:rPr>
          <w:rFonts w:ascii="Arial" w:eastAsia="Arial" w:hAnsi="Arial" w:cs="Arial"/>
        </w:rPr>
        <w:t>The previous li</w:t>
      </w:r>
      <w:r w:rsidR="00725E4E">
        <w:rPr>
          <w:rFonts w:ascii="Arial" w:eastAsia="Arial" w:hAnsi="Arial" w:cs="Arial"/>
        </w:rPr>
        <w:t>terature</w:t>
      </w:r>
      <w:r w:rsidRPr="00AC5F83">
        <w:rPr>
          <w:rFonts w:ascii="Arial" w:eastAsia="Arial" w:hAnsi="Arial" w:cs="Arial"/>
        </w:rPr>
        <w:t xml:space="preserve"> sources have provided broad data on the green logistics practices within the automotive sector in order to promote the operational performance of firms. However, this section has included a gap regarding strategies and theoretical models that can help the automotive firms to conduct successful green logistics practices even in a critical corporate environment. On the other hand, the previous literary sources have specified data on integrating sustainability goals for improving operational performance. This research will address these gaps by providing data </w:t>
      </w:r>
      <w:r w:rsidRPr="00AC5F83">
        <w:rPr>
          <w:rFonts w:ascii="Arial" w:eastAsia="Arial" w:hAnsi="Arial" w:cs="Arial"/>
        </w:rPr>
        <w:lastRenderedPageBreak/>
        <w:t xml:space="preserve">regarding models and strategies to implement green logistics practices to promote environmental responsibility. </w:t>
      </w:r>
    </w:p>
    <w:p w14:paraId="00950166" w14:textId="77777777" w:rsidR="008373B4" w:rsidRPr="00AC5F83" w:rsidRDefault="00436FE4">
      <w:pPr>
        <w:pStyle w:val="Heading1"/>
        <w:rPr>
          <w:rFonts w:ascii="Arial" w:eastAsia="Arial" w:hAnsi="Arial" w:cs="Arial"/>
        </w:rPr>
      </w:pPr>
      <w:bookmarkStart w:id="5" w:name="_a7ey3udhx4lm" w:colFirst="0" w:colLast="0"/>
      <w:bookmarkStart w:id="6" w:name="_Toc221123239"/>
      <w:bookmarkEnd w:id="5"/>
      <w:r w:rsidRPr="00AC5F83">
        <w:rPr>
          <w:rFonts w:ascii="Arial" w:eastAsia="Arial" w:hAnsi="Arial" w:cs="Arial"/>
        </w:rPr>
        <w:t>Research methodology</w:t>
      </w:r>
      <w:bookmarkEnd w:id="6"/>
    </w:p>
    <w:p w14:paraId="6F6358EE" w14:textId="77777777" w:rsidR="008373B4" w:rsidRPr="00AC5F83" w:rsidRDefault="00436FE4">
      <w:pPr>
        <w:rPr>
          <w:rFonts w:ascii="Arial" w:eastAsia="Arial" w:hAnsi="Arial" w:cs="Arial"/>
        </w:rPr>
      </w:pPr>
      <w:r w:rsidRPr="00AC5F83">
        <w:rPr>
          <w:rFonts w:ascii="Arial" w:eastAsia="Arial" w:hAnsi="Arial" w:cs="Arial"/>
        </w:rPr>
        <w:t xml:space="preserve">The Interpretivism Research philosophy will be selected in this research to use the subjective data on the green logistics practices and find a way to improve environmental performance at Tesla. Pervin and Mokhtar (2022) have stated that a deep and contextual understanding within research is promoted by Interpretivism. A descriptive strategy followed by a deductive approach will be chosen to deduce the relevant information on green logistics practices and explain its effectiveness for boosting the environmental performance of an automotive firm, depending on existing theoretical aspects. Based on the views of </w:t>
      </w:r>
      <w:proofErr w:type="spellStart"/>
      <w:r w:rsidRPr="00AC5F83">
        <w:rPr>
          <w:rFonts w:ascii="Arial" w:eastAsia="Arial" w:hAnsi="Arial" w:cs="Arial"/>
        </w:rPr>
        <w:t>Megheirkouni</w:t>
      </w:r>
      <w:proofErr w:type="spellEnd"/>
      <w:r w:rsidRPr="00AC5F83">
        <w:rPr>
          <w:rFonts w:ascii="Arial" w:eastAsia="Arial" w:hAnsi="Arial" w:cs="Arial"/>
        </w:rPr>
        <w:t xml:space="preserve"> and Moir (2023), the qualitative strategy provides the aspect of focusing on quality data on a relevant topic. The avoidance of the positivism paradigm, along with quantitative analysis, can help make the discussion on Tesla’s environmental performance in a simplified way. </w:t>
      </w:r>
    </w:p>
    <w:p w14:paraId="5157891D" w14:textId="77777777" w:rsidR="008373B4" w:rsidRPr="00AC5F83" w:rsidRDefault="00436FE4">
      <w:pPr>
        <w:rPr>
          <w:rFonts w:ascii="Arial" w:eastAsia="Arial" w:hAnsi="Arial" w:cs="Arial"/>
        </w:rPr>
      </w:pPr>
      <w:r w:rsidRPr="00AC5F83">
        <w:rPr>
          <w:rFonts w:ascii="Arial" w:eastAsia="Arial" w:hAnsi="Arial" w:cs="Arial"/>
        </w:rPr>
        <w:t xml:space="preserve">Time and cost-efficient, secondary data collection methods that suggest gathering information from the existing database, like peer-reviewed journals, websites, and news reports, will be selected for this research. 12 peer-reviewed journal articles on green logistics practices, automotive sectors and environmental performance will be used to meet the research objectives. Using purposive sampling, the journal will be selected, and the gathered data can be explored through thematic analysis. Answering the research questions, 4 themes will be developed considering the objectives and the impact of green logistics practice to improve the environmental performance of Tesla. The Copyright Act of the UK 1988 and the GDPR 2018 will be strictly followed in order to avoid misuse of data. In addition, the selection of peer-reviewed journal articles published between 2022 and 2026 can ensure the reliability and validity of this research on Tesla. </w:t>
      </w:r>
    </w:p>
    <w:p w14:paraId="2633FD12" w14:textId="77777777" w:rsidR="008373B4" w:rsidRPr="00AC5F83" w:rsidRDefault="00436FE4">
      <w:pPr>
        <w:pStyle w:val="Heading1"/>
        <w:rPr>
          <w:rFonts w:ascii="Arial" w:eastAsia="Arial" w:hAnsi="Arial" w:cs="Arial"/>
        </w:rPr>
      </w:pPr>
      <w:bookmarkStart w:id="7" w:name="_nuc1gj4xtt6z" w:colFirst="0" w:colLast="0"/>
      <w:bookmarkStart w:id="8" w:name="_Toc221123240"/>
      <w:bookmarkEnd w:id="7"/>
      <w:r w:rsidRPr="00AC5F83">
        <w:rPr>
          <w:rFonts w:ascii="Arial" w:eastAsia="Arial" w:hAnsi="Arial" w:cs="Arial"/>
        </w:rPr>
        <w:t>Risks</w:t>
      </w:r>
      <w:bookmarkEnd w:id="8"/>
    </w:p>
    <w:p w14:paraId="338065B8" w14:textId="77777777" w:rsidR="008373B4" w:rsidRPr="00AC5F83" w:rsidRDefault="00436FE4">
      <w:pPr>
        <w:rPr>
          <w:rFonts w:ascii="Arial" w:eastAsia="Arial" w:hAnsi="Arial" w:cs="Arial"/>
        </w:rPr>
      </w:pPr>
      <w:r w:rsidRPr="00AC5F83">
        <w:rPr>
          <w:rFonts w:ascii="Arial" w:eastAsia="Arial" w:hAnsi="Arial" w:cs="Arial"/>
        </w:rPr>
        <w:t xml:space="preserve">The risks that can be associated with this research include a lack of access to secondary databases and a budget to access governmental reports regarding carbon emissions by automotive companies like Tesla. Maintaining business ethics, using peer-reviewed journals and ensuring data reliability, these risks of the research findings are going to be addressed in an effective manner. </w:t>
      </w:r>
    </w:p>
    <w:p w14:paraId="5FCB16F0" w14:textId="77777777" w:rsidR="008373B4" w:rsidRPr="00AC5F83" w:rsidRDefault="00436FE4">
      <w:pPr>
        <w:pStyle w:val="Heading1"/>
        <w:rPr>
          <w:rFonts w:ascii="Arial" w:eastAsia="Arial" w:hAnsi="Arial" w:cs="Arial"/>
        </w:rPr>
      </w:pPr>
      <w:bookmarkStart w:id="9" w:name="_pyxx4o1des5o" w:colFirst="0" w:colLast="0"/>
      <w:bookmarkStart w:id="10" w:name="_Toc221123241"/>
      <w:bookmarkEnd w:id="9"/>
      <w:r w:rsidRPr="00AC5F83">
        <w:rPr>
          <w:rFonts w:ascii="Arial" w:eastAsia="Arial" w:hAnsi="Arial" w:cs="Arial"/>
        </w:rPr>
        <w:lastRenderedPageBreak/>
        <w:t>Timeline (Gantt chart)</w:t>
      </w:r>
      <w:bookmarkEnd w:id="10"/>
    </w:p>
    <w:p w14:paraId="0D3BDFE4" w14:textId="77777777" w:rsidR="008373B4" w:rsidRPr="00AC5F83" w:rsidRDefault="00436FE4">
      <w:pPr>
        <w:widowControl w:val="0"/>
        <w:spacing w:line="276" w:lineRule="auto"/>
        <w:jc w:val="center"/>
        <w:rPr>
          <w:rFonts w:ascii="Arial" w:eastAsia="Arial" w:hAnsi="Arial" w:cs="Arial"/>
          <w:sz w:val="22"/>
          <w:szCs w:val="22"/>
        </w:rPr>
      </w:pPr>
      <w:r w:rsidRPr="00AC5F83">
        <w:rPr>
          <w:rFonts w:ascii="Arial" w:eastAsia="Arial" w:hAnsi="Arial" w:cs="Arial"/>
          <w:noProof/>
          <w:sz w:val="22"/>
          <w:szCs w:val="22"/>
          <w:lang w:eastAsia="en-GB"/>
        </w:rPr>
        <w:drawing>
          <wp:inline distT="114300" distB="114300" distL="114300" distR="114300" wp14:anchorId="519EA528" wp14:editId="4E32C5A0">
            <wp:extent cx="4076700" cy="4543425"/>
            <wp:effectExtent l="12700" t="12700" r="12700" b="127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4076700" cy="4543425"/>
                    </a:xfrm>
                    <a:prstGeom prst="rect">
                      <a:avLst/>
                    </a:prstGeom>
                    <a:ln w="12700">
                      <a:solidFill>
                        <a:srgbClr val="000000"/>
                      </a:solidFill>
                      <a:prstDash val="solid"/>
                    </a:ln>
                  </pic:spPr>
                </pic:pic>
              </a:graphicData>
            </a:graphic>
          </wp:inline>
        </w:drawing>
      </w:r>
    </w:p>
    <w:p w14:paraId="4D08D41E" w14:textId="77777777" w:rsidR="008373B4" w:rsidRPr="00AC5F83" w:rsidRDefault="00436FE4">
      <w:pPr>
        <w:widowControl w:val="0"/>
        <w:spacing w:line="276" w:lineRule="auto"/>
        <w:jc w:val="center"/>
        <w:rPr>
          <w:rFonts w:ascii="Arial" w:eastAsia="Arial" w:hAnsi="Arial" w:cs="Arial"/>
          <w:b/>
          <w:bCs/>
        </w:rPr>
      </w:pPr>
      <w:r w:rsidRPr="00AC5F83">
        <w:rPr>
          <w:rFonts w:ascii="Arial" w:eastAsia="Arial" w:hAnsi="Arial" w:cs="Arial"/>
          <w:b/>
          <w:bCs/>
        </w:rPr>
        <w:t>Figure 6: Timeline</w:t>
      </w:r>
    </w:p>
    <w:p w14:paraId="66BE55C4" w14:textId="77777777" w:rsidR="008373B4" w:rsidRPr="00AC5F83" w:rsidRDefault="00436FE4">
      <w:pPr>
        <w:jc w:val="center"/>
        <w:rPr>
          <w:rFonts w:ascii="Arial" w:eastAsia="Arial" w:hAnsi="Arial" w:cs="Arial"/>
        </w:rPr>
      </w:pPr>
      <w:r w:rsidRPr="00AC5F83">
        <w:rPr>
          <w:rFonts w:ascii="Arial" w:eastAsia="Arial" w:hAnsi="Arial" w:cs="Arial"/>
        </w:rPr>
        <w:t>(Source: Self-developed)</w:t>
      </w:r>
    </w:p>
    <w:p w14:paraId="2EED3C5C" w14:textId="07DCDCD0" w:rsidR="008373B4" w:rsidRPr="00AC5F83" w:rsidRDefault="00436FE4">
      <w:pPr>
        <w:jc w:val="left"/>
        <w:rPr>
          <w:rFonts w:ascii="Arial" w:eastAsia="Arial" w:hAnsi="Arial" w:cs="Arial"/>
        </w:rPr>
      </w:pPr>
      <w:r w:rsidRPr="00AC5F83">
        <w:rPr>
          <w:rFonts w:ascii="Arial" w:eastAsia="Arial" w:hAnsi="Arial" w:cs="Arial"/>
        </w:rPr>
        <w:t xml:space="preserve">The above figure has highlighted the Gantt chart of this research that includes the aim, objectives development, and final write-up. Following this timeline, the risk of a lack of submission can be addressed. </w:t>
      </w:r>
      <w:r w:rsidR="00C16665" w:rsidRPr="00AC5F83">
        <w:rPr>
          <w:rFonts w:ascii="Arial" w:eastAsia="Arial" w:hAnsi="Arial" w:cs="Arial"/>
        </w:rPr>
        <w:t>Quality research</w:t>
      </w:r>
      <w:r w:rsidRPr="00AC5F83">
        <w:rPr>
          <w:rFonts w:ascii="Arial" w:eastAsia="Arial" w:hAnsi="Arial" w:cs="Arial"/>
        </w:rPr>
        <w:t xml:space="preserve"> on green logistics practices and the environmental performance of Tesla can be prepared in a systematic way following this timeline. </w:t>
      </w:r>
    </w:p>
    <w:p w14:paraId="5E316E6F" w14:textId="77777777" w:rsidR="008373B4" w:rsidRPr="00AC5F83" w:rsidRDefault="00436FE4">
      <w:pPr>
        <w:rPr>
          <w:rFonts w:ascii="Arial" w:eastAsia="Arial" w:hAnsi="Arial" w:cs="Arial"/>
          <w:b/>
          <w:bCs/>
        </w:rPr>
      </w:pPr>
      <w:r w:rsidRPr="00AC5F83">
        <w:rPr>
          <w:rFonts w:ascii="Arial" w:hAnsi="Arial" w:cs="Arial"/>
        </w:rPr>
        <w:br w:type="page"/>
      </w:r>
    </w:p>
    <w:p w14:paraId="29669070" w14:textId="77777777" w:rsidR="008373B4" w:rsidRPr="00AC5F83" w:rsidRDefault="00436FE4">
      <w:pPr>
        <w:rPr>
          <w:rFonts w:ascii="Arial" w:eastAsia="Arial" w:hAnsi="Arial" w:cs="Arial"/>
          <w:b/>
          <w:bCs/>
        </w:rPr>
      </w:pPr>
      <w:r w:rsidRPr="00AC5F83">
        <w:rPr>
          <w:rFonts w:ascii="Arial" w:eastAsia="Arial" w:hAnsi="Arial" w:cs="Arial"/>
          <w:b/>
          <w:bCs/>
        </w:rPr>
        <w:lastRenderedPageBreak/>
        <w:t xml:space="preserve">References </w:t>
      </w:r>
    </w:p>
    <w:p w14:paraId="5B9FD9B0" w14:textId="77777777" w:rsidR="00C16665" w:rsidRPr="00AC5F83" w:rsidRDefault="00C16665" w:rsidP="00AC5F83">
      <w:pPr>
        <w:spacing w:before="240" w:after="240"/>
        <w:rPr>
          <w:rFonts w:ascii="Arial" w:eastAsia="Arial" w:hAnsi="Arial" w:cs="Arial"/>
          <w:color w:val="222222"/>
          <w:highlight w:val="white"/>
        </w:rPr>
      </w:pPr>
      <w:r w:rsidRPr="00AC5F83">
        <w:rPr>
          <w:rFonts w:ascii="Arial" w:eastAsia="Arial" w:hAnsi="Arial" w:cs="Arial"/>
          <w:color w:val="222222"/>
          <w:highlight w:val="white"/>
        </w:rPr>
        <w:t xml:space="preserve">Abdelaziz, S. and Munawaroh, M., (2024). ‘Mitigating supply chain vulnerabilities: a bibliometric analysis of sustainable logistics for resilience and risk management with perspectives on the automotive industry’. </w:t>
      </w:r>
      <w:r w:rsidRPr="00AC5F83">
        <w:rPr>
          <w:rFonts w:ascii="Arial" w:eastAsia="Arial" w:hAnsi="Arial" w:cs="Arial"/>
          <w:i/>
          <w:iCs/>
          <w:color w:val="222222"/>
          <w:highlight w:val="white"/>
        </w:rPr>
        <w:t xml:space="preserve">International Journal of Automotive Science </w:t>
      </w:r>
      <w:proofErr w:type="gramStart"/>
      <w:r w:rsidRPr="00AC5F83">
        <w:rPr>
          <w:rFonts w:ascii="Arial" w:eastAsia="Arial" w:hAnsi="Arial" w:cs="Arial"/>
          <w:i/>
          <w:iCs/>
          <w:color w:val="222222"/>
          <w:highlight w:val="white"/>
        </w:rPr>
        <w:t>And</w:t>
      </w:r>
      <w:proofErr w:type="gramEnd"/>
      <w:r w:rsidRPr="00AC5F83">
        <w:rPr>
          <w:rFonts w:ascii="Arial" w:eastAsia="Arial" w:hAnsi="Arial" w:cs="Arial"/>
          <w:i/>
          <w:iCs/>
          <w:color w:val="222222"/>
          <w:highlight w:val="white"/>
        </w:rPr>
        <w:t xml:space="preserve"> Technology</w:t>
      </w:r>
      <w:r w:rsidRPr="00AC5F83">
        <w:rPr>
          <w:rFonts w:ascii="Arial" w:eastAsia="Arial" w:hAnsi="Arial" w:cs="Arial"/>
          <w:color w:val="222222"/>
          <w:highlight w:val="white"/>
        </w:rPr>
        <w:t xml:space="preserve">, </w:t>
      </w:r>
      <w:r w:rsidRPr="00AC5F83">
        <w:rPr>
          <w:rFonts w:ascii="Arial" w:eastAsia="Arial" w:hAnsi="Arial" w:cs="Arial"/>
          <w:i/>
          <w:iCs/>
          <w:color w:val="222222"/>
          <w:highlight w:val="white"/>
        </w:rPr>
        <w:t>8</w:t>
      </w:r>
      <w:r w:rsidRPr="00AC5F83">
        <w:rPr>
          <w:rFonts w:ascii="Arial" w:eastAsia="Arial" w:hAnsi="Arial" w:cs="Arial"/>
          <w:color w:val="222222"/>
          <w:highlight w:val="white"/>
        </w:rPr>
        <w:t xml:space="preserve">(4), pp.544-588. </w:t>
      </w:r>
      <w:r w:rsidRPr="00AC5F83">
        <w:rPr>
          <w:rFonts w:ascii="Arial" w:eastAsia="Arial" w:hAnsi="Arial" w:cs="Arial"/>
          <w:highlight w:val="white"/>
        </w:rPr>
        <w:t xml:space="preserve">Available at: </w:t>
      </w:r>
      <w:hyperlink r:id="rId15">
        <w:r w:rsidRPr="00AC5F83">
          <w:rPr>
            <w:rFonts w:ascii="Arial" w:eastAsia="Arial" w:hAnsi="Arial" w:cs="Arial"/>
            <w:color w:val="1155CC"/>
            <w:highlight w:val="white"/>
            <w:u w:val="single"/>
          </w:rPr>
          <w:t>https://doi.org/10.30939/ijastech..1554338</w:t>
        </w:r>
      </w:hyperlink>
    </w:p>
    <w:p w14:paraId="1E6F1B11" w14:textId="77777777" w:rsidR="00C16665" w:rsidRPr="00AC5F83" w:rsidRDefault="00C16665" w:rsidP="00AC5F83">
      <w:pPr>
        <w:spacing w:before="240" w:after="240"/>
        <w:rPr>
          <w:rFonts w:ascii="Arial" w:eastAsia="Arial" w:hAnsi="Arial" w:cs="Arial"/>
          <w:color w:val="222222"/>
          <w:highlight w:val="white"/>
        </w:rPr>
      </w:pPr>
      <w:r w:rsidRPr="00AC5F83">
        <w:rPr>
          <w:rFonts w:ascii="Arial" w:eastAsia="Arial" w:hAnsi="Arial" w:cs="Arial"/>
          <w:color w:val="222222"/>
          <w:highlight w:val="white"/>
        </w:rPr>
        <w:t xml:space="preserve">Ahmad, A.M.K., </w:t>
      </w:r>
      <w:proofErr w:type="spellStart"/>
      <w:r w:rsidRPr="00AC5F83">
        <w:rPr>
          <w:rFonts w:ascii="Arial" w:eastAsia="Arial" w:hAnsi="Arial" w:cs="Arial"/>
          <w:color w:val="222222"/>
          <w:highlight w:val="white"/>
        </w:rPr>
        <w:t>Shattal</w:t>
      </w:r>
      <w:proofErr w:type="spellEnd"/>
      <w:r w:rsidRPr="00AC5F83">
        <w:rPr>
          <w:rFonts w:ascii="Arial" w:eastAsia="Arial" w:hAnsi="Arial" w:cs="Arial"/>
          <w:color w:val="222222"/>
          <w:highlight w:val="white"/>
        </w:rPr>
        <w:t xml:space="preserve">, M.H.A., Rawashdeh, L.A., </w:t>
      </w:r>
      <w:proofErr w:type="spellStart"/>
      <w:r w:rsidRPr="00AC5F83">
        <w:rPr>
          <w:rFonts w:ascii="Arial" w:eastAsia="Arial" w:hAnsi="Arial" w:cs="Arial"/>
          <w:color w:val="222222"/>
          <w:highlight w:val="white"/>
        </w:rPr>
        <w:t>Ghasawneh</w:t>
      </w:r>
      <w:proofErr w:type="spellEnd"/>
      <w:r w:rsidRPr="00AC5F83">
        <w:rPr>
          <w:rFonts w:ascii="Arial" w:eastAsia="Arial" w:hAnsi="Arial" w:cs="Arial"/>
          <w:color w:val="222222"/>
          <w:highlight w:val="white"/>
        </w:rPr>
        <w:t xml:space="preserve">, J. and </w:t>
      </w:r>
      <w:proofErr w:type="spellStart"/>
      <w:r w:rsidRPr="00AC5F83">
        <w:rPr>
          <w:rFonts w:ascii="Arial" w:eastAsia="Arial" w:hAnsi="Arial" w:cs="Arial"/>
          <w:color w:val="222222"/>
          <w:highlight w:val="white"/>
        </w:rPr>
        <w:t>Nusairat</w:t>
      </w:r>
      <w:proofErr w:type="spellEnd"/>
      <w:r w:rsidRPr="00AC5F83">
        <w:rPr>
          <w:rFonts w:ascii="Arial" w:eastAsia="Arial" w:hAnsi="Arial" w:cs="Arial"/>
          <w:color w:val="222222"/>
          <w:highlight w:val="white"/>
        </w:rPr>
        <w:t xml:space="preserve">, N., (2022). ‘Corporate social responsibility and brand equity of operating telecoms: brand reputation as a mediating effect’. </w:t>
      </w:r>
      <w:r w:rsidRPr="00AC5F83">
        <w:rPr>
          <w:rFonts w:ascii="Arial" w:eastAsia="Arial" w:hAnsi="Arial" w:cs="Arial"/>
          <w:i/>
          <w:iCs/>
          <w:color w:val="222222"/>
          <w:highlight w:val="white"/>
        </w:rPr>
        <w:t>International journal of sustainable economy</w:t>
      </w:r>
      <w:r w:rsidRPr="00AC5F83">
        <w:rPr>
          <w:rFonts w:ascii="Arial" w:eastAsia="Arial" w:hAnsi="Arial" w:cs="Arial"/>
          <w:color w:val="222222"/>
          <w:highlight w:val="white"/>
        </w:rPr>
        <w:t xml:space="preserve">, </w:t>
      </w:r>
      <w:r w:rsidRPr="00AC5F83">
        <w:rPr>
          <w:rFonts w:ascii="Arial" w:eastAsia="Arial" w:hAnsi="Arial" w:cs="Arial"/>
          <w:i/>
          <w:iCs/>
          <w:color w:val="222222"/>
          <w:highlight w:val="white"/>
        </w:rPr>
        <w:t>14</w:t>
      </w:r>
      <w:r w:rsidRPr="00AC5F83">
        <w:rPr>
          <w:rFonts w:ascii="Arial" w:eastAsia="Arial" w:hAnsi="Arial" w:cs="Arial"/>
          <w:color w:val="222222"/>
          <w:highlight w:val="white"/>
        </w:rPr>
        <w:t xml:space="preserve">(1), pp.78-97. </w:t>
      </w:r>
      <w:r w:rsidRPr="00AC5F83">
        <w:rPr>
          <w:rFonts w:ascii="Arial" w:eastAsia="Arial" w:hAnsi="Arial" w:cs="Arial"/>
          <w:highlight w:val="white"/>
        </w:rPr>
        <w:t xml:space="preserve">Available at: </w:t>
      </w:r>
      <w:hyperlink r:id="rId16">
        <w:r w:rsidRPr="00AC5F83">
          <w:rPr>
            <w:rFonts w:ascii="Arial" w:eastAsia="Arial" w:hAnsi="Arial" w:cs="Arial"/>
            <w:color w:val="1155CC"/>
            <w:highlight w:val="white"/>
            <w:u w:val="single"/>
          </w:rPr>
          <w:t>https://www.academia.edu/download/101256067/CSR_and_brand_equity.pdf</w:t>
        </w:r>
      </w:hyperlink>
      <w:r w:rsidRPr="00AC5F83">
        <w:rPr>
          <w:rFonts w:ascii="Arial" w:eastAsia="Arial" w:hAnsi="Arial" w:cs="Arial"/>
          <w:color w:val="222222"/>
          <w:highlight w:val="white"/>
        </w:rPr>
        <w:t xml:space="preserve"> </w:t>
      </w:r>
    </w:p>
    <w:p w14:paraId="276E24C2" w14:textId="77777777" w:rsidR="00C16665" w:rsidRPr="00AC5F83" w:rsidRDefault="00C16665" w:rsidP="00AC5F83">
      <w:pPr>
        <w:spacing w:before="240" w:after="240"/>
        <w:rPr>
          <w:rFonts w:ascii="Arial" w:eastAsia="Arial" w:hAnsi="Arial" w:cs="Arial"/>
          <w:color w:val="222222"/>
          <w:highlight w:val="white"/>
        </w:rPr>
      </w:pPr>
      <w:r w:rsidRPr="00AC5F83">
        <w:rPr>
          <w:rFonts w:ascii="Arial" w:eastAsia="Arial" w:hAnsi="Arial" w:cs="Arial"/>
          <w:color w:val="222222"/>
          <w:highlight w:val="white"/>
        </w:rPr>
        <w:t xml:space="preserve">Braidy, A., Pokharel, S. and </w:t>
      </w:r>
      <w:proofErr w:type="spellStart"/>
      <w:r w:rsidRPr="00AC5F83">
        <w:rPr>
          <w:rFonts w:ascii="Arial" w:eastAsia="Arial" w:hAnsi="Arial" w:cs="Arial"/>
          <w:color w:val="222222"/>
          <w:highlight w:val="white"/>
        </w:rPr>
        <w:t>ElMekkawy</w:t>
      </w:r>
      <w:proofErr w:type="spellEnd"/>
      <w:r w:rsidRPr="00AC5F83">
        <w:rPr>
          <w:rFonts w:ascii="Arial" w:eastAsia="Arial" w:hAnsi="Arial" w:cs="Arial"/>
          <w:color w:val="222222"/>
          <w:highlight w:val="white"/>
        </w:rPr>
        <w:t xml:space="preserve">, T.Y., (2025). ‘Research Perspectives on Innovation in the Automotive Sector’. </w:t>
      </w:r>
      <w:r w:rsidRPr="00AC5F83">
        <w:rPr>
          <w:rFonts w:ascii="Arial" w:eastAsia="Arial" w:hAnsi="Arial" w:cs="Arial"/>
          <w:i/>
          <w:iCs/>
          <w:color w:val="222222"/>
          <w:highlight w:val="white"/>
        </w:rPr>
        <w:t>Sustainability</w:t>
      </w:r>
      <w:r w:rsidRPr="00AC5F83">
        <w:rPr>
          <w:rFonts w:ascii="Arial" w:eastAsia="Arial" w:hAnsi="Arial" w:cs="Arial"/>
          <w:color w:val="222222"/>
          <w:highlight w:val="white"/>
        </w:rPr>
        <w:t xml:space="preserve">, </w:t>
      </w:r>
      <w:r w:rsidRPr="00AC5F83">
        <w:rPr>
          <w:rFonts w:ascii="Arial" w:eastAsia="Arial" w:hAnsi="Arial" w:cs="Arial"/>
          <w:i/>
          <w:iCs/>
          <w:color w:val="222222"/>
          <w:highlight w:val="white"/>
        </w:rPr>
        <w:t>17</w:t>
      </w:r>
      <w:r w:rsidRPr="00AC5F83">
        <w:rPr>
          <w:rFonts w:ascii="Arial" w:eastAsia="Arial" w:hAnsi="Arial" w:cs="Arial"/>
          <w:color w:val="222222"/>
          <w:highlight w:val="white"/>
        </w:rPr>
        <w:t xml:space="preserve">(7), p.2795. </w:t>
      </w:r>
      <w:r w:rsidRPr="00AC5F83">
        <w:rPr>
          <w:rFonts w:ascii="Arial" w:eastAsia="Arial" w:hAnsi="Arial" w:cs="Arial"/>
          <w:highlight w:val="white"/>
        </w:rPr>
        <w:t xml:space="preserve">Available at: </w:t>
      </w:r>
      <w:hyperlink r:id="rId17">
        <w:r w:rsidRPr="00AC5F83">
          <w:rPr>
            <w:rFonts w:ascii="Arial" w:eastAsia="Arial" w:hAnsi="Arial" w:cs="Arial"/>
            <w:color w:val="1155CC"/>
            <w:highlight w:val="white"/>
            <w:u w:val="single"/>
          </w:rPr>
          <w:t>https://doi.org/10.3390/su17072795</w:t>
        </w:r>
      </w:hyperlink>
    </w:p>
    <w:p w14:paraId="4784E830" w14:textId="77777777" w:rsidR="00C16665" w:rsidRPr="00AC5F83" w:rsidRDefault="00C16665" w:rsidP="00AC5F83">
      <w:pPr>
        <w:spacing w:before="240" w:after="240"/>
        <w:rPr>
          <w:rFonts w:ascii="Arial" w:eastAsia="Arial" w:hAnsi="Arial" w:cs="Arial"/>
          <w:color w:val="222222"/>
          <w:highlight w:val="white"/>
        </w:rPr>
      </w:pPr>
      <w:r w:rsidRPr="00AC5F83">
        <w:rPr>
          <w:rFonts w:ascii="Arial" w:eastAsia="Arial" w:hAnsi="Arial" w:cs="Arial"/>
          <w:color w:val="222222"/>
          <w:highlight w:val="white"/>
        </w:rPr>
        <w:t xml:space="preserve">Chen, Y., (2022). ‘Research on collaborative innovation of key common technologies in new energy vehicle industry based on digital twin technology’. </w:t>
      </w:r>
      <w:r w:rsidRPr="00AC5F83">
        <w:rPr>
          <w:rFonts w:ascii="Arial" w:eastAsia="Arial" w:hAnsi="Arial" w:cs="Arial"/>
          <w:i/>
          <w:iCs/>
          <w:color w:val="222222"/>
          <w:highlight w:val="white"/>
        </w:rPr>
        <w:t>Energy Reports</w:t>
      </w:r>
      <w:r w:rsidRPr="00AC5F83">
        <w:rPr>
          <w:rFonts w:ascii="Arial" w:eastAsia="Arial" w:hAnsi="Arial" w:cs="Arial"/>
          <w:color w:val="222222"/>
          <w:highlight w:val="white"/>
        </w:rPr>
        <w:t xml:space="preserve">, </w:t>
      </w:r>
      <w:r w:rsidRPr="00AC5F83">
        <w:rPr>
          <w:rFonts w:ascii="Arial" w:eastAsia="Arial" w:hAnsi="Arial" w:cs="Arial"/>
          <w:i/>
          <w:iCs/>
          <w:color w:val="222222"/>
          <w:highlight w:val="white"/>
        </w:rPr>
        <w:t>8</w:t>
      </w:r>
      <w:r w:rsidRPr="00AC5F83">
        <w:rPr>
          <w:rFonts w:ascii="Arial" w:eastAsia="Arial" w:hAnsi="Arial" w:cs="Arial"/>
          <w:color w:val="222222"/>
          <w:highlight w:val="white"/>
        </w:rPr>
        <w:t xml:space="preserve">, pp.15399-15407. </w:t>
      </w:r>
      <w:r w:rsidRPr="00AC5F83">
        <w:rPr>
          <w:rFonts w:ascii="Arial" w:eastAsia="Arial" w:hAnsi="Arial" w:cs="Arial"/>
          <w:highlight w:val="white"/>
        </w:rPr>
        <w:t xml:space="preserve">Available at: </w:t>
      </w:r>
      <w:hyperlink r:id="rId18">
        <w:r w:rsidRPr="00AC5F83">
          <w:rPr>
            <w:rFonts w:ascii="Arial" w:eastAsia="Arial" w:hAnsi="Arial" w:cs="Arial"/>
            <w:color w:val="1155CC"/>
            <w:highlight w:val="white"/>
            <w:u w:val="single"/>
          </w:rPr>
          <w:t>https://doi.org/10.1016/j.egyr.2022.11.120</w:t>
        </w:r>
      </w:hyperlink>
    </w:p>
    <w:p w14:paraId="50CC5EBD" w14:textId="77777777" w:rsidR="00C16665" w:rsidRPr="00AC5F83" w:rsidRDefault="00C16665" w:rsidP="00AC5F83">
      <w:pPr>
        <w:spacing w:before="240" w:after="240"/>
        <w:rPr>
          <w:rFonts w:ascii="Arial" w:eastAsia="Arial" w:hAnsi="Arial" w:cs="Arial"/>
          <w:highlight w:val="white"/>
        </w:rPr>
      </w:pPr>
      <w:r w:rsidRPr="00AC5F83">
        <w:rPr>
          <w:rFonts w:ascii="Arial" w:eastAsia="Arial" w:hAnsi="Arial" w:cs="Arial"/>
          <w:highlight w:val="white"/>
        </w:rPr>
        <w:t>Galdos</w:t>
      </w:r>
      <w:r w:rsidRPr="00AC5F83">
        <w:rPr>
          <w:rFonts w:ascii="Cambria Math" w:eastAsia="Arial" w:hAnsi="Cambria Math" w:cs="Cambria Math"/>
          <w:highlight w:val="white"/>
        </w:rPr>
        <w:t>‐</w:t>
      </w:r>
      <w:proofErr w:type="spellStart"/>
      <w:r w:rsidRPr="00AC5F83">
        <w:rPr>
          <w:rFonts w:ascii="Arial" w:eastAsia="Arial" w:hAnsi="Arial" w:cs="Arial"/>
          <w:highlight w:val="white"/>
        </w:rPr>
        <w:t>Urbizu</w:t>
      </w:r>
      <w:proofErr w:type="spellEnd"/>
      <w:r w:rsidRPr="00AC5F83">
        <w:rPr>
          <w:rFonts w:ascii="Arial" w:eastAsia="Arial" w:hAnsi="Arial" w:cs="Arial"/>
          <w:highlight w:val="white"/>
        </w:rPr>
        <w:t xml:space="preserve">, L., </w:t>
      </w:r>
      <w:proofErr w:type="spellStart"/>
      <w:r w:rsidRPr="00AC5F83">
        <w:rPr>
          <w:rFonts w:ascii="Arial" w:eastAsia="Arial" w:hAnsi="Arial" w:cs="Arial"/>
          <w:highlight w:val="white"/>
        </w:rPr>
        <w:t>Zubeltzu</w:t>
      </w:r>
      <w:proofErr w:type="spellEnd"/>
      <w:r w:rsidRPr="00AC5F83">
        <w:rPr>
          <w:rFonts w:ascii="Cambria Math" w:eastAsia="Arial" w:hAnsi="Cambria Math" w:cs="Cambria Math"/>
          <w:highlight w:val="white"/>
        </w:rPr>
        <w:t>‐</w:t>
      </w:r>
      <w:r w:rsidRPr="00AC5F83">
        <w:rPr>
          <w:rFonts w:ascii="Arial" w:eastAsia="Arial" w:hAnsi="Arial" w:cs="Arial"/>
          <w:highlight w:val="white"/>
        </w:rPr>
        <w:t xml:space="preserve">Jaka, E., </w:t>
      </w:r>
      <w:proofErr w:type="spellStart"/>
      <w:r w:rsidRPr="00AC5F83">
        <w:rPr>
          <w:rFonts w:ascii="Arial" w:eastAsia="Arial" w:hAnsi="Arial" w:cs="Arial"/>
          <w:highlight w:val="white"/>
        </w:rPr>
        <w:t>Erauskin</w:t>
      </w:r>
      <w:proofErr w:type="spellEnd"/>
      <w:r w:rsidRPr="00AC5F83">
        <w:rPr>
          <w:rFonts w:ascii="Cambria Math" w:eastAsia="Arial" w:hAnsi="Cambria Math" w:cs="Cambria Math"/>
          <w:highlight w:val="white"/>
        </w:rPr>
        <w:t>‐</w:t>
      </w:r>
      <w:r w:rsidRPr="00AC5F83">
        <w:rPr>
          <w:rFonts w:ascii="Arial" w:eastAsia="Arial" w:hAnsi="Arial" w:cs="Arial"/>
          <w:highlight w:val="white"/>
        </w:rPr>
        <w:t>Tolosa, A. and Etxeberria, I.A., (2024). ‘The impact of green supply chain management on corporate environmental performance and the moderating roles: A meta</w:t>
      </w:r>
      <w:r w:rsidRPr="00AC5F83">
        <w:rPr>
          <w:rFonts w:ascii="Cambria Math" w:eastAsia="Arial" w:hAnsi="Cambria Math" w:cs="Cambria Math"/>
          <w:highlight w:val="white"/>
        </w:rPr>
        <w:t>‐</w:t>
      </w:r>
      <w:r w:rsidRPr="00AC5F83">
        <w:rPr>
          <w:rFonts w:ascii="Arial" w:eastAsia="Arial" w:hAnsi="Arial" w:cs="Arial"/>
          <w:highlight w:val="white"/>
        </w:rPr>
        <w:t xml:space="preserve">analysis.’ </w:t>
      </w:r>
      <w:r w:rsidRPr="00AC5F83">
        <w:rPr>
          <w:rFonts w:ascii="Arial" w:eastAsia="Arial" w:hAnsi="Arial" w:cs="Arial"/>
          <w:i/>
          <w:iCs/>
          <w:highlight w:val="white"/>
        </w:rPr>
        <w:t>Business Strategy &amp; Development</w:t>
      </w:r>
      <w:r w:rsidRPr="00AC5F83">
        <w:rPr>
          <w:rFonts w:ascii="Arial" w:eastAsia="Arial" w:hAnsi="Arial" w:cs="Arial"/>
          <w:highlight w:val="white"/>
        </w:rPr>
        <w:t xml:space="preserve">, </w:t>
      </w:r>
      <w:r w:rsidRPr="00AC5F83">
        <w:rPr>
          <w:rFonts w:ascii="Arial" w:eastAsia="Arial" w:hAnsi="Arial" w:cs="Arial"/>
          <w:i/>
          <w:iCs/>
          <w:highlight w:val="white"/>
        </w:rPr>
        <w:t>7</w:t>
      </w:r>
      <w:r w:rsidRPr="00AC5F83">
        <w:rPr>
          <w:rFonts w:ascii="Arial" w:eastAsia="Arial" w:hAnsi="Arial" w:cs="Arial"/>
          <w:highlight w:val="white"/>
        </w:rPr>
        <w:t xml:space="preserve">(1), </w:t>
      </w:r>
      <w:proofErr w:type="gramStart"/>
      <w:r w:rsidRPr="00AC5F83">
        <w:rPr>
          <w:rFonts w:ascii="Arial" w:eastAsia="Arial" w:hAnsi="Arial" w:cs="Arial"/>
          <w:highlight w:val="white"/>
        </w:rPr>
        <w:t>p.e351.Available</w:t>
      </w:r>
      <w:proofErr w:type="gramEnd"/>
      <w:r w:rsidRPr="00AC5F83">
        <w:rPr>
          <w:rFonts w:ascii="Arial" w:eastAsia="Arial" w:hAnsi="Arial" w:cs="Arial"/>
          <w:highlight w:val="white"/>
        </w:rPr>
        <w:t xml:space="preserve"> at: </w:t>
      </w:r>
      <w:hyperlink r:id="rId19">
        <w:r w:rsidRPr="00AC5F83">
          <w:rPr>
            <w:rFonts w:ascii="Arial" w:eastAsia="Arial" w:hAnsi="Arial" w:cs="Arial"/>
            <w:color w:val="1155CC"/>
            <w:highlight w:val="white"/>
            <w:u w:val="single"/>
          </w:rPr>
          <w:t>https://doi.org/10.1002/bsd2.351</w:t>
        </w:r>
      </w:hyperlink>
    </w:p>
    <w:p w14:paraId="4B5B68AD" w14:textId="77777777" w:rsidR="00C16665" w:rsidRPr="00AC5F83" w:rsidRDefault="00C16665" w:rsidP="00AC5F83">
      <w:pPr>
        <w:spacing w:before="240" w:after="240"/>
        <w:rPr>
          <w:rFonts w:ascii="Arial" w:eastAsia="Arial" w:hAnsi="Arial" w:cs="Arial"/>
          <w:color w:val="222222"/>
          <w:highlight w:val="white"/>
        </w:rPr>
      </w:pPr>
      <w:r w:rsidRPr="00AC5F83">
        <w:rPr>
          <w:rFonts w:ascii="Arial" w:eastAsia="Arial" w:hAnsi="Arial" w:cs="Arial"/>
          <w:color w:val="222222"/>
          <w:highlight w:val="white"/>
        </w:rPr>
        <w:t xml:space="preserve">Hooli, J. and Halim, A., (2025). ‘Battery electric vehicles in underground mines: Insights from industry’. </w:t>
      </w:r>
      <w:r w:rsidRPr="00AC5F83">
        <w:rPr>
          <w:rFonts w:ascii="Arial" w:eastAsia="Arial" w:hAnsi="Arial" w:cs="Arial"/>
          <w:i/>
          <w:iCs/>
          <w:color w:val="222222"/>
          <w:highlight w:val="white"/>
        </w:rPr>
        <w:t>Renewable and Sustainable Energy Reviews</w:t>
      </w:r>
      <w:r w:rsidRPr="00AC5F83">
        <w:rPr>
          <w:rFonts w:ascii="Arial" w:eastAsia="Arial" w:hAnsi="Arial" w:cs="Arial"/>
          <w:color w:val="222222"/>
          <w:highlight w:val="white"/>
        </w:rPr>
        <w:t xml:space="preserve">, </w:t>
      </w:r>
      <w:r w:rsidRPr="00AC5F83">
        <w:rPr>
          <w:rFonts w:ascii="Arial" w:eastAsia="Arial" w:hAnsi="Arial" w:cs="Arial"/>
          <w:i/>
          <w:iCs/>
          <w:color w:val="222222"/>
          <w:highlight w:val="white"/>
        </w:rPr>
        <w:t>208</w:t>
      </w:r>
      <w:r w:rsidRPr="00AC5F83">
        <w:rPr>
          <w:rFonts w:ascii="Arial" w:eastAsia="Arial" w:hAnsi="Arial" w:cs="Arial"/>
          <w:color w:val="222222"/>
          <w:highlight w:val="white"/>
        </w:rPr>
        <w:t xml:space="preserve">, p.115024. </w:t>
      </w:r>
      <w:r w:rsidRPr="00AC5F83">
        <w:rPr>
          <w:rFonts w:ascii="Arial" w:eastAsia="Arial" w:hAnsi="Arial" w:cs="Arial"/>
          <w:highlight w:val="white"/>
        </w:rPr>
        <w:t xml:space="preserve">Available at: </w:t>
      </w:r>
      <w:hyperlink r:id="rId20">
        <w:r w:rsidRPr="00AC5F83">
          <w:rPr>
            <w:rFonts w:ascii="Arial" w:eastAsia="Arial" w:hAnsi="Arial" w:cs="Arial"/>
            <w:color w:val="1155CC"/>
            <w:highlight w:val="white"/>
            <w:u w:val="single"/>
          </w:rPr>
          <w:t>https://doi.org/10.1016/j.rser.2024.115024</w:t>
        </w:r>
      </w:hyperlink>
    </w:p>
    <w:p w14:paraId="0CCBA3E5" w14:textId="77777777" w:rsidR="00C16665" w:rsidRPr="00AC5F83" w:rsidRDefault="00C16665" w:rsidP="00AC5F83">
      <w:pPr>
        <w:spacing w:before="240" w:after="240"/>
        <w:rPr>
          <w:rFonts w:ascii="Arial" w:eastAsia="Arial" w:hAnsi="Arial" w:cs="Arial"/>
          <w:highlight w:val="white"/>
        </w:rPr>
      </w:pPr>
      <w:r w:rsidRPr="00AC5F83">
        <w:rPr>
          <w:rFonts w:ascii="Arial" w:eastAsia="Arial" w:hAnsi="Arial" w:cs="Arial"/>
          <w:highlight w:val="white"/>
        </w:rPr>
        <w:t xml:space="preserve">Jayarathna, C.P., Agdas, D. and Dawes, L., (2024). ‘Perceived relationship between green logistics practices and sustainability performance: a multi-methodology approach.’ </w:t>
      </w:r>
      <w:r w:rsidRPr="00AC5F83">
        <w:rPr>
          <w:rFonts w:ascii="Arial" w:eastAsia="Arial" w:hAnsi="Arial" w:cs="Arial"/>
          <w:i/>
          <w:iCs/>
          <w:highlight w:val="white"/>
        </w:rPr>
        <w:t>The International Journal of Logistics Management</w:t>
      </w:r>
      <w:r w:rsidRPr="00AC5F83">
        <w:rPr>
          <w:rFonts w:ascii="Arial" w:eastAsia="Arial" w:hAnsi="Arial" w:cs="Arial"/>
          <w:highlight w:val="white"/>
        </w:rPr>
        <w:t xml:space="preserve">, </w:t>
      </w:r>
      <w:r w:rsidRPr="00AC5F83">
        <w:rPr>
          <w:rFonts w:ascii="Arial" w:eastAsia="Arial" w:hAnsi="Arial" w:cs="Arial"/>
          <w:i/>
          <w:iCs/>
          <w:highlight w:val="white"/>
        </w:rPr>
        <w:t>35</w:t>
      </w:r>
      <w:r w:rsidRPr="00AC5F83">
        <w:rPr>
          <w:rFonts w:ascii="Arial" w:eastAsia="Arial" w:hAnsi="Arial" w:cs="Arial"/>
          <w:highlight w:val="white"/>
        </w:rPr>
        <w:t xml:space="preserve">(5), pp.1522-1548.Available at: </w:t>
      </w:r>
      <w:hyperlink r:id="rId21">
        <w:r w:rsidRPr="00AC5F83">
          <w:rPr>
            <w:rFonts w:ascii="Arial" w:eastAsia="Arial" w:hAnsi="Arial" w:cs="Arial"/>
            <w:color w:val="1155CC"/>
            <w:highlight w:val="white"/>
            <w:u w:val="single"/>
          </w:rPr>
          <w:t>https://doi.org/10.1108/IJLM-09-2022-0367</w:t>
        </w:r>
      </w:hyperlink>
    </w:p>
    <w:p w14:paraId="7B5B4302" w14:textId="77777777" w:rsidR="00C16665" w:rsidRPr="00AC5F83" w:rsidRDefault="00C16665" w:rsidP="00AC5F83">
      <w:pPr>
        <w:spacing w:before="240" w:after="240"/>
        <w:rPr>
          <w:rFonts w:ascii="Arial" w:eastAsia="Arial" w:hAnsi="Arial" w:cs="Arial"/>
          <w:color w:val="222222"/>
          <w:highlight w:val="white"/>
        </w:rPr>
      </w:pPr>
      <w:r w:rsidRPr="00AC5F83">
        <w:rPr>
          <w:rFonts w:ascii="Arial" w:eastAsia="Arial" w:hAnsi="Arial" w:cs="Arial"/>
          <w:color w:val="222222"/>
          <w:highlight w:val="white"/>
        </w:rPr>
        <w:lastRenderedPageBreak/>
        <w:t xml:space="preserve">Jiang, H., Luo, Y., Xia, J., Hitt, M. and Shen, J., (2023). ‘Resource dependence theory in international business: Progress and </w:t>
      </w:r>
      <w:proofErr w:type="gramStart"/>
      <w:r w:rsidRPr="00AC5F83">
        <w:rPr>
          <w:rFonts w:ascii="Arial" w:eastAsia="Arial" w:hAnsi="Arial" w:cs="Arial"/>
          <w:color w:val="222222"/>
          <w:highlight w:val="white"/>
        </w:rPr>
        <w:t>prospects’</w:t>
      </w:r>
      <w:proofErr w:type="gramEnd"/>
      <w:r w:rsidRPr="00AC5F83">
        <w:rPr>
          <w:rFonts w:ascii="Arial" w:eastAsia="Arial" w:hAnsi="Arial" w:cs="Arial"/>
          <w:color w:val="222222"/>
          <w:highlight w:val="white"/>
        </w:rPr>
        <w:t xml:space="preserve">. </w:t>
      </w:r>
      <w:r w:rsidRPr="00AC5F83">
        <w:rPr>
          <w:rFonts w:ascii="Arial" w:eastAsia="Arial" w:hAnsi="Arial" w:cs="Arial"/>
          <w:i/>
          <w:iCs/>
          <w:color w:val="222222"/>
          <w:highlight w:val="white"/>
        </w:rPr>
        <w:t>Global strategy journal</w:t>
      </w:r>
      <w:r w:rsidRPr="00AC5F83">
        <w:rPr>
          <w:rFonts w:ascii="Arial" w:eastAsia="Arial" w:hAnsi="Arial" w:cs="Arial"/>
          <w:color w:val="222222"/>
          <w:highlight w:val="white"/>
        </w:rPr>
        <w:t xml:space="preserve">, </w:t>
      </w:r>
      <w:r w:rsidRPr="00AC5F83">
        <w:rPr>
          <w:rFonts w:ascii="Arial" w:eastAsia="Arial" w:hAnsi="Arial" w:cs="Arial"/>
          <w:i/>
          <w:iCs/>
          <w:color w:val="222222"/>
          <w:highlight w:val="white"/>
        </w:rPr>
        <w:t>13</w:t>
      </w:r>
      <w:r w:rsidRPr="00AC5F83">
        <w:rPr>
          <w:rFonts w:ascii="Arial" w:eastAsia="Arial" w:hAnsi="Arial" w:cs="Arial"/>
          <w:color w:val="222222"/>
          <w:highlight w:val="white"/>
        </w:rPr>
        <w:t xml:space="preserve">(1), pp.3-57. </w:t>
      </w:r>
      <w:r w:rsidRPr="00AC5F83">
        <w:rPr>
          <w:rFonts w:ascii="Arial" w:eastAsia="Arial" w:hAnsi="Arial" w:cs="Arial"/>
          <w:highlight w:val="white"/>
        </w:rPr>
        <w:t xml:space="preserve">Available at: </w:t>
      </w:r>
      <w:hyperlink r:id="rId22">
        <w:r w:rsidRPr="00AC5F83">
          <w:rPr>
            <w:rFonts w:ascii="Arial" w:eastAsia="Arial" w:hAnsi="Arial" w:cs="Arial"/>
            <w:color w:val="1155CC"/>
            <w:highlight w:val="white"/>
            <w:u w:val="single"/>
          </w:rPr>
          <w:t>https://doi.org/10.1002/gsj.1467</w:t>
        </w:r>
      </w:hyperlink>
      <w:r w:rsidRPr="00AC5F83">
        <w:rPr>
          <w:rFonts w:ascii="Arial" w:eastAsia="Arial" w:hAnsi="Arial" w:cs="Arial"/>
          <w:color w:val="222222"/>
          <w:highlight w:val="white"/>
        </w:rPr>
        <w:t xml:space="preserve"> </w:t>
      </w:r>
    </w:p>
    <w:p w14:paraId="7726941E" w14:textId="77777777" w:rsidR="00C16665" w:rsidRPr="00AC5F83" w:rsidRDefault="00C16665" w:rsidP="00AC5F83">
      <w:pPr>
        <w:spacing w:before="240" w:after="240"/>
        <w:rPr>
          <w:rFonts w:ascii="Arial" w:eastAsia="Arial" w:hAnsi="Arial" w:cs="Arial"/>
          <w:highlight w:val="white"/>
        </w:rPr>
      </w:pPr>
      <w:r w:rsidRPr="00AC5F83">
        <w:rPr>
          <w:rFonts w:ascii="Arial" w:eastAsia="Arial" w:hAnsi="Arial" w:cs="Arial"/>
          <w:highlight w:val="white"/>
        </w:rPr>
        <w:t xml:space="preserve">Khan, T., Emon, M.M.H. and Siam, S.A.J., (2024).’Impact of green supply chain practices on sustainable development in Bangladesh.’ </w:t>
      </w:r>
      <w:r w:rsidRPr="00AC5F83">
        <w:rPr>
          <w:rFonts w:ascii="Arial" w:eastAsia="Arial" w:hAnsi="Arial" w:cs="Arial"/>
          <w:i/>
          <w:iCs/>
          <w:highlight w:val="white"/>
        </w:rPr>
        <w:t>Malaysian Business Management Journal</w:t>
      </w:r>
      <w:r w:rsidRPr="00AC5F83">
        <w:rPr>
          <w:rFonts w:ascii="Arial" w:eastAsia="Arial" w:hAnsi="Arial" w:cs="Arial"/>
          <w:highlight w:val="white"/>
        </w:rPr>
        <w:t xml:space="preserve">, </w:t>
      </w:r>
      <w:r w:rsidRPr="00AC5F83">
        <w:rPr>
          <w:rFonts w:ascii="Arial" w:eastAsia="Arial" w:hAnsi="Arial" w:cs="Arial"/>
          <w:i/>
          <w:iCs/>
          <w:highlight w:val="white"/>
        </w:rPr>
        <w:t>3</w:t>
      </w:r>
      <w:r w:rsidRPr="00AC5F83">
        <w:rPr>
          <w:rFonts w:ascii="Arial" w:eastAsia="Arial" w:hAnsi="Arial" w:cs="Arial"/>
          <w:highlight w:val="white"/>
        </w:rPr>
        <w:t xml:space="preserve">(2), pp.10-26480.Available at: </w:t>
      </w:r>
      <w:hyperlink r:id="rId23">
        <w:r w:rsidRPr="00AC5F83">
          <w:rPr>
            <w:rFonts w:ascii="Arial" w:eastAsia="Arial" w:hAnsi="Arial" w:cs="Arial"/>
            <w:color w:val="1155CC"/>
            <w:highlight w:val="white"/>
            <w:u w:val="single"/>
          </w:rPr>
          <w:t>https://doi.org/10.26480/mbmj.02.2024.73.83</w:t>
        </w:r>
      </w:hyperlink>
    </w:p>
    <w:p w14:paraId="1E0D2E6C" w14:textId="77777777" w:rsidR="00C16665" w:rsidRPr="00AC5F83" w:rsidRDefault="00C16665" w:rsidP="00AC5F83">
      <w:pPr>
        <w:spacing w:before="240" w:after="240"/>
        <w:rPr>
          <w:rFonts w:ascii="Arial" w:eastAsia="Arial" w:hAnsi="Arial" w:cs="Arial"/>
          <w:color w:val="222222"/>
          <w:highlight w:val="white"/>
        </w:rPr>
      </w:pPr>
      <w:r w:rsidRPr="00AC5F83">
        <w:rPr>
          <w:rFonts w:ascii="Arial" w:eastAsia="Arial" w:hAnsi="Arial" w:cs="Arial"/>
          <w:color w:val="222222"/>
          <w:highlight w:val="white"/>
        </w:rPr>
        <w:t xml:space="preserve">Korra, C. and </w:t>
      </w:r>
      <w:proofErr w:type="spellStart"/>
      <w:r w:rsidRPr="00AC5F83">
        <w:rPr>
          <w:rFonts w:ascii="Arial" w:eastAsia="Arial" w:hAnsi="Arial" w:cs="Arial"/>
          <w:color w:val="222222"/>
          <w:highlight w:val="white"/>
        </w:rPr>
        <w:t>Valaboju</w:t>
      </w:r>
      <w:proofErr w:type="spellEnd"/>
      <w:r w:rsidRPr="00AC5F83">
        <w:rPr>
          <w:rFonts w:ascii="Arial" w:eastAsia="Arial" w:hAnsi="Arial" w:cs="Arial"/>
          <w:color w:val="222222"/>
          <w:highlight w:val="white"/>
        </w:rPr>
        <w:t xml:space="preserve">, A.S., (2024). ‘Green warehouses: The benefits, challenges, and strategies of industrial building decarbonization’. </w:t>
      </w:r>
      <w:r w:rsidRPr="00AC5F83">
        <w:rPr>
          <w:rFonts w:ascii="Arial" w:eastAsia="Arial" w:hAnsi="Arial" w:cs="Arial"/>
          <w:i/>
          <w:iCs/>
          <w:color w:val="222222"/>
          <w:highlight w:val="white"/>
        </w:rPr>
        <w:t>Journal of Sustainable Industrial Practices</w:t>
      </w:r>
      <w:r w:rsidRPr="00AC5F83">
        <w:rPr>
          <w:rFonts w:ascii="Arial" w:eastAsia="Arial" w:hAnsi="Arial" w:cs="Arial"/>
          <w:color w:val="222222"/>
          <w:highlight w:val="white"/>
        </w:rPr>
        <w:t xml:space="preserve">, </w:t>
      </w:r>
      <w:r w:rsidRPr="00AC5F83">
        <w:rPr>
          <w:rFonts w:ascii="Arial" w:eastAsia="Arial" w:hAnsi="Arial" w:cs="Arial"/>
          <w:i/>
          <w:iCs/>
          <w:color w:val="222222"/>
          <w:highlight w:val="white"/>
        </w:rPr>
        <w:t>1</w:t>
      </w:r>
      <w:r w:rsidRPr="00AC5F83">
        <w:rPr>
          <w:rFonts w:ascii="Arial" w:eastAsia="Arial" w:hAnsi="Arial" w:cs="Arial"/>
          <w:color w:val="222222"/>
          <w:highlight w:val="white"/>
        </w:rPr>
        <w:t xml:space="preserve">(1), pp.1-12. </w:t>
      </w:r>
      <w:hyperlink r:id="rId24">
        <w:r w:rsidRPr="00AC5F83">
          <w:rPr>
            <w:rFonts w:ascii="Arial" w:eastAsia="Arial" w:hAnsi="Arial" w:cs="Arial"/>
            <w:color w:val="1155CC"/>
            <w:highlight w:val="white"/>
            <w:u w:val="single"/>
          </w:rPr>
          <w:t>https://doi.org/10.38124/ijisrt/IJISRT24MAR1644</w:t>
        </w:r>
      </w:hyperlink>
    </w:p>
    <w:p w14:paraId="7ABAB1E2" w14:textId="77777777" w:rsidR="00C16665" w:rsidRPr="00AC5F83" w:rsidRDefault="00C16665" w:rsidP="00AC5F83">
      <w:pPr>
        <w:spacing w:before="240" w:after="240"/>
        <w:rPr>
          <w:rFonts w:ascii="Arial" w:eastAsia="Arial" w:hAnsi="Arial" w:cs="Arial"/>
          <w:color w:val="222222"/>
          <w:highlight w:val="white"/>
        </w:rPr>
      </w:pPr>
      <w:proofErr w:type="spellStart"/>
      <w:r w:rsidRPr="00AC5F83">
        <w:rPr>
          <w:rFonts w:ascii="Arial" w:eastAsia="Arial" w:hAnsi="Arial" w:cs="Arial"/>
          <w:color w:val="222222"/>
          <w:highlight w:val="white"/>
        </w:rPr>
        <w:t>Lazaroiu</w:t>
      </w:r>
      <w:proofErr w:type="spellEnd"/>
      <w:r w:rsidRPr="00AC5F83">
        <w:rPr>
          <w:rFonts w:ascii="Arial" w:eastAsia="Arial" w:hAnsi="Arial" w:cs="Arial"/>
          <w:color w:val="222222"/>
          <w:highlight w:val="white"/>
        </w:rPr>
        <w:t xml:space="preserve">, G., Androniceanu, A., Grecu, I., Grecu, G. and </w:t>
      </w:r>
      <w:proofErr w:type="spellStart"/>
      <w:r w:rsidRPr="00AC5F83">
        <w:rPr>
          <w:rFonts w:ascii="Arial" w:eastAsia="Arial" w:hAnsi="Arial" w:cs="Arial"/>
          <w:color w:val="222222"/>
          <w:highlight w:val="white"/>
        </w:rPr>
        <w:t>Neguriță</w:t>
      </w:r>
      <w:proofErr w:type="spellEnd"/>
      <w:r w:rsidRPr="00AC5F83">
        <w:rPr>
          <w:rFonts w:ascii="Arial" w:eastAsia="Arial" w:hAnsi="Arial" w:cs="Arial"/>
          <w:color w:val="222222"/>
          <w:highlight w:val="white"/>
        </w:rPr>
        <w:t xml:space="preserve">, O., (2022). ‘Artificial intelligence-based decision-making algorithms, Internet of Things sensing networks, and sustainable cyber-physical management systems in big data-driven cognitive manufacturing’. </w:t>
      </w:r>
      <w:proofErr w:type="spellStart"/>
      <w:r w:rsidRPr="00AC5F83">
        <w:rPr>
          <w:rFonts w:ascii="Arial" w:eastAsia="Arial" w:hAnsi="Arial" w:cs="Arial"/>
          <w:i/>
          <w:iCs/>
          <w:color w:val="222222"/>
          <w:highlight w:val="white"/>
        </w:rPr>
        <w:t>Oeconomia</w:t>
      </w:r>
      <w:proofErr w:type="spellEnd"/>
      <w:r w:rsidRPr="00AC5F83">
        <w:rPr>
          <w:rFonts w:ascii="Arial" w:eastAsia="Arial" w:hAnsi="Arial" w:cs="Arial"/>
          <w:i/>
          <w:iCs/>
          <w:color w:val="222222"/>
          <w:highlight w:val="white"/>
        </w:rPr>
        <w:t xml:space="preserve"> </w:t>
      </w:r>
      <w:proofErr w:type="spellStart"/>
      <w:r w:rsidRPr="00AC5F83">
        <w:rPr>
          <w:rFonts w:ascii="Arial" w:eastAsia="Arial" w:hAnsi="Arial" w:cs="Arial"/>
          <w:i/>
          <w:iCs/>
          <w:color w:val="222222"/>
          <w:highlight w:val="white"/>
        </w:rPr>
        <w:t>Copernicana</w:t>
      </w:r>
      <w:proofErr w:type="spellEnd"/>
      <w:r w:rsidRPr="00AC5F83">
        <w:rPr>
          <w:rFonts w:ascii="Arial" w:eastAsia="Arial" w:hAnsi="Arial" w:cs="Arial"/>
          <w:color w:val="222222"/>
          <w:highlight w:val="white"/>
        </w:rPr>
        <w:t xml:space="preserve">, </w:t>
      </w:r>
      <w:r w:rsidRPr="00AC5F83">
        <w:rPr>
          <w:rFonts w:ascii="Arial" w:eastAsia="Arial" w:hAnsi="Arial" w:cs="Arial"/>
          <w:i/>
          <w:iCs/>
          <w:color w:val="222222"/>
          <w:highlight w:val="white"/>
        </w:rPr>
        <w:t>13</w:t>
      </w:r>
      <w:r w:rsidRPr="00AC5F83">
        <w:rPr>
          <w:rFonts w:ascii="Arial" w:eastAsia="Arial" w:hAnsi="Arial" w:cs="Arial"/>
          <w:color w:val="222222"/>
          <w:highlight w:val="white"/>
        </w:rPr>
        <w:t xml:space="preserve">(4), pp.1047-1080. </w:t>
      </w:r>
      <w:r w:rsidRPr="00AC5F83">
        <w:rPr>
          <w:rFonts w:ascii="Arial" w:eastAsia="Arial" w:hAnsi="Arial" w:cs="Arial"/>
          <w:highlight w:val="white"/>
        </w:rPr>
        <w:t xml:space="preserve">Available at: </w:t>
      </w:r>
      <w:hyperlink r:id="rId25">
        <w:r w:rsidRPr="00AC5F83">
          <w:rPr>
            <w:rFonts w:ascii="Arial" w:eastAsia="Arial" w:hAnsi="Arial" w:cs="Arial"/>
            <w:color w:val="1155CC"/>
            <w:highlight w:val="white"/>
            <w:u w:val="single"/>
          </w:rPr>
          <w:t>https://bibliotekanauki.pl/articles/19322650.pdf</w:t>
        </w:r>
      </w:hyperlink>
    </w:p>
    <w:p w14:paraId="67472455" w14:textId="77777777" w:rsidR="00C16665" w:rsidRPr="00AC5F83" w:rsidRDefault="00C16665" w:rsidP="00AC5F83">
      <w:pPr>
        <w:spacing w:before="240" w:after="240"/>
        <w:rPr>
          <w:rFonts w:ascii="Arial" w:eastAsia="Arial" w:hAnsi="Arial" w:cs="Arial"/>
          <w:color w:val="222222"/>
          <w:highlight w:val="white"/>
        </w:rPr>
      </w:pPr>
      <w:proofErr w:type="spellStart"/>
      <w:r w:rsidRPr="00AC5F83">
        <w:rPr>
          <w:rFonts w:ascii="Arial" w:eastAsia="Arial" w:hAnsi="Arial" w:cs="Arial"/>
          <w:color w:val="222222"/>
          <w:highlight w:val="white"/>
        </w:rPr>
        <w:t>Letunovska</w:t>
      </w:r>
      <w:proofErr w:type="spellEnd"/>
      <w:r w:rsidRPr="00AC5F83">
        <w:rPr>
          <w:rFonts w:ascii="Arial" w:eastAsia="Arial" w:hAnsi="Arial" w:cs="Arial"/>
          <w:color w:val="222222"/>
          <w:highlight w:val="white"/>
        </w:rPr>
        <w:t xml:space="preserve">, N., Offei, F.A., Junior, P.A., Lyulyov, O., Pimonenko, T. and </w:t>
      </w:r>
      <w:proofErr w:type="spellStart"/>
      <w:r w:rsidRPr="00AC5F83">
        <w:rPr>
          <w:rFonts w:ascii="Arial" w:eastAsia="Arial" w:hAnsi="Arial" w:cs="Arial"/>
          <w:color w:val="222222"/>
          <w:highlight w:val="white"/>
        </w:rPr>
        <w:t>Kwilinski</w:t>
      </w:r>
      <w:proofErr w:type="spellEnd"/>
      <w:r w:rsidRPr="00AC5F83">
        <w:rPr>
          <w:rFonts w:ascii="Arial" w:eastAsia="Arial" w:hAnsi="Arial" w:cs="Arial"/>
          <w:color w:val="222222"/>
          <w:highlight w:val="white"/>
        </w:rPr>
        <w:t xml:space="preserve">, A., (2023). ‘Green supply chain management: The effect of procurement sustainability on reverse </w:t>
      </w:r>
      <w:proofErr w:type="gramStart"/>
      <w:r w:rsidRPr="00AC5F83">
        <w:rPr>
          <w:rFonts w:ascii="Arial" w:eastAsia="Arial" w:hAnsi="Arial" w:cs="Arial"/>
          <w:color w:val="222222"/>
          <w:highlight w:val="white"/>
        </w:rPr>
        <w:t>logistics’</w:t>
      </w:r>
      <w:proofErr w:type="gramEnd"/>
      <w:r w:rsidRPr="00AC5F83">
        <w:rPr>
          <w:rFonts w:ascii="Arial" w:eastAsia="Arial" w:hAnsi="Arial" w:cs="Arial"/>
          <w:color w:val="222222"/>
          <w:highlight w:val="white"/>
        </w:rPr>
        <w:t xml:space="preserve">. </w:t>
      </w:r>
      <w:r w:rsidRPr="00AC5F83">
        <w:rPr>
          <w:rFonts w:ascii="Arial" w:eastAsia="Arial" w:hAnsi="Arial" w:cs="Arial"/>
          <w:i/>
          <w:iCs/>
          <w:color w:val="222222"/>
          <w:highlight w:val="white"/>
        </w:rPr>
        <w:t>Logistics</w:t>
      </w:r>
      <w:r w:rsidRPr="00AC5F83">
        <w:rPr>
          <w:rFonts w:ascii="Arial" w:eastAsia="Arial" w:hAnsi="Arial" w:cs="Arial"/>
          <w:color w:val="222222"/>
          <w:highlight w:val="white"/>
        </w:rPr>
        <w:t xml:space="preserve">, </w:t>
      </w:r>
      <w:r w:rsidRPr="00AC5F83">
        <w:rPr>
          <w:rFonts w:ascii="Arial" w:eastAsia="Arial" w:hAnsi="Arial" w:cs="Arial"/>
          <w:i/>
          <w:iCs/>
          <w:color w:val="222222"/>
          <w:highlight w:val="white"/>
        </w:rPr>
        <w:t>7</w:t>
      </w:r>
      <w:r w:rsidRPr="00AC5F83">
        <w:rPr>
          <w:rFonts w:ascii="Arial" w:eastAsia="Arial" w:hAnsi="Arial" w:cs="Arial"/>
          <w:color w:val="222222"/>
          <w:highlight w:val="white"/>
        </w:rPr>
        <w:t xml:space="preserve">(3), p.47. </w:t>
      </w:r>
      <w:r w:rsidRPr="00AC5F83">
        <w:rPr>
          <w:rFonts w:ascii="Arial" w:eastAsia="Arial" w:hAnsi="Arial" w:cs="Arial"/>
          <w:highlight w:val="white"/>
        </w:rPr>
        <w:t xml:space="preserve">Available at: </w:t>
      </w:r>
      <w:hyperlink r:id="rId26">
        <w:r w:rsidRPr="00AC5F83">
          <w:rPr>
            <w:rFonts w:ascii="Arial" w:eastAsia="Arial" w:hAnsi="Arial" w:cs="Arial"/>
            <w:color w:val="1155CC"/>
            <w:highlight w:val="white"/>
            <w:u w:val="single"/>
          </w:rPr>
          <w:t>https://doi.org/10.3390/logistics7030047</w:t>
        </w:r>
      </w:hyperlink>
    </w:p>
    <w:p w14:paraId="2F49CD30" w14:textId="77777777" w:rsidR="00C16665" w:rsidRPr="00AC5F83" w:rsidRDefault="00C16665" w:rsidP="00AC5F83">
      <w:pPr>
        <w:spacing w:before="240" w:after="240"/>
        <w:rPr>
          <w:rFonts w:ascii="Arial" w:eastAsia="Arial" w:hAnsi="Arial" w:cs="Arial"/>
          <w:color w:val="222222"/>
          <w:highlight w:val="white"/>
        </w:rPr>
      </w:pPr>
      <w:r w:rsidRPr="00AC5F83">
        <w:rPr>
          <w:rFonts w:ascii="Arial" w:eastAsia="Arial" w:hAnsi="Arial" w:cs="Arial"/>
          <w:color w:val="222222"/>
          <w:highlight w:val="white"/>
        </w:rPr>
        <w:t xml:space="preserve">Leung, T.C.H., Guan, J. and Lau, Y.Y., (2023). ‘Exploring environmental sustainability and green management practices: evidence from logistics service </w:t>
      </w:r>
      <w:proofErr w:type="gramStart"/>
      <w:r w:rsidRPr="00AC5F83">
        <w:rPr>
          <w:rFonts w:ascii="Arial" w:eastAsia="Arial" w:hAnsi="Arial" w:cs="Arial"/>
          <w:color w:val="222222"/>
          <w:highlight w:val="white"/>
        </w:rPr>
        <w:t>providers’</w:t>
      </w:r>
      <w:proofErr w:type="gramEnd"/>
      <w:r w:rsidRPr="00AC5F83">
        <w:rPr>
          <w:rFonts w:ascii="Arial" w:eastAsia="Arial" w:hAnsi="Arial" w:cs="Arial"/>
          <w:color w:val="222222"/>
          <w:highlight w:val="white"/>
        </w:rPr>
        <w:t xml:space="preserve">. </w:t>
      </w:r>
      <w:r w:rsidRPr="00AC5F83">
        <w:rPr>
          <w:rFonts w:ascii="Arial" w:eastAsia="Arial" w:hAnsi="Arial" w:cs="Arial"/>
          <w:i/>
          <w:iCs/>
          <w:color w:val="222222"/>
          <w:highlight w:val="white"/>
        </w:rPr>
        <w:t>Sustainability Accounting, Management and Policy Journal</w:t>
      </w:r>
      <w:r w:rsidRPr="00AC5F83">
        <w:rPr>
          <w:rFonts w:ascii="Arial" w:eastAsia="Arial" w:hAnsi="Arial" w:cs="Arial"/>
          <w:color w:val="222222"/>
          <w:highlight w:val="white"/>
        </w:rPr>
        <w:t xml:space="preserve">, </w:t>
      </w:r>
      <w:r w:rsidRPr="00AC5F83">
        <w:rPr>
          <w:rFonts w:ascii="Arial" w:eastAsia="Arial" w:hAnsi="Arial" w:cs="Arial"/>
          <w:i/>
          <w:iCs/>
          <w:color w:val="222222"/>
          <w:highlight w:val="white"/>
        </w:rPr>
        <w:t>14</w:t>
      </w:r>
      <w:r w:rsidRPr="00AC5F83">
        <w:rPr>
          <w:rFonts w:ascii="Arial" w:eastAsia="Arial" w:hAnsi="Arial" w:cs="Arial"/>
          <w:color w:val="222222"/>
          <w:highlight w:val="white"/>
        </w:rPr>
        <w:t xml:space="preserve">(3), pp.461-489. </w:t>
      </w:r>
      <w:r w:rsidRPr="00AC5F83">
        <w:rPr>
          <w:rFonts w:ascii="Arial" w:eastAsia="Arial" w:hAnsi="Arial" w:cs="Arial"/>
          <w:highlight w:val="white"/>
        </w:rPr>
        <w:t xml:space="preserve">Available at: </w:t>
      </w:r>
      <w:hyperlink r:id="rId27">
        <w:r w:rsidRPr="00AC5F83">
          <w:rPr>
            <w:rFonts w:ascii="Arial" w:eastAsia="Arial" w:hAnsi="Arial" w:cs="Arial"/>
            <w:color w:val="1155CC"/>
            <w:highlight w:val="white"/>
            <w:u w:val="single"/>
          </w:rPr>
          <w:t>https://doi.org/10.1108/SAMPJ-03-2022-0133</w:t>
        </w:r>
      </w:hyperlink>
    </w:p>
    <w:p w14:paraId="3D516B07" w14:textId="77777777" w:rsidR="00C16665" w:rsidRPr="00AC5F83" w:rsidRDefault="00C16665" w:rsidP="00AC5F83">
      <w:pPr>
        <w:spacing w:before="240" w:after="240"/>
        <w:rPr>
          <w:rFonts w:ascii="Arial" w:eastAsia="Arial" w:hAnsi="Arial" w:cs="Arial"/>
          <w:color w:val="222222"/>
          <w:highlight w:val="white"/>
        </w:rPr>
      </w:pPr>
      <w:r w:rsidRPr="00AC5F83">
        <w:rPr>
          <w:rFonts w:ascii="Arial" w:eastAsia="Arial" w:hAnsi="Arial" w:cs="Arial"/>
          <w:color w:val="222222"/>
          <w:highlight w:val="white"/>
        </w:rPr>
        <w:t xml:space="preserve">Li, X., Liu, D., Zhang, Z., Cheng, T., Liu, L. and Yuan, J., (2022). ‘The impact of internal and external green supply chain management activities on performance improvement: evidence from the automobile industry’. </w:t>
      </w:r>
      <w:proofErr w:type="spellStart"/>
      <w:r w:rsidRPr="00AC5F83">
        <w:rPr>
          <w:rFonts w:ascii="Arial" w:eastAsia="Arial" w:hAnsi="Arial" w:cs="Arial"/>
          <w:i/>
          <w:iCs/>
          <w:color w:val="222222"/>
          <w:highlight w:val="white"/>
        </w:rPr>
        <w:t>Heliyon</w:t>
      </w:r>
      <w:proofErr w:type="spellEnd"/>
      <w:r w:rsidRPr="00AC5F83">
        <w:rPr>
          <w:rFonts w:ascii="Arial" w:eastAsia="Arial" w:hAnsi="Arial" w:cs="Arial"/>
          <w:color w:val="222222"/>
          <w:highlight w:val="white"/>
        </w:rPr>
        <w:t xml:space="preserve">, </w:t>
      </w:r>
      <w:r w:rsidRPr="00AC5F83">
        <w:rPr>
          <w:rFonts w:ascii="Arial" w:eastAsia="Arial" w:hAnsi="Arial" w:cs="Arial"/>
          <w:i/>
          <w:iCs/>
          <w:color w:val="222222"/>
          <w:highlight w:val="white"/>
        </w:rPr>
        <w:t>8</w:t>
      </w:r>
      <w:r w:rsidRPr="00AC5F83">
        <w:rPr>
          <w:rFonts w:ascii="Arial" w:eastAsia="Arial" w:hAnsi="Arial" w:cs="Arial"/>
          <w:color w:val="222222"/>
          <w:highlight w:val="white"/>
        </w:rPr>
        <w:t xml:space="preserve">(11). </w:t>
      </w:r>
      <w:r w:rsidRPr="00AC5F83">
        <w:rPr>
          <w:rFonts w:ascii="Arial" w:eastAsia="Arial" w:hAnsi="Arial" w:cs="Arial"/>
          <w:highlight w:val="white"/>
        </w:rPr>
        <w:t xml:space="preserve">Available at: </w:t>
      </w:r>
      <w:hyperlink r:id="rId28">
        <w:r w:rsidRPr="00AC5F83">
          <w:rPr>
            <w:rFonts w:ascii="Arial" w:eastAsia="Arial" w:hAnsi="Arial" w:cs="Arial"/>
            <w:color w:val="1155CC"/>
            <w:highlight w:val="white"/>
            <w:u w:val="single"/>
          </w:rPr>
          <w:t>https://doi.org/10.1016/j.heliyon.2022.e11486</w:t>
        </w:r>
      </w:hyperlink>
    </w:p>
    <w:p w14:paraId="7783B50B" w14:textId="77777777" w:rsidR="00C16665" w:rsidRPr="00AC5F83" w:rsidRDefault="00C16665" w:rsidP="00AC5F83">
      <w:pPr>
        <w:spacing w:before="240" w:after="240"/>
        <w:rPr>
          <w:rFonts w:ascii="Arial" w:eastAsia="Arial" w:hAnsi="Arial" w:cs="Arial"/>
          <w:color w:val="222222"/>
          <w:highlight w:val="white"/>
        </w:rPr>
      </w:pPr>
      <w:r w:rsidRPr="00AC5F83">
        <w:rPr>
          <w:rFonts w:ascii="Arial" w:eastAsia="Arial" w:hAnsi="Arial" w:cs="Arial"/>
          <w:color w:val="222222"/>
          <w:highlight w:val="white"/>
        </w:rPr>
        <w:lastRenderedPageBreak/>
        <w:t xml:space="preserve">Mattera, M. and Gava, L., (2022). ‘Facing TBL with IoT: creating value and positively impacting business </w:t>
      </w:r>
      <w:proofErr w:type="gramStart"/>
      <w:r w:rsidRPr="00AC5F83">
        <w:rPr>
          <w:rFonts w:ascii="Arial" w:eastAsia="Arial" w:hAnsi="Arial" w:cs="Arial"/>
          <w:color w:val="222222"/>
          <w:highlight w:val="white"/>
        </w:rPr>
        <w:t>processes’</w:t>
      </w:r>
      <w:proofErr w:type="gramEnd"/>
      <w:r w:rsidRPr="00AC5F83">
        <w:rPr>
          <w:rFonts w:ascii="Arial" w:eastAsia="Arial" w:hAnsi="Arial" w:cs="Arial"/>
          <w:color w:val="222222"/>
          <w:highlight w:val="white"/>
        </w:rPr>
        <w:t xml:space="preserve">. </w:t>
      </w:r>
      <w:r w:rsidRPr="00AC5F83">
        <w:rPr>
          <w:rFonts w:ascii="Arial" w:eastAsia="Arial" w:hAnsi="Arial" w:cs="Arial"/>
          <w:i/>
          <w:iCs/>
          <w:color w:val="222222"/>
          <w:highlight w:val="white"/>
        </w:rPr>
        <w:t>Social Responsibility Journal</w:t>
      </w:r>
      <w:r w:rsidRPr="00AC5F83">
        <w:rPr>
          <w:rFonts w:ascii="Arial" w:eastAsia="Arial" w:hAnsi="Arial" w:cs="Arial"/>
          <w:color w:val="222222"/>
          <w:highlight w:val="white"/>
        </w:rPr>
        <w:t xml:space="preserve">, </w:t>
      </w:r>
      <w:r w:rsidRPr="00AC5F83">
        <w:rPr>
          <w:rFonts w:ascii="Arial" w:eastAsia="Arial" w:hAnsi="Arial" w:cs="Arial"/>
          <w:i/>
          <w:iCs/>
          <w:color w:val="222222"/>
          <w:highlight w:val="white"/>
        </w:rPr>
        <w:t>18</w:t>
      </w:r>
      <w:r w:rsidRPr="00AC5F83">
        <w:rPr>
          <w:rFonts w:ascii="Arial" w:eastAsia="Arial" w:hAnsi="Arial" w:cs="Arial"/>
          <w:color w:val="222222"/>
          <w:highlight w:val="white"/>
        </w:rPr>
        <w:t xml:space="preserve">(1), pp.178-201. </w:t>
      </w:r>
      <w:r w:rsidRPr="00AC5F83">
        <w:rPr>
          <w:rFonts w:ascii="Arial" w:eastAsia="Arial" w:hAnsi="Arial" w:cs="Arial"/>
          <w:highlight w:val="white"/>
        </w:rPr>
        <w:t xml:space="preserve">Available at: </w:t>
      </w:r>
      <w:hyperlink r:id="rId29">
        <w:r w:rsidRPr="00AC5F83">
          <w:rPr>
            <w:rFonts w:ascii="Arial" w:eastAsia="Arial" w:hAnsi="Arial" w:cs="Arial"/>
            <w:color w:val="1155CC"/>
            <w:highlight w:val="white"/>
            <w:u w:val="single"/>
          </w:rPr>
          <w:t>https://doi.org/10.1108/SRJ-02-2020-0074</w:t>
        </w:r>
      </w:hyperlink>
      <w:r w:rsidRPr="00AC5F83">
        <w:rPr>
          <w:rFonts w:ascii="Arial" w:eastAsia="Arial" w:hAnsi="Arial" w:cs="Arial"/>
          <w:color w:val="222222"/>
          <w:highlight w:val="white"/>
        </w:rPr>
        <w:t xml:space="preserve"> </w:t>
      </w:r>
    </w:p>
    <w:p w14:paraId="12C56E78" w14:textId="77777777" w:rsidR="00C16665" w:rsidRPr="00AC5F83" w:rsidRDefault="00C16665" w:rsidP="00AC5F83">
      <w:pPr>
        <w:spacing w:before="240" w:after="240"/>
        <w:rPr>
          <w:rFonts w:ascii="Arial" w:eastAsia="Arial" w:hAnsi="Arial" w:cs="Arial"/>
        </w:rPr>
      </w:pPr>
      <w:proofErr w:type="spellStart"/>
      <w:r w:rsidRPr="00AC5F83">
        <w:rPr>
          <w:rFonts w:ascii="Arial" w:eastAsia="Arial" w:hAnsi="Arial" w:cs="Arial"/>
          <w:color w:val="222222"/>
          <w:highlight w:val="white"/>
        </w:rPr>
        <w:t>Megheirkouni</w:t>
      </w:r>
      <w:proofErr w:type="spellEnd"/>
      <w:r w:rsidRPr="00AC5F83">
        <w:rPr>
          <w:rFonts w:ascii="Arial" w:eastAsia="Arial" w:hAnsi="Arial" w:cs="Arial"/>
          <w:color w:val="222222"/>
          <w:highlight w:val="white"/>
        </w:rPr>
        <w:t xml:space="preserve">, M. and Moir, J., (2023). ‘Simple but effective criteria: Rethinking excellent qualitative research’. </w:t>
      </w:r>
      <w:r w:rsidRPr="00AC5F83">
        <w:rPr>
          <w:rFonts w:ascii="Arial" w:eastAsia="Arial" w:hAnsi="Arial" w:cs="Arial"/>
          <w:i/>
          <w:iCs/>
          <w:color w:val="222222"/>
          <w:highlight w:val="white"/>
        </w:rPr>
        <w:t>The Qualitative Report</w:t>
      </w:r>
      <w:r w:rsidRPr="00AC5F83">
        <w:rPr>
          <w:rFonts w:ascii="Arial" w:eastAsia="Arial" w:hAnsi="Arial" w:cs="Arial"/>
          <w:color w:val="222222"/>
          <w:highlight w:val="white"/>
        </w:rPr>
        <w:t xml:space="preserve">, </w:t>
      </w:r>
      <w:r w:rsidRPr="00AC5F83">
        <w:rPr>
          <w:rFonts w:ascii="Arial" w:eastAsia="Arial" w:hAnsi="Arial" w:cs="Arial"/>
          <w:i/>
          <w:iCs/>
          <w:color w:val="222222"/>
          <w:highlight w:val="white"/>
        </w:rPr>
        <w:t>28</w:t>
      </w:r>
      <w:r w:rsidRPr="00AC5F83">
        <w:rPr>
          <w:rFonts w:ascii="Arial" w:eastAsia="Arial" w:hAnsi="Arial" w:cs="Arial"/>
          <w:color w:val="222222"/>
          <w:highlight w:val="white"/>
        </w:rPr>
        <w:t xml:space="preserve">(3), pp.848-864. </w:t>
      </w:r>
      <w:r w:rsidRPr="00AC5F83">
        <w:rPr>
          <w:rFonts w:ascii="Arial" w:eastAsia="Arial" w:hAnsi="Arial" w:cs="Arial"/>
          <w:highlight w:val="white"/>
        </w:rPr>
        <w:t xml:space="preserve">Available at: </w:t>
      </w:r>
      <w:hyperlink r:id="rId30">
        <w:r w:rsidRPr="00AC5F83">
          <w:rPr>
            <w:rFonts w:ascii="Arial" w:eastAsia="Arial" w:hAnsi="Arial" w:cs="Arial"/>
            <w:color w:val="1155CC"/>
            <w:highlight w:val="white"/>
            <w:u w:val="single"/>
          </w:rPr>
          <w:t>https://doi.org/10.46743/2160-3715/2023.5845</w:t>
        </w:r>
      </w:hyperlink>
    </w:p>
    <w:p w14:paraId="3B2BB4A8" w14:textId="77777777" w:rsidR="00C16665" w:rsidRPr="00AC5F83" w:rsidRDefault="00C16665" w:rsidP="00AC5F83">
      <w:pPr>
        <w:spacing w:before="240" w:after="240"/>
        <w:rPr>
          <w:rFonts w:ascii="Arial" w:eastAsia="Arial" w:hAnsi="Arial" w:cs="Arial"/>
          <w:highlight w:val="white"/>
        </w:rPr>
      </w:pPr>
      <w:r w:rsidRPr="00AC5F83">
        <w:rPr>
          <w:rFonts w:ascii="Arial" w:eastAsia="Arial" w:hAnsi="Arial" w:cs="Arial"/>
          <w:highlight w:val="white"/>
        </w:rPr>
        <w:t xml:space="preserve">Nicoletti, B. and </w:t>
      </w:r>
      <w:proofErr w:type="spellStart"/>
      <w:r w:rsidRPr="00AC5F83">
        <w:rPr>
          <w:rFonts w:ascii="Arial" w:eastAsia="Arial" w:hAnsi="Arial" w:cs="Arial"/>
          <w:highlight w:val="white"/>
        </w:rPr>
        <w:t>Appolloni</w:t>
      </w:r>
      <w:proofErr w:type="spellEnd"/>
      <w:r w:rsidRPr="00AC5F83">
        <w:rPr>
          <w:rFonts w:ascii="Arial" w:eastAsia="Arial" w:hAnsi="Arial" w:cs="Arial"/>
          <w:highlight w:val="white"/>
        </w:rPr>
        <w:t xml:space="preserve">, A., (2024). ‘Green Logistics 5.0: a review of sustainability-oriented innovation with foundation models in logistics.’ </w:t>
      </w:r>
      <w:r w:rsidRPr="00AC5F83">
        <w:rPr>
          <w:rFonts w:ascii="Arial" w:eastAsia="Arial" w:hAnsi="Arial" w:cs="Arial"/>
          <w:i/>
          <w:iCs/>
          <w:highlight w:val="white"/>
        </w:rPr>
        <w:t>European Journal of Innovation Management</w:t>
      </w:r>
      <w:r w:rsidRPr="00AC5F83">
        <w:rPr>
          <w:rFonts w:ascii="Arial" w:eastAsia="Arial" w:hAnsi="Arial" w:cs="Arial"/>
          <w:highlight w:val="white"/>
        </w:rPr>
        <w:t xml:space="preserve">, </w:t>
      </w:r>
      <w:r w:rsidRPr="00AC5F83">
        <w:rPr>
          <w:rFonts w:ascii="Arial" w:eastAsia="Arial" w:hAnsi="Arial" w:cs="Arial"/>
          <w:i/>
          <w:iCs/>
          <w:highlight w:val="white"/>
        </w:rPr>
        <w:t>27</w:t>
      </w:r>
      <w:r w:rsidRPr="00AC5F83">
        <w:rPr>
          <w:rFonts w:ascii="Arial" w:eastAsia="Arial" w:hAnsi="Arial" w:cs="Arial"/>
          <w:highlight w:val="white"/>
        </w:rPr>
        <w:t xml:space="preserve">(9), pp.542-561. Available at: </w:t>
      </w:r>
      <w:hyperlink r:id="rId31">
        <w:r w:rsidRPr="00AC5F83">
          <w:rPr>
            <w:rFonts w:ascii="Arial" w:eastAsia="Arial" w:hAnsi="Arial" w:cs="Arial"/>
            <w:color w:val="1155CC"/>
            <w:highlight w:val="white"/>
            <w:u w:val="single"/>
          </w:rPr>
          <w:t>https://doi.org/10.1108/EJIM-07-2024-0787</w:t>
        </w:r>
      </w:hyperlink>
    </w:p>
    <w:p w14:paraId="16BE5A50" w14:textId="77777777" w:rsidR="00C16665" w:rsidRPr="00AC5F83" w:rsidRDefault="00C16665" w:rsidP="00AC5F83">
      <w:pPr>
        <w:spacing w:before="240" w:after="240"/>
        <w:rPr>
          <w:rFonts w:ascii="Arial" w:eastAsia="Arial" w:hAnsi="Arial" w:cs="Arial"/>
          <w:highlight w:val="white"/>
        </w:rPr>
      </w:pPr>
      <w:proofErr w:type="spellStart"/>
      <w:r w:rsidRPr="00AC5F83">
        <w:rPr>
          <w:rFonts w:ascii="Arial" w:eastAsia="Arial" w:hAnsi="Arial" w:cs="Arial"/>
          <w:highlight w:val="white"/>
        </w:rPr>
        <w:t>Nikseresht</w:t>
      </w:r>
      <w:proofErr w:type="spellEnd"/>
      <w:r w:rsidRPr="00AC5F83">
        <w:rPr>
          <w:rFonts w:ascii="Arial" w:eastAsia="Arial" w:hAnsi="Arial" w:cs="Arial"/>
          <w:highlight w:val="white"/>
        </w:rPr>
        <w:t xml:space="preserve">, A., </w:t>
      </w:r>
      <w:proofErr w:type="spellStart"/>
      <w:r w:rsidRPr="00AC5F83">
        <w:rPr>
          <w:rFonts w:ascii="Arial" w:eastAsia="Arial" w:hAnsi="Arial" w:cs="Arial"/>
          <w:highlight w:val="white"/>
        </w:rPr>
        <w:t>Golmohammadi</w:t>
      </w:r>
      <w:proofErr w:type="spellEnd"/>
      <w:r w:rsidRPr="00AC5F83">
        <w:rPr>
          <w:rFonts w:ascii="Arial" w:eastAsia="Arial" w:hAnsi="Arial" w:cs="Arial"/>
          <w:highlight w:val="white"/>
        </w:rPr>
        <w:t xml:space="preserve">, D. and </w:t>
      </w:r>
      <w:proofErr w:type="spellStart"/>
      <w:r w:rsidRPr="00AC5F83">
        <w:rPr>
          <w:rFonts w:ascii="Arial" w:eastAsia="Arial" w:hAnsi="Arial" w:cs="Arial"/>
          <w:highlight w:val="white"/>
        </w:rPr>
        <w:t>Zandieh</w:t>
      </w:r>
      <w:proofErr w:type="spellEnd"/>
      <w:r w:rsidRPr="00AC5F83">
        <w:rPr>
          <w:rFonts w:ascii="Arial" w:eastAsia="Arial" w:hAnsi="Arial" w:cs="Arial"/>
          <w:highlight w:val="white"/>
        </w:rPr>
        <w:t xml:space="preserve">, M., (2024). ‘Sustainable green logistics and remanufacturing: a bibliometric analysis and future research directions.’ </w:t>
      </w:r>
      <w:r w:rsidRPr="00AC5F83">
        <w:rPr>
          <w:rFonts w:ascii="Arial" w:eastAsia="Arial" w:hAnsi="Arial" w:cs="Arial"/>
          <w:i/>
          <w:iCs/>
          <w:highlight w:val="white"/>
        </w:rPr>
        <w:t>The International Journal of Logistics Management</w:t>
      </w:r>
      <w:r w:rsidRPr="00AC5F83">
        <w:rPr>
          <w:rFonts w:ascii="Arial" w:eastAsia="Arial" w:hAnsi="Arial" w:cs="Arial"/>
          <w:highlight w:val="white"/>
        </w:rPr>
        <w:t xml:space="preserve">, </w:t>
      </w:r>
      <w:r w:rsidRPr="00AC5F83">
        <w:rPr>
          <w:rFonts w:ascii="Arial" w:eastAsia="Arial" w:hAnsi="Arial" w:cs="Arial"/>
          <w:i/>
          <w:iCs/>
          <w:highlight w:val="white"/>
        </w:rPr>
        <w:t>35</w:t>
      </w:r>
      <w:r w:rsidRPr="00AC5F83">
        <w:rPr>
          <w:rFonts w:ascii="Arial" w:eastAsia="Arial" w:hAnsi="Arial" w:cs="Arial"/>
          <w:highlight w:val="white"/>
        </w:rPr>
        <w:t xml:space="preserve">(3), pp.755-803.Available at: </w:t>
      </w:r>
      <w:hyperlink r:id="rId32">
        <w:r w:rsidRPr="00AC5F83">
          <w:rPr>
            <w:rFonts w:ascii="Arial" w:eastAsia="Arial" w:hAnsi="Arial" w:cs="Arial"/>
            <w:color w:val="1155CC"/>
            <w:highlight w:val="white"/>
            <w:u w:val="single"/>
          </w:rPr>
          <w:t>https://doi.org/10.1108/IJLM-03-2023-0085</w:t>
        </w:r>
      </w:hyperlink>
    </w:p>
    <w:p w14:paraId="1F9B7B44" w14:textId="77777777" w:rsidR="00C16665" w:rsidRPr="00AC5F83" w:rsidRDefault="00C16665" w:rsidP="00AC5F83">
      <w:pPr>
        <w:spacing w:before="240" w:after="240"/>
        <w:rPr>
          <w:rFonts w:ascii="Arial" w:eastAsia="Arial" w:hAnsi="Arial" w:cs="Arial"/>
          <w:color w:val="222222"/>
          <w:highlight w:val="white"/>
        </w:rPr>
      </w:pPr>
      <w:r w:rsidRPr="00AC5F83">
        <w:rPr>
          <w:rFonts w:ascii="Arial" w:eastAsia="Arial" w:hAnsi="Arial" w:cs="Arial"/>
          <w:color w:val="222222"/>
          <w:highlight w:val="white"/>
        </w:rPr>
        <w:t xml:space="preserve">Nzeva, E.N., </w:t>
      </w:r>
      <w:proofErr w:type="spellStart"/>
      <w:r w:rsidRPr="00AC5F83">
        <w:rPr>
          <w:rFonts w:ascii="Arial" w:eastAsia="Arial" w:hAnsi="Arial" w:cs="Arial"/>
          <w:color w:val="222222"/>
          <w:highlight w:val="white"/>
        </w:rPr>
        <w:t>Kiriinya</w:t>
      </w:r>
      <w:proofErr w:type="spellEnd"/>
      <w:r w:rsidRPr="00AC5F83">
        <w:rPr>
          <w:rFonts w:ascii="Arial" w:eastAsia="Arial" w:hAnsi="Arial" w:cs="Arial"/>
          <w:color w:val="222222"/>
          <w:highlight w:val="white"/>
        </w:rPr>
        <w:t xml:space="preserve">, A.E. and Kimemia, D., (2025). ‘Green Supply Chain Management Practices and Performance of Fast-Moving Consumer Goods Manufacturing Firms in Machakos County’, Kenya. </w:t>
      </w:r>
      <w:r w:rsidRPr="00AC5F83">
        <w:rPr>
          <w:rFonts w:ascii="Arial" w:eastAsia="Arial" w:hAnsi="Arial" w:cs="Arial"/>
          <w:i/>
          <w:iCs/>
          <w:color w:val="222222"/>
          <w:highlight w:val="white"/>
        </w:rPr>
        <w:t>JBMI Insight</w:t>
      </w:r>
      <w:r w:rsidRPr="00AC5F83">
        <w:rPr>
          <w:rFonts w:ascii="Arial" w:eastAsia="Arial" w:hAnsi="Arial" w:cs="Arial"/>
          <w:color w:val="222222"/>
          <w:highlight w:val="white"/>
        </w:rPr>
        <w:t xml:space="preserve">, </w:t>
      </w:r>
      <w:r w:rsidRPr="00AC5F83">
        <w:rPr>
          <w:rFonts w:ascii="Arial" w:eastAsia="Arial" w:hAnsi="Arial" w:cs="Arial"/>
          <w:i/>
          <w:iCs/>
          <w:color w:val="222222"/>
          <w:highlight w:val="white"/>
        </w:rPr>
        <w:t>2</w:t>
      </w:r>
      <w:r w:rsidRPr="00AC5F83">
        <w:rPr>
          <w:rFonts w:ascii="Arial" w:eastAsia="Arial" w:hAnsi="Arial" w:cs="Arial"/>
          <w:color w:val="222222"/>
          <w:highlight w:val="white"/>
        </w:rPr>
        <w:t xml:space="preserve">(10), pp.66-81. </w:t>
      </w:r>
      <w:r w:rsidRPr="00AC5F83">
        <w:rPr>
          <w:rFonts w:ascii="Arial" w:eastAsia="Arial" w:hAnsi="Arial" w:cs="Arial"/>
          <w:highlight w:val="white"/>
        </w:rPr>
        <w:t xml:space="preserve">Available at: </w:t>
      </w:r>
      <w:hyperlink r:id="rId33">
        <w:r w:rsidRPr="00AC5F83">
          <w:rPr>
            <w:rFonts w:ascii="Arial" w:eastAsia="Arial" w:hAnsi="Arial" w:cs="Arial"/>
            <w:color w:val="1155CC"/>
            <w:highlight w:val="white"/>
            <w:u w:val="single"/>
          </w:rPr>
          <w:t>https://jbmipublisher.org/system/index.php/home/article/download/109/109</w:t>
        </w:r>
      </w:hyperlink>
    </w:p>
    <w:p w14:paraId="2AD4AF21" w14:textId="77777777" w:rsidR="00C16665" w:rsidRPr="00AC5F83" w:rsidRDefault="00C16665" w:rsidP="00AC5F83">
      <w:pPr>
        <w:spacing w:before="240" w:after="240"/>
        <w:rPr>
          <w:rFonts w:ascii="Arial" w:eastAsia="Arial" w:hAnsi="Arial" w:cs="Arial"/>
          <w:color w:val="222222"/>
          <w:highlight w:val="white"/>
        </w:rPr>
      </w:pPr>
      <w:r w:rsidRPr="00AC5F83">
        <w:rPr>
          <w:rFonts w:ascii="Arial" w:eastAsia="Arial" w:hAnsi="Arial" w:cs="Arial"/>
          <w:color w:val="222222"/>
          <w:highlight w:val="white"/>
        </w:rPr>
        <w:t xml:space="preserve">Pervin, N. and Mokhtar, M., (2022). ‘The interpretivist research paradigm: A subjective notion of a social context’. </w:t>
      </w:r>
      <w:r w:rsidRPr="00AC5F83">
        <w:rPr>
          <w:rFonts w:ascii="Arial" w:eastAsia="Arial" w:hAnsi="Arial" w:cs="Arial"/>
          <w:i/>
          <w:iCs/>
          <w:color w:val="222222"/>
          <w:highlight w:val="white"/>
        </w:rPr>
        <w:t>International Journal of Academic Research in Progressive Education and Development</w:t>
      </w:r>
      <w:r w:rsidRPr="00AC5F83">
        <w:rPr>
          <w:rFonts w:ascii="Arial" w:eastAsia="Arial" w:hAnsi="Arial" w:cs="Arial"/>
          <w:color w:val="222222"/>
          <w:highlight w:val="white"/>
        </w:rPr>
        <w:t xml:space="preserve">, </w:t>
      </w:r>
      <w:r w:rsidRPr="00AC5F83">
        <w:rPr>
          <w:rFonts w:ascii="Arial" w:eastAsia="Arial" w:hAnsi="Arial" w:cs="Arial"/>
          <w:i/>
          <w:iCs/>
          <w:color w:val="222222"/>
          <w:highlight w:val="white"/>
        </w:rPr>
        <w:t>11</w:t>
      </w:r>
      <w:r w:rsidRPr="00AC5F83">
        <w:rPr>
          <w:rFonts w:ascii="Arial" w:eastAsia="Arial" w:hAnsi="Arial" w:cs="Arial"/>
          <w:color w:val="222222"/>
          <w:highlight w:val="white"/>
        </w:rPr>
        <w:t xml:space="preserve">(2), pp.419-428. </w:t>
      </w:r>
      <w:r w:rsidRPr="00AC5F83">
        <w:rPr>
          <w:rFonts w:ascii="Arial" w:eastAsia="Arial" w:hAnsi="Arial" w:cs="Arial"/>
          <w:highlight w:val="white"/>
        </w:rPr>
        <w:t xml:space="preserve">Available at: </w:t>
      </w:r>
      <w:hyperlink r:id="rId34">
        <w:r w:rsidRPr="00AC5F83">
          <w:rPr>
            <w:rFonts w:ascii="Arial" w:eastAsia="Arial" w:hAnsi="Arial" w:cs="Arial"/>
            <w:color w:val="1155CC"/>
            <w:highlight w:val="white"/>
            <w:u w:val="single"/>
          </w:rPr>
          <w:t>http://dx.doi.org/10.6007/IJARPED/v11-i2/12938</w:t>
        </w:r>
      </w:hyperlink>
    </w:p>
    <w:p w14:paraId="3C4F4D25" w14:textId="77777777" w:rsidR="00C16665" w:rsidRPr="00AC5F83" w:rsidRDefault="00C16665" w:rsidP="00AC5F83">
      <w:pPr>
        <w:spacing w:before="240" w:after="240"/>
        <w:rPr>
          <w:rFonts w:ascii="Arial" w:eastAsia="Arial" w:hAnsi="Arial" w:cs="Arial"/>
          <w:color w:val="222222"/>
          <w:highlight w:val="white"/>
        </w:rPr>
      </w:pPr>
      <w:r w:rsidRPr="00AC5F83">
        <w:rPr>
          <w:rFonts w:ascii="Arial" w:eastAsia="Arial" w:hAnsi="Arial" w:cs="Arial"/>
          <w:color w:val="222222"/>
          <w:highlight w:val="white"/>
        </w:rPr>
        <w:t xml:space="preserve">Roy, S. and Mohanty, R.P., (2024). ‘Green logistics operations and its impact on supply chain sustainability: An empirical study’. </w:t>
      </w:r>
      <w:r w:rsidRPr="00AC5F83">
        <w:rPr>
          <w:rFonts w:ascii="Arial" w:eastAsia="Arial" w:hAnsi="Arial" w:cs="Arial"/>
          <w:i/>
          <w:iCs/>
          <w:color w:val="222222"/>
          <w:highlight w:val="white"/>
        </w:rPr>
        <w:t>Business Strategy and the Environment</w:t>
      </w:r>
      <w:r w:rsidRPr="00AC5F83">
        <w:rPr>
          <w:rFonts w:ascii="Arial" w:eastAsia="Arial" w:hAnsi="Arial" w:cs="Arial"/>
          <w:color w:val="222222"/>
          <w:highlight w:val="white"/>
        </w:rPr>
        <w:t xml:space="preserve">, </w:t>
      </w:r>
      <w:r w:rsidRPr="00AC5F83">
        <w:rPr>
          <w:rFonts w:ascii="Arial" w:eastAsia="Arial" w:hAnsi="Arial" w:cs="Arial"/>
          <w:i/>
          <w:iCs/>
          <w:color w:val="222222"/>
          <w:highlight w:val="white"/>
        </w:rPr>
        <w:t>33</w:t>
      </w:r>
      <w:r w:rsidRPr="00AC5F83">
        <w:rPr>
          <w:rFonts w:ascii="Arial" w:eastAsia="Arial" w:hAnsi="Arial" w:cs="Arial"/>
          <w:color w:val="222222"/>
          <w:highlight w:val="white"/>
        </w:rPr>
        <w:t xml:space="preserve">(2), pp.1447-1476. </w:t>
      </w:r>
      <w:r w:rsidRPr="00AC5F83">
        <w:rPr>
          <w:rFonts w:ascii="Arial" w:eastAsia="Arial" w:hAnsi="Arial" w:cs="Arial"/>
          <w:highlight w:val="white"/>
        </w:rPr>
        <w:t xml:space="preserve">Available at: </w:t>
      </w:r>
      <w:hyperlink r:id="rId35">
        <w:r w:rsidRPr="00AC5F83">
          <w:rPr>
            <w:rFonts w:ascii="Arial" w:eastAsia="Arial" w:hAnsi="Arial" w:cs="Arial"/>
            <w:color w:val="1155CC"/>
            <w:highlight w:val="white"/>
            <w:u w:val="single"/>
          </w:rPr>
          <w:t>https://doi.org/10.1002/bse.3531</w:t>
        </w:r>
      </w:hyperlink>
    </w:p>
    <w:p w14:paraId="494F5B35" w14:textId="77777777" w:rsidR="00C16665" w:rsidRPr="00AC5F83" w:rsidRDefault="00C16665" w:rsidP="00AC5F83">
      <w:pPr>
        <w:spacing w:before="240" w:after="240"/>
        <w:rPr>
          <w:rFonts w:ascii="Arial" w:eastAsia="Arial" w:hAnsi="Arial" w:cs="Arial"/>
        </w:rPr>
      </w:pPr>
      <w:r w:rsidRPr="00AC5F83">
        <w:rPr>
          <w:rFonts w:ascii="Arial" w:eastAsia="Arial" w:hAnsi="Arial" w:cs="Arial"/>
        </w:rPr>
        <w:t xml:space="preserve">Shepardson., D. (2025). </w:t>
      </w:r>
      <w:r w:rsidRPr="00AC5F83">
        <w:rPr>
          <w:rFonts w:ascii="Arial" w:eastAsia="Arial" w:hAnsi="Arial" w:cs="Arial"/>
          <w:i/>
          <w:iCs/>
        </w:rPr>
        <w:t xml:space="preserve">Tesla urges Trump administration to keep vehicle emissions rules, climate finding. </w:t>
      </w:r>
      <w:r w:rsidRPr="00AC5F83">
        <w:rPr>
          <w:rFonts w:ascii="Arial" w:eastAsia="Arial" w:hAnsi="Arial" w:cs="Arial"/>
          <w:highlight w:val="white"/>
        </w:rPr>
        <w:t xml:space="preserve">Available at: </w:t>
      </w:r>
      <w:hyperlink r:id="rId36">
        <w:r w:rsidRPr="00AC5F83">
          <w:rPr>
            <w:rFonts w:ascii="Arial" w:eastAsia="Arial" w:hAnsi="Arial" w:cs="Arial"/>
            <w:color w:val="1155CC"/>
            <w:u w:val="single"/>
          </w:rPr>
          <w:t>https://www.reuters.com/sustainability/climate-</w:t>
        </w:r>
        <w:r w:rsidRPr="00AC5F83">
          <w:rPr>
            <w:rFonts w:ascii="Arial" w:eastAsia="Arial" w:hAnsi="Arial" w:cs="Arial"/>
            <w:color w:val="1155CC"/>
            <w:u w:val="single"/>
          </w:rPr>
          <w:lastRenderedPageBreak/>
          <w:t>energy/tesla-urges-trump-not-repeal-vehicle-emissions-rules-climate-finding-2025-09-25/</w:t>
        </w:r>
      </w:hyperlink>
      <w:r w:rsidRPr="00AC5F83">
        <w:rPr>
          <w:rFonts w:ascii="Arial" w:eastAsia="Arial" w:hAnsi="Arial" w:cs="Arial"/>
        </w:rPr>
        <w:t xml:space="preserve"> (Accessed: 4 February 2026)</w:t>
      </w:r>
    </w:p>
    <w:p w14:paraId="046AE722" w14:textId="77777777" w:rsidR="00C16665" w:rsidRPr="00AC5F83" w:rsidRDefault="00C16665" w:rsidP="00AC5F83">
      <w:pPr>
        <w:spacing w:before="240" w:after="240"/>
        <w:rPr>
          <w:rFonts w:ascii="Arial" w:eastAsia="Arial" w:hAnsi="Arial" w:cs="Arial"/>
        </w:rPr>
      </w:pPr>
      <w:r w:rsidRPr="00AC5F83">
        <w:rPr>
          <w:rFonts w:ascii="Arial" w:eastAsia="Arial" w:hAnsi="Arial" w:cs="Arial"/>
        </w:rPr>
        <w:t xml:space="preserve">Statista, (2026). </w:t>
      </w:r>
      <w:r w:rsidRPr="00AC5F83">
        <w:rPr>
          <w:rFonts w:ascii="Arial" w:eastAsia="Arial" w:hAnsi="Arial" w:cs="Arial"/>
          <w:i/>
          <w:iCs/>
        </w:rPr>
        <w:t xml:space="preserve">How Tesla Out-Innovates Traditional Carmakers. </w:t>
      </w:r>
      <w:r w:rsidRPr="00AC5F83">
        <w:rPr>
          <w:rFonts w:ascii="Arial" w:eastAsia="Arial" w:hAnsi="Arial" w:cs="Arial"/>
          <w:highlight w:val="white"/>
        </w:rPr>
        <w:t xml:space="preserve">Available at: </w:t>
      </w:r>
      <w:hyperlink r:id="rId37">
        <w:r w:rsidRPr="00AC5F83">
          <w:rPr>
            <w:rFonts w:ascii="Arial" w:eastAsia="Arial" w:hAnsi="Arial" w:cs="Arial"/>
            <w:color w:val="1155CC"/>
            <w:u w:val="single"/>
          </w:rPr>
          <w:t>https://www.statista.com/chart/6312/r-d-spending-tesla-vs-carmakers/?srsltid=AfmBOorg9Ve-Emn28q0SjeIrtIFWsezirG9Qg2oFCQoD8AmyMtdMC3p9</w:t>
        </w:r>
      </w:hyperlink>
      <w:r w:rsidRPr="00AC5F83">
        <w:rPr>
          <w:rFonts w:ascii="Arial" w:eastAsia="Arial" w:hAnsi="Arial" w:cs="Arial"/>
        </w:rPr>
        <w:t xml:space="preserve"> (Accessed: 4 February 2026)</w:t>
      </w:r>
    </w:p>
    <w:p w14:paraId="1431C5E4" w14:textId="77777777" w:rsidR="00C16665" w:rsidRPr="00AC5F83" w:rsidRDefault="00C16665" w:rsidP="00AC5F83">
      <w:pPr>
        <w:spacing w:before="240" w:after="240"/>
        <w:rPr>
          <w:rFonts w:ascii="Arial" w:eastAsia="Arial" w:hAnsi="Arial" w:cs="Arial"/>
        </w:rPr>
      </w:pPr>
      <w:r w:rsidRPr="00AC5F83">
        <w:rPr>
          <w:rFonts w:ascii="Arial" w:eastAsia="Arial" w:hAnsi="Arial" w:cs="Arial"/>
        </w:rPr>
        <w:t xml:space="preserve">Statista, (2026). </w:t>
      </w:r>
      <w:r w:rsidRPr="00AC5F83">
        <w:rPr>
          <w:rFonts w:ascii="Arial" w:eastAsia="Arial" w:hAnsi="Arial" w:cs="Arial"/>
          <w:i/>
          <w:iCs/>
        </w:rPr>
        <w:t xml:space="preserve">Tesla's Production Stumped by Shutdowns &amp; Shortages. </w:t>
      </w:r>
      <w:r w:rsidRPr="00AC5F83">
        <w:rPr>
          <w:rFonts w:ascii="Arial" w:eastAsia="Arial" w:hAnsi="Arial" w:cs="Arial"/>
          <w:highlight w:val="white"/>
        </w:rPr>
        <w:t xml:space="preserve">Available at: </w:t>
      </w:r>
      <w:hyperlink r:id="rId38">
        <w:r w:rsidRPr="00AC5F83">
          <w:rPr>
            <w:rFonts w:ascii="Arial" w:eastAsia="Arial" w:hAnsi="Arial" w:cs="Arial"/>
            <w:color w:val="1155CC"/>
            <w:u w:val="single"/>
          </w:rPr>
          <w:t>https://www.statista.com/chart/13435/tesla-vehicle-production/?srsltid=AfmBOoqXOONqXYoxsVJ4jiDfeHqgWOiR6f9LNHZrTflclyK3Lj0grQxp</w:t>
        </w:r>
      </w:hyperlink>
      <w:r w:rsidRPr="00AC5F83">
        <w:rPr>
          <w:rFonts w:ascii="Arial" w:eastAsia="Arial" w:hAnsi="Arial" w:cs="Arial"/>
        </w:rPr>
        <w:t xml:space="preserve"> (Accessed: 4 February 2026)</w:t>
      </w:r>
    </w:p>
    <w:p w14:paraId="54817AB1" w14:textId="77777777" w:rsidR="00C16665" w:rsidRPr="00AC5F83" w:rsidRDefault="00C16665" w:rsidP="00AC5F83">
      <w:pPr>
        <w:spacing w:before="240" w:after="240"/>
        <w:rPr>
          <w:rFonts w:ascii="Arial" w:eastAsia="Arial" w:hAnsi="Arial" w:cs="Arial"/>
        </w:rPr>
      </w:pPr>
      <w:r w:rsidRPr="00AC5F83">
        <w:rPr>
          <w:rFonts w:ascii="Arial" w:eastAsia="Arial" w:hAnsi="Arial" w:cs="Arial"/>
        </w:rPr>
        <w:t xml:space="preserve">Tesla, (2025). </w:t>
      </w:r>
      <w:r w:rsidRPr="00AC5F83">
        <w:rPr>
          <w:rFonts w:ascii="Arial" w:eastAsia="Arial" w:hAnsi="Arial" w:cs="Arial"/>
          <w:i/>
          <w:iCs/>
        </w:rPr>
        <w:t xml:space="preserve">Tesla 2021 Impact Report. </w:t>
      </w:r>
      <w:hyperlink r:id="rId39">
        <w:r w:rsidRPr="00AC5F83">
          <w:rPr>
            <w:rFonts w:ascii="Arial" w:eastAsia="Arial" w:hAnsi="Arial" w:cs="Arial"/>
            <w:color w:val="1155CC"/>
            <w:u w:val="single"/>
          </w:rPr>
          <w:t>https://www.tesla.com/ns_videos/2021-tesla-impact-report.pdf</w:t>
        </w:r>
      </w:hyperlink>
      <w:r w:rsidRPr="00AC5F83">
        <w:rPr>
          <w:rFonts w:ascii="Arial" w:eastAsia="Arial" w:hAnsi="Arial" w:cs="Arial"/>
        </w:rPr>
        <w:t xml:space="preserve"> (Accessed: 4 February 2026)</w:t>
      </w:r>
    </w:p>
    <w:p w14:paraId="064CC15B" w14:textId="77777777" w:rsidR="00C16665" w:rsidRPr="00AC5F83" w:rsidRDefault="00C16665" w:rsidP="00AC5F83">
      <w:pPr>
        <w:spacing w:before="240" w:after="240"/>
        <w:rPr>
          <w:rFonts w:ascii="Arial" w:eastAsia="Arial" w:hAnsi="Arial" w:cs="Arial"/>
          <w:color w:val="222222"/>
          <w:highlight w:val="white"/>
        </w:rPr>
      </w:pPr>
      <w:r w:rsidRPr="00AC5F83">
        <w:rPr>
          <w:rFonts w:ascii="Arial" w:eastAsia="Arial" w:hAnsi="Arial" w:cs="Arial"/>
          <w:color w:val="000000" w:themeColor="text1"/>
          <w:highlight w:val="white"/>
        </w:rPr>
        <w:t xml:space="preserve">Wankhede, V.A. and Vinodh, S., (2022). ‘State of the art review on Industry 4.0 in manufacturing with the focus on automotive sector’. </w:t>
      </w:r>
      <w:r w:rsidRPr="00AC5F83">
        <w:rPr>
          <w:rFonts w:ascii="Arial" w:eastAsia="Arial" w:hAnsi="Arial" w:cs="Arial"/>
          <w:i/>
          <w:iCs/>
          <w:color w:val="000000" w:themeColor="text1"/>
          <w:highlight w:val="white"/>
        </w:rPr>
        <w:t>International Journal of Lean Six Sigma</w:t>
      </w:r>
      <w:r w:rsidRPr="00AC5F83">
        <w:rPr>
          <w:rFonts w:ascii="Arial" w:eastAsia="Arial" w:hAnsi="Arial" w:cs="Arial"/>
          <w:color w:val="000000" w:themeColor="text1"/>
          <w:highlight w:val="white"/>
        </w:rPr>
        <w:t xml:space="preserve">, </w:t>
      </w:r>
      <w:r w:rsidRPr="00AC5F83">
        <w:rPr>
          <w:rFonts w:ascii="Arial" w:eastAsia="Arial" w:hAnsi="Arial" w:cs="Arial"/>
          <w:i/>
          <w:iCs/>
          <w:color w:val="000000" w:themeColor="text1"/>
          <w:highlight w:val="white"/>
        </w:rPr>
        <w:t>13</w:t>
      </w:r>
      <w:r w:rsidRPr="00AC5F83">
        <w:rPr>
          <w:rFonts w:ascii="Arial" w:eastAsia="Arial" w:hAnsi="Arial" w:cs="Arial"/>
          <w:color w:val="000000" w:themeColor="text1"/>
          <w:highlight w:val="white"/>
        </w:rPr>
        <w:t xml:space="preserve">(3), pp.692-732. Available at: </w:t>
      </w:r>
      <w:hyperlink r:id="rId40">
        <w:r w:rsidRPr="00AC5F83">
          <w:rPr>
            <w:rFonts w:ascii="Arial" w:eastAsia="Arial" w:hAnsi="Arial" w:cs="Arial"/>
            <w:color w:val="1155CC"/>
            <w:highlight w:val="white"/>
            <w:u w:val="single"/>
          </w:rPr>
          <w:t>https://doi.org/10.1108/IJLSS-05-2021-0101</w:t>
        </w:r>
      </w:hyperlink>
    </w:p>
    <w:sectPr w:rsidR="00C16665" w:rsidRPr="00AC5F83">
      <w:footerReference w:type="default" r:id="rId41"/>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338BCA" w14:textId="77777777" w:rsidR="00EB17F4" w:rsidRDefault="00EB17F4">
      <w:pPr>
        <w:spacing w:line="240" w:lineRule="auto"/>
      </w:pPr>
      <w:r>
        <w:separator/>
      </w:r>
    </w:p>
  </w:endnote>
  <w:endnote w:type="continuationSeparator" w:id="0">
    <w:p w14:paraId="2A704000" w14:textId="77777777" w:rsidR="00EB17F4" w:rsidRDefault="00EB17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7F9F0FD-F9FB-4820-A4A1-D983214B7375}"/>
  </w:font>
  <w:font w:name="Cambria">
    <w:panose1 w:val="02040503050406030204"/>
    <w:charset w:val="00"/>
    <w:family w:val="roman"/>
    <w:pitch w:val="variable"/>
    <w:sig w:usb0="E00006FF" w:usb1="420024FF" w:usb2="02000000" w:usb3="00000000" w:csb0="0000019F" w:csb1="00000000"/>
    <w:embedRegular r:id="rId2" w:fontKey="{31AE9C0D-F72C-4099-9885-79AA32FC051C}"/>
  </w:font>
  <w:font w:name="Cambria Math">
    <w:panose1 w:val="02040503050406030204"/>
    <w:charset w:val="00"/>
    <w:family w:val="roman"/>
    <w:pitch w:val="variable"/>
    <w:sig w:usb0="E00006FF" w:usb1="420024FF" w:usb2="02000000" w:usb3="00000000" w:csb0="0000019F" w:csb1="00000000"/>
    <w:embedRegular r:id="rId3" w:fontKey="{A6681717-7BA4-456A-940A-A170103DE4E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1DC8C1" w14:textId="72303C72" w:rsidR="008373B4" w:rsidRDefault="00436FE4">
    <w:pPr>
      <w:jc w:val="right"/>
      <w:rPr>
        <w:rFonts w:ascii="Arial" w:eastAsia="Arial" w:hAnsi="Arial" w:cs="Arial"/>
        <w:sz w:val="20"/>
        <w:szCs w:val="20"/>
      </w:rPr>
    </w:pPr>
    <w:r>
      <w:rPr>
        <w:rFonts w:ascii="Arial" w:eastAsia="Arial" w:hAnsi="Arial" w:cs="Arial"/>
        <w:sz w:val="20"/>
        <w:szCs w:val="20"/>
      </w:rPr>
      <w:fldChar w:fldCharType="begin"/>
    </w:r>
    <w:r>
      <w:rPr>
        <w:rFonts w:ascii="Arial" w:eastAsia="Arial" w:hAnsi="Arial" w:cs="Arial"/>
        <w:sz w:val="20"/>
        <w:szCs w:val="20"/>
      </w:rPr>
      <w:instrText>PAGE</w:instrText>
    </w:r>
    <w:r>
      <w:rPr>
        <w:rFonts w:ascii="Arial" w:eastAsia="Arial" w:hAnsi="Arial" w:cs="Arial"/>
        <w:sz w:val="20"/>
        <w:szCs w:val="20"/>
      </w:rPr>
      <w:fldChar w:fldCharType="separate"/>
    </w:r>
    <w:r w:rsidR="00AC5F83">
      <w:rPr>
        <w:rFonts w:ascii="Arial" w:eastAsia="Arial" w:hAnsi="Arial" w:cs="Arial"/>
        <w:noProof/>
        <w:sz w:val="20"/>
        <w:szCs w:val="20"/>
      </w:rPr>
      <w:t>15</w:t>
    </w:r>
    <w:r>
      <w:rPr>
        <w:rFonts w:ascii="Arial" w:eastAsia="Arial" w:hAnsi="Arial" w:cs="Arial"/>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5CA450" w14:textId="77777777" w:rsidR="00EB17F4" w:rsidRDefault="00EB17F4">
      <w:pPr>
        <w:spacing w:line="240" w:lineRule="auto"/>
      </w:pPr>
      <w:r>
        <w:separator/>
      </w:r>
    </w:p>
  </w:footnote>
  <w:footnote w:type="continuationSeparator" w:id="0">
    <w:p w14:paraId="6D7183A3" w14:textId="77777777" w:rsidR="00EB17F4" w:rsidRDefault="00EB17F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9479DE"/>
    <w:multiLevelType w:val="multilevel"/>
    <w:tmpl w:val="20189C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81828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73B4"/>
    <w:rsid w:val="00075C91"/>
    <w:rsid w:val="00145522"/>
    <w:rsid w:val="001947A8"/>
    <w:rsid w:val="001E51CC"/>
    <w:rsid w:val="001F7684"/>
    <w:rsid w:val="00362103"/>
    <w:rsid w:val="00436FE4"/>
    <w:rsid w:val="004424FB"/>
    <w:rsid w:val="004B7249"/>
    <w:rsid w:val="00547EE9"/>
    <w:rsid w:val="005E175E"/>
    <w:rsid w:val="00706697"/>
    <w:rsid w:val="00725E4E"/>
    <w:rsid w:val="008162F7"/>
    <w:rsid w:val="008373B4"/>
    <w:rsid w:val="00844BF2"/>
    <w:rsid w:val="0085799D"/>
    <w:rsid w:val="00A57EE3"/>
    <w:rsid w:val="00AC2F8E"/>
    <w:rsid w:val="00AC5F83"/>
    <w:rsid w:val="00BB2358"/>
    <w:rsid w:val="00C16665"/>
    <w:rsid w:val="00D844CC"/>
    <w:rsid w:val="00DE3CF1"/>
    <w:rsid w:val="00E95A3F"/>
    <w:rsid w:val="00EB17F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6A73B"/>
  <w15:docId w15:val="{3FC012C1-F63A-4E37-B256-8DC87FA83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4424FB"/>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4424FB"/>
    <w:pPr>
      <w:spacing w:after="100"/>
    </w:pPr>
  </w:style>
  <w:style w:type="character" w:styleId="Hyperlink">
    <w:name w:val="Hyperlink"/>
    <w:basedOn w:val="DefaultParagraphFont"/>
    <w:uiPriority w:val="99"/>
    <w:unhideWhenUsed/>
    <w:rsid w:val="004424F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016/j.egyr.2022.11.120" TargetMode="External"/><Relationship Id="rId26" Type="http://schemas.openxmlformats.org/officeDocument/2006/relationships/hyperlink" Target="https://doi.org/10.3390/logistics7030047" TargetMode="External"/><Relationship Id="rId39" Type="http://schemas.openxmlformats.org/officeDocument/2006/relationships/hyperlink" Target="https://www.tesla.com/ns_videos/2021-tesla-impact-report.pdf" TargetMode="External"/><Relationship Id="rId21" Type="http://schemas.openxmlformats.org/officeDocument/2006/relationships/hyperlink" Target="https://doi.org/10.1108/IJLM-09-2022-0367" TargetMode="External"/><Relationship Id="rId34" Type="http://schemas.openxmlformats.org/officeDocument/2006/relationships/hyperlink" Target="http://dx.doi.org/10.6007/IJARPED/v11-i2/12938"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cademia.edu/download/101256067/CSR_and_brand_equity.pdf" TargetMode="External"/><Relationship Id="rId20" Type="http://schemas.openxmlformats.org/officeDocument/2006/relationships/hyperlink" Target="https://doi.org/10.1016/j.rser.2024.115024" TargetMode="External"/><Relationship Id="rId29" Type="http://schemas.openxmlformats.org/officeDocument/2006/relationships/hyperlink" Target="https://doi.org/10.1108/SRJ-02-2020-0074"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38124/ijisrt/IJISRT24MAR1644" TargetMode="External"/><Relationship Id="rId32" Type="http://schemas.openxmlformats.org/officeDocument/2006/relationships/hyperlink" Target="https://doi.org/10.1108/IJLM-03-2023-0085" TargetMode="External"/><Relationship Id="rId37" Type="http://schemas.openxmlformats.org/officeDocument/2006/relationships/hyperlink" Target="https://www.statista.com/chart/6312/r-d-spending-tesla-vs-carmakers/?srsltid=AfmBOorg9Ve-Emn28q0SjeIrtIFWsezirG9Qg2oFCQoD8AmyMtdMC3p9" TargetMode="External"/><Relationship Id="rId40" Type="http://schemas.openxmlformats.org/officeDocument/2006/relationships/hyperlink" Target="https://doi.org/10.1108/IJLSS-05-2021-0101" TargetMode="External"/><Relationship Id="rId5" Type="http://schemas.openxmlformats.org/officeDocument/2006/relationships/webSettings" Target="webSettings.xml"/><Relationship Id="rId15" Type="http://schemas.openxmlformats.org/officeDocument/2006/relationships/hyperlink" Target="https://doi.org/10.30939/ijastech..1554338" TargetMode="External"/><Relationship Id="rId23" Type="http://schemas.openxmlformats.org/officeDocument/2006/relationships/hyperlink" Target="https://doi.org/10.26480/mbmj.02.2024.73.83" TargetMode="External"/><Relationship Id="rId28" Type="http://schemas.openxmlformats.org/officeDocument/2006/relationships/hyperlink" Target="https://doi.org/10.1016/j.heliyon.2022.e11486" TargetMode="External"/><Relationship Id="rId36" Type="http://schemas.openxmlformats.org/officeDocument/2006/relationships/hyperlink" Target="https://www.reuters.com/sustainability/climate-energy/tesla-urges-trump-not-repeal-vehicle-emissions-rules-climate-finding-2025-09-25/" TargetMode="External"/><Relationship Id="rId10" Type="http://schemas.openxmlformats.org/officeDocument/2006/relationships/image" Target="media/image3.png"/><Relationship Id="rId19" Type="http://schemas.openxmlformats.org/officeDocument/2006/relationships/hyperlink" Target="https://doi.org/10.1002/bsd2.351" TargetMode="External"/><Relationship Id="rId31" Type="http://schemas.openxmlformats.org/officeDocument/2006/relationships/hyperlink" Target="https://doi.org/10.1108/EJIM-07-2024-078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002/gsj.1467" TargetMode="External"/><Relationship Id="rId27" Type="http://schemas.openxmlformats.org/officeDocument/2006/relationships/hyperlink" Target="https://doi.org/10.1108/SAMPJ-03-2022-0133" TargetMode="External"/><Relationship Id="rId30" Type="http://schemas.openxmlformats.org/officeDocument/2006/relationships/hyperlink" Target="https://doi.org/10.46743/2160-3715/2023.5845" TargetMode="External"/><Relationship Id="rId35" Type="http://schemas.openxmlformats.org/officeDocument/2006/relationships/hyperlink" Target="https://doi.org/10.1002/bse.3531"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3390/su17072795" TargetMode="External"/><Relationship Id="rId25" Type="http://schemas.openxmlformats.org/officeDocument/2006/relationships/hyperlink" Target="https://bibliotekanauki.pl/articles/19322650.pdf" TargetMode="External"/><Relationship Id="rId33" Type="http://schemas.openxmlformats.org/officeDocument/2006/relationships/hyperlink" Target="https://jbmipublisher.org/system/index.php/home/article/download/109/109" TargetMode="External"/><Relationship Id="rId38" Type="http://schemas.openxmlformats.org/officeDocument/2006/relationships/hyperlink" Target="https://www.statista.com/chart/13435/tesla-vehicle-production/?srsltid=AfmBOoqXOONqXYoxsVJ4jiDfeHqgWOiR6f9LNHZrTflclyK3Lj0grQxp"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99A3D3-18EE-4F33-A782-E7C407DA0F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17</Pages>
  <Words>4115</Words>
  <Characters>23458</Characters>
  <Application>Microsoft Office Word</Application>
  <DocSecurity>0</DocSecurity>
  <Lines>195</Lines>
  <Paragraphs>55</Paragraphs>
  <ScaleCrop>false</ScaleCrop>
  <Company/>
  <LinksUpToDate>false</LinksUpToDate>
  <CharactersWithSpaces>27518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Saurabh Singh bisht</cp:lastModifiedBy>
  <cp:revision>19</cp:revision>
  <dcterms:created xsi:type="dcterms:W3CDTF">2026-02-04T12:12:00Z</dcterms:created>
  <dcterms:modified xsi:type="dcterms:W3CDTF">2026-02-17T18:49:00Z</dcterms:modified>
</cp:coreProperties>
</file>