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A26CFE" w14:textId="290E6EFC" w:rsidR="002D5B3F" w:rsidRPr="00D16DC1" w:rsidRDefault="001A24F3" w:rsidP="00DE5571">
      <w:pPr>
        <w:pStyle w:val="Header"/>
        <w:tabs>
          <w:tab w:val="clear" w:pos="4153"/>
          <w:tab w:val="clear" w:pos="8306"/>
        </w:tabs>
        <w:spacing w:before="240" w:after="240" w:line="360" w:lineRule="auto"/>
        <w:jc w:val="center"/>
        <w:rPr>
          <w:b/>
          <w:sz w:val="24"/>
          <w:szCs w:val="24"/>
        </w:rPr>
      </w:pPr>
      <w:r w:rsidRPr="00D16DC1">
        <w:rPr>
          <w:noProof/>
          <w:sz w:val="24"/>
          <w:szCs w:val="24"/>
        </w:rPr>
        <w:drawing>
          <wp:anchor distT="0" distB="0" distL="114300" distR="114300" simplePos="0" relativeHeight="251658240" behindDoc="0" locked="0" layoutInCell="1" allowOverlap="1" wp14:anchorId="4B382BA3" wp14:editId="44EEE72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D16DC1">
        <w:rPr>
          <w:sz w:val="24"/>
          <w:szCs w:val="24"/>
        </w:rPr>
        <w:br w:type="textWrapping" w:clear="all"/>
      </w:r>
    </w:p>
    <w:p w14:paraId="443C4AD4" w14:textId="77777777" w:rsidR="002D5B3F" w:rsidRPr="00D16DC1" w:rsidRDefault="002D5B3F" w:rsidP="00DE5571">
      <w:pPr>
        <w:spacing w:before="240" w:after="240" w:line="360" w:lineRule="auto"/>
        <w:jc w:val="center"/>
        <w:rPr>
          <w:sz w:val="24"/>
          <w:szCs w:val="24"/>
        </w:rPr>
      </w:pPr>
    </w:p>
    <w:p w14:paraId="4BB2291B" w14:textId="415F3E70" w:rsidR="005B5FB6" w:rsidRPr="005B5FB6" w:rsidRDefault="00AC4701" w:rsidP="005B5FB6">
      <w:pPr>
        <w:spacing w:before="240" w:after="240" w:line="360" w:lineRule="auto"/>
        <w:ind w:left="720"/>
        <w:jc w:val="center"/>
        <w:rPr>
          <w:b/>
          <w:iCs/>
          <w:sz w:val="44"/>
          <w:szCs w:val="44"/>
        </w:rPr>
      </w:pPr>
      <w:r w:rsidRPr="00D16DC1">
        <w:rPr>
          <w:b/>
          <w:iCs/>
          <w:sz w:val="44"/>
          <w:szCs w:val="44"/>
        </w:rPr>
        <w:t>Legal Process</w:t>
      </w:r>
      <w:r w:rsidR="005B5FB6">
        <w:rPr>
          <w:b/>
          <w:iCs/>
          <w:sz w:val="44"/>
          <w:szCs w:val="44"/>
        </w:rPr>
        <w:t xml:space="preserve"> </w:t>
      </w:r>
      <w:r w:rsidR="005B5FB6" w:rsidRPr="005B5FB6">
        <w:rPr>
          <w:b/>
          <w:iCs/>
          <w:sz w:val="44"/>
          <w:szCs w:val="44"/>
        </w:rPr>
        <w:t xml:space="preserve"> BMPL4011</w:t>
      </w:r>
    </w:p>
    <w:p w14:paraId="7898A28D" w14:textId="3E7397C3" w:rsidR="005B5FB6" w:rsidRPr="005B5FB6" w:rsidRDefault="005B5FB6" w:rsidP="005B5FB6">
      <w:pPr>
        <w:spacing w:before="240" w:after="240" w:line="360" w:lineRule="auto"/>
        <w:ind w:left="720"/>
        <w:jc w:val="center"/>
        <w:rPr>
          <w:b/>
          <w:iCs/>
          <w:sz w:val="44"/>
          <w:szCs w:val="44"/>
        </w:rPr>
      </w:pPr>
      <w:r w:rsidRPr="005B5FB6">
        <w:rPr>
          <w:b/>
          <w:iCs/>
          <w:sz w:val="44"/>
          <w:szCs w:val="44"/>
        </w:rPr>
        <w:t>Dareema Rehman</w:t>
      </w:r>
      <w:r>
        <w:rPr>
          <w:b/>
          <w:iCs/>
          <w:sz w:val="44"/>
          <w:szCs w:val="44"/>
        </w:rPr>
        <w:t xml:space="preserve"> </w:t>
      </w:r>
      <w:r w:rsidRPr="005B5FB6">
        <w:rPr>
          <w:b/>
          <w:iCs/>
          <w:sz w:val="44"/>
          <w:szCs w:val="44"/>
        </w:rPr>
        <w:t>2213395</w:t>
      </w:r>
    </w:p>
    <w:p w14:paraId="256CC873" w14:textId="2B135657" w:rsidR="00AC4701" w:rsidRDefault="00AC4701" w:rsidP="00DE5571">
      <w:pPr>
        <w:spacing w:before="240" w:after="240" w:line="360" w:lineRule="auto"/>
        <w:ind w:left="720"/>
        <w:jc w:val="center"/>
        <w:rPr>
          <w:rFonts w:eastAsia="Arial"/>
          <w:b/>
          <w:sz w:val="44"/>
          <w:szCs w:val="44"/>
        </w:rPr>
      </w:pPr>
      <w:r w:rsidRPr="00D16DC1">
        <w:rPr>
          <w:rFonts w:eastAsia="Arial"/>
          <w:b/>
          <w:sz w:val="44"/>
          <w:szCs w:val="44"/>
        </w:rPr>
        <w:t>The Magistracy</w:t>
      </w:r>
    </w:p>
    <w:p w14:paraId="3C986FBD" w14:textId="77777777" w:rsidR="005B5FB6" w:rsidRPr="00D16DC1" w:rsidRDefault="005B5FB6" w:rsidP="00DE5571">
      <w:pPr>
        <w:spacing w:before="240" w:after="240" w:line="360" w:lineRule="auto"/>
        <w:ind w:left="720"/>
        <w:jc w:val="center"/>
        <w:rPr>
          <w:rFonts w:eastAsia="Arial"/>
          <w:b/>
          <w:sz w:val="44"/>
          <w:szCs w:val="44"/>
        </w:rPr>
      </w:pPr>
    </w:p>
    <w:p w14:paraId="382AE6D6" w14:textId="5A231EA5" w:rsidR="061CE4DE" w:rsidRPr="00D16DC1" w:rsidRDefault="061CE4DE" w:rsidP="005B0AF8">
      <w:pPr>
        <w:spacing w:before="240" w:after="240" w:line="360" w:lineRule="auto"/>
        <w:ind w:left="720"/>
        <w:jc w:val="both"/>
        <w:rPr>
          <w:sz w:val="24"/>
          <w:szCs w:val="24"/>
        </w:rPr>
      </w:pPr>
    </w:p>
    <w:p w14:paraId="4F85382F" w14:textId="18FD589A" w:rsidR="00C95B97" w:rsidRPr="00D16DC1" w:rsidRDefault="00B60111" w:rsidP="005B0AF8">
      <w:pPr>
        <w:spacing w:before="240" w:after="240" w:line="360" w:lineRule="auto"/>
        <w:jc w:val="both"/>
        <w:rPr>
          <w:sz w:val="24"/>
          <w:szCs w:val="24"/>
        </w:rPr>
      </w:pPr>
      <w:r w:rsidRPr="00D16DC1">
        <w:rPr>
          <w:sz w:val="24"/>
          <w:szCs w:val="24"/>
        </w:rPr>
        <w:br w:type="page"/>
      </w:r>
    </w:p>
    <w:p w14:paraId="7747E98D" w14:textId="23D5EE51" w:rsidR="008F3193" w:rsidRPr="00C25945" w:rsidRDefault="008F3193" w:rsidP="005B0AF8">
      <w:pPr>
        <w:spacing w:before="240" w:after="240" w:line="360" w:lineRule="auto"/>
        <w:jc w:val="both"/>
        <w:rPr>
          <w:color w:val="000000" w:themeColor="text1"/>
          <w:sz w:val="24"/>
          <w:szCs w:val="24"/>
        </w:rPr>
      </w:pPr>
      <w:r w:rsidRPr="00C25945">
        <w:rPr>
          <w:color w:val="000000" w:themeColor="text1"/>
          <w:sz w:val="24"/>
          <w:szCs w:val="24"/>
        </w:rPr>
        <w:lastRenderedPageBreak/>
        <w:t xml:space="preserve">Magistrates are appointed to hear cases in lower courts and are not legally qualified (Malleson, 2015). In this essay, the benefits and drawbacks of magistrates in the administration of justice, as well as their main responsibilities, characteristics, court closures, and reform will be </w:t>
      </w:r>
      <w:r w:rsidR="008C5FA0" w:rsidRPr="00C25945">
        <w:rPr>
          <w:color w:val="000000" w:themeColor="text1"/>
          <w:sz w:val="24"/>
          <w:szCs w:val="24"/>
        </w:rPr>
        <w:t>discussed</w:t>
      </w:r>
      <w:r w:rsidRPr="00C25945">
        <w:rPr>
          <w:color w:val="000000" w:themeColor="text1"/>
          <w:sz w:val="24"/>
          <w:szCs w:val="24"/>
        </w:rPr>
        <w:t xml:space="preserve"> </w:t>
      </w:r>
    </w:p>
    <w:p w14:paraId="4FB1FF5A" w14:textId="0867FA15" w:rsidR="002B3881" w:rsidRPr="00C25945" w:rsidRDefault="002B3881" w:rsidP="005B0AF8">
      <w:pPr>
        <w:spacing w:before="240" w:after="240" w:line="360" w:lineRule="auto"/>
        <w:jc w:val="both"/>
        <w:rPr>
          <w:color w:val="000000" w:themeColor="text1"/>
          <w:sz w:val="24"/>
          <w:szCs w:val="24"/>
        </w:rPr>
      </w:pPr>
      <w:r w:rsidRPr="00C25945">
        <w:rPr>
          <w:color w:val="000000" w:themeColor="text1"/>
          <w:sz w:val="24"/>
          <w:szCs w:val="24"/>
        </w:rPr>
        <w:t xml:space="preserve">Magistrates, who are appointed to hear cases in lower courts, are volunteers. They receive training for the position but are not legally qualified for it. Justices of the Peace, or JPs, is another name for them(Morgan, 2013). </w:t>
      </w:r>
    </w:p>
    <w:p w14:paraId="7151B586" w14:textId="1B8DDFE0" w:rsidR="000842D8" w:rsidRPr="00C25945" w:rsidRDefault="008F3193" w:rsidP="005B0AF8">
      <w:pPr>
        <w:spacing w:before="240" w:after="240" w:line="360" w:lineRule="auto"/>
        <w:jc w:val="both"/>
        <w:rPr>
          <w:color w:val="000000" w:themeColor="text1"/>
          <w:sz w:val="24"/>
          <w:szCs w:val="24"/>
        </w:rPr>
      </w:pPr>
      <w:r w:rsidRPr="00C25945">
        <w:rPr>
          <w:color w:val="000000" w:themeColor="text1"/>
          <w:sz w:val="24"/>
          <w:szCs w:val="24"/>
        </w:rPr>
        <w:t xml:space="preserve">The Judicial Office oversees magistrates in the United Kingdom, who are appointed by the Lord Chancellor. In the Magistrates' Courts, they are in charge of hearing cases involving lesser </w:t>
      </w:r>
      <w:r w:rsidR="008C5FA0" w:rsidRPr="00C25945">
        <w:rPr>
          <w:color w:val="000000" w:themeColor="text1"/>
          <w:sz w:val="24"/>
          <w:szCs w:val="24"/>
        </w:rPr>
        <w:t>offences</w:t>
      </w:r>
      <w:r w:rsidRPr="00C25945">
        <w:rPr>
          <w:color w:val="000000" w:themeColor="text1"/>
          <w:sz w:val="24"/>
          <w:szCs w:val="24"/>
        </w:rPr>
        <w:t xml:space="preserve"> like minor assaults, traffic violations, and theft. England and Wales had over 15,000 magistrates in 2019</w:t>
      </w:r>
      <w:r w:rsidR="001070BC" w:rsidRPr="00C25945">
        <w:rPr>
          <w:color w:val="000000" w:themeColor="text1"/>
          <w:sz w:val="24"/>
          <w:szCs w:val="24"/>
        </w:rPr>
        <w:t xml:space="preserve"> </w:t>
      </w:r>
      <w:r w:rsidR="008D2FD0" w:rsidRPr="00C25945">
        <w:rPr>
          <w:color w:val="000000" w:themeColor="text1"/>
          <w:sz w:val="24"/>
          <w:szCs w:val="24"/>
        </w:rPr>
        <w:t>(</w:t>
      </w:r>
      <w:r w:rsidR="008C1D1F" w:rsidRPr="00C25945">
        <w:rPr>
          <w:color w:val="000000" w:themeColor="text1"/>
          <w:sz w:val="24"/>
          <w:szCs w:val="24"/>
        </w:rPr>
        <w:t xml:space="preserve">The Role of Magistrates, </w:t>
      </w:r>
      <w:r w:rsidR="008D2FD0" w:rsidRPr="00C25945">
        <w:rPr>
          <w:color w:val="000000" w:themeColor="text1"/>
          <w:sz w:val="24"/>
          <w:szCs w:val="24"/>
        </w:rPr>
        <w:t>2022)</w:t>
      </w:r>
      <w:r w:rsidR="000F0CA4" w:rsidRPr="00C25945">
        <w:rPr>
          <w:color w:val="000000" w:themeColor="text1"/>
          <w:sz w:val="24"/>
          <w:szCs w:val="24"/>
        </w:rPr>
        <w:t>.</w:t>
      </w:r>
      <w:r w:rsidR="002B3881" w:rsidRPr="00C25945">
        <w:rPr>
          <w:color w:val="000000" w:themeColor="text1"/>
          <w:sz w:val="24"/>
          <w:szCs w:val="24"/>
        </w:rPr>
        <w:t xml:space="preserve"> </w:t>
      </w:r>
      <w:r w:rsidR="000842D8" w:rsidRPr="00C25945">
        <w:rPr>
          <w:color w:val="000000" w:themeColor="text1"/>
          <w:sz w:val="24"/>
          <w:szCs w:val="24"/>
        </w:rPr>
        <w:t xml:space="preserve">Morgan and Russell's </w:t>
      </w:r>
      <w:r w:rsidR="0048576C" w:rsidRPr="00C25945">
        <w:rPr>
          <w:color w:val="000000" w:themeColor="text1"/>
          <w:sz w:val="24"/>
          <w:szCs w:val="24"/>
        </w:rPr>
        <w:t xml:space="preserve">(Introduction 2021) </w:t>
      </w:r>
      <w:r w:rsidR="000842D8" w:rsidRPr="00C25945">
        <w:rPr>
          <w:color w:val="000000" w:themeColor="text1"/>
          <w:sz w:val="24"/>
          <w:szCs w:val="24"/>
        </w:rPr>
        <w:t>main findings were that although the magistrates' court, whether it is made up of magistrates or District Judges, generally functions well and inspires confidence, the magistrates' court is not entirely representative of the community. They came to the conclusion that it would not be widely understood or supported to eliminate or significantly reduce the work of magistrates</w:t>
      </w:r>
      <w:r w:rsidR="000842D8" w:rsidRPr="00C25945">
        <w:rPr>
          <w:color w:val="000000" w:themeColor="text1"/>
        </w:rPr>
        <w:t xml:space="preserve"> </w:t>
      </w:r>
      <w:bookmarkStart w:id="0" w:name="_Hlk138287533"/>
      <w:r w:rsidR="000842D8" w:rsidRPr="00C25945">
        <w:rPr>
          <w:color w:val="000000" w:themeColor="text1"/>
          <w:sz w:val="24"/>
          <w:szCs w:val="24"/>
        </w:rPr>
        <w:t>(Morgan, 2013).</w:t>
      </w:r>
      <w:bookmarkEnd w:id="0"/>
    </w:p>
    <w:p w14:paraId="43E8AA3B" w14:textId="6FE9F896" w:rsidR="00705B6D" w:rsidRPr="00C25945" w:rsidRDefault="008F3193" w:rsidP="005B0AF8">
      <w:pPr>
        <w:spacing w:before="240" w:after="240" w:line="360" w:lineRule="auto"/>
        <w:jc w:val="both"/>
        <w:rPr>
          <w:color w:val="000000" w:themeColor="text1"/>
          <w:sz w:val="24"/>
          <w:szCs w:val="24"/>
        </w:rPr>
      </w:pPr>
      <w:r w:rsidRPr="00C25945">
        <w:rPr>
          <w:color w:val="000000" w:themeColor="text1"/>
          <w:sz w:val="24"/>
          <w:szCs w:val="24"/>
        </w:rPr>
        <w:t xml:space="preserve">Magistrates, also known as Justices of the Peace, are people from many walks of life who are dedicated to making a good difference in the communities where they live </w:t>
      </w:r>
      <w:r w:rsidR="0043651A" w:rsidRPr="00C25945">
        <w:rPr>
          <w:color w:val="000000" w:themeColor="text1"/>
          <w:sz w:val="24"/>
          <w:szCs w:val="24"/>
        </w:rPr>
        <w:t>(Archer, 2017)</w:t>
      </w:r>
      <w:r w:rsidR="001070BC" w:rsidRPr="00C25945">
        <w:rPr>
          <w:color w:val="000000" w:themeColor="text1"/>
          <w:sz w:val="24"/>
          <w:szCs w:val="24"/>
        </w:rPr>
        <w:t xml:space="preserve">. </w:t>
      </w:r>
      <w:r w:rsidRPr="00C25945">
        <w:rPr>
          <w:color w:val="000000" w:themeColor="text1"/>
          <w:sz w:val="24"/>
          <w:szCs w:val="24"/>
        </w:rPr>
        <w:t xml:space="preserve"> </w:t>
      </w:r>
      <w:r w:rsidR="00872265" w:rsidRPr="00C25945">
        <w:rPr>
          <w:color w:val="000000" w:themeColor="text1"/>
          <w:sz w:val="24"/>
          <w:szCs w:val="24"/>
        </w:rPr>
        <w:t>Magistrates are expected to sit between 35 and 45 and no more than 70 half-days per year, with a minimum requirement of 26. They are also expected to attend training for their general jurisdiction as "wingers," eventually becoming chairmen, and for any specialist panels they want to sit on, like the family or youth panels</w:t>
      </w:r>
      <w:r w:rsidRPr="00C25945">
        <w:rPr>
          <w:color w:val="000000" w:themeColor="text1"/>
          <w:sz w:val="24"/>
          <w:szCs w:val="24"/>
        </w:rPr>
        <w:t>(Magistrates association &gt; about magistrates &gt; history of the Magistracy, 2021).</w:t>
      </w:r>
      <w:r w:rsidR="00872265" w:rsidRPr="00C25945">
        <w:rPr>
          <w:color w:val="000000" w:themeColor="text1"/>
          <w:sz w:val="24"/>
          <w:szCs w:val="24"/>
        </w:rPr>
        <w:t xml:space="preserve">. They are also expected to take part in a variety of activities to inform the public about the work of the courts (Morgan and Russell, 2000), such as attending meetings, serving on local committees, and participating in other activities. Mock trial competitions, presentations to schools, community and employer groups, and open court days are among these activities </w:t>
      </w:r>
      <w:r w:rsidR="004E084F" w:rsidRPr="00C25945">
        <w:rPr>
          <w:color w:val="000000" w:themeColor="text1"/>
          <w:sz w:val="24"/>
          <w:szCs w:val="24"/>
        </w:rPr>
        <w:t>(Slobogin, 2020)</w:t>
      </w:r>
      <w:r w:rsidR="0043651A" w:rsidRPr="00C25945">
        <w:rPr>
          <w:color w:val="000000" w:themeColor="text1"/>
          <w:sz w:val="24"/>
          <w:szCs w:val="24"/>
        </w:rPr>
        <w:t>.</w:t>
      </w:r>
    </w:p>
    <w:p w14:paraId="74085713" w14:textId="6A5FB3C4" w:rsidR="00567EAF" w:rsidRPr="00C25945" w:rsidRDefault="00567EAF" w:rsidP="00567EAF">
      <w:pPr>
        <w:spacing w:before="240" w:after="240" w:line="360" w:lineRule="auto"/>
        <w:jc w:val="both"/>
        <w:rPr>
          <w:color w:val="000000" w:themeColor="text1"/>
          <w:sz w:val="24"/>
          <w:szCs w:val="24"/>
        </w:rPr>
      </w:pPr>
      <w:r w:rsidRPr="00C25945">
        <w:rPr>
          <w:color w:val="000000" w:themeColor="text1"/>
          <w:sz w:val="24"/>
          <w:szCs w:val="24"/>
        </w:rPr>
        <w:t xml:space="preserve">The main responsibilities of magistrates are to decide whether a defendant is guilty or not, decide the appropriate sentence for the defendant, and decide whether the case </w:t>
      </w:r>
      <w:r w:rsidR="008C5FA0" w:rsidRPr="00C25945">
        <w:rPr>
          <w:color w:val="000000" w:themeColor="text1"/>
          <w:sz w:val="24"/>
          <w:szCs w:val="24"/>
        </w:rPr>
        <w:t>needs</w:t>
      </w:r>
      <w:r w:rsidRPr="00C25945">
        <w:rPr>
          <w:color w:val="000000" w:themeColor="text1"/>
          <w:sz w:val="24"/>
          <w:szCs w:val="24"/>
        </w:rPr>
        <w:t xml:space="preserve"> to transfer to the higher court for trial (Huxley-binns, 2014). They can also grant bail, and conduct preliminary hearings.</w:t>
      </w:r>
      <w:r w:rsidRPr="00C25945">
        <w:rPr>
          <w:color w:val="000000" w:themeColor="text1"/>
        </w:rPr>
        <w:t xml:space="preserve"> </w:t>
      </w:r>
      <w:r w:rsidRPr="00C25945">
        <w:rPr>
          <w:color w:val="000000" w:themeColor="text1"/>
          <w:sz w:val="24"/>
          <w:szCs w:val="24"/>
        </w:rPr>
        <w:t xml:space="preserve">Although they have civil jurisdiction and can choose to </w:t>
      </w:r>
      <w:r w:rsidRPr="00C25945">
        <w:rPr>
          <w:color w:val="000000" w:themeColor="text1"/>
          <w:sz w:val="24"/>
          <w:szCs w:val="24"/>
        </w:rPr>
        <w:lastRenderedPageBreak/>
        <w:t>specialize in the family proceedings court, magistrates primarily handle criminal cases. Among the civil cases they handle are appeals from local authority licensing decisions regarding pubs and clubs, enforcing payment of council tax, and issuing warrants of entry to utility companies (gas, water, and electricity). The magistrates' courts are where 97% of all criminal cases begin and end.</w:t>
      </w:r>
    </w:p>
    <w:p w14:paraId="73437ED6" w14:textId="5D56F801" w:rsidR="00567EAF" w:rsidRPr="00C25945" w:rsidRDefault="00567EAF" w:rsidP="00567EAF">
      <w:pPr>
        <w:spacing w:before="240" w:after="240" w:line="360" w:lineRule="auto"/>
        <w:jc w:val="both"/>
        <w:rPr>
          <w:color w:val="000000" w:themeColor="text1"/>
          <w:sz w:val="24"/>
          <w:szCs w:val="24"/>
        </w:rPr>
      </w:pPr>
      <w:r w:rsidRPr="00C25945">
        <w:rPr>
          <w:color w:val="000000" w:themeColor="text1"/>
          <w:sz w:val="24"/>
          <w:szCs w:val="24"/>
        </w:rPr>
        <w:t>There are three different kinds of crimes:</w:t>
      </w:r>
    </w:p>
    <w:p w14:paraId="7F65BFF7" w14:textId="59FA62F8" w:rsidR="00567EAF" w:rsidRPr="00C25945" w:rsidRDefault="00567EAF" w:rsidP="00567EAF">
      <w:pPr>
        <w:spacing w:before="240" w:after="240" w:line="360" w:lineRule="auto"/>
        <w:jc w:val="both"/>
        <w:rPr>
          <w:color w:val="000000" w:themeColor="text1"/>
          <w:sz w:val="24"/>
          <w:szCs w:val="24"/>
        </w:rPr>
      </w:pPr>
      <w:r w:rsidRPr="00C25945">
        <w:rPr>
          <w:color w:val="000000" w:themeColor="text1"/>
          <w:sz w:val="24"/>
          <w:szCs w:val="24"/>
        </w:rPr>
        <w:t xml:space="preserve">Summary </w:t>
      </w:r>
      <w:r w:rsidR="008C5FA0" w:rsidRPr="00C25945">
        <w:rPr>
          <w:color w:val="000000" w:themeColor="text1"/>
          <w:sz w:val="24"/>
          <w:szCs w:val="24"/>
        </w:rPr>
        <w:t>offences</w:t>
      </w:r>
      <w:r w:rsidRPr="00C25945">
        <w:rPr>
          <w:color w:val="000000" w:themeColor="text1"/>
          <w:sz w:val="24"/>
          <w:szCs w:val="24"/>
        </w:rPr>
        <w:t xml:space="preserve">, which can only be dealt with in magistrates' courts, include the majority of motor vehicle violations, less serious assaults, and many violations of public order. In the more serious cases, magistrates will decide on bail, accept a guilty or not guilty plea, determine a verdict, and impose a sentence for these </w:t>
      </w:r>
      <w:r w:rsidR="008C5FA0" w:rsidRPr="00C25945">
        <w:rPr>
          <w:color w:val="000000" w:themeColor="text1"/>
          <w:sz w:val="24"/>
          <w:szCs w:val="24"/>
        </w:rPr>
        <w:t>offences</w:t>
      </w:r>
      <w:r w:rsidRPr="00C25945">
        <w:rPr>
          <w:color w:val="000000" w:themeColor="text1"/>
          <w:sz w:val="24"/>
          <w:szCs w:val="24"/>
        </w:rPr>
        <w:t xml:space="preserve"> (Blom-Cooper, 2015).</w:t>
      </w:r>
    </w:p>
    <w:p w14:paraId="6BE16393" w14:textId="2047B9C6" w:rsidR="002B3881" w:rsidRPr="00C25945" w:rsidRDefault="00567EAF" w:rsidP="002B3881">
      <w:pPr>
        <w:spacing w:before="240" w:after="240" w:line="360" w:lineRule="auto"/>
        <w:jc w:val="both"/>
        <w:rPr>
          <w:b/>
          <w:bCs/>
          <w:color w:val="000000" w:themeColor="text1"/>
          <w:sz w:val="24"/>
          <w:szCs w:val="24"/>
        </w:rPr>
      </w:pPr>
      <w:r w:rsidRPr="00C25945">
        <w:rPr>
          <w:color w:val="000000" w:themeColor="text1"/>
          <w:sz w:val="24"/>
          <w:szCs w:val="24"/>
        </w:rPr>
        <w:t xml:space="preserve">Criminal damage (value of damage greater than £5,000), assault with actual bodily harm, some less serious sexual </w:t>
      </w:r>
      <w:r w:rsidR="008C5FA0" w:rsidRPr="00C25945">
        <w:rPr>
          <w:color w:val="000000" w:themeColor="text1"/>
          <w:sz w:val="24"/>
          <w:szCs w:val="24"/>
        </w:rPr>
        <w:t>offences</w:t>
      </w:r>
      <w:r w:rsidRPr="00C25945">
        <w:rPr>
          <w:color w:val="000000" w:themeColor="text1"/>
          <w:sz w:val="24"/>
          <w:szCs w:val="24"/>
        </w:rPr>
        <w:t>, and dangerous driving are all triable either-way infractions. After hearing arguments from both sides, magistrates choose the venue (magistrates' court or crown court) in these cases</w:t>
      </w:r>
      <w:r w:rsidR="002B3881" w:rsidRPr="00C25945">
        <w:rPr>
          <w:color w:val="000000" w:themeColor="text1"/>
          <w:sz w:val="24"/>
          <w:szCs w:val="24"/>
        </w:rPr>
        <w:t xml:space="preserve"> (Machielsen, 2015). </w:t>
      </w:r>
      <w:r w:rsidRPr="00C25945">
        <w:rPr>
          <w:color w:val="000000" w:themeColor="text1"/>
          <w:sz w:val="24"/>
          <w:szCs w:val="24"/>
        </w:rPr>
        <w:t>The defendant can still choose to be tried in the crown court if they choose to go to trial in the magistrates' court. If this is not the case, magistrates will have the same authority as summary offenders, such as granting bail and imposing punishment</w:t>
      </w:r>
      <w:r w:rsidR="002B3881" w:rsidRPr="00C25945">
        <w:rPr>
          <w:color w:val="000000" w:themeColor="text1"/>
          <w:sz w:val="24"/>
          <w:szCs w:val="24"/>
        </w:rPr>
        <w:t xml:space="preserve"> (Archer, 2017).</w:t>
      </w:r>
    </w:p>
    <w:p w14:paraId="0CC546D2" w14:textId="0C20D399" w:rsidR="00567EAF" w:rsidRPr="00C25945" w:rsidRDefault="00567EAF" w:rsidP="00567EAF">
      <w:pPr>
        <w:spacing w:before="240" w:after="240" w:line="360" w:lineRule="auto"/>
        <w:jc w:val="both"/>
        <w:rPr>
          <w:color w:val="000000" w:themeColor="text1"/>
          <w:sz w:val="24"/>
          <w:szCs w:val="24"/>
        </w:rPr>
      </w:pPr>
      <w:r w:rsidRPr="00C25945">
        <w:rPr>
          <w:color w:val="000000" w:themeColor="text1"/>
          <w:sz w:val="24"/>
          <w:szCs w:val="24"/>
        </w:rPr>
        <w:t xml:space="preserve">Indictable-just </w:t>
      </w:r>
      <w:r w:rsidR="008C5FA0" w:rsidRPr="00C25945">
        <w:rPr>
          <w:color w:val="000000" w:themeColor="text1"/>
          <w:sz w:val="24"/>
          <w:szCs w:val="24"/>
        </w:rPr>
        <w:t>offences</w:t>
      </w:r>
      <w:r w:rsidRPr="00C25945">
        <w:rPr>
          <w:color w:val="000000" w:themeColor="text1"/>
          <w:sz w:val="24"/>
          <w:szCs w:val="24"/>
        </w:rPr>
        <w:t xml:space="preserve"> - these are the most serious cases, for example, murder, assault and burglary, which must be managed by preliminary on prosecution at the crown court. However, these cases are first heard in the magistrates' court, where the bench considers bail before referring the matter to the crown court (G. Wayne Casaleggio, 2017).</w:t>
      </w:r>
    </w:p>
    <w:p w14:paraId="72113EFD" w14:textId="69F1317B" w:rsidR="004E084F" w:rsidRPr="00C25945" w:rsidRDefault="00567EAF" w:rsidP="005B0AF8">
      <w:pPr>
        <w:spacing w:before="240" w:after="240" w:line="360" w:lineRule="auto"/>
        <w:jc w:val="both"/>
        <w:rPr>
          <w:color w:val="000000" w:themeColor="text1"/>
          <w:sz w:val="24"/>
          <w:szCs w:val="24"/>
        </w:rPr>
      </w:pPr>
      <w:r w:rsidRPr="00C25945">
        <w:rPr>
          <w:color w:val="000000" w:themeColor="text1"/>
          <w:sz w:val="24"/>
          <w:szCs w:val="24"/>
        </w:rPr>
        <w:t>Even though they have limited authority, single magistrates rarely hear cases on their own. In most cases, they are one of three magistrates on a bench with a qualified legal adviser to help them with legal and procedural issues</w:t>
      </w:r>
      <w:r w:rsidR="0043651A" w:rsidRPr="00C25945">
        <w:rPr>
          <w:color w:val="000000" w:themeColor="text1"/>
        </w:rPr>
        <w:t xml:space="preserve"> </w:t>
      </w:r>
      <w:r w:rsidR="0043651A" w:rsidRPr="00C25945">
        <w:rPr>
          <w:color w:val="000000" w:themeColor="text1"/>
          <w:sz w:val="24"/>
          <w:szCs w:val="24"/>
        </w:rPr>
        <w:t>(Archer, 2017)</w:t>
      </w:r>
      <w:r w:rsidR="004E084F" w:rsidRPr="00C25945">
        <w:rPr>
          <w:color w:val="000000" w:themeColor="text1"/>
          <w:sz w:val="24"/>
          <w:szCs w:val="24"/>
        </w:rPr>
        <w:t>.</w:t>
      </w:r>
      <w:r w:rsidR="0043651A" w:rsidRPr="00C25945">
        <w:rPr>
          <w:color w:val="000000" w:themeColor="text1"/>
          <w:sz w:val="24"/>
          <w:szCs w:val="24"/>
        </w:rPr>
        <w:t xml:space="preserve"> </w:t>
      </w:r>
    </w:p>
    <w:p w14:paraId="23B905D7" w14:textId="35FD8059" w:rsidR="00705B6D" w:rsidRPr="00C25945" w:rsidRDefault="00705B6D" w:rsidP="005B0AF8">
      <w:pPr>
        <w:spacing w:before="240" w:after="240" w:line="360" w:lineRule="auto"/>
        <w:jc w:val="both"/>
        <w:rPr>
          <w:color w:val="000000" w:themeColor="text1"/>
          <w:sz w:val="24"/>
          <w:szCs w:val="24"/>
        </w:rPr>
      </w:pPr>
      <w:r w:rsidRPr="00C25945">
        <w:rPr>
          <w:color w:val="000000" w:themeColor="text1"/>
          <w:sz w:val="24"/>
          <w:szCs w:val="24"/>
        </w:rPr>
        <w:t>Since 2010, there has been a significant shift in the estate of the courts in England and Wales as part of a program of reform to make it less necessary to physically attend certain types of hearings</w:t>
      </w:r>
      <w:r w:rsidR="008C1D1F" w:rsidRPr="00C25945">
        <w:rPr>
          <w:color w:val="000000" w:themeColor="text1"/>
        </w:rPr>
        <w:t xml:space="preserve"> </w:t>
      </w:r>
      <w:r w:rsidR="008C1D1F" w:rsidRPr="00C25945">
        <w:rPr>
          <w:color w:val="000000" w:themeColor="text1"/>
          <w:sz w:val="24"/>
          <w:szCs w:val="24"/>
        </w:rPr>
        <w:t>(Malleson, 2015)</w:t>
      </w:r>
      <w:r w:rsidRPr="00C25945">
        <w:rPr>
          <w:color w:val="000000" w:themeColor="text1"/>
          <w:sz w:val="24"/>
          <w:szCs w:val="24"/>
        </w:rPr>
        <w:t>.</w:t>
      </w:r>
      <w:r w:rsidR="008C1D1F" w:rsidRPr="00C25945">
        <w:rPr>
          <w:color w:val="000000" w:themeColor="text1"/>
          <w:sz w:val="24"/>
          <w:szCs w:val="24"/>
        </w:rPr>
        <w:t xml:space="preserve"> </w:t>
      </w:r>
      <w:r w:rsidRPr="00C25945">
        <w:rPr>
          <w:color w:val="000000" w:themeColor="text1"/>
          <w:sz w:val="24"/>
          <w:szCs w:val="24"/>
        </w:rPr>
        <w:t xml:space="preserve">Between 2010 and 2020, based on </w:t>
      </w:r>
      <w:r w:rsidR="0033692F" w:rsidRPr="00C25945">
        <w:rPr>
          <w:color w:val="000000" w:themeColor="text1"/>
          <w:sz w:val="24"/>
          <w:szCs w:val="24"/>
        </w:rPr>
        <w:t>the available information</w:t>
      </w:r>
      <w:r w:rsidRPr="00C25945">
        <w:rPr>
          <w:color w:val="000000" w:themeColor="text1"/>
          <w:sz w:val="24"/>
          <w:szCs w:val="24"/>
        </w:rPr>
        <w:t>:</w:t>
      </w:r>
      <w:r w:rsidR="006F2382" w:rsidRPr="00C25945">
        <w:rPr>
          <w:color w:val="000000" w:themeColor="text1"/>
          <w:sz w:val="24"/>
          <w:szCs w:val="24"/>
        </w:rPr>
        <w:t xml:space="preserve"> </w:t>
      </w:r>
      <w:r w:rsidR="001070BC" w:rsidRPr="00C25945">
        <w:rPr>
          <w:color w:val="000000" w:themeColor="text1"/>
          <w:sz w:val="24"/>
          <w:szCs w:val="24"/>
        </w:rPr>
        <w:t xml:space="preserve">The public purse received at least £223 million from the sale of courthouses. There were 25 magistrates' court closures in the South East, followed by 22 in Wales and 21 in the North </w:t>
      </w:r>
      <w:r w:rsidR="001070BC" w:rsidRPr="00C25945">
        <w:rPr>
          <w:color w:val="000000" w:themeColor="text1"/>
          <w:sz w:val="24"/>
          <w:szCs w:val="24"/>
        </w:rPr>
        <w:lastRenderedPageBreak/>
        <w:t xml:space="preserve">West. Out of 320 constituencies, 164 (or 51%), had magistrates' courts close. 151 constituencies had magistrates' courts close </w:t>
      </w:r>
      <w:r w:rsidR="0099350A" w:rsidRPr="00C25945">
        <w:rPr>
          <w:color w:val="000000" w:themeColor="text1"/>
          <w:sz w:val="24"/>
          <w:szCs w:val="24"/>
        </w:rPr>
        <w:t>(</w:t>
      </w:r>
      <w:r w:rsidR="0043651A" w:rsidRPr="00C25945">
        <w:rPr>
          <w:color w:val="000000" w:themeColor="text1"/>
          <w:sz w:val="24"/>
          <w:szCs w:val="24"/>
        </w:rPr>
        <w:t>Court Clous</w:t>
      </w:r>
      <w:r w:rsidR="00567EAF" w:rsidRPr="00C25945">
        <w:rPr>
          <w:color w:val="000000" w:themeColor="text1"/>
          <w:sz w:val="24"/>
          <w:szCs w:val="24"/>
        </w:rPr>
        <w:t>u</w:t>
      </w:r>
      <w:r w:rsidR="0043651A" w:rsidRPr="00C25945">
        <w:rPr>
          <w:color w:val="000000" w:themeColor="text1"/>
          <w:sz w:val="24"/>
          <w:szCs w:val="24"/>
        </w:rPr>
        <w:t xml:space="preserve">er, </w:t>
      </w:r>
      <w:r w:rsidR="0099350A" w:rsidRPr="00C25945">
        <w:rPr>
          <w:color w:val="000000" w:themeColor="text1"/>
          <w:sz w:val="24"/>
          <w:szCs w:val="24"/>
        </w:rPr>
        <w:t>2021)</w:t>
      </w:r>
      <w:r w:rsidR="0043651A" w:rsidRPr="00C25945">
        <w:rPr>
          <w:color w:val="000000" w:themeColor="text1"/>
          <w:sz w:val="24"/>
          <w:szCs w:val="24"/>
        </w:rPr>
        <w:t>.</w:t>
      </w:r>
    </w:p>
    <w:p w14:paraId="0B7C146E" w14:textId="080C051F" w:rsidR="001070BC" w:rsidRPr="00C25945" w:rsidRDefault="001070BC" w:rsidP="005B0AF8">
      <w:pPr>
        <w:spacing w:before="240" w:after="240" w:line="360" w:lineRule="auto"/>
        <w:jc w:val="both"/>
        <w:rPr>
          <w:color w:val="000000" w:themeColor="text1"/>
          <w:sz w:val="24"/>
          <w:szCs w:val="24"/>
        </w:rPr>
      </w:pPr>
      <w:r w:rsidRPr="00C25945">
        <w:rPr>
          <w:color w:val="000000" w:themeColor="text1"/>
          <w:sz w:val="24"/>
          <w:szCs w:val="24"/>
        </w:rPr>
        <w:t xml:space="preserve">Magistrates are everyday people who have common sense and the ability to make just decisions; They come from many different </w:t>
      </w:r>
      <w:r w:rsidR="002B3881" w:rsidRPr="00C25945">
        <w:rPr>
          <w:color w:val="000000" w:themeColor="text1"/>
          <w:sz w:val="24"/>
          <w:szCs w:val="24"/>
        </w:rPr>
        <w:t>places</w:t>
      </w:r>
      <w:r w:rsidR="0043651A" w:rsidRPr="00C25945">
        <w:rPr>
          <w:color w:val="000000" w:themeColor="text1"/>
          <w:sz w:val="24"/>
          <w:szCs w:val="24"/>
        </w:rPr>
        <w:t xml:space="preserve"> </w:t>
      </w:r>
      <w:r w:rsidR="008D2FD0" w:rsidRPr="00C25945">
        <w:rPr>
          <w:color w:val="000000" w:themeColor="text1"/>
          <w:sz w:val="24"/>
          <w:szCs w:val="24"/>
        </w:rPr>
        <w:t>(Robinson, 2013)</w:t>
      </w:r>
      <w:r w:rsidR="0043651A" w:rsidRPr="00C25945">
        <w:rPr>
          <w:color w:val="000000" w:themeColor="text1"/>
          <w:sz w:val="24"/>
          <w:szCs w:val="24"/>
        </w:rPr>
        <w:t>.</w:t>
      </w:r>
      <w:r w:rsidR="001461ED" w:rsidRPr="00C25945">
        <w:rPr>
          <w:color w:val="000000" w:themeColor="text1"/>
          <w:sz w:val="24"/>
          <w:szCs w:val="24"/>
        </w:rPr>
        <w:t xml:space="preserve"> </w:t>
      </w:r>
      <w:r w:rsidR="0041095C" w:rsidRPr="00C25945">
        <w:rPr>
          <w:color w:val="000000" w:themeColor="text1"/>
          <w:sz w:val="24"/>
          <w:szCs w:val="24"/>
        </w:rPr>
        <w:t xml:space="preserve">Magistrates must be decisive and capable of developing unbiased, impartial, and transparent </w:t>
      </w:r>
      <w:r w:rsidR="0033692F" w:rsidRPr="00C25945">
        <w:rPr>
          <w:color w:val="000000" w:themeColor="text1"/>
          <w:sz w:val="24"/>
          <w:szCs w:val="24"/>
        </w:rPr>
        <w:t>judgments</w:t>
      </w:r>
      <w:r w:rsidR="0041095C" w:rsidRPr="00C25945">
        <w:rPr>
          <w:color w:val="000000" w:themeColor="text1"/>
          <w:sz w:val="24"/>
          <w:szCs w:val="24"/>
        </w:rPr>
        <w:t xml:space="preserve"> via systematic deliberation </w:t>
      </w:r>
      <w:r w:rsidR="0033692F" w:rsidRPr="00C25945">
        <w:rPr>
          <w:color w:val="000000" w:themeColor="text1"/>
          <w:sz w:val="24"/>
          <w:szCs w:val="24"/>
        </w:rPr>
        <w:t>to</w:t>
      </w:r>
      <w:r w:rsidR="0041095C" w:rsidRPr="00C25945">
        <w:rPr>
          <w:color w:val="000000" w:themeColor="text1"/>
          <w:sz w:val="24"/>
          <w:szCs w:val="24"/>
        </w:rPr>
        <w:t xml:space="preserve"> make </w:t>
      </w:r>
      <w:r w:rsidR="001A2377" w:rsidRPr="00C25945">
        <w:rPr>
          <w:color w:val="000000" w:themeColor="text1"/>
          <w:sz w:val="24"/>
          <w:szCs w:val="24"/>
        </w:rPr>
        <w:t>verdicts</w:t>
      </w:r>
      <w:r w:rsidR="0041095C" w:rsidRPr="00C25945">
        <w:rPr>
          <w:color w:val="000000" w:themeColor="text1"/>
          <w:sz w:val="24"/>
          <w:szCs w:val="24"/>
        </w:rPr>
        <w:t xml:space="preserve"> that are </w:t>
      </w:r>
      <w:r w:rsidR="001A2377" w:rsidRPr="00C25945">
        <w:rPr>
          <w:color w:val="000000" w:themeColor="text1"/>
          <w:sz w:val="24"/>
          <w:szCs w:val="24"/>
        </w:rPr>
        <w:t>just</w:t>
      </w:r>
      <w:r w:rsidR="0041095C" w:rsidRPr="00C25945">
        <w:rPr>
          <w:color w:val="000000" w:themeColor="text1"/>
          <w:sz w:val="24"/>
          <w:szCs w:val="24"/>
        </w:rPr>
        <w:t xml:space="preserve">, </w:t>
      </w:r>
      <w:r w:rsidR="001A2377" w:rsidRPr="00C25945">
        <w:rPr>
          <w:color w:val="000000" w:themeColor="text1"/>
          <w:sz w:val="24"/>
          <w:szCs w:val="24"/>
        </w:rPr>
        <w:t>neutral</w:t>
      </w:r>
      <w:r w:rsidR="0041095C" w:rsidRPr="00C25945">
        <w:rPr>
          <w:color w:val="000000" w:themeColor="text1"/>
          <w:sz w:val="24"/>
          <w:szCs w:val="24"/>
        </w:rPr>
        <w:t>, and transparent</w:t>
      </w:r>
      <w:r w:rsidR="002B3881" w:rsidRPr="00C25945">
        <w:rPr>
          <w:color w:val="000000" w:themeColor="text1"/>
          <w:sz w:val="24"/>
          <w:szCs w:val="24"/>
        </w:rPr>
        <w:t xml:space="preserve"> </w:t>
      </w:r>
      <w:r w:rsidRPr="00C25945">
        <w:rPr>
          <w:color w:val="000000" w:themeColor="text1"/>
          <w:sz w:val="24"/>
          <w:szCs w:val="24"/>
        </w:rPr>
        <w:t>(Ferriès, 2019)</w:t>
      </w:r>
      <w:r w:rsidR="006F2382" w:rsidRPr="00C25945">
        <w:rPr>
          <w:color w:val="000000" w:themeColor="text1"/>
          <w:sz w:val="24"/>
          <w:szCs w:val="24"/>
        </w:rPr>
        <w:t>.</w:t>
      </w:r>
    </w:p>
    <w:p w14:paraId="05374ECC" w14:textId="309BD375" w:rsidR="001070BC" w:rsidRPr="00C25945" w:rsidRDefault="001070BC" w:rsidP="005B0AF8">
      <w:pPr>
        <w:spacing w:before="240" w:after="240" w:line="360" w:lineRule="auto"/>
        <w:jc w:val="both"/>
        <w:rPr>
          <w:color w:val="000000" w:themeColor="text1"/>
          <w:sz w:val="24"/>
          <w:szCs w:val="24"/>
        </w:rPr>
      </w:pPr>
      <w:r w:rsidRPr="00C25945">
        <w:rPr>
          <w:color w:val="000000" w:themeColor="text1"/>
          <w:sz w:val="24"/>
          <w:szCs w:val="24"/>
        </w:rPr>
        <w:t>Speaking with responsiveness and regard officers should have the option to listen effectively and mindfully, explain sentiments and convey unhesitatingly and delicately inside secret limits</w:t>
      </w:r>
      <w:r w:rsidR="00872265" w:rsidRPr="00C25945">
        <w:rPr>
          <w:color w:val="000000" w:themeColor="text1"/>
          <w:sz w:val="24"/>
          <w:szCs w:val="24"/>
        </w:rPr>
        <w:t xml:space="preserve"> (Saul and Stephens, 2015). </w:t>
      </w:r>
      <w:r w:rsidRPr="00C25945">
        <w:rPr>
          <w:color w:val="000000" w:themeColor="text1"/>
          <w:sz w:val="24"/>
          <w:szCs w:val="24"/>
        </w:rPr>
        <w:t>They must also be able to change how they communicate to fit the situation and clearly explain why they make the choices they do</w:t>
      </w:r>
      <w:r w:rsidR="001461ED" w:rsidRPr="00C25945">
        <w:rPr>
          <w:color w:val="000000" w:themeColor="text1"/>
          <w:sz w:val="24"/>
          <w:szCs w:val="24"/>
        </w:rPr>
        <w:t xml:space="preserve"> (Tudor et al., 2022)</w:t>
      </w:r>
      <w:r w:rsidRPr="00C25945">
        <w:rPr>
          <w:color w:val="000000" w:themeColor="text1"/>
          <w:sz w:val="24"/>
          <w:szCs w:val="24"/>
        </w:rPr>
        <w:t>.</w:t>
      </w:r>
      <w:r w:rsidR="005D5AFD" w:rsidRPr="00C25945">
        <w:rPr>
          <w:color w:val="000000" w:themeColor="text1"/>
          <w:sz w:val="24"/>
          <w:szCs w:val="24"/>
        </w:rPr>
        <w:t xml:space="preserve"> </w:t>
      </w:r>
      <w:r w:rsidRPr="00C25945">
        <w:rPr>
          <w:color w:val="000000" w:themeColor="text1"/>
          <w:sz w:val="24"/>
          <w:szCs w:val="24"/>
        </w:rPr>
        <w:t>Being self-aware and willing to learn are essential qualities for magistrates. They must be able to think and learn from other people's points of view, as well as quickly adapt to changes. They must also be able to take advantage of opportunities to learn and keep up their skills, as well as employ effective strategies to keep their well-being up</w:t>
      </w:r>
      <w:r w:rsidR="00795F27" w:rsidRPr="00C25945">
        <w:rPr>
          <w:color w:val="000000" w:themeColor="text1"/>
          <w:sz w:val="24"/>
          <w:szCs w:val="24"/>
        </w:rPr>
        <w:t xml:space="preserve"> (Burchardt and Hick, 2016). </w:t>
      </w:r>
      <w:r w:rsidR="004E084F" w:rsidRPr="00C25945">
        <w:rPr>
          <w:color w:val="000000" w:themeColor="text1"/>
          <w:sz w:val="24"/>
          <w:szCs w:val="24"/>
        </w:rPr>
        <w:t xml:space="preserve">Occupied and drawing in through individuals expertly - justices should be congenial and reliable, ready to impart trust and certainty, and work in an expert and productive way both freely and with others. They must be able to engage others in decision-making and encourage them to participate, as well as appropriately challenge prejudice in both themselves and others </w:t>
      </w:r>
      <w:bookmarkStart w:id="1" w:name="_Hlk138259617"/>
      <w:r w:rsidR="004E084F" w:rsidRPr="00C25945">
        <w:rPr>
          <w:color w:val="000000" w:themeColor="text1"/>
          <w:sz w:val="24"/>
          <w:szCs w:val="24"/>
        </w:rPr>
        <w:t>(Tudor et al., 2022)</w:t>
      </w:r>
      <w:r w:rsidR="006F2382" w:rsidRPr="00C25945">
        <w:rPr>
          <w:color w:val="000000" w:themeColor="text1"/>
          <w:sz w:val="24"/>
          <w:szCs w:val="24"/>
        </w:rPr>
        <w:t>.</w:t>
      </w:r>
      <w:bookmarkEnd w:id="1"/>
    </w:p>
    <w:p w14:paraId="73F910B6" w14:textId="77777777" w:rsidR="008F3193" w:rsidRPr="00C25945" w:rsidRDefault="00567EAF" w:rsidP="0048576C">
      <w:pPr>
        <w:spacing w:before="240" w:after="240" w:line="360" w:lineRule="auto"/>
        <w:jc w:val="both"/>
        <w:rPr>
          <w:color w:val="000000" w:themeColor="text1"/>
          <w:sz w:val="24"/>
          <w:szCs w:val="24"/>
        </w:rPr>
      </w:pPr>
      <w:r w:rsidRPr="00C25945">
        <w:rPr>
          <w:color w:val="000000" w:themeColor="text1"/>
          <w:sz w:val="24"/>
          <w:szCs w:val="24"/>
        </w:rPr>
        <w:t>Magistrates play a significant role in the justice system and have some advantages and disadvantages.</w:t>
      </w:r>
    </w:p>
    <w:p w14:paraId="3DB4FBD3" w14:textId="1449F2EC" w:rsidR="0048576C" w:rsidRPr="00C25945" w:rsidRDefault="00567EAF" w:rsidP="0048576C">
      <w:pPr>
        <w:spacing w:before="240" w:after="240" w:line="360" w:lineRule="auto"/>
        <w:jc w:val="both"/>
        <w:rPr>
          <w:color w:val="000000" w:themeColor="text1"/>
          <w:sz w:val="24"/>
          <w:szCs w:val="24"/>
        </w:rPr>
      </w:pPr>
      <w:r w:rsidRPr="00C25945">
        <w:rPr>
          <w:color w:val="000000" w:themeColor="text1"/>
          <w:sz w:val="24"/>
          <w:szCs w:val="24"/>
        </w:rPr>
        <w:t xml:space="preserve"> </w:t>
      </w:r>
      <w:r w:rsidR="0048576C" w:rsidRPr="00C25945">
        <w:rPr>
          <w:color w:val="000000" w:themeColor="text1"/>
          <w:sz w:val="24"/>
          <w:szCs w:val="24"/>
        </w:rPr>
        <w:t>The fact that magistrates are drawn from the local community is one of their primary benefits. As a result, they are more likely to be familiar with the people involved in the case and have a deeper comprehension of the issues facing the community. This may assist in ensuring that justice is served fairly and equally</w:t>
      </w:r>
      <w:r w:rsidRPr="00C25945">
        <w:rPr>
          <w:color w:val="000000" w:themeColor="text1"/>
          <w:sz w:val="24"/>
          <w:szCs w:val="24"/>
        </w:rPr>
        <w:t xml:space="preserve"> </w:t>
      </w:r>
      <w:r w:rsidR="0048576C" w:rsidRPr="00C25945">
        <w:rPr>
          <w:color w:val="000000" w:themeColor="text1"/>
          <w:sz w:val="24"/>
          <w:szCs w:val="24"/>
        </w:rPr>
        <w:t>(Hills and Cunliffe, 2016).</w:t>
      </w:r>
    </w:p>
    <w:p w14:paraId="6378EBD1" w14:textId="38B1CCD2" w:rsidR="006F2382" w:rsidRPr="00C25945" w:rsidRDefault="0048576C" w:rsidP="0048576C">
      <w:pPr>
        <w:spacing w:before="240" w:after="240" w:line="360" w:lineRule="auto"/>
        <w:jc w:val="both"/>
        <w:rPr>
          <w:color w:val="000000" w:themeColor="text1"/>
          <w:sz w:val="24"/>
          <w:szCs w:val="24"/>
        </w:rPr>
      </w:pPr>
      <w:r w:rsidRPr="00C25945">
        <w:rPr>
          <w:color w:val="000000" w:themeColor="text1"/>
          <w:sz w:val="24"/>
          <w:szCs w:val="24"/>
        </w:rPr>
        <w:t xml:space="preserve">The fact that magistrates are less expensive than judges is yet another advantage of theirs. The magistrates' use helps keep costs low because the Magistrates' Court is meant to handle minor criminal cases. Taxpayers who would otherwise have to foot the bill for the more expensive use of judges will gain from this </w:t>
      </w:r>
      <w:bookmarkStart w:id="2" w:name="_Hlk138285479"/>
      <w:r w:rsidR="00795F27" w:rsidRPr="00C25945">
        <w:rPr>
          <w:color w:val="000000" w:themeColor="text1"/>
          <w:sz w:val="24"/>
          <w:szCs w:val="24"/>
        </w:rPr>
        <w:t>(Hills and Cunliffe, 2016)</w:t>
      </w:r>
      <w:r w:rsidR="006F2382" w:rsidRPr="00C25945">
        <w:rPr>
          <w:color w:val="000000" w:themeColor="text1"/>
          <w:sz w:val="24"/>
          <w:szCs w:val="24"/>
        </w:rPr>
        <w:t>.</w:t>
      </w:r>
      <w:bookmarkEnd w:id="2"/>
    </w:p>
    <w:p w14:paraId="40B1E382" w14:textId="7B7BDBA2" w:rsidR="0048576C" w:rsidRPr="00C25945" w:rsidRDefault="0048576C" w:rsidP="0048576C">
      <w:pPr>
        <w:spacing w:before="240" w:after="240" w:line="360" w:lineRule="auto"/>
        <w:jc w:val="both"/>
        <w:rPr>
          <w:color w:val="000000" w:themeColor="text1"/>
          <w:sz w:val="24"/>
          <w:szCs w:val="24"/>
        </w:rPr>
      </w:pPr>
      <w:r w:rsidRPr="00C25945">
        <w:rPr>
          <w:color w:val="000000" w:themeColor="text1"/>
          <w:sz w:val="24"/>
          <w:szCs w:val="24"/>
        </w:rPr>
        <w:lastRenderedPageBreak/>
        <w:t>However, the use of magistrates in the administration of justice comes with a number of drawbacks as well. The fact that they may lack judges' legal training and expertise is one of the main disadvantages. This can lead to judgmental or sentencing mistakes that could hurt the accused or the victim (Tudor et al., 2022).</w:t>
      </w:r>
    </w:p>
    <w:p w14:paraId="62DA2A57" w14:textId="545B4058" w:rsidR="0048576C" w:rsidRPr="00C25945" w:rsidRDefault="0048576C" w:rsidP="0048576C">
      <w:pPr>
        <w:spacing w:before="240" w:after="240" w:line="360" w:lineRule="auto"/>
        <w:jc w:val="both"/>
        <w:rPr>
          <w:color w:val="000000" w:themeColor="text1"/>
          <w:sz w:val="24"/>
          <w:szCs w:val="24"/>
        </w:rPr>
      </w:pPr>
      <w:r w:rsidRPr="00C25945">
        <w:rPr>
          <w:color w:val="000000" w:themeColor="text1"/>
          <w:sz w:val="24"/>
          <w:szCs w:val="24"/>
        </w:rPr>
        <w:t xml:space="preserve">The fact that magistrates lack the independence of judges is another drawback. The Lord Chancellor appoints magistrates, who face the same political pressures as judges. Concerns about the impartiality of magistrates may arise as a result, particularly in situations where the victim or the accused are members of the local community </w:t>
      </w:r>
      <w:r w:rsidR="00795F27" w:rsidRPr="00C25945">
        <w:rPr>
          <w:color w:val="000000" w:themeColor="text1"/>
          <w:sz w:val="24"/>
          <w:szCs w:val="24"/>
        </w:rPr>
        <w:t>(Burchardt and Hick, 2016</w:t>
      </w:r>
      <w:r w:rsidRPr="00C25945">
        <w:rPr>
          <w:color w:val="000000" w:themeColor="text1"/>
          <w:sz w:val="24"/>
          <w:szCs w:val="24"/>
        </w:rPr>
        <w:t>)</w:t>
      </w:r>
    </w:p>
    <w:p w14:paraId="4B2F34F9" w14:textId="3F3020AA" w:rsidR="00505684" w:rsidRPr="00C25945" w:rsidRDefault="00505684" w:rsidP="005B0AF8">
      <w:pPr>
        <w:spacing w:before="240" w:after="240" w:line="360" w:lineRule="auto"/>
        <w:jc w:val="both"/>
        <w:rPr>
          <w:color w:val="000000" w:themeColor="text1"/>
          <w:sz w:val="24"/>
          <w:szCs w:val="24"/>
        </w:rPr>
      </w:pPr>
      <w:r w:rsidRPr="00C25945">
        <w:rPr>
          <w:color w:val="000000" w:themeColor="text1"/>
          <w:sz w:val="24"/>
          <w:szCs w:val="24"/>
        </w:rPr>
        <w:t>There have been calls for the magistrates' system to be changed, including making the training and support for magistrates better and making them more diverse. Additionally, there have been calls for magistrates to be given more authority, such as the ability to impose longer prison terms on defendants</w:t>
      </w:r>
      <w:r w:rsidR="00872265" w:rsidRPr="00C25945">
        <w:rPr>
          <w:color w:val="000000" w:themeColor="text1"/>
        </w:rPr>
        <w:t xml:space="preserve"> </w:t>
      </w:r>
      <w:r w:rsidR="00872265" w:rsidRPr="00C25945">
        <w:rPr>
          <w:color w:val="000000" w:themeColor="text1"/>
          <w:sz w:val="24"/>
          <w:szCs w:val="24"/>
        </w:rPr>
        <w:t>(Fergusson, 2023).</w:t>
      </w:r>
      <w:r w:rsidRPr="00C25945">
        <w:rPr>
          <w:color w:val="000000" w:themeColor="text1"/>
          <w:sz w:val="24"/>
          <w:szCs w:val="24"/>
        </w:rPr>
        <w:t xml:space="preserve"> All magistrates' training should fall under the purview of the Judicial Studies Board, which should be given sufficient resources to carry out this task. This kind of training should primarily be provided at the local level by trainers, ideally</w:t>
      </w:r>
      <w:r w:rsidR="008C5FA0" w:rsidRPr="00C25945">
        <w:rPr>
          <w:color w:val="000000" w:themeColor="text1"/>
          <w:sz w:val="24"/>
          <w:szCs w:val="24"/>
        </w:rPr>
        <w:t>,</w:t>
      </w:r>
      <w:r w:rsidRPr="00C25945">
        <w:rPr>
          <w:color w:val="000000" w:themeColor="text1"/>
          <w:sz w:val="24"/>
          <w:szCs w:val="24"/>
        </w:rPr>
        <w:t xml:space="preserve"> justices' clerks and/or legal advisers who have received appropriate training from the Board for the purpose</w:t>
      </w:r>
      <w:r w:rsidR="0048576C" w:rsidRPr="00C25945">
        <w:rPr>
          <w:color w:val="000000" w:themeColor="text1"/>
        </w:rPr>
        <w:t xml:space="preserve"> </w:t>
      </w:r>
      <w:r w:rsidR="0048576C" w:rsidRPr="00C25945">
        <w:rPr>
          <w:color w:val="000000" w:themeColor="text1"/>
          <w:sz w:val="24"/>
          <w:szCs w:val="24"/>
        </w:rPr>
        <w:t>(Morgan &amp; Russell, 2000)</w:t>
      </w:r>
      <w:r w:rsidRPr="00C25945">
        <w:rPr>
          <w:color w:val="000000" w:themeColor="text1"/>
          <w:sz w:val="24"/>
          <w:szCs w:val="24"/>
        </w:rPr>
        <w:t xml:space="preserve">; Additionally, district judges ought to be involved in the education of magistrates in their locality or at the court </w:t>
      </w:r>
      <w:r w:rsidR="008C5FA0" w:rsidRPr="00C25945">
        <w:rPr>
          <w:color w:val="000000" w:themeColor="text1"/>
          <w:sz w:val="24"/>
          <w:szCs w:val="24"/>
        </w:rPr>
        <w:t>centre</w:t>
      </w:r>
      <w:r w:rsidRPr="00C25945">
        <w:rPr>
          <w:color w:val="000000" w:themeColor="text1"/>
          <w:sz w:val="24"/>
          <w:szCs w:val="24"/>
        </w:rPr>
        <w:t xml:space="preserve"> where they typically work; In order to provide magistrates with a less complicated, weighted set of competences supported by clear national standards, the MNTI scheme needs to be refined; Additionally, the Judicial Studies Board ought to establish procedures to guarantee that the nationwide evaluation of magistrates takes place in a timely and efficient manner and that training programs take into account the training requirements that are discovered during that process</w:t>
      </w:r>
      <w:r w:rsidR="0048576C" w:rsidRPr="00C25945">
        <w:rPr>
          <w:color w:val="000000" w:themeColor="text1"/>
        </w:rPr>
        <w:t xml:space="preserve"> </w:t>
      </w:r>
      <w:r w:rsidR="0048576C" w:rsidRPr="00C25945">
        <w:rPr>
          <w:color w:val="000000" w:themeColor="text1"/>
          <w:sz w:val="24"/>
          <w:szCs w:val="24"/>
        </w:rPr>
        <w:t>(Morgan &amp; Russell, 2000)</w:t>
      </w:r>
      <w:r w:rsidRPr="00C25945">
        <w:rPr>
          <w:color w:val="000000" w:themeColor="text1"/>
          <w:sz w:val="24"/>
          <w:szCs w:val="24"/>
        </w:rPr>
        <w:t>.</w:t>
      </w:r>
    </w:p>
    <w:p w14:paraId="15E44F0F" w14:textId="43D768C8" w:rsidR="00A14AA4" w:rsidRPr="00C25945" w:rsidRDefault="0099350A" w:rsidP="005B0AF8">
      <w:pPr>
        <w:spacing w:before="240" w:after="240" w:line="360" w:lineRule="auto"/>
        <w:jc w:val="both"/>
        <w:rPr>
          <w:color w:val="000000" w:themeColor="text1"/>
          <w:sz w:val="24"/>
          <w:szCs w:val="24"/>
        </w:rPr>
      </w:pPr>
      <w:r w:rsidRPr="00C25945">
        <w:rPr>
          <w:color w:val="000000" w:themeColor="text1"/>
          <w:sz w:val="24"/>
          <w:szCs w:val="24"/>
        </w:rPr>
        <w:t xml:space="preserve">The magistracy was established as the legal system's foundation. Magistrates have been providing justice in their </w:t>
      </w:r>
      <w:r w:rsidR="005E575D" w:rsidRPr="00C25945">
        <w:rPr>
          <w:color w:val="000000" w:themeColor="text1"/>
          <w:sz w:val="24"/>
          <w:szCs w:val="24"/>
        </w:rPr>
        <w:t>resident</w:t>
      </w:r>
      <w:r w:rsidRPr="00C25945">
        <w:rPr>
          <w:color w:val="000000" w:themeColor="text1"/>
          <w:sz w:val="24"/>
          <w:szCs w:val="24"/>
        </w:rPr>
        <w:t xml:space="preserve"> </w:t>
      </w:r>
      <w:r w:rsidR="005E575D" w:rsidRPr="00C25945">
        <w:rPr>
          <w:color w:val="000000" w:themeColor="text1"/>
          <w:sz w:val="24"/>
          <w:szCs w:val="24"/>
        </w:rPr>
        <w:t>societies</w:t>
      </w:r>
      <w:r w:rsidRPr="00C25945">
        <w:rPr>
          <w:color w:val="000000" w:themeColor="text1"/>
          <w:sz w:val="24"/>
          <w:szCs w:val="24"/>
        </w:rPr>
        <w:t xml:space="preserve"> for more than 650 years ever since the Justices of the Peace Act pioneered the concept that regular citizens, not lawyers, should be granted the authority to administer justice</w:t>
      </w:r>
      <w:r w:rsidR="000F0CA4" w:rsidRPr="00C25945">
        <w:rPr>
          <w:color w:val="000000" w:themeColor="text1"/>
        </w:rPr>
        <w:t xml:space="preserve"> </w:t>
      </w:r>
      <w:r w:rsidR="000F0CA4" w:rsidRPr="00C25945">
        <w:rPr>
          <w:color w:val="000000" w:themeColor="text1"/>
          <w:sz w:val="24"/>
          <w:szCs w:val="24"/>
        </w:rPr>
        <w:t>(Fergusson, 2023)</w:t>
      </w:r>
      <w:r w:rsidRPr="00C25945">
        <w:rPr>
          <w:color w:val="000000" w:themeColor="text1"/>
          <w:sz w:val="24"/>
          <w:szCs w:val="24"/>
        </w:rPr>
        <w:t>.</w:t>
      </w:r>
      <w:r w:rsidR="00A14AA4" w:rsidRPr="00C25945">
        <w:rPr>
          <w:color w:val="000000" w:themeColor="text1"/>
          <w:sz w:val="24"/>
          <w:szCs w:val="24"/>
        </w:rPr>
        <w:br w:type="page"/>
      </w:r>
    </w:p>
    <w:p w14:paraId="3DE660F9" w14:textId="120761C6" w:rsidR="005D55B4" w:rsidRPr="00C25945" w:rsidRDefault="00A14AA4" w:rsidP="005B0AF8">
      <w:pPr>
        <w:pStyle w:val="Heading2"/>
        <w:spacing w:before="240" w:after="240" w:line="360" w:lineRule="auto"/>
        <w:rPr>
          <w:color w:val="000000" w:themeColor="text1"/>
        </w:rPr>
      </w:pPr>
      <w:r w:rsidRPr="00C25945">
        <w:rPr>
          <w:color w:val="000000" w:themeColor="text1"/>
        </w:rPr>
        <w:lastRenderedPageBreak/>
        <w:t>References</w:t>
      </w:r>
    </w:p>
    <w:p w14:paraId="0384793A" w14:textId="77777777" w:rsidR="00773F84" w:rsidRPr="00C25945" w:rsidRDefault="00773F84" w:rsidP="007F6963">
      <w:pPr>
        <w:spacing w:before="240" w:after="240" w:line="360" w:lineRule="auto"/>
        <w:jc w:val="both"/>
        <w:rPr>
          <w:color w:val="000000" w:themeColor="text1"/>
          <w:sz w:val="24"/>
          <w:szCs w:val="24"/>
        </w:rPr>
      </w:pPr>
      <w:r w:rsidRPr="00C25945">
        <w:rPr>
          <w:i/>
          <w:iCs/>
          <w:color w:val="000000" w:themeColor="text1"/>
          <w:sz w:val="24"/>
          <w:szCs w:val="24"/>
        </w:rPr>
        <w:t>Advantages and disadvantages of Magistrates</w:t>
      </w:r>
      <w:r w:rsidRPr="00C25945">
        <w:rPr>
          <w:color w:val="000000" w:themeColor="text1"/>
          <w:sz w:val="24"/>
          <w:szCs w:val="24"/>
        </w:rPr>
        <w:t xml:space="preserve"> (2014) </w:t>
      </w:r>
      <w:r w:rsidRPr="00C25945">
        <w:rPr>
          <w:i/>
          <w:iCs/>
          <w:color w:val="000000" w:themeColor="text1"/>
          <w:sz w:val="24"/>
          <w:szCs w:val="24"/>
        </w:rPr>
        <w:t>Advantages and disadvantages table in A Level and IB Law</w:t>
      </w:r>
      <w:r w:rsidRPr="00C25945">
        <w:rPr>
          <w:color w:val="000000" w:themeColor="text1"/>
          <w:sz w:val="24"/>
          <w:szCs w:val="24"/>
        </w:rPr>
        <w:t xml:space="preserve">. Available at: https://getrevising.co.uk/grids/advantages_and_disadvantages_of_magistrates_3 (Accessed: April 20, 2023). </w:t>
      </w:r>
    </w:p>
    <w:p w14:paraId="0C2B66BD" w14:textId="77777777" w:rsidR="00773F84" w:rsidRPr="00C25945" w:rsidRDefault="00773F84" w:rsidP="007F6963">
      <w:pPr>
        <w:spacing w:before="240" w:after="240" w:line="360" w:lineRule="auto"/>
        <w:jc w:val="both"/>
        <w:rPr>
          <w:color w:val="000000" w:themeColor="text1"/>
          <w:sz w:val="24"/>
          <w:szCs w:val="24"/>
        </w:rPr>
      </w:pPr>
      <w:r w:rsidRPr="00C25945">
        <w:rPr>
          <w:color w:val="000000" w:themeColor="text1"/>
          <w:sz w:val="24"/>
          <w:szCs w:val="24"/>
        </w:rPr>
        <w:t xml:space="preserve">Blom-Cooper, L.J. (2015) </w:t>
      </w:r>
      <w:r w:rsidRPr="00C25945">
        <w:rPr>
          <w:i/>
          <w:iCs/>
          <w:color w:val="000000" w:themeColor="text1"/>
          <w:sz w:val="24"/>
          <w:szCs w:val="24"/>
        </w:rPr>
        <w:t>Power of Persuasion: Essays by a very public lawyer</w:t>
      </w:r>
      <w:r w:rsidRPr="00C25945">
        <w:rPr>
          <w:color w:val="000000" w:themeColor="text1"/>
          <w:sz w:val="24"/>
          <w:szCs w:val="24"/>
        </w:rPr>
        <w:t xml:space="preserve">. London: Bloomsbury Publishing PLC. </w:t>
      </w:r>
    </w:p>
    <w:p w14:paraId="78110AC4" w14:textId="77777777" w:rsidR="00773F84" w:rsidRPr="00C25945" w:rsidRDefault="00773F84" w:rsidP="007F6963">
      <w:pPr>
        <w:spacing w:before="240" w:after="240" w:line="360" w:lineRule="auto"/>
        <w:jc w:val="both"/>
        <w:rPr>
          <w:color w:val="000000" w:themeColor="text1"/>
          <w:sz w:val="24"/>
          <w:szCs w:val="24"/>
        </w:rPr>
      </w:pPr>
      <w:r w:rsidRPr="00C25945">
        <w:rPr>
          <w:i/>
          <w:iCs/>
          <w:color w:val="000000" w:themeColor="text1"/>
          <w:sz w:val="24"/>
          <w:szCs w:val="24"/>
        </w:rPr>
        <w:t>Court closures</w:t>
      </w:r>
      <w:r w:rsidRPr="00C25945">
        <w:rPr>
          <w:color w:val="000000" w:themeColor="text1"/>
          <w:sz w:val="24"/>
          <w:szCs w:val="24"/>
        </w:rPr>
        <w:t xml:space="preserve"> (2021) </w:t>
      </w:r>
      <w:r w:rsidRPr="00C25945">
        <w:rPr>
          <w:i/>
          <w:iCs/>
          <w:color w:val="000000" w:themeColor="text1"/>
          <w:sz w:val="24"/>
          <w:szCs w:val="24"/>
        </w:rPr>
        <w:t>The Law Society</w:t>
      </w:r>
      <w:r w:rsidRPr="00C25945">
        <w:rPr>
          <w:color w:val="000000" w:themeColor="text1"/>
          <w:sz w:val="24"/>
          <w:szCs w:val="24"/>
        </w:rPr>
        <w:t xml:space="preserve">. Available at: https://www.lawsociety.org.uk/campaigns/court-reform/whats-changing/court-closures (Accessed: April 20, 2023). </w:t>
      </w:r>
    </w:p>
    <w:p w14:paraId="40D7048D" w14:textId="77777777" w:rsidR="00773F84" w:rsidRPr="00C25945" w:rsidRDefault="00773F84" w:rsidP="007F6963">
      <w:pPr>
        <w:spacing w:before="240" w:after="240" w:line="360" w:lineRule="auto"/>
        <w:jc w:val="both"/>
        <w:rPr>
          <w:color w:val="000000" w:themeColor="text1"/>
          <w:sz w:val="24"/>
          <w:szCs w:val="24"/>
        </w:rPr>
      </w:pPr>
      <w:r w:rsidRPr="00C25945">
        <w:rPr>
          <w:color w:val="000000" w:themeColor="text1"/>
          <w:sz w:val="24"/>
          <w:szCs w:val="24"/>
        </w:rPr>
        <w:t xml:space="preserve">Ferriès, M.-C. (2019) “The magistrate and the queen *,” </w:t>
      </w:r>
      <w:r w:rsidRPr="00C25945">
        <w:rPr>
          <w:i/>
          <w:iCs/>
          <w:color w:val="000000" w:themeColor="text1"/>
          <w:sz w:val="24"/>
          <w:szCs w:val="24"/>
        </w:rPr>
        <w:t>Power Couples in Antiquity</w:t>
      </w:r>
      <w:r w:rsidRPr="00C25945">
        <w:rPr>
          <w:color w:val="000000" w:themeColor="text1"/>
          <w:sz w:val="24"/>
          <w:szCs w:val="24"/>
        </w:rPr>
        <w:t xml:space="preserve">, pp. 99–115. Available at: https://doi.org/10.4324/9781351272445-6. </w:t>
      </w:r>
    </w:p>
    <w:p w14:paraId="13D67F19" w14:textId="77777777" w:rsidR="00773F84" w:rsidRPr="00C25945" w:rsidRDefault="00773F84" w:rsidP="00773F84">
      <w:pPr>
        <w:spacing w:before="240" w:after="240" w:line="360" w:lineRule="auto"/>
        <w:jc w:val="both"/>
        <w:rPr>
          <w:color w:val="000000" w:themeColor="text1"/>
          <w:sz w:val="24"/>
          <w:szCs w:val="24"/>
        </w:rPr>
      </w:pPr>
      <w:r w:rsidRPr="00C25945">
        <w:rPr>
          <w:color w:val="000000" w:themeColor="text1"/>
          <w:sz w:val="24"/>
          <w:szCs w:val="24"/>
        </w:rPr>
        <w:t xml:space="preserve">G. Wayne Casaleggio (2017). </w:t>
      </w:r>
      <w:r w:rsidRPr="00C25945">
        <w:rPr>
          <w:i/>
          <w:iCs/>
          <w:color w:val="000000" w:themeColor="text1"/>
          <w:sz w:val="24"/>
          <w:szCs w:val="24"/>
        </w:rPr>
        <w:t>Magistrate in Mobster-Ville</w:t>
      </w:r>
      <w:r w:rsidRPr="00C25945">
        <w:rPr>
          <w:color w:val="000000" w:themeColor="text1"/>
          <w:sz w:val="24"/>
          <w:szCs w:val="24"/>
        </w:rPr>
        <w:t>. Xlibris Corporation.</w:t>
      </w:r>
    </w:p>
    <w:p w14:paraId="26D6AECF" w14:textId="77777777" w:rsidR="00773F84" w:rsidRPr="00C25945" w:rsidRDefault="00773F84" w:rsidP="007F6963">
      <w:pPr>
        <w:spacing w:before="240" w:after="240" w:line="360" w:lineRule="auto"/>
        <w:jc w:val="both"/>
        <w:rPr>
          <w:color w:val="000000" w:themeColor="text1"/>
          <w:sz w:val="24"/>
          <w:szCs w:val="24"/>
        </w:rPr>
      </w:pPr>
      <w:r w:rsidRPr="00C25945">
        <w:rPr>
          <w:color w:val="000000" w:themeColor="text1"/>
          <w:sz w:val="24"/>
          <w:szCs w:val="24"/>
        </w:rPr>
        <w:t xml:space="preserve">HUXLEY-BINNS, R.E.B.E.C.C.A. (2014) </w:t>
      </w:r>
      <w:r w:rsidRPr="00C25945">
        <w:rPr>
          <w:i/>
          <w:iCs/>
          <w:color w:val="000000" w:themeColor="text1"/>
          <w:sz w:val="24"/>
          <w:szCs w:val="24"/>
        </w:rPr>
        <w:t>Unlocking the English legal system</w:t>
      </w:r>
      <w:r w:rsidRPr="00C25945">
        <w:rPr>
          <w:color w:val="000000" w:themeColor="text1"/>
          <w:sz w:val="24"/>
          <w:szCs w:val="24"/>
        </w:rPr>
        <w:t xml:space="preserve">. London: Routledge. </w:t>
      </w:r>
    </w:p>
    <w:p w14:paraId="14FD150B" w14:textId="77777777" w:rsidR="00773F84" w:rsidRPr="00C25945" w:rsidRDefault="00773F84" w:rsidP="007F6963">
      <w:pPr>
        <w:spacing w:before="240" w:after="240" w:line="360" w:lineRule="auto"/>
        <w:jc w:val="both"/>
        <w:rPr>
          <w:color w:val="000000" w:themeColor="text1"/>
          <w:sz w:val="24"/>
          <w:szCs w:val="24"/>
        </w:rPr>
      </w:pPr>
      <w:r w:rsidRPr="00C25945">
        <w:rPr>
          <w:color w:val="000000" w:themeColor="text1"/>
          <w:sz w:val="24"/>
          <w:szCs w:val="24"/>
        </w:rPr>
        <w:t xml:space="preserve">Machielsen, J. (2015) “Magistrate,” </w:t>
      </w:r>
      <w:r w:rsidRPr="00C25945">
        <w:rPr>
          <w:i/>
          <w:iCs/>
          <w:color w:val="000000" w:themeColor="text1"/>
          <w:sz w:val="24"/>
          <w:szCs w:val="24"/>
        </w:rPr>
        <w:t>Martin Delrio</w:t>
      </w:r>
      <w:r w:rsidRPr="00C25945">
        <w:rPr>
          <w:color w:val="000000" w:themeColor="text1"/>
          <w:sz w:val="24"/>
          <w:szCs w:val="24"/>
        </w:rPr>
        <w:t xml:space="preserve"> [Preprint]. Available at: https://doi.org/10.5871/bacad/9780197265802.003.0001. </w:t>
      </w:r>
    </w:p>
    <w:p w14:paraId="4C1CF24E" w14:textId="77777777" w:rsidR="00773F84" w:rsidRPr="00C25945" w:rsidRDefault="00773F84" w:rsidP="007F6963">
      <w:pPr>
        <w:spacing w:before="240" w:after="240" w:line="360" w:lineRule="auto"/>
        <w:jc w:val="both"/>
        <w:rPr>
          <w:color w:val="000000" w:themeColor="text1"/>
          <w:sz w:val="24"/>
          <w:szCs w:val="24"/>
        </w:rPr>
      </w:pPr>
      <w:r w:rsidRPr="00C25945">
        <w:rPr>
          <w:i/>
          <w:iCs/>
          <w:color w:val="000000" w:themeColor="text1"/>
          <w:sz w:val="24"/>
          <w:szCs w:val="24"/>
        </w:rPr>
        <w:t xml:space="preserve">Paul v DPP </w:t>
      </w:r>
      <w:r w:rsidRPr="00C25945">
        <w:rPr>
          <w:color w:val="000000" w:themeColor="text1"/>
          <w:sz w:val="24"/>
          <w:szCs w:val="24"/>
        </w:rPr>
        <w:t>(2005) IECCA 141</w:t>
      </w:r>
    </w:p>
    <w:p w14:paraId="0D8873BB" w14:textId="77777777" w:rsidR="00773F84" w:rsidRPr="00C25945" w:rsidRDefault="00773F84" w:rsidP="007F6963">
      <w:pPr>
        <w:spacing w:before="240" w:after="240" w:line="360" w:lineRule="auto"/>
        <w:jc w:val="both"/>
        <w:rPr>
          <w:color w:val="000000" w:themeColor="text1"/>
          <w:sz w:val="24"/>
          <w:szCs w:val="24"/>
        </w:rPr>
      </w:pPr>
      <w:r w:rsidRPr="00C25945">
        <w:rPr>
          <w:i/>
          <w:iCs/>
          <w:color w:val="000000" w:themeColor="text1"/>
          <w:sz w:val="24"/>
          <w:szCs w:val="24"/>
        </w:rPr>
        <w:t xml:space="preserve">R v Bingham JJ ex parte Jowitt </w:t>
      </w:r>
      <w:r w:rsidRPr="00C25945">
        <w:rPr>
          <w:color w:val="000000" w:themeColor="text1"/>
          <w:sz w:val="24"/>
          <w:szCs w:val="24"/>
        </w:rPr>
        <w:t>(1974) DC</w:t>
      </w:r>
    </w:p>
    <w:p w14:paraId="46CC74CC" w14:textId="77777777" w:rsidR="00773F84" w:rsidRPr="00C25945" w:rsidRDefault="00773F84" w:rsidP="007F6963">
      <w:pPr>
        <w:spacing w:before="240" w:after="240" w:line="360" w:lineRule="auto"/>
        <w:jc w:val="both"/>
        <w:rPr>
          <w:color w:val="000000" w:themeColor="text1"/>
          <w:sz w:val="24"/>
          <w:szCs w:val="24"/>
        </w:rPr>
      </w:pPr>
      <w:r w:rsidRPr="00C25945">
        <w:rPr>
          <w:i/>
          <w:iCs/>
          <w:color w:val="000000" w:themeColor="text1"/>
          <w:sz w:val="24"/>
          <w:szCs w:val="24"/>
        </w:rPr>
        <w:t>R v Birmingham magistrates court, ex parte ahmed</w:t>
      </w:r>
      <w:r w:rsidRPr="00C25945">
        <w:rPr>
          <w:color w:val="000000" w:themeColor="text1"/>
          <w:sz w:val="24"/>
          <w:szCs w:val="24"/>
        </w:rPr>
        <w:t xml:space="preserve"> (2003) EWHC 72</w:t>
      </w:r>
    </w:p>
    <w:p w14:paraId="2CA981DD" w14:textId="77777777" w:rsidR="00773F84" w:rsidRPr="00C25945" w:rsidRDefault="00773F84" w:rsidP="007F6963">
      <w:pPr>
        <w:spacing w:before="240" w:after="240" w:line="360" w:lineRule="auto"/>
        <w:jc w:val="both"/>
        <w:rPr>
          <w:color w:val="000000" w:themeColor="text1"/>
          <w:sz w:val="24"/>
          <w:szCs w:val="24"/>
        </w:rPr>
      </w:pPr>
      <w:r w:rsidRPr="00C25945">
        <w:rPr>
          <w:color w:val="000000" w:themeColor="text1"/>
          <w:sz w:val="24"/>
          <w:szCs w:val="24"/>
        </w:rPr>
        <w:t xml:space="preserve">Robinson, B. (2013) </w:t>
      </w:r>
      <w:r w:rsidRPr="00C25945">
        <w:rPr>
          <w:i/>
          <w:iCs/>
          <w:color w:val="000000" w:themeColor="text1"/>
          <w:sz w:val="24"/>
          <w:szCs w:val="24"/>
        </w:rPr>
        <w:t>Fathering in the UK: Stories and ideas from Britain</w:t>
      </w:r>
      <w:r w:rsidRPr="00C25945">
        <w:rPr>
          <w:color w:val="000000" w:themeColor="text1"/>
          <w:sz w:val="24"/>
          <w:szCs w:val="24"/>
        </w:rPr>
        <w:t xml:space="preserve">. Cork: BookBaby. </w:t>
      </w:r>
    </w:p>
    <w:p w14:paraId="7DE7C742" w14:textId="77777777" w:rsidR="00773F84" w:rsidRPr="00C25945" w:rsidRDefault="00773F84" w:rsidP="007F6963">
      <w:pPr>
        <w:spacing w:before="240" w:after="240" w:line="360" w:lineRule="auto"/>
        <w:jc w:val="both"/>
        <w:rPr>
          <w:color w:val="000000" w:themeColor="text1"/>
          <w:sz w:val="24"/>
          <w:szCs w:val="24"/>
        </w:rPr>
      </w:pPr>
      <w:r w:rsidRPr="00C25945">
        <w:rPr>
          <w:color w:val="000000" w:themeColor="text1"/>
          <w:sz w:val="24"/>
          <w:szCs w:val="24"/>
        </w:rPr>
        <w:t xml:space="preserve">Saul, B. and Stephens, T. (2015) </w:t>
      </w:r>
      <w:r w:rsidRPr="00C25945">
        <w:rPr>
          <w:i/>
          <w:iCs/>
          <w:color w:val="000000" w:themeColor="text1"/>
          <w:sz w:val="24"/>
          <w:szCs w:val="24"/>
        </w:rPr>
        <w:t>Antarctica in international law</w:t>
      </w:r>
      <w:r w:rsidRPr="00C25945">
        <w:rPr>
          <w:color w:val="000000" w:themeColor="text1"/>
          <w:sz w:val="24"/>
          <w:szCs w:val="24"/>
        </w:rPr>
        <w:t xml:space="preserve">. Oxford u.a.: Hart. </w:t>
      </w:r>
    </w:p>
    <w:p w14:paraId="3FD43639" w14:textId="77777777" w:rsidR="00773F84" w:rsidRPr="00C25945" w:rsidRDefault="00773F84" w:rsidP="007F6963">
      <w:pPr>
        <w:spacing w:before="240" w:after="240" w:line="360" w:lineRule="auto"/>
        <w:jc w:val="both"/>
        <w:rPr>
          <w:color w:val="000000" w:themeColor="text1"/>
          <w:sz w:val="24"/>
          <w:szCs w:val="24"/>
        </w:rPr>
      </w:pPr>
      <w:r w:rsidRPr="00C25945">
        <w:rPr>
          <w:color w:val="000000" w:themeColor="text1"/>
          <w:sz w:val="24"/>
          <w:szCs w:val="24"/>
        </w:rPr>
        <w:t xml:space="preserve">Slobogin, C. (2020) </w:t>
      </w:r>
      <w:r w:rsidRPr="00C25945">
        <w:rPr>
          <w:i/>
          <w:iCs/>
          <w:color w:val="000000" w:themeColor="text1"/>
          <w:sz w:val="24"/>
          <w:szCs w:val="24"/>
        </w:rPr>
        <w:t>Advanced introduction to U.S. criminal procedure</w:t>
      </w:r>
      <w:r w:rsidRPr="00C25945">
        <w:rPr>
          <w:color w:val="000000" w:themeColor="text1"/>
          <w:sz w:val="24"/>
          <w:szCs w:val="24"/>
        </w:rPr>
        <w:t xml:space="preserve">. Cheltenham, UK: Edward Elgar Publishing. </w:t>
      </w:r>
    </w:p>
    <w:p w14:paraId="4B30FD4D" w14:textId="77777777" w:rsidR="00773F84" w:rsidRPr="00C25945" w:rsidRDefault="00773F84" w:rsidP="007F6963">
      <w:pPr>
        <w:spacing w:before="240" w:after="240" w:line="360" w:lineRule="auto"/>
        <w:jc w:val="both"/>
        <w:rPr>
          <w:color w:val="000000" w:themeColor="text1"/>
          <w:sz w:val="24"/>
          <w:szCs w:val="24"/>
        </w:rPr>
      </w:pPr>
      <w:bookmarkStart w:id="3" w:name="_Hlk138258121"/>
      <w:r w:rsidRPr="00C25945">
        <w:rPr>
          <w:i/>
          <w:iCs/>
          <w:color w:val="000000" w:themeColor="text1"/>
          <w:sz w:val="24"/>
          <w:szCs w:val="24"/>
        </w:rPr>
        <w:lastRenderedPageBreak/>
        <w:t>The Role of Magistrates</w:t>
      </w:r>
      <w:r w:rsidRPr="00C25945">
        <w:rPr>
          <w:color w:val="000000" w:themeColor="text1"/>
          <w:sz w:val="24"/>
          <w:szCs w:val="24"/>
        </w:rPr>
        <w:t xml:space="preserve"> </w:t>
      </w:r>
      <w:bookmarkEnd w:id="3"/>
      <w:r w:rsidRPr="00C25945">
        <w:rPr>
          <w:color w:val="000000" w:themeColor="text1"/>
          <w:sz w:val="24"/>
          <w:szCs w:val="24"/>
        </w:rPr>
        <w:t xml:space="preserve">(2022) </w:t>
      </w:r>
      <w:r w:rsidRPr="00C25945">
        <w:rPr>
          <w:i/>
          <w:iCs/>
          <w:color w:val="000000" w:themeColor="text1"/>
          <w:sz w:val="24"/>
          <w:szCs w:val="24"/>
        </w:rPr>
        <w:t>GOV.UK</w:t>
      </w:r>
      <w:r w:rsidRPr="00C25945">
        <w:rPr>
          <w:color w:val="000000" w:themeColor="text1"/>
          <w:sz w:val="24"/>
          <w:szCs w:val="24"/>
        </w:rPr>
        <w:t xml:space="preserve">. Available at: https://www.gov.uk/government/speeches/the-role-of-magistrates (Accessed: April 20, 2023). </w:t>
      </w:r>
    </w:p>
    <w:p w14:paraId="31724F96" w14:textId="77777777" w:rsidR="00773F84" w:rsidRPr="00C25945" w:rsidRDefault="00773F84" w:rsidP="007F6963">
      <w:pPr>
        <w:spacing w:before="240" w:after="240" w:line="360" w:lineRule="auto"/>
        <w:jc w:val="both"/>
        <w:rPr>
          <w:color w:val="000000" w:themeColor="text1"/>
          <w:sz w:val="24"/>
          <w:szCs w:val="24"/>
        </w:rPr>
      </w:pPr>
      <w:r w:rsidRPr="00C25945">
        <w:rPr>
          <w:color w:val="000000" w:themeColor="text1"/>
          <w:sz w:val="24"/>
          <w:szCs w:val="24"/>
        </w:rPr>
        <w:t xml:space="preserve">Tudor, S. </w:t>
      </w:r>
      <w:r w:rsidRPr="00C25945">
        <w:rPr>
          <w:i/>
          <w:iCs/>
          <w:color w:val="000000" w:themeColor="text1"/>
          <w:sz w:val="24"/>
          <w:szCs w:val="24"/>
        </w:rPr>
        <w:t>et al.</w:t>
      </w:r>
      <w:r w:rsidRPr="00C25945">
        <w:rPr>
          <w:color w:val="000000" w:themeColor="text1"/>
          <w:sz w:val="24"/>
          <w:szCs w:val="24"/>
        </w:rPr>
        <w:t xml:space="preserve"> (2022) </w:t>
      </w:r>
      <w:r w:rsidRPr="00C25945">
        <w:rPr>
          <w:i/>
          <w:iCs/>
          <w:color w:val="000000" w:themeColor="text1"/>
          <w:sz w:val="24"/>
          <w:szCs w:val="24"/>
        </w:rPr>
        <w:t>Remorse and criminal justice: Multi-disciplinary Perspectives</w:t>
      </w:r>
      <w:r w:rsidRPr="00C25945">
        <w:rPr>
          <w:color w:val="000000" w:themeColor="text1"/>
          <w:sz w:val="24"/>
          <w:szCs w:val="24"/>
        </w:rPr>
        <w:t xml:space="preserve">. Abingdon, Oxon: Routledge, Taylor &amp; Francis Group. </w:t>
      </w:r>
    </w:p>
    <w:p w14:paraId="717CB84B" w14:textId="77777777" w:rsidR="000237B4" w:rsidRPr="00C25945" w:rsidRDefault="000237B4" w:rsidP="000237B4">
      <w:pPr>
        <w:spacing w:before="240" w:after="240" w:line="360" w:lineRule="auto"/>
        <w:jc w:val="both"/>
        <w:rPr>
          <w:color w:val="000000" w:themeColor="text1"/>
          <w:sz w:val="24"/>
          <w:szCs w:val="24"/>
        </w:rPr>
      </w:pPr>
      <w:r w:rsidRPr="00C25945">
        <w:rPr>
          <w:color w:val="000000" w:themeColor="text1"/>
          <w:sz w:val="24"/>
          <w:szCs w:val="24"/>
        </w:rPr>
        <w:t xml:space="preserve">(2021) </w:t>
      </w:r>
      <w:r w:rsidRPr="00C25945">
        <w:rPr>
          <w:i/>
          <w:iCs/>
          <w:color w:val="000000" w:themeColor="text1"/>
          <w:sz w:val="24"/>
          <w:szCs w:val="24"/>
        </w:rPr>
        <w:t>Magistrates association &gt; about magistrates &gt; history of the magistracy</w:t>
      </w:r>
      <w:r w:rsidRPr="00C25945">
        <w:rPr>
          <w:color w:val="000000" w:themeColor="text1"/>
          <w:sz w:val="24"/>
          <w:szCs w:val="24"/>
        </w:rPr>
        <w:t xml:space="preserve">. Available at: https://www.magistrates-association.org.uk/About-magistrates/History-of-the-magistracy (Accessed: 21 June 2023). </w:t>
      </w:r>
    </w:p>
    <w:p w14:paraId="58B6FF45" w14:textId="77777777" w:rsidR="000237B4" w:rsidRPr="00C25945" w:rsidRDefault="000237B4" w:rsidP="000237B4">
      <w:pPr>
        <w:spacing w:before="240" w:after="240" w:line="360" w:lineRule="auto"/>
        <w:jc w:val="both"/>
        <w:rPr>
          <w:color w:val="000000" w:themeColor="text1"/>
          <w:sz w:val="24"/>
          <w:szCs w:val="24"/>
        </w:rPr>
      </w:pPr>
      <w:r w:rsidRPr="00C25945">
        <w:rPr>
          <w:color w:val="000000" w:themeColor="text1"/>
          <w:sz w:val="24"/>
          <w:szCs w:val="24"/>
        </w:rPr>
        <w:t xml:space="preserve">Archer, H. (2017) ‘The Mirour for magistrates (1587)’, </w:t>
      </w:r>
      <w:r w:rsidRPr="00C25945">
        <w:rPr>
          <w:i/>
          <w:iCs/>
          <w:color w:val="000000" w:themeColor="text1"/>
          <w:sz w:val="24"/>
          <w:szCs w:val="24"/>
        </w:rPr>
        <w:t>Oxford Scholarship Online</w:t>
      </w:r>
      <w:r w:rsidRPr="00C25945">
        <w:rPr>
          <w:color w:val="000000" w:themeColor="text1"/>
          <w:sz w:val="24"/>
          <w:szCs w:val="24"/>
        </w:rPr>
        <w:t xml:space="preserve"> [Preprint]. doi:10.1093/oso/9780198806172.003.0005. </w:t>
      </w:r>
    </w:p>
    <w:p w14:paraId="7F6BD4CD" w14:textId="77777777" w:rsidR="000237B4" w:rsidRPr="00C25945" w:rsidRDefault="000237B4" w:rsidP="000237B4">
      <w:pPr>
        <w:spacing w:before="240" w:after="240" w:line="360" w:lineRule="auto"/>
        <w:jc w:val="both"/>
        <w:rPr>
          <w:color w:val="000000" w:themeColor="text1"/>
          <w:sz w:val="24"/>
          <w:szCs w:val="24"/>
        </w:rPr>
      </w:pPr>
      <w:r w:rsidRPr="00C25945">
        <w:rPr>
          <w:color w:val="000000" w:themeColor="text1"/>
          <w:sz w:val="24"/>
          <w:szCs w:val="24"/>
        </w:rPr>
        <w:t xml:space="preserve">Burchardt, T. and Hick, R. (2016) ‘The capability approach to advantage and disadvantage’, </w:t>
      </w:r>
      <w:r w:rsidRPr="00C25945">
        <w:rPr>
          <w:i/>
          <w:iCs/>
          <w:color w:val="000000" w:themeColor="text1"/>
          <w:sz w:val="24"/>
          <w:szCs w:val="24"/>
        </w:rPr>
        <w:t>Social Advantage and Disadvantage</w:t>
      </w:r>
      <w:r w:rsidRPr="00C25945">
        <w:rPr>
          <w:color w:val="000000" w:themeColor="text1"/>
          <w:sz w:val="24"/>
          <w:szCs w:val="24"/>
        </w:rPr>
        <w:t xml:space="preserve">, pp. 25–41. doi:10.1093/acprof:oso/9780198737070.003.0002. </w:t>
      </w:r>
    </w:p>
    <w:p w14:paraId="66CFBB66" w14:textId="77777777" w:rsidR="000237B4" w:rsidRPr="00C25945" w:rsidRDefault="000237B4" w:rsidP="000237B4">
      <w:pPr>
        <w:spacing w:before="240" w:after="240" w:line="360" w:lineRule="auto"/>
        <w:jc w:val="both"/>
        <w:rPr>
          <w:color w:val="000000" w:themeColor="text1"/>
          <w:sz w:val="24"/>
          <w:szCs w:val="24"/>
        </w:rPr>
      </w:pPr>
      <w:r w:rsidRPr="00C25945">
        <w:rPr>
          <w:color w:val="000000" w:themeColor="text1"/>
          <w:sz w:val="24"/>
          <w:szCs w:val="24"/>
        </w:rPr>
        <w:t xml:space="preserve">Fergusson, S. (2023) ‘Local magistracy and the rule of the major generals: Robert Beake coventry’s godly mayor 1655-6’, </w:t>
      </w:r>
      <w:r w:rsidRPr="00C25945">
        <w:rPr>
          <w:i/>
          <w:iCs/>
          <w:color w:val="000000" w:themeColor="text1"/>
          <w:sz w:val="24"/>
          <w:szCs w:val="24"/>
        </w:rPr>
        <w:t>Midland History</w:t>
      </w:r>
      <w:r w:rsidRPr="00C25945">
        <w:rPr>
          <w:color w:val="000000" w:themeColor="text1"/>
          <w:sz w:val="24"/>
          <w:szCs w:val="24"/>
        </w:rPr>
        <w:t xml:space="preserve">, pp. 1–20. doi:10.1080/0047729x.2023.2217239. </w:t>
      </w:r>
    </w:p>
    <w:p w14:paraId="4A552CDE" w14:textId="77777777" w:rsidR="000237B4" w:rsidRPr="00C25945" w:rsidRDefault="000237B4" w:rsidP="000237B4">
      <w:pPr>
        <w:spacing w:before="240" w:after="240" w:line="360" w:lineRule="auto"/>
        <w:jc w:val="both"/>
        <w:rPr>
          <w:color w:val="000000" w:themeColor="text1"/>
          <w:sz w:val="24"/>
          <w:szCs w:val="24"/>
        </w:rPr>
      </w:pPr>
      <w:r w:rsidRPr="00C25945">
        <w:rPr>
          <w:color w:val="000000" w:themeColor="text1"/>
          <w:sz w:val="24"/>
          <w:szCs w:val="24"/>
        </w:rPr>
        <w:t xml:space="preserve">Hills, J. and Cunliffe, J. (2016) ‘Accumulated advantage and disadvantage’, </w:t>
      </w:r>
      <w:r w:rsidRPr="00C25945">
        <w:rPr>
          <w:i/>
          <w:iCs/>
          <w:color w:val="000000" w:themeColor="text1"/>
          <w:sz w:val="24"/>
          <w:szCs w:val="24"/>
        </w:rPr>
        <w:t>Social Advantage and Disadvantage</w:t>
      </w:r>
      <w:r w:rsidRPr="00C25945">
        <w:rPr>
          <w:color w:val="000000" w:themeColor="text1"/>
          <w:sz w:val="24"/>
          <w:szCs w:val="24"/>
        </w:rPr>
        <w:t xml:space="preserve">, pp. 161–178. doi:10.1093/acprof:oso/9780198737070.003.0008. </w:t>
      </w:r>
    </w:p>
    <w:p w14:paraId="40A7214E" w14:textId="77777777" w:rsidR="000237B4" w:rsidRPr="00C25945" w:rsidRDefault="000237B4" w:rsidP="000237B4">
      <w:pPr>
        <w:spacing w:before="240" w:after="240" w:line="360" w:lineRule="auto"/>
        <w:jc w:val="both"/>
        <w:rPr>
          <w:color w:val="000000" w:themeColor="text1"/>
          <w:sz w:val="24"/>
          <w:szCs w:val="24"/>
        </w:rPr>
      </w:pPr>
      <w:r w:rsidRPr="00C25945">
        <w:rPr>
          <w:color w:val="000000" w:themeColor="text1"/>
          <w:sz w:val="24"/>
          <w:szCs w:val="24"/>
        </w:rPr>
        <w:t xml:space="preserve">Malleson, K. (2015) ‘The changing institutional politics of the UK Supreme Court’, </w:t>
      </w:r>
      <w:r w:rsidRPr="00C25945">
        <w:rPr>
          <w:i/>
          <w:iCs/>
          <w:color w:val="000000" w:themeColor="text1"/>
          <w:sz w:val="24"/>
          <w:szCs w:val="24"/>
        </w:rPr>
        <w:t>UK Supreme Court Yearbook Volume 1</w:t>
      </w:r>
      <w:r w:rsidRPr="00C25945">
        <w:rPr>
          <w:color w:val="000000" w:themeColor="text1"/>
          <w:sz w:val="24"/>
          <w:szCs w:val="24"/>
        </w:rPr>
        <w:t xml:space="preserve">, pp. 54–71. doi:10.19152/ukscy.669. </w:t>
      </w:r>
    </w:p>
    <w:p w14:paraId="7A376823" w14:textId="77777777" w:rsidR="002B3881" w:rsidRPr="00C25945" w:rsidRDefault="002B3881" w:rsidP="002B3881">
      <w:pPr>
        <w:spacing w:before="240" w:after="240" w:line="360" w:lineRule="auto"/>
        <w:jc w:val="both"/>
        <w:rPr>
          <w:color w:val="000000" w:themeColor="text1"/>
          <w:sz w:val="24"/>
          <w:szCs w:val="24"/>
        </w:rPr>
      </w:pPr>
      <w:r w:rsidRPr="00C25945">
        <w:rPr>
          <w:color w:val="000000" w:themeColor="text1"/>
          <w:sz w:val="24"/>
          <w:szCs w:val="24"/>
        </w:rPr>
        <w:t xml:space="preserve">Morgan, R. (2013) ‘The magistracy: Secure epitome of the big society?’, </w:t>
      </w:r>
      <w:r w:rsidRPr="00C25945">
        <w:rPr>
          <w:i/>
          <w:iCs/>
          <w:color w:val="000000" w:themeColor="text1"/>
          <w:sz w:val="24"/>
          <w:szCs w:val="24"/>
        </w:rPr>
        <w:t>Criminal Justice Matters</w:t>
      </w:r>
      <w:r w:rsidRPr="00C25945">
        <w:rPr>
          <w:color w:val="000000" w:themeColor="text1"/>
          <w:sz w:val="24"/>
          <w:szCs w:val="24"/>
        </w:rPr>
        <w:t xml:space="preserve">, 91(1), pp. 8–9. doi:10.1080/09627251.2013.778743. </w:t>
      </w:r>
    </w:p>
    <w:p w14:paraId="3AA30485" w14:textId="77777777" w:rsidR="002B3881" w:rsidRPr="00C25945" w:rsidRDefault="002B3881" w:rsidP="002B3881">
      <w:pPr>
        <w:spacing w:before="240" w:after="240" w:line="360" w:lineRule="auto"/>
        <w:jc w:val="both"/>
        <w:rPr>
          <w:color w:val="000000" w:themeColor="text1"/>
          <w:sz w:val="24"/>
          <w:szCs w:val="24"/>
        </w:rPr>
      </w:pPr>
      <w:r w:rsidRPr="00C25945">
        <w:rPr>
          <w:color w:val="000000" w:themeColor="text1"/>
          <w:sz w:val="24"/>
          <w:szCs w:val="24"/>
        </w:rPr>
        <w:t xml:space="preserve">Morgan, R. and Russell, N. (2000) </w:t>
      </w:r>
      <w:r w:rsidRPr="00C25945">
        <w:rPr>
          <w:i/>
          <w:iCs/>
          <w:color w:val="000000" w:themeColor="text1"/>
          <w:sz w:val="24"/>
          <w:szCs w:val="24"/>
        </w:rPr>
        <w:t>The judiciary in the Magistrates’ Courts</w:t>
      </w:r>
      <w:r w:rsidRPr="00C25945">
        <w:rPr>
          <w:color w:val="000000" w:themeColor="text1"/>
          <w:sz w:val="24"/>
          <w:szCs w:val="24"/>
        </w:rPr>
        <w:t xml:space="preserve">. London: Home Office, Lord Chancellor’s Department. </w:t>
      </w:r>
    </w:p>
    <w:p w14:paraId="1AF13B42" w14:textId="77777777" w:rsidR="002B3881" w:rsidRPr="00C25945" w:rsidRDefault="002B3881" w:rsidP="002B3881">
      <w:pPr>
        <w:spacing w:before="240" w:after="240" w:line="360" w:lineRule="auto"/>
        <w:jc w:val="both"/>
        <w:rPr>
          <w:color w:val="000000" w:themeColor="text1"/>
          <w:sz w:val="24"/>
          <w:szCs w:val="24"/>
        </w:rPr>
      </w:pPr>
      <w:r w:rsidRPr="00C25945">
        <w:rPr>
          <w:color w:val="000000" w:themeColor="text1"/>
          <w:sz w:val="24"/>
          <w:szCs w:val="24"/>
        </w:rPr>
        <w:t xml:space="preserve">‘Introduction’ (2021) </w:t>
      </w:r>
      <w:r w:rsidRPr="00C25945">
        <w:rPr>
          <w:i/>
          <w:iCs/>
          <w:color w:val="000000" w:themeColor="text1"/>
          <w:sz w:val="24"/>
          <w:szCs w:val="24"/>
        </w:rPr>
        <w:t>Access to Justice in Magistrates’ Courts</w:t>
      </w:r>
      <w:r w:rsidRPr="00C25945">
        <w:rPr>
          <w:color w:val="000000" w:themeColor="text1"/>
          <w:sz w:val="24"/>
          <w:szCs w:val="24"/>
        </w:rPr>
        <w:t xml:space="preserve"> [Preprint]. doi:10.5040/9781509937868.ch-001. </w:t>
      </w:r>
    </w:p>
    <w:p w14:paraId="35B373CA" w14:textId="77777777" w:rsidR="00773F84" w:rsidRPr="00C25945" w:rsidRDefault="00773F84" w:rsidP="007F6963">
      <w:pPr>
        <w:spacing w:before="240" w:after="240" w:line="360" w:lineRule="auto"/>
        <w:jc w:val="both"/>
        <w:rPr>
          <w:color w:val="000000" w:themeColor="text1"/>
          <w:sz w:val="24"/>
          <w:szCs w:val="24"/>
        </w:rPr>
      </w:pPr>
    </w:p>
    <w:sectPr w:rsidR="00773F84" w:rsidRPr="00C25945" w:rsidSect="00D16DC1">
      <w:footerReference w:type="default" r:id="rId10"/>
      <w:pgSz w:w="11906" w:h="16838" w:code="9"/>
      <w:pgMar w:top="1440" w:right="1440" w:bottom="1440" w:left="144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901900" w14:textId="77777777" w:rsidR="00F94799" w:rsidRDefault="00F94799">
      <w:r>
        <w:separator/>
      </w:r>
    </w:p>
  </w:endnote>
  <w:endnote w:type="continuationSeparator" w:id="0">
    <w:p w14:paraId="11997C82" w14:textId="77777777" w:rsidR="00F94799" w:rsidRDefault="00F94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401940"/>
      <w:docPartObj>
        <w:docPartGallery w:val="Page Numbers (Bottom of Page)"/>
        <w:docPartUnique/>
      </w:docPartObj>
    </w:sdtPr>
    <w:sdtEndPr>
      <w:rPr>
        <w:noProof/>
      </w:rPr>
    </w:sdtEndPr>
    <w:sdtContent>
      <w:p w14:paraId="1AA82B24" w14:textId="12C59D4D" w:rsidR="001E7018" w:rsidRDefault="001E7018">
        <w:pPr>
          <w:pStyle w:val="Footer"/>
          <w:jc w:val="center"/>
        </w:pPr>
        <w:r>
          <w:fldChar w:fldCharType="begin"/>
        </w:r>
        <w:r>
          <w:instrText xml:space="preserve"> PAGE   \* MERGEFORMAT </w:instrText>
        </w:r>
        <w:r>
          <w:fldChar w:fldCharType="separate"/>
        </w:r>
        <w:r w:rsidR="005B5FB6">
          <w:rPr>
            <w:noProof/>
          </w:rPr>
          <w:t>1</w:t>
        </w:r>
        <w:r>
          <w:rPr>
            <w:noProof/>
          </w:rPr>
          <w:fldChar w:fldCharType="end"/>
        </w:r>
      </w:p>
    </w:sdtContent>
  </w:sdt>
  <w:p w14:paraId="598D0D77" w14:textId="77777777" w:rsidR="001E7018" w:rsidRDefault="001E70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4DA361" w14:textId="77777777" w:rsidR="00F94799" w:rsidRDefault="00F94799">
      <w:r>
        <w:separator/>
      </w:r>
    </w:p>
  </w:footnote>
  <w:footnote w:type="continuationSeparator" w:id="0">
    <w:p w14:paraId="70862D8E" w14:textId="77777777" w:rsidR="00F94799" w:rsidRDefault="00F94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A35940"/>
    <w:multiLevelType w:val="hybridMultilevel"/>
    <w:tmpl w:val="88C226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8D920C1"/>
    <w:multiLevelType w:val="hybridMultilevel"/>
    <w:tmpl w:val="7FCC44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624A11"/>
    <w:multiLevelType w:val="hybridMultilevel"/>
    <w:tmpl w:val="356CC464"/>
    <w:lvl w:ilvl="0" w:tplc="D728B334">
      <w:start w:val="1"/>
      <w:numFmt w:val="bullet"/>
      <w:lvlText w:val=""/>
      <w:lvlJc w:val="left"/>
      <w:pPr>
        <w:ind w:left="720" w:hanging="360"/>
      </w:pPr>
      <w:rPr>
        <w:rFonts w:ascii="Symbol" w:hAnsi="Symbol" w:hint="default"/>
      </w:rPr>
    </w:lvl>
    <w:lvl w:ilvl="1" w:tplc="66DA1900">
      <w:start w:val="1"/>
      <w:numFmt w:val="bullet"/>
      <w:lvlText w:val="o"/>
      <w:lvlJc w:val="left"/>
      <w:pPr>
        <w:ind w:left="1440" w:hanging="360"/>
      </w:pPr>
      <w:rPr>
        <w:rFonts w:ascii="Courier New" w:hAnsi="Courier New" w:hint="default"/>
      </w:rPr>
    </w:lvl>
    <w:lvl w:ilvl="2" w:tplc="7C2AC882">
      <w:start w:val="1"/>
      <w:numFmt w:val="bullet"/>
      <w:lvlText w:val=""/>
      <w:lvlJc w:val="left"/>
      <w:pPr>
        <w:ind w:left="2160" w:hanging="360"/>
      </w:pPr>
      <w:rPr>
        <w:rFonts w:ascii="Wingdings" w:hAnsi="Wingdings" w:hint="default"/>
      </w:rPr>
    </w:lvl>
    <w:lvl w:ilvl="3" w:tplc="E200BBB6">
      <w:start w:val="1"/>
      <w:numFmt w:val="bullet"/>
      <w:lvlText w:val=""/>
      <w:lvlJc w:val="left"/>
      <w:pPr>
        <w:ind w:left="2880" w:hanging="360"/>
      </w:pPr>
      <w:rPr>
        <w:rFonts w:ascii="Symbol" w:hAnsi="Symbol" w:hint="default"/>
      </w:rPr>
    </w:lvl>
    <w:lvl w:ilvl="4" w:tplc="C1E85EA2">
      <w:start w:val="1"/>
      <w:numFmt w:val="bullet"/>
      <w:lvlText w:val="o"/>
      <w:lvlJc w:val="left"/>
      <w:pPr>
        <w:ind w:left="3600" w:hanging="360"/>
      </w:pPr>
      <w:rPr>
        <w:rFonts w:ascii="Courier New" w:hAnsi="Courier New" w:hint="default"/>
      </w:rPr>
    </w:lvl>
    <w:lvl w:ilvl="5" w:tplc="0BBEEBBE">
      <w:start w:val="1"/>
      <w:numFmt w:val="bullet"/>
      <w:lvlText w:val=""/>
      <w:lvlJc w:val="left"/>
      <w:pPr>
        <w:ind w:left="4320" w:hanging="360"/>
      </w:pPr>
      <w:rPr>
        <w:rFonts w:ascii="Wingdings" w:hAnsi="Wingdings" w:hint="default"/>
      </w:rPr>
    </w:lvl>
    <w:lvl w:ilvl="6" w:tplc="6A4C679A">
      <w:start w:val="1"/>
      <w:numFmt w:val="bullet"/>
      <w:lvlText w:val=""/>
      <w:lvlJc w:val="left"/>
      <w:pPr>
        <w:ind w:left="5040" w:hanging="360"/>
      </w:pPr>
      <w:rPr>
        <w:rFonts w:ascii="Symbol" w:hAnsi="Symbol" w:hint="default"/>
      </w:rPr>
    </w:lvl>
    <w:lvl w:ilvl="7" w:tplc="0A720A26">
      <w:start w:val="1"/>
      <w:numFmt w:val="bullet"/>
      <w:lvlText w:val="o"/>
      <w:lvlJc w:val="left"/>
      <w:pPr>
        <w:ind w:left="5760" w:hanging="360"/>
      </w:pPr>
      <w:rPr>
        <w:rFonts w:ascii="Courier New" w:hAnsi="Courier New" w:hint="default"/>
      </w:rPr>
    </w:lvl>
    <w:lvl w:ilvl="8" w:tplc="C2968F78">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83C0D6E"/>
    <w:multiLevelType w:val="hybridMultilevel"/>
    <w:tmpl w:val="2A3E0C2A"/>
    <w:lvl w:ilvl="0" w:tplc="A4D4D41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2049334270">
    <w:abstractNumId w:val="15"/>
  </w:num>
  <w:num w:numId="2" w16cid:durableId="1819953021">
    <w:abstractNumId w:val="1"/>
  </w:num>
  <w:num w:numId="3" w16cid:durableId="2033216336">
    <w:abstractNumId w:val="10"/>
  </w:num>
  <w:num w:numId="4" w16cid:durableId="1622029413">
    <w:abstractNumId w:val="19"/>
  </w:num>
  <w:num w:numId="5" w16cid:durableId="156502101">
    <w:abstractNumId w:val="13"/>
  </w:num>
  <w:num w:numId="6" w16cid:durableId="329411182">
    <w:abstractNumId w:val="8"/>
  </w:num>
  <w:num w:numId="7" w16cid:durableId="2028095497">
    <w:abstractNumId w:val="18"/>
  </w:num>
  <w:num w:numId="8" w16cid:durableId="1868520327">
    <w:abstractNumId w:val="3"/>
  </w:num>
  <w:num w:numId="9" w16cid:durableId="1708137333">
    <w:abstractNumId w:val="16"/>
  </w:num>
  <w:num w:numId="10" w16cid:durableId="578635661">
    <w:abstractNumId w:val="12"/>
  </w:num>
  <w:num w:numId="11" w16cid:durableId="1568148119">
    <w:abstractNumId w:val="5"/>
  </w:num>
  <w:num w:numId="12" w16cid:durableId="908273949">
    <w:abstractNumId w:val="6"/>
  </w:num>
  <w:num w:numId="13" w16cid:durableId="1320496024">
    <w:abstractNumId w:val="9"/>
  </w:num>
  <w:num w:numId="14" w16cid:durableId="1848013556">
    <w:abstractNumId w:val="14"/>
  </w:num>
  <w:num w:numId="15" w16cid:durableId="1365978752">
    <w:abstractNumId w:val="4"/>
  </w:num>
  <w:num w:numId="16" w16cid:durableId="1816413200">
    <w:abstractNumId w:val="0"/>
  </w:num>
  <w:num w:numId="17" w16cid:durableId="825172300">
    <w:abstractNumId w:val="7"/>
  </w:num>
  <w:num w:numId="18" w16cid:durableId="1748454880">
    <w:abstractNumId w:val="17"/>
  </w:num>
  <w:num w:numId="19" w16cid:durableId="1539586138">
    <w:abstractNumId w:val="2"/>
  </w:num>
  <w:num w:numId="20" w16cid:durableId="2422991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QwsTA1tDCwMDQzNTRU0lEKTi0uzszPAykwrAUAWVWTMSwAAAA="/>
  </w:docVars>
  <w:rsids>
    <w:rsidRoot w:val="00FB4521"/>
    <w:rsid w:val="00011666"/>
    <w:rsid w:val="00022D91"/>
    <w:rsid w:val="000237B4"/>
    <w:rsid w:val="00026B02"/>
    <w:rsid w:val="000822E5"/>
    <w:rsid w:val="000842D8"/>
    <w:rsid w:val="000971FC"/>
    <w:rsid w:val="000A2A3A"/>
    <w:rsid w:val="000A492A"/>
    <w:rsid w:val="000D2F80"/>
    <w:rsid w:val="000E413A"/>
    <w:rsid w:val="000F0CA4"/>
    <w:rsid w:val="000F5AA3"/>
    <w:rsid w:val="00100396"/>
    <w:rsid w:val="00100B5C"/>
    <w:rsid w:val="001070BC"/>
    <w:rsid w:val="00107BA7"/>
    <w:rsid w:val="001106E9"/>
    <w:rsid w:val="00124CA5"/>
    <w:rsid w:val="00134F77"/>
    <w:rsid w:val="001363A5"/>
    <w:rsid w:val="001461ED"/>
    <w:rsid w:val="00152E9D"/>
    <w:rsid w:val="00154487"/>
    <w:rsid w:val="0017512A"/>
    <w:rsid w:val="00196958"/>
    <w:rsid w:val="001A16E1"/>
    <w:rsid w:val="001A1E39"/>
    <w:rsid w:val="001A2377"/>
    <w:rsid w:val="001A24F3"/>
    <w:rsid w:val="001B405C"/>
    <w:rsid w:val="001B5F45"/>
    <w:rsid w:val="001D6032"/>
    <w:rsid w:val="001D63D2"/>
    <w:rsid w:val="001E1050"/>
    <w:rsid w:val="001E1E1F"/>
    <w:rsid w:val="001E2007"/>
    <w:rsid w:val="001E57C1"/>
    <w:rsid w:val="001E7018"/>
    <w:rsid w:val="001F07EF"/>
    <w:rsid w:val="001F50B6"/>
    <w:rsid w:val="001F6D7A"/>
    <w:rsid w:val="00224849"/>
    <w:rsid w:val="0022746E"/>
    <w:rsid w:val="002302C2"/>
    <w:rsid w:val="00235F71"/>
    <w:rsid w:val="002444CA"/>
    <w:rsid w:val="00260DE6"/>
    <w:rsid w:val="002619E8"/>
    <w:rsid w:val="00273FEE"/>
    <w:rsid w:val="00281C47"/>
    <w:rsid w:val="0028204E"/>
    <w:rsid w:val="0028591B"/>
    <w:rsid w:val="002878BF"/>
    <w:rsid w:val="00291841"/>
    <w:rsid w:val="002B3881"/>
    <w:rsid w:val="002C449B"/>
    <w:rsid w:val="002C6040"/>
    <w:rsid w:val="002D5B3F"/>
    <w:rsid w:val="002E272E"/>
    <w:rsid w:val="002F5778"/>
    <w:rsid w:val="003223E0"/>
    <w:rsid w:val="003244B0"/>
    <w:rsid w:val="0033692F"/>
    <w:rsid w:val="00352C4A"/>
    <w:rsid w:val="00362560"/>
    <w:rsid w:val="003662A2"/>
    <w:rsid w:val="003732FD"/>
    <w:rsid w:val="003753B2"/>
    <w:rsid w:val="00376559"/>
    <w:rsid w:val="00382BAA"/>
    <w:rsid w:val="00384D73"/>
    <w:rsid w:val="00393EB6"/>
    <w:rsid w:val="003A256F"/>
    <w:rsid w:val="003A3CE5"/>
    <w:rsid w:val="003B366F"/>
    <w:rsid w:val="003B3F9D"/>
    <w:rsid w:val="003B6C95"/>
    <w:rsid w:val="003E5751"/>
    <w:rsid w:val="004046A9"/>
    <w:rsid w:val="00404C50"/>
    <w:rsid w:val="0041095C"/>
    <w:rsid w:val="00423934"/>
    <w:rsid w:val="00426244"/>
    <w:rsid w:val="0043651A"/>
    <w:rsid w:val="00451810"/>
    <w:rsid w:val="00470A38"/>
    <w:rsid w:val="00477880"/>
    <w:rsid w:val="0048576C"/>
    <w:rsid w:val="004874DE"/>
    <w:rsid w:val="004B5334"/>
    <w:rsid w:val="004B6C14"/>
    <w:rsid w:val="004C0B0E"/>
    <w:rsid w:val="004D5E9B"/>
    <w:rsid w:val="004D63D9"/>
    <w:rsid w:val="004E084F"/>
    <w:rsid w:val="004E6585"/>
    <w:rsid w:val="004F2F49"/>
    <w:rsid w:val="004F38B4"/>
    <w:rsid w:val="0050249F"/>
    <w:rsid w:val="00505684"/>
    <w:rsid w:val="00524566"/>
    <w:rsid w:val="00527713"/>
    <w:rsid w:val="00527E60"/>
    <w:rsid w:val="00530BEF"/>
    <w:rsid w:val="00552351"/>
    <w:rsid w:val="00561F00"/>
    <w:rsid w:val="00562C4E"/>
    <w:rsid w:val="00562DEC"/>
    <w:rsid w:val="00567EAF"/>
    <w:rsid w:val="00576AB4"/>
    <w:rsid w:val="00577917"/>
    <w:rsid w:val="0058048A"/>
    <w:rsid w:val="00590667"/>
    <w:rsid w:val="00591E7E"/>
    <w:rsid w:val="005969E2"/>
    <w:rsid w:val="005A1689"/>
    <w:rsid w:val="005B0AF8"/>
    <w:rsid w:val="005B5FB6"/>
    <w:rsid w:val="005B61CD"/>
    <w:rsid w:val="005D1D58"/>
    <w:rsid w:val="005D432C"/>
    <w:rsid w:val="005D55B4"/>
    <w:rsid w:val="005D5AFD"/>
    <w:rsid w:val="005E285E"/>
    <w:rsid w:val="005E575D"/>
    <w:rsid w:val="005E72F8"/>
    <w:rsid w:val="005F0579"/>
    <w:rsid w:val="005F3A53"/>
    <w:rsid w:val="006062A3"/>
    <w:rsid w:val="00610E08"/>
    <w:rsid w:val="00612F09"/>
    <w:rsid w:val="006140BF"/>
    <w:rsid w:val="006161BE"/>
    <w:rsid w:val="00620787"/>
    <w:rsid w:val="00632434"/>
    <w:rsid w:val="0063478F"/>
    <w:rsid w:val="00636E8D"/>
    <w:rsid w:val="00644256"/>
    <w:rsid w:val="00661D6F"/>
    <w:rsid w:val="006628E9"/>
    <w:rsid w:val="0066725E"/>
    <w:rsid w:val="006716C7"/>
    <w:rsid w:val="00681208"/>
    <w:rsid w:val="00681FA9"/>
    <w:rsid w:val="00690011"/>
    <w:rsid w:val="00691EA9"/>
    <w:rsid w:val="006934D4"/>
    <w:rsid w:val="006A656B"/>
    <w:rsid w:val="006A6DC3"/>
    <w:rsid w:val="006B6BF5"/>
    <w:rsid w:val="006C5228"/>
    <w:rsid w:val="006D49ED"/>
    <w:rsid w:val="006D55CE"/>
    <w:rsid w:val="006D637A"/>
    <w:rsid w:val="006D6F24"/>
    <w:rsid w:val="006F0F95"/>
    <w:rsid w:val="006F2382"/>
    <w:rsid w:val="006F45BF"/>
    <w:rsid w:val="006F60E0"/>
    <w:rsid w:val="00702F71"/>
    <w:rsid w:val="00705B6D"/>
    <w:rsid w:val="007366DF"/>
    <w:rsid w:val="007449F8"/>
    <w:rsid w:val="00757839"/>
    <w:rsid w:val="00770C81"/>
    <w:rsid w:val="00773F84"/>
    <w:rsid w:val="00791024"/>
    <w:rsid w:val="00793F0A"/>
    <w:rsid w:val="00795F27"/>
    <w:rsid w:val="007A2657"/>
    <w:rsid w:val="007B1D21"/>
    <w:rsid w:val="007C682C"/>
    <w:rsid w:val="007D2385"/>
    <w:rsid w:val="007D5DE2"/>
    <w:rsid w:val="007E2850"/>
    <w:rsid w:val="007F214F"/>
    <w:rsid w:val="007F6963"/>
    <w:rsid w:val="007F6C1F"/>
    <w:rsid w:val="00800069"/>
    <w:rsid w:val="008042F0"/>
    <w:rsid w:val="008310A0"/>
    <w:rsid w:val="00835D29"/>
    <w:rsid w:val="00842E7F"/>
    <w:rsid w:val="0084623D"/>
    <w:rsid w:val="00852933"/>
    <w:rsid w:val="008566E5"/>
    <w:rsid w:val="008566FE"/>
    <w:rsid w:val="00865B46"/>
    <w:rsid w:val="00872265"/>
    <w:rsid w:val="00896134"/>
    <w:rsid w:val="008A50C6"/>
    <w:rsid w:val="008A62BC"/>
    <w:rsid w:val="008B43E7"/>
    <w:rsid w:val="008C1D1F"/>
    <w:rsid w:val="008C5FA0"/>
    <w:rsid w:val="008D2FD0"/>
    <w:rsid w:val="008D3874"/>
    <w:rsid w:val="008D763F"/>
    <w:rsid w:val="008F036F"/>
    <w:rsid w:val="008F1308"/>
    <w:rsid w:val="008F3193"/>
    <w:rsid w:val="008F78C2"/>
    <w:rsid w:val="00904568"/>
    <w:rsid w:val="00911394"/>
    <w:rsid w:val="00923EF2"/>
    <w:rsid w:val="00926860"/>
    <w:rsid w:val="00926D25"/>
    <w:rsid w:val="00926E9D"/>
    <w:rsid w:val="009315A0"/>
    <w:rsid w:val="00932C6E"/>
    <w:rsid w:val="00933F10"/>
    <w:rsid w:val="00941680"/>
    <w:rsid w:val="009433C5"/>
    <w:rsid w:val="00965881"/>
    <w:rsid w:val="009871FF"/>
    <w:rsid w:val="00990799"/>
    <w:rsid w:val="0099350A"/>
    <w:rsid w:val="00995D51"/>
    <w:rsid w:val="009A0631"/>
    <w:rsid w:val="009A6FD1"/>
    <w:rsid w:val="009B10ED"/>
    <w:rsid w:val="009D3EA4"/>
    <w:rsid w:val="009D649C"/>
    <w:rsid w:val="009E4BC1"/>
    <w:rsid w:val="009F5CB2"/>
    <w:rsid w:val="00A03BB8"/>
    <w:rsid w:val="00A14AA4"/>
    <w:rsid w:val="00A16E98"/>
    <w:rsid w:val="00A3505D"/>
    <w:rsid w:val="00A36D25"/>
    <w:rsid w:val="00A4036F"/>
    <w:rsid w:val="00A406E5"/>
    <w:rsid w:val="00A423D0"/>
    <w:rsid w:val="00A43CA3"/>
    <w:rsid w:val="00A4641C"/>
    <w:rsid w:val="00A47E15"/>
    <w:rsid w:val="00A52A6D"/>
    <w:rsid w:val="00A55876"/>
    <w:rsid w:val="00A67FB1"/>
    <w:rsid w:val="00A85BFE"/>
    <w:rsid w:val="00AB6FE7"/>
    <w:rsid w:val="00AB7AD7"/>
    <w:rsid w:val="00AC282F"/>
    <w:rsid w:val="00AC4701"/>
    <w:rsid w:val="00AD2430"/>
    <w:rsid w:val="00AE41A6"/>
    <w:rsid w:val="00AF0E34"/>
    <w:rsid w:val="00AF271D"/>
    <w:rsid w:val="00AF56C2"/>
    <w:rsid w:val="00B004E6"/>
    <w:rsid w:val="00B0744D"/>
    <w:rsid w:val="00B202CC"/>
    <w:rsid w:val="00B50EA8"/>
    <w:rsid w:val="00B54054"/>
    <w:rsid w:val="00B60111"/>
    <w:rsid w:val="00B64082"/>
    <w:rsid w:val="00B72325"/>
    <w:rsid w:val="00B81AD3"/>
    <w:rsid w:val="00B829D8"/>
    <w:rsid w:val="00B84B5B"/>
    <w:rsid w:val="00B86446"/>
    <w:rsid w:val="00BA1176"/>
    <w:rsid w:val="00BE0B01"/>
    <w:rsid w:val="00BE79C7"/>
    <w:rsid w:val="00BF3087"/>
    <w:rsid w:val="00BF3CB5"/>
    <w:rsid w:val="00BF6ADA"/>
    <w:rsid w:val="00C01A3F"/>
    <w:rsid w:val="00C073F1"/>
    <w:rsid w:val="00C1285B"/>
    <w:rsid w:val="00C1361B"/>
    <w:rsid w:val="00C14E1F"/>
    <w:rsid w:val="00C25945"/>
    <w:rsid w:val="00C315AF"/>
    <w:rsid w:val="00C36D9A"/>
    <w:rsid w:val="00C44A72"/>
    <w:rsid w:val="00C61FC2"/>
    <w:rsid w:val="00C705F9"/>
    <w:rsid w:val="00C80F0F"/>
    <w:rsid w:val="00C8667A"/>
    <w:rsid w:val="00C93BCB"/>
    <w:rsid w:val="00C95B97"/>
    <w:rsid w:val="00CC241A"/>
    <w:rsid w:val="00CE4035"/>
    <w:rsid w:val="00CE65AB"/>
    <w:rsid w:val="00CF4266"/>
    <w:rsid w:val="00D16BFB"/>
    <w:rsid w:val="00D16DC1"/>
    <w:rsid w:val="00D22D9C"/>
    <w:rsid w:val="00D241F1"/>
    <w:rsid w:val="00D275CB"/>
    <w:rsid w:val="00D30DFA"/>
    <w:rsid w:val="00D463A5"/>
    <w:rsid w:val="00D4710D"/>
    <w:rsid w:val="00D47D25"/>
    <w:rsid w:val="00D62ACD"/>
    <w:rsid w:val="00D66198"/>
    <w:rsid w:val="00D71F30"/>
    <w:rsid w:val="00D842F5"/>
    <w:rsid w:val="00D856B7"/>
    <w:rsid w:val="00DA36EE"/>
    <w:rsid w:val="00DB116D"/>
    <w:rsid w:val="00DB5233"/>
    <w:rsid w:val="00DD17CC"/>
    <w:rsid w:val="00DE217A"/>
    <w:rsid w:val="00DE5571"/>
    <w:rsid w:val="00DE67C2"/>
    <w:rsid w:val="00DE7171"/>
    <w:rsid w:val="00DE7C39"/>
    <w:rsid w:val="00DF321B"/>
    <w:rsid w:val="00E230E0"/>
    <w:rsid w:val="00E27F15"/>
    <w:rsid w:val="00E36EDA"/>
    <w:rsid w:val="00E51AAC"/>
    <w:rsid w:val="00E66CC0"/>
    <w:rsid w:val="00E728A9"/>
    <w:rsid w:val="00E807D9"/>
    <w:rsid w:val="00EA0F4E"/>
    <w:rsid w:val="00EA295B"/>
    <w:rsid w:val="00EA3B9B"/>
    <w:rsid w:val="00EA6801"/>
    <w:rsid w:val="00EB4F96"/>
    <w:rsid w:val="00ED10CF"/>
    <w:rsid w:val="00ED7072"/>
    <w:rsid w:val="00EE3132"/>
    <w:rsid w:val="00EE3D9D"/>
    <w:rsid w:val="00EE6F25"/>
    <w:rsid w:val="00EF40B4"/>
    <w:rsid w:val="00F02126"/>
    <w:rsid w:val="00F03D85"/>
    <w:rsid w:val="00F07C8C"/>
    <w:rsid w:val="00F249F1"/>
    <w:rsid w:val="00F25B9D"/>
    <w:rsid w:val="00F2664E"/>
    <w:rsid w:val="00F31163"/>
    <w:rsid w:val="00F311D9"/>
    <w:rsid w:val="00F31C04"/>
    <w:rsid w:val="00F43132"/>
    <w:rsid w:val="00F442A7"/>
    <w:rsid w:val="00F45323"/>
    <w:rsid w:val="00F53816"/>
    <w:rsid w:val="00F57A89"/>
    <w:rsid w:val="00F61A20"/>
    <w:rsid w:val="00F63DD9"/>
    <w:rsid w:val="00F67644"/>
    <w:rsid w:val="00F73374"/>
    <w:rsid w:val="00F769A3"/>
    <w:rsid w:val="00F8381F"/>
    <w:rsid w:val="00F847F3"/>
    <w:rsid w:val="00F94799"/>
    <w:rsid w:val="00FA04CD"/>
    <w:rsid w:val="00FA25F5"/>
    <w:rsid w:val="00FA2810"/>
    <w:rsid w:val="00FA68F8"/>
    <w:rsid w:val="00FB1DC0"/>
    <w:rsid w:val="00FB3B4E"/>
    <w:rsid w:val="00FB4521"/>
    <w:rsid w:val="00FB4F84"/>
    <w:rsid w:val="00FB5CF8"/>
    <w:rsid w:val="00FF273B"/>
    <w:rsid w:val="00FF564C"/>
    <w:rsid w:val="00FF5AAD"/>
    <w:rsid w:val="0107A4C1"/>
    <w:rsid w:val="01854929"/>
    <w:rsid w:val="061CE4DE"/>
    <w:rsid w:val="07556BEF"/>
    <w:rsid w:val="07CF97D6"/>
    <w:rsid w:val="0A93DC10"/>
    <w:rsid w:val="0AE92DB4"/>
    <w:rsid w:val="10344ADC"/>
    <w:rsid w:val="136BEB9E"/>
    <w:rsid w:val="175948D0"/>
    <w:rsid w:val="17C61762"/>
    <w:rsid w:val="17DBFCAF"/>
    <w:rsid w:val="1BF86EE6"/>
    <w:rsid w:val="229CE760"/>
    <w:rsid w:val="23AF1502"/>
    <w:rsid w:val="2BF00FDE"/>
    <w:rsid w:val="2C12CF9B"/>
    <w:rsid w:val="2C9C741A"/>
    <w:rsid w:val="2D1C27FE"/>
    <w:rsid w:val="2D72B7E2"/>
    <w:rsid w:val="2E8529F8"/>
    <w:rsid w:val="34CAE4D5"/>
    <w:rsid w:val="35DB519B"/>
    <w:rsid w:val="36EB31F8"/>
    <w:rsid w:val="38005D25"/>
    <w:rsid w:val="3A472774"/>
    <w:rsid w:val="3E8911FA"/>
    <w:rsid w:val="4FBA6962"/>
    <w:rsid w:val="525C1AFC"/>
    <w:rsid w:val="52763916"/>
    <w:rsid w:val="53124311"/>
    <w:rsid w:val="54FBA01A"/>
    <w:rsid w:val="56A5C1D4"/>
    <w:rsid w:val="58419235"/>
    <w:rsid w:val="5C259733"/>
    <w:rsid w:val="5FD87AB2"/>
    <w:rsid w:val="64028978"/>
    <w:rsid w:val="64511E68"/>
    <w:rsid w:val="6CBF8278"/>
    <w:rsid w:val="6D127D4D"/>
    <w:rsid w:val="6D44D835"/>
    <w:rsid w:val="6FB7924D"/>
    <w:rsid w:val="70E2616F"/>
    <w:rsid w:val="73DD07C0"/>
    <w:rsid w:val="7475033C"/>
    <w:rsid w:val="74F2CCDF"/>
    <w:rsid w:val="77937BA1"/>
    <w:rsid w:val="78EC0CA5"/>
    <w:rsid w:val="792F4C02"/>
    <w:rsid w:val="79DF46F6"/>
    <w:rsid w:val="7C95DFB2"/>
    <w:rsid w:val="7F2172F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27AF77"/>
  <w15:docId w15:val="{BDBD9DFF-12A7-4ECA-A63D-99D5B1DA56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autoRedefine/>
    <w:rsid w:val="00D856B7"/>
    <w:pPr>
      <w:keepNext/>
      <w:pBdr>
        <w:top w:val="single" w:sz="4" w:space="1" w:color="auto"/>
        <w:left w:val="single" w:sz="4" w:space="4" w:color="auto"/>
        <w:bottom w:val="single" w:sz="4" w:space="1" w:color="auto"/>
        <w:right w:val="single" w:sz="4" w:space="4" w:color="auto"/>
      </w:pBdr>
      <w:shd w:val="pct15" w:color="auto" w:fill="auto"/>
      <w:spacing w:line="360" w:lineRule="auto"/>
      <w:jc w:val="both"/>
      <w:outlineLvl w:val="0"/>
    </w:pPr>
    <w:rPr>
      <w:color w:val="365F91" w:themeColor="accent1" w:themeShade="BF"/>
      <w:sz w:val="36"/>
    </w:rPr>
  </w:style>
  <w:style w:type="paragraph" w:styleId="Heading2">
    <w:name w:val="heading 2"/>
    <w:basedOn w:val="Normal"/>
    <w:next w:val="Normal"/>
    <w:qFormat/>
    <w:rsid w:val="00D856B7"/>
    <w:pPr>
      <w:keepNext/>
      <w:jc w:val="both"/>
      <w:outlineLvl w:val="1"/>
    </w:pPr>
    <w:rPr>
      <w:b/>
      <w:color w:val="244061" w:themeColor="accent1" w:themeShade="80"/>
      <w:sz w:val="28"/>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cpe2">
    <w:name w:val="cpe2"/>
    <w:basedOn w:val="Normal"/>
    <w:rsid w:val="006A656B"/>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00355">
      <w:bodyDiv w:val="1"/>
      <w:marLeft w:val="0"/>
      <w:marRight w:val="0"/>
      <w:marTop w:val="0"/>
      <w:marBottom w:val="0"/>
      <w:divBdr>
        <w:top w:val="none" w:sz="0" w:space="0" w:color="auto"/>
        <w:left w:val="none" w:sz="0" w:space="0" w:color="auto"/>
        <w:bottom w:val="none" w:sz="0" w:space="0" w:color="auto"/>
        <w:right w:val="none" w:sz="0" w:space="0" w:color="auto"/>
      </w:divBdr>
    </w:div>
    <w:div w:id="301890781">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453411">
      <w:bodyDiv w:val="1"/>
      <w:marLeft w:val="0"/>
      <w:marRight w:val="0"/>
      <w:marTop w:val="0"/>
      <w:marBottom w:val="0"/>
      <w:divBdr>
        <w:top w:val="none" w:sz="0" w:space="0" w:color="auto"/>
        <w:left w:val="none" w:sz="0" w:space="0" w:color="auto"/>
        <w:bottom w:val="none" w:sz="0" w:space="0" w:color="auto"/>
        <w:right w:val="none" w:sz="0" w:space="0" w:color="auto"/>
      </w:divBdr>
      <w:divsChild>
        <w:div w:id="1494177445">
          <w:marLeft w:val="0"/>
          <w:marRight w:val="0"/>
          <w:marTop w:val="0"/>
          <w:marBottom w:val="0"/>
          <w:divBdr>
            <w:top w:val="none" w:sz="0" w:space="0" w:color="auto"/>
            <w:left w:val="none" w:sz="0" w:space="0" w:color="auto"/>
            <w:bottom w:val="none" w:sz="0" w:space="0" w:color="auto"/>
            <w:right w:val="none" w:sz="0" w:space="0" w:color="auto"/>
          </w:divBdr>
        </w:div>
      </w:divsChild>
    </w:div>
    <w:div w:id="401174421">
      <w:bodyDiv w:val="1"/>
      <w:marLeft w:val="0"/>
      <w:marRight w:val="0"/>
      <w:marTop w:val="0"/>
      <w:marBottom w:val="0"/>
      <w:divBdr>
        <w:top w:val="none" w:sz="0" w:space="0" w:color="auto"/>
        <w:left w:val="none" w:sz="0" w:space="0" w:color="auto"/>
        <w:bottom w:val="none" w:sz="0" w:space="0" w:color="auto"/>
        <w:right w:val="none" w:sz="0" w:space="0" w:color="auto"/>
      </w:divBdr>
    </w:div>
    <w:div w:id="482965059">
      <w:bodyDiv w:val="1"/>
      <w:marLeft w:val="0"/>
      <w:marRight w:val="0"/>
      <w:marTop w:val="0"/>
      <w:marBottom w:val="0"/>
      <w:divBdr>
        <w:top w:val="none" w:sz="0" w:space="0" w:color="auto"/>
        <w:left w:val="none" w:sz="0" w:space="0" w:color="auto"/>
        <w:bottom w:val="none" w:sz="0" w:space="0" w:color="auto"/>
        <w:right w:val="none" w:sz="0" w:space="0" w:color="auto"/>
      </w:divBdr>
    </w:div>
    <w:div w:id="486018856">
      <w:bodyDiv w:val="1"/>
      <w:marLeft w:val="0"/>
      <w:marRight w:val="0"/>
      <w:marTop w:val="0"/>
      <w:marBottom w:val="0"/>
      <w:divBdr>
        <w:top w:val="none" w:sz="0" w:space="0" w:color="auto"/>
        <w:left w:val="none" w:sz="0" w:space="0" w:color="auto"/>
        <w:bottom w:val="none" w:sz="0" w:space="0" w:color="auto"/>
        <w:right w:val="none" w:sz="0" w:space="0" w:color="auto"/>
      </w:divBdr>
    </w:div>
    <w:div w:id="8542713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2472C96-3D30-4BB2-874D-13B3A9601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7</Pages>
  <Words>1942</Words>
  <Characters>11073</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 Computer</dc:creator>
  <cp:lastModifiedBy>My computer</cp:lastModifiedBy>
  <cp:revision>2</cp:revision>
  <cp:lastPrinted>2014-10-10T07:42:00Z</cp:lastPrinted>
  <dcterms:created xsi:type="dcterms:W3CDTF">2023-07-20T14:32:00Z</dcterms:created>
  <dcterms:modified xsi:type="dcterms:W3CDTF">2023-07-20T14:32:00Z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4a87e246131d16717f18b42d32c9916138011c91bf53dd8aa75776f8031baee3</vt:lpwstr>
  </property>
</Properties>
</file>