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5C1" w:rsidRPr="00D105C1" w:rsidRDefault="00D105C1" w:rsidP="00D105C1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D105C1">
        <w:rPr>
          <w:b/>
          <w:sz w:val="28"/>
          <w:szCs w:val="28"/>
        </w:rPr>
        <w:t>New Disclosure Requirements</w:t>
      </w:r>
    </w:p>
    <w:p w:rsidR="00D105C1" w:rsidRPr="00D105C1" w:rsidRDefault="00D105C1" w:rsidP="00D105C1">
      <w:pPr>
        <w:spacing w:after="0" w:line="240" w:lineRule="auto"/>
        <w:jc w:val="center"/>
        <w:rPr>
          <w:b/>
        </w:rPr>
      </w:pPr>
      <w:r>
        <w:rPr>
          <w:b/>
        </w:rPr>
        <w:t>with effect from 31 December 2020</w:t>
      </w:r>
    </w:p>
    <w:p w:rsidR="00D105C1" w:rsidRDefault="00D105C1" w:rsidP="00D105C1">
      <w:pPr>
        <w:spacing w:after="0" w:line="240" w:lineRule="auto"/>
      </w:pPr>
    </w:p>
    <w:p w:rsidR="00D105C1" w:rsidRDefault="00D105C1" w:rsidP="00D105C1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5"/>
        <w:gridCol w:w="1161"/>
        <w:gridCol w:w="1162"/>
        <w:gridCol w:w="1162"/>
        <w:gridCol w:w="1162"/>
        <w:gridCol w:w="1162"/>
        <w:gridCol w:w="1162"/>
      </w:tblGrid>
      <w:tr w:rsidR="00AA26F0" w:rsidRPr="00AE501A" w:rsidTr="003D6031">
        <w:trPr>
          <w:trHeight w:val="567"/>
        </w:trPr>
        <w:tc>
          <w:tcPr>
            <w:tcW w:w="2045" w:type="dxa"/>
            <w:vAlign w:val="center"/>
          </w:tcPr>
          <w:p w:rsidR="00AA26F0" w:rsidRPr="00AE501A" w:rsidRDefault="00AA26F0" w:rsidP="00AE501A">
            <w:pPr>
              <w:rPr>
                <w:b/>
                <w:sz w:val="20"/>
                <w:szCs w:val="20"/>
              </w:rPr>
            </w:pPr>
          </w:p>
        </w:tc>
        <w:tc>
          <w:tcPr>
            <w:tcW w:w="4647" w:type="dxa"/>
            <w:gridSpan w:val="4"/>
            <w:shd w:val="clear" w:color="auto" w:fill="F4B083" w:themeFill="accent2" w:themeFillTint="99"/>
            <w:vAlign w:val="center"/>
          </w:tcPr>
          <w:p w:rsidR="00AA26F0" w:rsidRPr="00AE501A" w:rsidRDefault="00AA26F0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CPS-charge Cases</w:t>
            </w:r>
          </w:p>
        </w:tc>
        <w:tc>
          <w:tcPr>
            <w:tcW w:w="2324" w:type="dxa"/>
            <w:gridSpan w:val="2"/>
            <w:shd w:val="clear" w:color="auto" w:fill="E2EFD9" w:themeFill="accent6" w:themeFillTint="33"/>
            <w:vAlign w:val="center"/>
          </w:tcPr>
          <w:p w:rsidR="00AA26F0" w:rsidRPr="00AE501A" w:rsidRDefault="00AA26F0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Police-charge Cases</w:t>
            </w:r>
          </w:p>
        </w:tc>
      </w:tr>
      <w:tr w:rsidR="00AA26F0" w:rsidRPr="00AE501A" w:rsidTr="003D6031">
        <w:trPr>
          <w:trHeight w:val="567"/>
        </w:trPr>
        <w:tc>
          <w:tcPr>
            <w:tcW w:w="2045" w:type="dxa"/>
            <w:vAlign w:val="center"/>
          </w:tcPr>
          <w:p w:rsidR="00AA26F0" w:rsidRPr="00AE501A" w:rsidRDefault="00AA26F0" w:rsidP="00AE501A">
            <w:pPr>
              <w:rPr>
                <w:b/>
                <w:sz w:val="20"/>
                <w:szCs w:val="20"/>
              </w:rPr>
            </w:pPr>
          </w:p>
        </w:tc>
        <w:tc>
          <w:tcPr>
            <w:tcW w:w="2323" w:type="dxa"/>
            <w:gridSpan w:val="2"/>
            <w:shd w:val="clear" w:color="auto" w:fill="F7CAAC" w:themeFill="accent2" w:themeFillTint="66"/>
            <w:vAlign w:val="center"/>
          </w:tcPr>
          <w:p w:rsidR="00AA26F0" w:rsidRPr="00AE501A" w:rsidRDefault="00AA26F0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Threshold Test</w:t>
            </w:r>
          </w:p>
        </w:tc>
        <w:tc>
          <w:tcPr>
            <w:tcW w:w="2324" w:type="dxa"/>
            <w:gridSpan w:val="2"/>
            <w:shd w:val="clear" w:color="auto" w:fill="FBE4D5" w:themeFill="accent2" w:themeFillTint="33"/>
            <w:vAlign w:val="center"/>
          </w:tcPr>
          <w:p w:rsidR="00AA26F0" w:rsidRPr="00AE501A" w:rsidRDefault="00AA26F0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Full Code Test</w:t>
            </w:r>
          </w:p>
        </w:tc>
        <w:tc>
          <w:tcPr>
            <w:tcW w:w="1162" w:type="dxa"/>
            <w:shd w:val="clear" w:color="auto" w:fill="E2EFD9" w:themeFill="accent6" w:themeFillTint="33"/>
            <w:vAlign w:val="center"/>
          </w:tcPr>
          <w:p w:rsidR="00AA26F0" w:rsidRPr="00AE501A" w:rsidRDefault="00AA26F0" w:rsidP="00AE50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E2EFD9" w:themeFill="accent6" w:themeFillTint="33"/>
            <w:vAlign w:val="center"/>
          </w:tcPr>
          <w:p w:rsidR="00AA26F0" w:rsidRPr="00AE501A" w:rsidRDefault="00AA26F0" w:rsidP="00AE501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A26F0" w:rsidRPr="00AE501A" w:rsidTr="00AA26F0">
        <w:trPr>
          <w:trHeight w:val="567"/>
        </w:trPr>
        <w:tc>
          <w:tcPr>
            <w:tcW w:w="2045" w:type="dxa"/>
            <w:vAlign w:val="center"/>
          </w:tcPr>
          <w:p w:rsidR="00AE501A" w:rsidRPr="00AE501A" w:rsidRDefault="00AE501A" w:rsidP="00AE501A">
            <w:pPr>
              <w:rPr>
                <w:b/>
                <w:sz w:val="20"/>
                <w:szCs w:val="20"/>
              </w:rPr>
            </w:pPr>
          </w:p>
        </w:tc>
        <w:tc>
          <w:tcPr>
            <w:tcW w:w="1161" w:type="dxa"/>
            <w:shd w:val="clear" w:color="auto" w:fill="F7CAAC" w:themeFill="accent2" w:themeFillTint="66"/>
            <w:vAlign w:val="center"/>
          </w:tcPr>
          <w:p w:rsidR="00AE501A" w:rsidRPr="00AE501A" w:rsidRDefault="00AE501A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GAP</w:t>
            </w:r>
            <w:r w:rsidRPr="00AE501A">
              <w:rPr>
                <w:b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162" w:type="dxa"/>
            <w:shd w:val="clear" w:color="auto" w:fill="F7CAAC" w:themeFill="accent2" w:themeFillTint="66"/>
            <w:vAlign w:val="center"/>
          </w:tcPr>
          <w:p w:rsidR="00AE501A" w:rsidRPr="00AE501A" w:rsidRDefault="00AE501A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NGAP</w:t>
            </w:r>
          </w:p>
        </w:tc>
        <w:tc>
          <w:tcPr>
            <w:tcW w:w="1162" w:type="dxa"/>
            <w:shd w:val="clear" w:color="auto" w:fill="FBE4D5" w:themeFill="accent2" w:themeFillTint="33"/>
            <w:vAlign w:val="center"/>
          </w:tcPr>
          <w:p w:rsidR="00AE501A" w:rsidRPr="00AE501A" w:rsidRDefault="00AE501A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GAP</w:t>
            </w:r>
            <w:r w:rsidRPr="00AE501A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62" w:type="dxa"/>
            <w:shd w:val="clear" w:color="auto" w:fill="FBE4D5" w:themeFill="accent2" w:themeFillTint="33"/>
            <w:vAlign w:val="center"/>
          </w:tcPr>
          <w:p w:rsidR="00AE501A" w:rsidRPr="00AE501A" w:rsidRDefault="00AE501A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NGAP</w:t>
            </w:r>
          </w:p>
        </w:tc>
        <w:tc>
          <w:tcPr>
            <w:tcW w:w="1162" w:type="dxa"/>
            <w:shd w:val="clear" w:color="auto" w:fill="E2EFD9" w:themeFill="accent6" w:themeFillTint="33"/>
            <w:vAlign w:val="center"/>
          </w:tcPr>
          <w:p w:rsidR="00AE501A" w:rsidRPr="00AE501A" w:rsidRDefault="00AE501A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GAP</w:t>
            </w:r>
            <w:r w:rsidRPr="00AE501A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62" w:type="dxa"/>
            <w:shd w:val="clear" w:color="auto" w:fill="E2EFD9" w:themeFill="accent6" w:themeFillTint="33"/>
            <w:vAlign w:val="center"/>
          </w:tcPr>
          <w:p w:rsidR="00AE501A" w:rsidRPr="00AE501A" w:rsidRDefault="00AE501A" w:rsidP="00AE501A">
            <w:pPr>
              <w:jc w:val="center"/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NGAP</w:t>
            </w:r>
          </w:p>
        </w:tc>
      </w:tr>
      <w:tr w:rsidR="00AA26F0" w:rsidRPr="00AE501A" w:rsidTr="00AA26F0">
        <w:tc>
          <w:tcPr>
            <w:tcW w:w="2045" w:type="dxa"/>
          </w:tcPr>
          <w:p w:rsidR="0074169F" w:rsidRPr="00AE501A" w:rsidRDefault="0074169F" w:rsidP="003D6031">
            <w:pPr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Disclosable material</w:t>
            </w:r>
            <w:r>
              <w:rPr>
                <w:b/>
                <w:sz w:val="20"/>
                <w:szCs w:val="20"/>
              </w:rPr>
              <w:t xml:space="preserve"> - redacted</w:t>
            </w:r>
            <w:r>
              <w:rPr>
                <w:rStyle w:val="FootnoteReference"/>
                <w:b/>
                <w:sz w:val="20"/>
                <w:szCs w:val="20"/>
              </w:rPr>
              <w:footnoteReference w:id="2"/>
            </w:r>
          </w:p>
          <w:p w:rsidR="0074169F" w:rsidRPr="00AE501A" w:rsidRDefault="0074169F" w:rsidP="00AA26F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AA26F0">
              <w:rPr>
                <w:sz w:val="20"/>
                <w:szCs w:val="20"/>
              </w:rPr>
              <w:t>material</w:t>
            </w:r>
            <w:r w:rsidRPr="00AE501A">
              <w:rPr>
                <w:sz w:val="20"/>
                <w:szCs w:val="20"/>
              </w:rPr>
              <w:t xml:space="preserve"> </w:t>
            </w:r>
            <w:r w:rsidR="00AA26F0">
              <w:rPr>
                <w:sz w:val="20"/>
                <w:szCs w:val="20"/>
              </w:rPr>
              <w:t xml:space="preserve">which </w:t>
            </w:r>
            <w:r w:rsidRPr="00AE501A">
              <w:rPr>
                <w:sz w:val="20"/>
                <w:szCs w:val="20"/>
              </w:rPr>
              <w:t xml:space="preserve">undermines </w:t>
            </w:r>
            <w:r w:rsidR="00AA26F0">
              <w:rPr>
                <w:sz w:val="20"/>
                <w:szCs w:val="20"/>
              </w:rPr>
              <w:t xml:space="preserve">the </w:t>
            </w:r>
            <w:r w:rsidRPr="00AE501A">
              <w:rPr>
                <w:sz w:val="20"/>
                <w:szCs w:val="20"/>
              </w:rPr>
              <w:t>prosecution</w:t>
            </w:r>
            <w:r>
              <w:rPr>
                <w:sz w:val="20"/>
                <w:szCs w:val="20"/>
              </w:rPr>
              <w:t xml:space="preserve"> and</w:t>
            </w:r>
            <w:r w:rsidRPr="00AE501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or </w:t>
            </w:r>
            <w:r w:rsidRPr="00AE501A">
              <w:rPr>
                <w:sz w:val="20"/>
                <w:szCs w:val="20"/>
              </w:rPr>
              <w:t>assist</w:t>
            </w:r>
            <w:r>
              <w:rPr>
                <w:sz w:val="20"/>
                <w:szCs w:val="20"/>
              </w:rPr>
              <w:t>s</w:t>
            </w:r>
            <w:r w:rsidR="00AA26F0">
              <w:rPr>
                <w:sz w:val="20"/>
                <w:szCs w:val="20"/>
              </w:rPr>
              <w:t xml:space="preserve"> the</w:t>
            </w:r>
            <w:r w:rsidRPr="00AE501A">
              <w:rPr>
                <w:sz w:val="20"/>
                <w:szCs w:val="20"/>
              </w:rPr>
              <w:t xml:space="preserve"> defence)</w:t>
            </w:r>
          </w:p>
        </w:tc>
        <w:tc>
          <w:tcPr>
            <w:tcW w:w="1161" w:type="dxa"/>
            <w:shd w:val="clear" w:color="auto" w:fill="F7CAAC" w:themeFill="accent2" w:themeFillTint="66"/>
          </w:tcPr>
          <w:p w:rsidR="0074169F" w:rsidRPr="00AE501A" w:rsidRDefault="0074169F" w:rsidP="003D6031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:rsidR="0074169F" w:rsidRPr="00AE501A" w:rsidRDefault="0074169F" w:rsidP="003D6031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74169F" w:rsidRPr="00AE501A" w:rsidRDefault="0074169F" w:rsidP="003D6031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74169F" w:rsidRPr="00AE501A" w:rsidRDefault="0074169F" w:rsidP="003D6031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74169F" w:rsidRPr="00AE501A" w:rsidRDefault="0074169F" w:rsidP="003D6031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1</w:t>
            </w:r>
            <w:r w:rsidRPr="00AE501A">
              <w:rPr>
                <w:sz w:val="20"/>
                <w:szCs w:val="20"/>
                <w:vertAlign w:val="superscript"/>
              </w:rPr>
              <w:t>st</w:t>
            </w:r>
            <w:r w:rsidRPr="00AE501A">
              <w:rPr>
                <w:sz w:val="20"/>
                <w:szCs w:val="20"/>
              </w:rPr>
              <w:t xml:space="preserve"> hearing file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74169F" w:rsidRPr="00AE501A" w:rsidRDefault="0074169F" w:rsidP="003D6031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1</w:t>
            </w:r>
            <w:r w:rsidRPr="00AE501A">
              <w:rPr>
                <w:sz w:val="20"/>
                <w:szCs w:val="20"/>
                <w:vertAlign w:val="superscript"/>
              </w:rPr>
              <w:t>st</w:t>
            </w:r>
            <w:r w:rsidRPr="00AE501A">
              <w:rPr>
                <w:sz w:val="20"/>
                <w:szCs w:val="20"/>
              </w:rPr>
              <w:t xml:space="preserve"> hearing file</w:t>
            </w:r>
          </w:p>
        </w:tc>
      </w:tr>
      <w:tr w:rsidR="00AA26F0" w:rsidRPr="00AE501A" w:rsidTr="00AA26F0">
        <w:tc>
          <w:tcPr>
            <w:tcW w:w="2045" w:type="dxa"/>
          </w:tcPr>
          <w:p w:rsidR="00AE501A" w:rsidRPr="00AE501A" w:rsidRDefault="00AE501A" w:rsidP="00AE501A">
            <w:pPr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Disclosure schedules</w:t>
            </w:r>
          </w:p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 xml:space="preserve">(MG6 series or SDC as applicable, with </w:t>
            </w:r>
            <w:r w:rsidR="00AA26F0">
              <w:rPr>
                <w:sz w:val="20"/>
                <w:szCs w:val="20"/>
              </w:rPr>
              <w:t xml:space="preserve">detailed </w:t>
            </w:r>
            <w:r w:rsidRPr="00AE501A">
              <w:rPr>
                <w:sz w:val="20"/>
                <w:szCs w:val="20"/>
              </w:rPr>
              <w:t>descriptions of relevant material)</w:t>
            </w:r>
          </w:p>
        </w:tc>
        <w:tc>
          <w:tcPr>
            <w:tcW w:w="1161" w:type="dxa"/>
            <w:shd w:val="clear" w:color="auto" w:fill="F7CAAC" w:themeFill="accent2" w:themeFillTint="66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 xml:space="preserve">With upgraded file </w:t>
            </w:r>
            <w:r w:rsidRPr="00AE501A">
              <w:rPr>
                <w:b/>
                <w:sz w:val="20"/>
                <w:szCs w:val="20"/>
              </w:rPr>
              <w:t>following not guilty plea</w:t>
            </w:r>
            <w:r w:rsidRPr="00AE501A">
              <w:rPr>
                <w:sz w:val="20"/>
                <w:szCs w:val="20"/>
              </w:rPr>
              <w:t xml:space="preserve"> at court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1</w:t>
            </w:r>
            <w:r w:rsidRPr="00AE501A">
              <w:rPr>
                <w:sz w:val="20"/>
                <w:szCs w:val="20"/>
                <w:vertAlign w:val="superscript"/>
              </w:rPr>
              <w:t>st</w:t>
            </w:r>
            <w:r w:rsidRPr="00AE501A">
              <w:rPr>
                <w:sz w:val="20"/>
                <w:szCs w:val="20"/>
              </w:rPr>
              <w:t xml:space="preserve"> hearing file</w:t>
            </w:r>
          </w:p>
        </w:tc>
      </w:tr>
      <w:tr w:rsidR="00AA26F0" w:rsidRPr="00AE501A" w:rsidTr="00AA26F0">
        <w:tc>
          <w:tcPr>
            <w:tcW w:w="2045" w:type="dxa"/>
          </w:tcPr>
          <w:p w:rsidR="00AE501A" w:rsidRPr="00AE501A" w:rsidRDefault="00AE501A" w:rsidP="00AE501A">
            <w:pPr>
              <w:rPr>
                <w:b/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Routine revelation</w:t>
            </w:r>
            <w:r w:rsidR="0074169F">
              <w:rPr>
                <w:b/>
                <w:sz w:val="20"/>
                <w:szCs w:val="20"/>
              </w:rPr>
              <w:t xml:space="preserve"> </w:t>
            </w:r>
            <w:r w:rsidR="00D105C1">
              <w:rPr>
                <w:b/>
                <w:sz w:val="20"/>
                <w:szCs w:val="20"/>
              </w:rPr>
              <w:t>–</w:t>
            </w:r>
            <w:r w:rsidR="0074169F">
              <w:rPr>
                <w:b/>
                <w:sz w:val="20"/>
                <w:szCs w:val="20"/>
              </w:rPr>
              <w:t xml:space="preserve"> redacted</w:t>
            </w:r>
            <w:r w:rsidR="00D105C1" w:rsidRPr="00D105C1">
              <w:rPr>
                <w:b/>
                <w:sz w:val="20"/>
                <w:szCs w:val="20"/>
                <w:vertAlign w:val="superscript"/>
              </w:rPr>
              <w:t>2</w:t>
            </w:r>
          </w:p>
          <w:p w:rsidR="00AE501A" w:rsidRPr="00AE501A" w:rsidRDefault="00AE501A" w:rsidP="00AE5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(material </w:t>
            </w:r>
            <w:r w:rsidR="00AA26F0">
              <w:rPr>
                <w:sz w:val="20"/>
                <w:szCs w:val="20"/>
              </w:rPr>
              <w:t>‘</w:t>
            </w:r>
            <w:r>
              <w:rPr>
                <w:sz w:val="20"/>
                <w:szCs w:val="20"/>
              </w:rPr>
              <w:t>presumed to be disclosable</w:t>
            </w:r>
            <w:r w:rsidR="00AA26F0">
              <w:rPr>
                <w:sz w:val="20"/>
                <w:szCs w:val="20"/>
              </w:rPr>
              <w:t>’</w:t>
            </w:r>
            <w:r>
              <w:rPr>
                <w:sz w:val="20"/>
                <w:szCs w:val="20"/>
              </w:rPr>
              <w:t xml:space="preserve"> by Attorney General’s Guidelines)</w:t>
            </w:r>
          </w:p>
        </w:tc>
        <w:tc>
          <w:tcPr>
            <w:tcW w:w="1161" w:type="dxa"/>
            <w:shd w:val="clear" w:color="auto" w:fill="F7CAAC" w:themeFill="accent2" w:themeFillTint="66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 xml:space="preserve">With upgraded file </w:t>
            </w:r>
            <w:r w:rsidRPr="00AE501A">
              <w:rPr>
                <w:b/>
                <w:sz w:val="20"/>
                <w:szCs w:val="20"/>
              </w:rPr>
              <w:t>following not guilty plea</w:t>
            </w:r>
            <w:r w:rsidRPr="00AE501A">
              <w:rPr>
                <w:sz w:val="20"/>
                <w:szCs w:val="20"/>
              </w:rPr>
              <w:t xml:space="preserve"> at court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1</w:t>
            </w:r>
            <w:r w:rsidRPr="00AE501A">
              <w:rPr>
                <w:sz w:val="20"/>
                <w:szCs w:val="20"/>
                <w:vertAlign w:val="superscript"/>
              </w:rPr>
              <w:t>st</w:t>
            </w:r>
            <w:r w:rsidRPr="00AE501A">
              <w:rPr>
                <w:sz w:val="20"/>
                <w:szCs w:val="20"/>
              </w:rPr>
              <w:t xml:space="preserve"> hearing file</w:t>
            </w:r>
          </w:p>
        </w:tc>
      </w:tr>
      <w:tr w:rsidR="00AA26F0" w:rsidRPr="00AE501A" w:rsidTr="00AA26F0">
        <w:tc>
          <w:tcPr>
            <w:tcW w:w="2045" w:type="dxa"/>
          </w:tcPr>
          <w:p w:rsidR="00AE501A" w:rsidRPr="00AE501A" w:rsidRDefault="00AE501A" w:rsidP="00AA26F0">
            <w:pPr>
              <w:rPr>
                <w:sz w:val="20"/>
                <w:szCs w:val="20"/>
              </w:rPr>
            </w:pPr>
            <w:r w:rsidRPr="00AE501A">
              <w:rPr>
                <w:b/>
                <w:sz w:val="20"/>
                <w:szCs w:val="20"/>
              </w:rPr>
              <w:t>Investigative Management Document</w:t>
            </w:r>
            <w:r w:rsidR="00AA26F0">
              <w:rPr>
                <w:b/>
                <w:sz w:val="20"/>
                <w:szCs w:val="20"/>
              </w:rPr>
              <w:t xml:space="preserve"> </w:t>
            </w:r>
            <w:r w:rsidRPr="00AE501A">
              <w:rPr>
                <w:b/>
                <w:sz w:val="20"/>
                <w:szCs w:val="20"/>
              </w:rPr>
              <w:t>(IMD)</w:t>
            </w:r>
          </w:p>
        </w:tc>
        <w:tc>
          <w:tcPr>
            <w:tcW w:w="1161" w:type="dxa"/>
            <w:shd w:val="clear" w:color="auto" w:fill="F7CAAC" w:themeFill="accent2" w:themeFillTint="66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upgraded file following remand hearing</w:t>
            </w:r>
          </w:p>
        </w:tc>
        <w:tc>
          <w:tcPr>
            <w:tcW w:w="1162" w:type="dxa"/>
            <w:shd w:val="clear" w:color="auto" w:fill="F7CAAC" w:themeFill="accent2" w:themeFillTint="66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upgraded file following remand hearing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FBE4D5" w:themeFill="accent2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With CM01 request for charge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  <w:tc>
          <w:tcPr>
            <w:tcW w:w="1162" w:type="dxa"/>
            <w:shd w:val="clear" w:color="auto" w:fill="E2EFD9" w:themeFill="accent6" w:themeFillTint="33"/>
          </w:tcPr>
          <w:p w:rsidR="00AE501A" w:rsidRPr="00AE501A" w:rsidRDefault="00AE501A" w:rsidP="00AE501A">
            <w:pPr>
              <w:rPr>
                <w:sz w:val="20"/>
                <w:szCs w:val="20"/>
              </w:rPr>
            </w:pPr>
            <w:r w:rsidRPr="00AE501A">
              <w:rPr>
                <w:sz w:val="20"/>
                <w:szCs w:val="20"/>
              </w:rPr>
              <w:t>N/A</w:t>
            </w:r>
          </w:p>
        </w:tc>
      </w:tr>
    </w:tbl>
    <w:p w:rsidR="003D6031" w:rsidRDefault="003D6031"/>
    <w:sectPr w:rsidR="003D60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031" w:rsidRDefault="003D6031" w:rsidP="00AE501A">
      <w:pPr>
        <w:spacing w:after="0" w:line="240" w:lineRule="auto"/>
      </w:pPr>
      <w:r>
        <w:separator/>
      </w:r>
    </w:p>
  </w:endnote>
  <w:endnote w:type="continuationSeparator" w:id="0">
    <w:p w:rsidR="003D6031" w:rsidRDefault="003D6031" w:rsidP="00AE5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031" w:rsidRDefault="003D6031" w:rsidP="00AE501A">
      <w:pPr>
        <w:spacing w:after="0" w:line="240" w:lineRule="auto"/>
      </w:pPr>
      <w:r>
        <w:separator/>
      </w:r>
    </w:p>
  </w:footnote>
  <w:footnote w:type="continuationSeparator" w:id="0">
    <w:p w:rsidR="003D6031" w:rsidRDefault="003D6031" w:rsidP="00AE501A">
      <w:pPr>
        <w:spacing w:after="0" w:line="240" w:lineRule="auto"/>
      </w:pPr>
      <w:r>
        <w:continuationSeparator/>
      </w:r>
    </w:p>
  </w:footnote>
  <w:footnote w:id="1">
    <w:p w:rsidR="003D6031" w:rsidRDefault="003D6031" w:rsidP="00AE501A">
      <w:pPr>
        <w:pStyle w:val="FootnoteText"/>
      </w:pPr>
      <w:r>
        <w:rPr>
          <w:rStyle w:val="FootnoteReference"/>
        </w:rPr>
        <w:footnoteRef/>
      </w:r>
      <w:r>
        <w:t xml:space="preserve"> HOWEVER, if the defendant enters a not guilty plea at court, schedules (whether MG6 series or SDC) and redacted routine revelation and disclosable material, must be provided with the upgraded file</w:t>
      </w:r>
    </w:p>
  </w:footnote>
  <w:footnote w:id="2">
    <w:p w:rsidR="003D6031" w:rsidRDefault="003D60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A26F0">
        <w:t>Multimedia</w:t>
      </w:r>
      <w:r>
        <w:t xml:space="preserve"> (</w:t>
      </w:r>
      <w:proofErr w:type="spellStart"/>
      <w:r>
        <w:t>ie</w:t>
      </w:r>
      <w:proofErr w:type="spellEnd"/>
      <w:r>
        <w:t xml:space="preserve"> an audio and/or video file) does not need to be redacted pre-charge </w:t>
      </w:r>
      <w:r w:rsidRPr="00AA26F0">
        <w:t>in Threshold Test Cases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01A"/>
    <w:rsid w:val="000E5B34"/>
    <w:rsid w:val="003D6031"/>
    <w:rsid w:val="0074169F"/>
    <w:rsid w:val="00AA26F0"/>
    <w:rsid w:val="00AE501A"/>
    <w:rsid w:val="00C648C5"/>
    <w:rsid w:val="00D105C1"/>
    <w:rsid w:val="00ED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FEBF82-D22F-48DC-BF18-08F05DE5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E501A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501A"/>
    <w:rPr>
      <w:rFonts w:ascii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501A"/>
    <w:rPr>
      <w:vertAlign w:val="superscript"/>
    </w:rPr>
  </w:style>
  <w:style w:type="table" w:styleId="TableGrid">
    <w:name w:val="Table Grid"/>
    <w:basedOn w:val="TableNormal"/>
    <w:uiPriority w:val="39"/>
    <w:rsid w:val="00AE5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6E6FC-5684-4ED6-A761-8307BC3D3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Richards,Caroline swp51839</dc:creator>
  <cp:keywords/>
  <dc:description/>
  <cp:lastModifiedBy>Neil,Sharon swp3514</cp:lastModifiedBy>
  <cp:revision>2</cp:revision>
  <dcterms:created xsi:type="dcterms:W3CDTF">2021-01-06T07:57:00Z</dcterms:created>
  <dcterms:modified xsi:type="dcterms:W3CDTF">2021-01-06T07:57:00Z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5ea5acfe-7a1e-4c82-a136-3222dc11c282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