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du wp14">
  <w:body>
    <w:p w:rsidR="00F1682A" w:rsidRDefault="00F1682A" w14:paraId="0668A0D2" w14:textId="77777777">
      <w:pPr>
        <w:spacing w:before="100" w:beforeAutospacing="1" w:after="100" w:afterAutospacing="1"/>
        <w:jc w:val="center"/>
        <w:rPr>
          <w:rFonts w:ascii="Arial" w:hAnsi="Arial" w:cs="Arial"/>
          <w:sz w:val="22"/>
          <w:szCs w:val="22"/>
          <w:lang w:val="en-IN"/>
        </w:rPr>
      </w:pPr>
    </w:p>
    <w:p w:rsidR="00F1682A" w:rsidRDefault="00F1682A" w14:paraId="76EE4924" w14:textId="77777777">
      <w:pPr>
        <w:spacing w:before="100" w:beforeAutospacing="1" w:after="100" w:afterAutospacing="1"/>
        <w:jc w:val="center"/>
        <w:rPr>
          <w:rFonts w:ascii="Arial" w:hAnsi="Arial" w:cs="Arial"/>
          <w:sz w:val="22"/>
          <w:szCs w:val="22"/>
          <w:lang w:val="en-IN"/>
        </w:rPr>
      </w:pPr>
    </w:p>
    <w:p w:rsidR="00F1682A" w:rsidRDefault="00F1682A" w14:paraId="2E78D467" w14:textId="77777777">
      <w:pPr>
        <w:spacing w:before="100" w:beforeAutospacing="1" w:after="100" w:afterAutospacing="1"/>
        <w:jc w:val="center"/>
        <w:rPr>
          <w:rFonts w:ascii="Arial" w:hAnsi="Arial" w:cs="Arial"/>
          <w:sz w:val="22"/>
          <w:szCs w:val="22"/>
          <w:lang w:val="en-IN"/>
        </w:rPr>
      </w:pPr>
    </w:p>
    <w:p w:rsidR="00F1682A" w:rsidRDefault="00F1682A" w14:paraId="6C7943AA" w14:textId="77777777">
      <w:pPr>
        <w:spacing w:before="100" w:beforeAutospacing="1" w:after="100" w:afterAutospacing="1"/>
        <w:rPr>
          <w:rFonts w:ascii="Arial" w:hAnsi="Arial" w:cs="Arial"/>
          <w:sz w:val="22"/>
          <w:szCs w:val="22"/>
          <w:lang w:val="en-IN"/>
        </w:rPr>
      </w:pPr>
    </w:p>
    <w:p w:rsidR="00F1682A" w:rsidRDefault="0093019C" w14:paraId="0325BF35" w14:textId="77777777">
      <w:pPr>
        <w:spacing w:before="100" w:beforeAutospacing="1" w:after="100" w:afterAutospacing="1"/>
        <w:jc w:val="center"/>
        <w:rPr>
          <w:rFonts w:ascii="Arial" w:hAnsi="Arial" w:cs="Arial"/>
          <w:sz w:val="22"/>
          <w:szCs w:val="22"/>
          <w:lang w:val="en-IN"/>
        </w:rPr>
      </w:pPr>
      <w:r>
        <w:rPr>
          <w:noProof/>
        </w:rPr>
        <w:drawing>
          <wp:inline distT="0" distB="0" distL="0" distR="0" wp14:anchorId="679ECD7C" wp14:editId="523DFFCA">
            <wp:extent cx="2197100" cy="838200"/>
            <wp:effectExtent l="0" t="0" r="0" b="0"/>
            <wp:docPr id="1837797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797335" name="Picture 1"/>
                    <pic:cNvPicPr>
                      <a:picLocks noChangeAspect="1"/>
                    </pic:cNvPicPr>
                  </pic:nvPicPr>
                  <pic:blipFill>
                    <a:blip r:embed="rId8"/>
                    <a:stretch>
                      <a:fillRect/>
                    </a:stretch>
                  </pic:blipFill>
                  <pic:spPr>
                    <a:xfrm>
                      <a:off x="0" y="0"/>
                      <a:ext cx="2197213" cy="838243"/>
                    </a:xfrm>
                    <a:prstGeom prst="rect">
                      <a:avLst/>
                    </a:prstGeom>
                  </pic:spPr>
                </pic:pic>
              </a:graphicData>
            </a:graphic>
          </wp:inline>
        </w:drawing>
      </w:r>
    </w:p>
    <w:p w:rsidR="00F1682A" w:rsidRDefault="0093019C" w14:paraId="5A24FDD6" w14:textId="77777777">
      <w:pPr>
        <w:spacing w:before="100" w:beforeAutospacing="1" w:after="100" w:afterAutospacing="1"/>
        <w:jc w:val="center"/>
        <w:rPr>
          <w:rFonts w:ascii="Arial" w:hAnsi="Arial" w:cs="Arial"/>
          <w:b/>
          <w:bCs/>
          <w:sz w:val="22"/>
          <w:szCs w:val="22"/>
          <w:lang w:val="en-IN"/>
        </w:rPr>
      </w:pPr>
      <w:r>
        <w:rPr>
          <w:rFonts w:ascii="Arial" w:hAnsi="Arial" w:cs="Arial"/>
          <w:b/>
          <w:bCs/>
          <w:sz w:val="22"/>
          <w:szCs w:val="22"/>
          <w:lang w:val="en-IN"/>
        </w:rPr>
        <w:t>Module Code: LCLM5001 </w:t>
      </w:r>
    </w:p>
    <w:p w:rsidR="00F1682A" w:rsidRDefault="0093019C" w14:paraId="582AF3AD" w14:textId="77777777">
      <w:pPr>
        <w:spacing w:before="100" w:beforeAutospacing="1" w:after="100" w:afterAutospacing="1"/>
        <w:jc w:val="center"/>
        <w:rPr>
          <w:rFonts w:ascii="Arial" w:hAnsi="Arial" w:cs="Arial"/>
          <w:b/>
          <w:bCs/>
          <w:sz w:val="22"/>
          <w:szCs w:val="22"/>
          <w:lang w:val="en-IN"/>
        </w:rPr>
      </w:pPr>
      <w:r>
        <w:rPr>
          <w:rFonts w:ascii="Arial" w:hAnsi="Arial" w:cs="Arial"/>
          <w:b/>
          <w:bCs/>
          <w:sz w:val="22"/>
          <w:szCs w:val="22"/>
          <w:lang w:val="en-IN"/>
        </w:rPr>
        <w:t xml:space="preserve">Title: Understanding and Engaging Stakeholders   </w:t>
      </w:r>
    </w:p>
    <w:p w:rsidR="00F1682A" w:rsidRDefault="0093019C" w14:paraId="02D32B23" w14:textId="578B6532">
      <w:pPr>
        <w:spacing w:before="100" w:beforeAutospacing="1" w:after="100" w:afterAutospacing="1"/>
        <w:jc w:val="center"/>
        <w:rPr>
          <w:rFonts w:ascii="Arial" w:hAnsi="Arial" w:cs="Arial"/>
          <w:b/>
          <w:bCs/>
          <w:sz w:val="22"/>
          <w:szCs w:val="22"/>
          <w:lang w:val="en-IN"/>
        </w:rPr>
      </w:pPr>
      <w:r>
        <w:rPr>
          <w:rFonts w:ascii="Arial" w:hAnsi="Arial" w:cs="Arial"/>
          <w:b/>
          <w:bCs/>
          <w:sz w:val="22"/>
          <w:szCs w:val="22"/>
          <w:lang w:val="en-IN"/>
        </w:rPr>
        <w:t>Lecturer's Name:</w:t>
      </w:r>
      <w:r w:rsidR="00A05893">
        <w:rPr>
          <w:rFonts w:ascii="Arial" w:hAnsi="Arial" w:cs="Arial"/>
          <w:b/>
          <w:bCs/>
          <w:sz w:val="22"/>
          <w:szCs w:val="22"/>
          <w:lang w:val="en-IN"/>
        </w:rPr>
        <w:t xml:space="preserve"> ERIC OSEI</w:t>
      </w:r>
    </w:p>
    <w:p w:rsidR="00F1682A" w:rsidRDefault="0093019C" w14:paraId="7A2A97C8" w14:textId="77777777">
      <w:pPr>
        <w:spacing w:before="100" w:beforeAutospacing="1" w:after="100" w:afterAutospacing="1"/>
        <w:jc w:val="center"/>
        <w:rPr>
          <w:rFonts w:ascii="Arial" w:hAnsi="Arial" w:cs="Arial"/>
          <w:b/>
          <w:bCs/>
          <w:sz w:val="22"/>
          <w:szCs w:val="22"/>
          <w:lang w:val="en-IN"/>
        </w:rPr>
      </w:pPr>
      <w:r>
        <w:rPr>
          <w:rFonts w:ascii="Arial" w:hAnsi="Arial" w:cs="Arial"/>
          <w:b/>
          <w:bCs/>
          <w:sz w:val="22"/>
          <w:szCs w:val="22"/>
          <w:lang w:val="en-IN"/>
        </w:rPr>
        <w:t>Assignment Title: Understanding the importance of Stakeholder Engagement in the successful commencement and completion of the project</w:t>
      </w:r>
    </w:p>
    <w:p w:rsidR="00F1682A" w:rsidRDefault="00F1682A" w14:paraId="4F0DCB18" w14:textId="77777777">
      <w:pPr>
        <w:spacing w:before="100" w:beforeAutospacing="1" w:after="100" w:afterAutospacing="1"/>
        <w:jc w:val="center"/>
        <w:rPr>
          <w:rFonts w:ascii="Arial" w:hAnsi="Arial" w:cs="Arial"/>
          <w:b/>
          <w:bCs/>
          <w:sz w:val="22"/>
          <w:szCs w:val="22"/>
          <w:lang w:val="en-IN"/>
        </w:rPr>
      </w:pPr>
    </w:p>
    <w:p w:rsidR="00F1682A" w:rsidRDefault="0093019C" w14:paraId="5F3536CD" w14:textId="77777777">
      <w:pPr>
        <w:spacing w:before="100" w:beforeAutospacing="1" w:after="100" w:afterAutospacing="1"/>
        <w:jc w:val="center"/>
        <w:rPr>
          <w:rFonts w:ascii="Arial" w:hAnsi="Arial" w:cs="Arial"/>
          <w:b/>
          <w:bCs/>
          <w:sz w:val="22"/>
          <w:szCs w:val="22"/>
        </w:rPr>
      </w:pPr>
      <w:r>
        <w:rPr>
          <w:rFonts w:ascii="Arial" w:hAnsi="Arial" w:cs="Arial"/>
          <w:b/>
          <w:bCs/>
          <w:sz w:val="22"/>
          <w:szCs w:val="22"/>
          <w:lang w:val="en-IN"/>
        </w:rPr>
        <w:t>Name:</w:t>
      </w:r>
      <w:r>
        <w:rPr>
          <w:rFonts w:ascii="Arial" w:hAnsi="Arial" w:cs="Arial"/>
          <w:b/>
          <w:bCs/>
          <w:sz w:val="22"/>
          <w:szCs w:val="22"/>
        </w:rPr>
        <w:t xml:space="preserve"> Rodica Ion</w:t>
      </w:r>
    </w:p>
    <w:p w:rsidR="00F1682A" w:rsidP="35071453" w:rsidRDefault="0093019C" w14:paraId="17844392" w14:textId="1D1BE9C9">
      <w:pPr>
        <w:spacing w:before="100" w:beforeAutospacing="on" w:after="100" w:afterAutospacing="on"/>
        <w:jc w:val="center"/>
        <w:rPr>
          <w:rFonts w:ascii="Arial" w:hAnsi="Arial" w:cs="Arial"/>
          <w:b w:val="1"/>
          <w:bCs w:val="1"/>
          <w:sz w:val="22"/>
          <w:szCs w:val="22"/>
          <w:lang w:val="en-IN"/>
        </w:rPr>
      </w:pPr>
      <w:r w:rsidRPr="35071453" w:rsidR="0093019C">
        <w:rPr>
          <w:rFonts w:ascii="Arial" w:hAnsi="Arial" w:cs="Arial"/>
          <w:b w:val="1"/>
          <w:bCs w:val="1"/>
          <w:sz w:val="22"/>
          <w:szCs w:val="22"/>
          <w:lang w:val="en-IN"/>
        </w:rPr>
        <w:t>Student Number:</w:t>
      </w:r>
      <w:r w:rsidRPr="35071453" w:rsidR="413CA4C1">
        <w:rPr>
          <w:rFonts w:ascii="Arial" w:hAnsi="Arial" w:cs="Arial"/>
          <w:b w:val="1"/>
          <w:bCs w:val="1"/>
          <w:sz w:val="22"/>
          <w:szCs w:val="22"/>
          <w:lang w:val="en-IN"/>
        </w:rPr>
        <w:t>2414562</w:t>
      </w:r>
    </w:p>
    <w:p w:rsidR="00F1682A" w:rsidRDefault="00F1682A" w14:paraId="4820FD7F" w14:textId="77777777">
      <w:pPr>
        <w:spacing w:before="100" w:beforeAutospacing="1" w:after="100" w:afterAutospacing="1"/>
        <w:jc w:val="center"/>
        <w:rPr>
          <w:rFonts w:ascii="Arial" w:hAnsi="Arial" w:cs="Arial"/>
          <w:b/>
          <w:bCs/>
          <w:sz w:val="22"/>
          <w:szCs w:val="22"/>
          <w:lang w:val="en-IN"/>
        </w:rPr>
      </w:pPr>
    </w:p>
    <w:p w:rsidR="00F1682A" w:rsidRDefault="00F1682A" w14:paraId="34A9D996" w14:textId="77777777">
      <w:pPr>
        <w:spacing w:before="100" w:beforeAutospacing="1" w:after="100" w:afterAutospacing="1"/>
        <w:jc w:val="left"/>
        <w:rPr>
          <w:rFonts w:ascii="Arial" w:hAnsi="Arial" w:cs="Arial"/>
          <w:sz w:val="22"/>
          <w:szCs w:val="22"/>
        </w:rPr>
      </w:pPr>
    </w:p>
    <w:p w:rsidR="00F1682A" w:rsidRDefault="0093019C" w14:paraId="730D3145" w14:textId="77777777">
      <w:pPr>
        <w:spacing w:before="100" w:beforeAutospacing="1" w:after="100" w:afterAutospacing="1"/>
        <w:jc w:val="left"/>
        <w:rPr>
          <w:rFonts w:ascii="Arial" w:hAnsi="Arial" w:cs="Arial"/>
          <w:b/>
          <w:sz w:val="22"/>
          <w:szCs w:val="22"/>
        </w:rPr>
      </w:pPr>
      <w:r>
        <w:rPr>
          <w:rFonts w:ascii="Arial" w:hAnsi="Arial" w:cs="Arial"/>
          <w:sz w:val="22"/>
          <w:szCs w:val="22"/>
        </w:rPr>
        <w:br w:type="page"/>
      </w:r>
    </w:p>
    <w:p w:rsidRPr="001B57CD" w:rsidR="00F1682A" w:rsidRDefault="0093019C" w14:paraId="5C2825D7" w14:textId="77777777">
      <w:pPr>
        <w:spacing w:before="100" w:beforeAutospacing="1" w:after="100" w:afterAutospacing="1"/>
        <w:rPr>
          <w:rStyle w:val="IntenseReference1"/>
        </w:rPr>
      </w:pPr>
      <w:r w:rsidRPr="001B57CD">
        <w:rPr>
          <w:rStyle w:val="IntenseReference1"/>
        </w:rPr>
        <w:t>Executive Summary</w:t>
      </w:r>
    </w:p>
    <w:p w:rsidR="00F1682A" w:rsidRDefault="0093019C" w14:paraId="0B409A07" w14:textId="77777777">
      <w:pPr>
        <w:spacing w:before="100" w:beforeAutospacing="1" w:after="100" w:afterAutospacing="1"/>
        <w:rPr>
          <w:rFonts w:ascii="Arial" w:hAnsi="Arial" w:cs="Arial"/>
          <w:sz w:val="22"/>
          <w:szCs w:val="22"/>
        </w:rPr>
      </w:pPr>
      <w:r>
        <w:rPr>
          <w:rFonts w:ascii="Arial" w:hAnsi="Arial" w:cs="Arial"/>
          <w:sz w:val="22"/>
          <w:szCs w:val="22"/>
        </w:rPr>
        <w:t>Currently, CMR Surgical, headquartered in the UK, has been planning to launch a new wearable health device for customers in 6 months. In the form of a project, the importance of stakeholders has been addressed, where the internal and external stakeholders have been listed. Through the project, the way stakeholders are being mapped, engaged, and conflicts could be avoided has been emphasised. The use of models like stakeholder mapping, RACI Matrix, Communication Plan and the use of 4Cs can help in the involv</w:t>
      </w:r>
      <w:r>
        <w:rPr>
          <w:rFonts w:ascii="Arial" w:hAnsi="Arial" w:cs="Arial"/>
          <w:sz w:val="22"/>
          <w:szCs w:val="22"/>
        </w:rPr>
        <w:t>ement of the stakeholders and even essentially carry out the project. The project with the involvement of the stakeholders like business partners, investors, employees and others needs to be communicated that is clearly through the communication and engagement plan. Thus, ensuring the smooth transition of the project phases to the deliverables and launch in the market on the given timeline. The crucial planning through a communication plan and using the 4Cs, conflicts can be managed and lead to the successf</w:t>
      </w:r>
      <w:r>
        <w:rPr>
          <w:rFonts w:ascii="Arial" w:hAnsi="Arial" w:cs="Arial"/>
          <w:sz w:val="22"/>
          <w:szCs w:val="22"/>
        </w:rPr>
        <w:t xml:space="preserve">ul execution of the project. </w:t>
      </w:r>
    </w:p>
    <w:p w:rsidR="005D3570" w:rsidRDefault="005D3570" w14:paraId="2204C524" w14:textId="77777777">
      <w:pPr>
        <w:spacing w:before="100" w:beforeAutospacing="1" w:after="100" w:afterAutospacing="1"/>
        <w:jc w:val="left"/>
        <w:rPr>
          <w:rFonts w:ascii="Arial" w:hAnsi="Arial" w:cs="Arial"/>
          <w:sz w:val="22"/>
          <w:szCs w:val="22"/>
        </w:rPr>
      </w:pPr>
    </w:p>
    <w:p w:rsidR="005D3570" w:rsidRDefault="005D3570" w14:paraId="57E18DD5" w14:textId="77777777">
      <w:pPr>
        <w:spacing w:before="100" w:beforeAutospacing="1" w:after="100" w:afterAutospacing="1"/>
        <w:jc w:val="left"/>
        <w:rPr>
          <w:rFonts w:ascii="Arial" w:hAnsi="Arial" w:cs="Arial"/>
          <w:sz w:val="22"/>
          <w:szCs w:val="22"/>
        </w:rPr>
      </w:pPr>
    </w:p>
    <w:p w:rsidR="005D3570" w:rsidRDefault="005D3570" w14:paraId="59C44520" w14:textId="77777777">
      <w:pPr>
        <w:spacing w:before="100" w:beforeAutospacing="1" w:after="100" w:afterAutospacing="1"/>
        <w:jc w:val="left"/>
        <w:rPr>
          <w:rFonts w:ascii="Arial" w:hAnsi="Arial" w:cs="Arial"/>
          <w:sz w:val="22"/>
          <w:szCs w:val="22"/>
        </w:rPr>
      </w:pPr>
    </w:p>
    <w:p w:rsidR="005D3570" w:rsidRDefault="005D3570" w14:paraId="6BEB7D96" w14:textId="77777777">
      <w:pPr>
        <w:spacing w:before="100" w:beforeAutospacing="1" w:after="100" w:afterAutospacing="1"/>
        <w:jc w:val="left"/>
        <w:rPr>
          <w:rFonts w:ascii="Arial" w:hAnsi="Arial" w:cs="Arial"/>
          <w:sz w:val="22"/>
          <w:szCs w:val="22"/>
        </w:rPr>
      </w:pPr>
    </w:p>
    <w:p w:rsidR="005D3570" w:rsidRDefault="005D3570" w14:paraId="106FADCD" w14:textId="77777777">
      <w:pPr>
        <w:spacing w:before="100" w:beforeAutospacing="1" w:after="100" w:afterAutospacing="1"/>
        <w:jc w:val="left"/>
        <w:rPr>
          <w:rFonts w:ascii="Arial" w:hAnsi="Arial" w:cs="Arial"/>
          <w:sz w:val="22"/>
          <w:szCs w:val="22"/>
        </w:rPr>
      </w:pPr>
    </w:p>
    <w:p w:rsidR="005D3570" w:rsidRDefault="005D3570" w14:paraId="59498F8F" w14:textId="77777777">
      <w:pPr>
        <w:spacing w:before="100" w:beforeAutospacing="1" w:after="100" w:afterAutospacing="1"/>
        <w:jc w:val="left"/>
        <w:rPr>
          <w:rFonts w:ascii="Arial" w:hAnsi="Arial" w:cs="Arial"/>
          <w:sz w:val="22"/>
          <w:szCs w:val="22"/>
        </w:rPr>
      </w:pPr>
    </w:p>
    <w:p w:rsidR="005D3570" w:rsidRDefault="005D3570" w14:paraId="2B515CF5" w14:textId="77777777">
      <w:pPr>
        <w:spacing w:before="100" w:beforeAutospacing="1" w:after="100" w:afterAutospacing="1"/>
        <w:jc w:val="left"/>
        <w:rPr>
          <w:rFonts w:ascii="Arial" w:hAnsi="Arial" w:cs="Arial"/>
          <w:sz w:val="22"/>
          <w:szCs w:val="22"/>
        </w:rPr>
      </w:pPr>
    </w:p>
    <w:p w:rsidR="005D3570" w:rsidRDefault="005D3570" w14:paraId="0BACE690" w14:textId="77777777">
      <w:pPr>
        <w:spacing w:before="100" w:beforeAutospacing="1" w:after="100" w:afterAutospacing="1"/>
        <w:jc w:val="left"/>
        <w:rPr>
          <w:rFonts w:ascii="Arial" w:hAnsi="Arial" w:cs="Arial"/>
          <w:sz w:val="22"/>
          <w:szCs w:val="22"/>
        </w:rPr>
      </w:pPr>
    </w:p>
    <w:p w:rsidR="005D3570" w:rsidRDefault="005D3570" w14:paraId="7904E90D" w14:textId="77777777">
      <w:pPr>
        <w:spacing w:before="100" w:beforeAutospacing="1" w:after="100" w:afterAutospacing="1"/>
        <w:jc w:val="left"/>
        <w:rPr>
          <w:rFonts w:ascii="Arial" w:hAnsi="Arial" w:cs="Arial"/>
          <w:sz w:val="22"/>
          <w:szCs w:val="22"/>
        </w:rPr>
      </w:pPr>
    </w:p>
    <w:p w:rsidR="005D3570" w:rsidRDefault="005D3570" w14:paraId="20B2A712" w14:textId="77777777">
      <w:pPr>
        <w:spacing w:before="100" w:beforeAutospacing="1" w:after="100" w:afterAutospacing="1"/>
        <w:jc w:val="left"/>
        <w:rPr>
          <w:rFonts w:ascii="Arial" w:hAnsi="Arial" w:cs="Arial"/>
          <w:sz w:val="22"/>
          <w:szCs w:val="22"/>
        </w:rPr>
      </w:pPr>
    </w:p>
    <w:p w:rsidR="005D3570" w:rsidRDefault="005D3570" w14:paraId="67A68697" w14:textId="77777777">
      <w:pPr>
        <w:spacing w:before="100" w:beforeAutospacing="1" w:after="100" w:afterAutospacing="1"/>
        <w:jc w:val="left"/>
        <w:rPr>
          <w:rFonts w:ascii="Arial" w:hAnsi="Arial" w:cs="Arial"/>
          <w:sz w:val="22"/>
          <w:szCs w:val="22"/>
        </w:rPr>
      </w:pPr>
    </w:p>
    <w:p w:rsidR="005D3570" w:rsidRDefault="005D3570" w14:paraId="0CB0B9CE" w14:textId="77777777">
      <w:pPr>
        <w:spacing w:before="100" w:beforeAutospacing="1" w:after="100" w:afterAutospacing="1"/>
        <w:jc w:val="left"/>
        <w:rPr>
          <w:rFonts w:ascii="Arial" w:hAnsi="Arial" w:cs="Arial"/>
          <w:sz w:val="22"/>
          <w:szCs w:val="22"/>
        </w:rPr>
      </w:pPr>
    </w:p>
    <w:p w:rsidR="005D3570" w:rsidRDefault="005D3570" w14:paraId="178BFB7C" w14:textId="77777777">
      <w:pPr>
        <w:spacing w:before="100" w:beforeAutospacing="1" w:after="100" w:afterAutospacing="1"/>
        <w:jc w:val="left"/>
        <w:rPr>
          <w:rFonts w:ascii="Arial" w:hAnsi="Arial" w:cs="Arial"/>
          <w:sz w:val="22"/>
          <w:szCs w:val="22"/>
        </w:rPr>
      </w:pPr>
    </w:p>
    <w:p w:rsidR="005D3570" w:rsidRDefault="005D3570" w14:paraId="3409257E" w14:textId="77777777">
      <w:pPr>
        <w:spacing w:before="100" w:beforeAutospacing="1" w:after="100" w:afterAutospacing="1"/>
        <w:jc w:val="left"/>
        <w:rPr>
          <w:rFonts w:ascii="Arial" w:hAnsi="Arial" w:cs="Arial"/>
          <w:sz w:val="22"/>
          <w:szCs w:val="22"/>
        </w:rPr>
      </w:pPr>
    </w:p>
    <w:sdt>
      <w:sdtPr>
        <w:id w:val="1380818138"/>
        <w:docPartObj>
          <w:docPartGallery w:val="Table of Contents"/>
          <w:docPartUnique/>
        </w:docPartObj>
        <w:rPr>
          <w:rFonts w:ascii="Calibri" w:hAnsi="Calibri" w:asciiTheme="minorAscii" w:hAnsiTheme="minorAscii"/>
          <w:i w:val="1"/>
          <w:iCs w:val="1"/>
          <w:sz w:val="24"/>
          <w:szCs w:val="24"/>
        </w:rPr>
      </w:sdtPr>
      <w:sdtEndPr>
        <w:rPr>
          <w:rFonts w:ascii="Calibri" w:hAnsi="Calibri" w:asciiTheme="minorAscii" w:hAnsiTheme="minorAscii"/>
          <w:i w:val="1"/>
          <w:iCs w:val="1"/>
          <w:sz w:val="24"/>
          <w:szCs w:val="24"/>
        </w:rPr>
      </w:sdtEndPr>
      <w:sdtContent>
        <w:p w:rsidR="00974EB0" w:rsidRDefault="00974EB0" w14:paraId="66FA740B" w14:textId="79CC2EA7">
          <w:pPr>
            <w:pStyle w:val="Titlucuprins"/>
          </w:pPr>
          <w:r>
            <w:t>Table of Contents</w:t>
          </w:r>
        </w:p>
        <w:p w:rsidRPr="00974EB0" w:rsidR="00974EB0" w:rsidP="00974EB0" w:rsidRDefault="00974EB0" w14:paraId="3142A5DC" w14:textId="2C30E6D8">
          <w:pPr>
            <w:pStyle w:val="Titlu5"/>
            <w:rPr>
              <w:rFonts w:ascii="Arial" w:hAnsi="Arial" w:cs="Arial"/>
              <w:sz w:val="36"/>
              <w:szCs w:val="36"/>
            </w:rPr>
          </w:pPr>
          <w:r>
            <w:rPr>
              <w:b/>
              <w:bCs/>
            </w:rPr>
            <w:t xml:space="preserve">INTRODUCTION </w:t>
          </w:r>
          <w:r>
            <w:ptab w:alignment="right" w:relativeTo="margin" w:leader="dot"/>
          </w:r>
          <w:r>
            <w:rPr>
              <w:b/>
              <w:bCs/>
            </w:rPr>
            <w:t>1</w:t>
          </w:r>
        </w:p>
        <w:p w:rsidRPr="00974EB0" w:rsidR="00974EB0" w:rsidP="00974EB0" w:rsidRDefault="00974EB0" w14:paraId="168BEF85" w14:textId="77777777">
          <w:pPr>
            <w:pStyle w:val="Titlu4"/>
            <w:rPr>
              <w:rFonts w:ascii="Arial" w:hAnsi="Arial" w:cs="Arial"/>
            </w:rPr>
          </w:pPr>
          <w:r>
            <w:t>An appraisal of the company</w:t>
          </w:r>
        </w:p>
        <w:p w:rsidRPr="00974EB0" w:rsidR="00974EB0" w:rsidP="00974EB0" w:rsidRDefault="00974EB0" w14:paraId="64E1B6EC" w14:textId="07299943">
          <w:pPr>
            <w:pStyle w:val="Titlu4"/>
            <w:rPr>
              <w:rFonts w:ascii="Arial" w:hAnsi="Arial" w:cs="Arial"/>
              <w:i w:val="0"/>
              <w:iCs w:val="0"/>
            </w:rPr>
          </w:pPr>
          <w:r w:rsidRPr="00974EB0">
            <w:rPr>
              <w:rFonts w:ascii="Arial" w:hAnsi="Arial" w:cs="Arial"/>
              <w:i w:val="0"/>
              <w:iCs w:val="0"/>
            </w:rPr>
            <w:t>SWOT analysis</w:t>
          </w:r>
          <w:r>
            <w:ptab w:alignment="right" w:relativeTo="margin" w:leader="dot"/>
          </w:r>
          <w:r>
            <w:t>2</w:t>
          </w:r>
        </w:p>
        <w:p w:rsidRPr="00974EB0" w:rsidR="00974EB0" w:rsidP="00974EB0" w:rsidRDefault="00974EB0" w14:paraId="423358F2" w14:textId="79275D15">
          <w:pPr>
            <w:pStyle w:val="Titlu4"/>
            <w:rPr>
              <w:rFonts w:ascii="Arial" w:hAnsi="Arial" w:cs="Arial"/>
              <w:i w:val="0"/>
              <w:iCs w:val="0"/>
              <w:sz w:val="36"/>
              <w:szCs w:val="36"/>
            </w:rPr>
          </w:pPr>
          <w:r w:rsidRPr="00E1646E">
            <w:rPr>
              <w:rFonts w:ascii="Arial" w:hAnsi="Arial" w:cs="Arial"/>
              <w:i w:val="0"/>
              <w:iCs w:val="0"/>
              <w:sz w:val="22"/>
              <w:szCs w:val="22"/>
            </w:rPr>
            <w:t>PESTEL ANALISYS</w:t>
          </w:r>
          <w:r w:rsidRPr="00A05893">
            <w:rPr>
              <w:rFonts w:ascii="Arial" w:hAnsi="Arial" w:cs="Arial"/>
              <w:i w:val="0"/>
              <w:iCs w:val="0"/>
              <w:sz w:val="36"/>
              <w:szCs w:val="36"/>
            </w:rPr>
            <w:t xml:space="preserve"> </w:t>
          </w:r>
          <w:r>
            <w:ptab w:alignment="right" w:relativeTo="margin" w:leader="dot"/>
          </w:r>
          <w:r>
            <w:t>3</w:t>
          </w:r>
        </w:p>
        <w:p w:rsidRPr="00974EB0" w:rsidR="00974EB0" w:rsidP="00974EB0" w:rsidRDefault="00974EB0" w14:paraId="46E81441" w14:textId="4E620A8B">
          <w:pPr>
            <w:pStyle w:val="Titlu4"/>
            <w:rPr>
              <w:rFonts w:ascii="Arial" w:hAnsi="Arial" w:cs="Arial"/>
              <w:i w:val="0"/>
              <w:iCs w:val="0"/>
              <w:sz w:val="40"/>
              <w:szCs w:val="40"/>
            </w:rPr>
          </w:pPr>
          <w:r w:rsidRPr="00E1646E">
            <w:rPr>
              <w:rFonts w:ascii="Arial" w:hAnsi="Arial" w:cs="Arial"/>
              <w:i w:val="0"/>
              <w:iCs w:val="0"/>
              <w:sz w:val="22"/>
              <w:szCs w:val="22"/>
            </w:rPr>
            <w:t>SMART OBJECTS</w:t>
          </w:r>
          <w:r w:rsidRPr="00A05893">
            <w:rPr>
              <w:rFonts w:ascii="Arial" w:hAnsi="Arial" w:cs="Arial"/>
              <w:i w:val="0"/>
              <w:iCs w:val="0"/>
              <w:sz w:val="40"/>
              <w:szCs w:val="40"/>
            </w:rPr>
            <w:t xml:space="preserve"> </w:t>
          </w:r>
          <w:r>
            <w:ptab w:alignment="right" w:relativeTo="margin" w:leader="dot"/>
          </w:r>
          <w:r>
            <w:rPr>
              <w:b/>
              <w:bCs/>
            </w:rPr>
            <w:t>4</w:t>
          </w:r>
        </w:p>
        <w:p w:rsidRPr="00974EB0" w:rsidR="00974EB0" w:rsidP="00974EB0" w:rsidRDefault="00974EB0" w14:paraId="505DE15F" w14:textId="7EC949DE">
          <w:pPr>
            <w:pStyle w:val="Titlu5"/>
            <w:rPr>
              <w:rFonts w:ascii="Arial" w:hAnsi="Arial" w:cs="Arial"/>
              <w:sz w:val="22"/>
              <w:szCs w:val="22"/>
            </w:rPr>
          </w:pPr>
          <w:r w:rsidRPr="00974EB0">
            <w:rPr>
              <w:rFonts w:ascii="Arial" w:hAnsi="Arial" w:cs="Arial"/>
              <w:sz w:val="22"/>
              <w:szCs w:val="22"/>
            </w:rPr>
            <w:t>The key internal and external stakeholders involved in the project</w:t>
          </w:r>
          <w:r w:rsidRPr="00974EB0">
            <w:rPr>
              <w:rFonts w:ascii="Arial" w:hAnsi="Arial" w:cs="Arial"/>
              <w:sz w:val="22"/>
              <w:szCs w:val="22"/>
            </w:rPr>
            <w:ptab w:alignment="right" w:relativeTo="margin" w:leader="dot"/>
          </w:r>
          <w:r w:rsidRPr="00974EB0">
            <w:rPr>
              <w:rFonts w:ascii="Arial" w:hAnsi="Arial" w:cs="Arial"/>
              <w:sz w:val="22"/>
              <w:szCs w:val="22"/>
            </w:rPr>
            <w:t>5</w:t>
          </w:r>
        </w:p>
        <w:p w:rsidR="00E1646E" w:rsidP="00E1646E" w:rsidRDefault="00E1646E" w14:paraId="5E4D72EB" w14:textId="77777777">
          <w:pPr>
            <w:pStyle w:val="Titlu4"/>
          </w:pPr>
          <w:r w:rsidRPr="00E1646E">
            <w:rPr>
              <w:rFonts w:ascii="Arial" w:hAnsi="Arial" w:cs="Arial"/>
              <w:i w:val="0"/>
              <w:iCs w:val="0"/>
              <w:sz w:val="22"/>
              <w:szCs w:val="22"/>
            </w:rPr>
            <w:t>Roles and responsibilities of the key stakeholders with benefits and challenges</w:t>
          </w:r>
          <w:r w:rsidR="00974EB0">
            <w:ptab w:alignment="right" w:relativeTo="margin" w:leader="dot"/>
          </w:r>
          <w:r w:rsidR="00974EB0">
            <w:t>6</w:t>
          </w:r>
        </w:p>
        <w:p w:rsidR="00E1646E" w:rsidP="00E1646E" w:rsidRDefault="00E1646E" w14:paraId="137144F4" w14:textId="3A5F16E1">
          <w:pPr>
            <w:pStyle w:val="Titlu4"/>
          </w:pPr>
          <w:r w:rsidRPr="00E1646E">
            <w:t>RACI MATRIX</w:t>
          </w:r>
          <w:r>
            <w:t>………………………………………………………………………………………………………………………12</w:t>
          </w:r>
        </w:p>
        <w:p w:rsidR="00E1646E" w:rsidP="00E1646E" w:rsidRDefault="00E1646E" w14:paraId="45988E22" w14:textId="5FC04F05">
          <w:pPr>
            <w:pStyle w:val="Titlu4"/>
          </w:pPr>
          <w:r w:rsidRPr="00E1646E">
            <w:t>Engagement and Communication Plan</w:t>
          </w:r>
          <w:r>
            <w:t>………………………………………………………………………………13</w:t>
          </w:r>
        </w:p>
        <w:p w:rsidR="00E1646E" w:rsidP="00E1646E" w:rsidRDefault="00E1646E" w14:paraId="393942FB" w14:textId="192E3289">
          <w:pPr>
            <w:pStyle w:val="Titlu4"/>
          </w:pPr>
          <w:r w:rsidRPr="00E1646E">
            <w:t>Evaluation of the impact of stakeholders’ engagement on the business performance and future recommendations</w:t>
          </w:r>
          <w:r>
            <w:t>……………………………………………………………………………………………………18</w:t>
          </w:r>
        </w:p>
        <w:p w:rsidRPr="00E1646E" w:rsidR="00E1646E" w:rsidP="00E1646E" w:rsidRDefault="00E1646E" w14:paraId="0A5244FD" w14:textId="43F09EEA">
          <w:pPr>
            <w:pStyle w:val="Titlu4"/>
          </w:pPr>
          <w:r w:rsidRPr="00E1646E">
            <w:t>Conclusion</w:t>
          </w:r>
          <w:r>
            <w:t>……………………………………………………………………………………………………………………….19</w:t>
          </w:r>
        </w:p>
        <w:p w:rsidRPr="00E1646E" w:rsidR="00974EB0" w:rsidP="00E1646E" w:rsidRDefault="00E1646E" w14:paraId="3C9BD899" w14:textId="6F8711C6">
          <w:pPr>
            <w:pStyle w:val="Titlu4"/>
          </w:pPr>
          <w:r>
            <w:t>References ………………………………………………………………………………………………………………………21</w:t>
          </w:r>
        </w:p>
      </w:sdtContent>
    </w:sdt>
    <w:p w:rsidR="00F1682A" w:rsidRDefault="0093019C" w14:paraId="4861A7C1" w14:textId="28B44778">
      <w:pPr>
        <w:spacing w:before="100" w:beforeAutospacing="1" w:after="100" w:afterAutospacing="1"/>
        <w:jc w:val="left"/>
        <w:rPr>
          <w:rFonts w:ascii="Arial" w:hAnsi="Arial" w:cs="Arial"/>
          <w:sz w:val="22"/>
          <w:szCs w:val="22"/>
        </w:rPr>
      </w:pPr>
      <w:r>
        <w:rPr>
          <w:rFonts w:ascii="Arial" w:hAnsi="Arial" w:cs="Arial"/>
          <w:sz w:val="22"/>
          <w:szCs w:val="22"/>
        </w:rPr>
        <w:br w:type="page"/>
      </w:r>
    </w:p>
    <w:p w:rsidRPr="00974EB0" w:rsidR="00F1682A" w:rsidP="00974EB0" w:rsidRDefault="0093019C" w14:paraId="2623DBEA" w14:textId="77777777">
      <w:pPr>
        <w:pStyle w:val="Titlu5"/>
        <w:rPr>
          <w:rFonts w:ascii="Arial" w:hAnsi="Arial" w:cs="Arial"/>
          <w:sz w:val="36"/>
          <w:szCs w:val="36"/>
        </w:rPr>
      </w:pPr>
      <w:bookmarkStart w:name="_Toc210409359" w:id="0"/>
      <w:r w:rsidRPr="00974EB0">
        <w:rPr>
          <w:rFonts w:ascii="Arial" w:hAnsi="Arial" w:cs="Arial"/>
          <w:sz w:val="36"/>
          <w:szCs w:val="36"/>
        </w:rPr>
        <w:t>Introduction to CMR Surgical</w:t>
      </w:r>
      <w:bookmarkEnd w:id="0"/>
    </w:p>
    <w:p w:rsidR="00F1682A" w:rsidRDefault="0093019C" w14:paraId="48B864A4" w14:textId="77777777">
      <w:pPr>
        <w:spacing w:before="100" w:beforeAutospacing="1" w:after="100" w:afterAutospacing="1"/>
        <w:rPr>
          <w:rFonts w:ascii="Arial" w:hAnsi="Arial" w:cs="Arial"/>
          <w:sz w:val="22"/>
          <w:szCs w:val="22"/>
        </w:rPr>
      </w:pPr>
      <w:r>
        <w:rPr>
          <w:rFonts w:ascii="Arial" w:hAnsi="Arial" w:cs="Arial"/>
          <w:sz w:val="22"/>
          <w:szCs w:val="22"/>
        </w:rPr>
        <w:t xml:space="preserve">Digital transformation by now has been the most debatable topic that has incurred both opportunities and challenges to the world (Rohini </w:t>
      </w:r>
      <w:r>
        <w:rPr>
          <w:rFonts w:ascii="Arial" w:hAnsi="Arial" w:cs="Arial"/>
          <w:i/>
          <w:iCs/>
          <w:sz w:val="22"/>
          <w:szCs w:val="22"/>
        </w:rPr>
        <w:t>et al.,</w:t>
      </w:r>
      <w:r>
        <w:rPr>
          <w:rFonts w:ascii="Arial" w:hAnsi="Arial" w:cs="Arial"/>
          <w:sz w:val="22"/>
          <w:szCs w:val="22"/>
        </w:rPr>
        <w:t xml:space="preserve"> 2023). Similarly, one such digital revolution has been found in the story of CMR Surgical, where it has been on the plan to launch a new wearable health device for the customers in 6 months. CMR Surgical, as one of the renowned companies operating in the UK, has launched itself not to sell products, rather to bring transformation to millions of people's lives. The belief that strongly works with CMR is that patients should receive the highest quality of care, which would improve their lives and even</w:t>
      </w:r>
      <w:r>
        <w:rPr>
          <w:rFonts w:ascii="Arial" w:hAnsi="Arial" w:cs="Arial"/>
          <w:sz w:val="22"/>
          <w:szCs w:val="22"/>
        </w:rPr>
        <w:t xml:space="preserve"> help in attaining high satisfaction (CMR Surgical, 2025). Versius has been their innovation, which aims to empower surgeons to effect transformation in the way surgeries are performed globally. The story of CMR started in 2014 with four founders hovering over some big questions, and today it has its headquarters located in Cambridge (CMR Surgical, n.d.a). Currently, this organisation has been performing with a strength of approximately 700 employees. The operational activity is primarily based on both huma</w:t>
      </w:r>
      <w:r>
        <w:rPr>
          <w:rFonts w:ascii="Arial" w:hAnsi="Arial" w:cs="Arial"/>
          <w:sz w:val="22"/>
          <w:szCs w:val="22"/>
        </w:rPr>
        <w:t xml:space="preserve">n and technology to foster the transformation in patients’ lives. Digital techniques have been assisting CMR to go beyond the imagination and create new stories in surgeries, and help the surgeons, too. </w:t>
      </w:r>
    </w:p>
    <w:p w:rsidR="00F1682A" w:rsidRDefault="0093019C" w14:paraId="64F9D01A" w14:textId="77777777">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2F8AB7E2" wp14:editId="77BD2839">
            <wp:extent cx="5731510" cy="2980690"/>
            <wp:effectExtent l="0" t="0" r="2540" b="0"/>
            <wp:docPr id="738252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52998" name="Picture 1"/>
                    <pic:cNvPicPr>
                      <a:picLocks noChangeAspect="1"/>
                    </pic:cNvPicPr>
                  </pic:nvPicPr>
                  <pic:blipFill>
                    <a:blip r:embed="rId9"/>
                    <a:stretch>
                      <a:fillRect/>
                    </a:stretch>
                  </pic:blipFill>
                  <pic:spPr>
                    <a:xfrm>
                      <a:off x="0" y="0"/>
                      <a:ext cx="5731510" cy="2980690"/>
                    </a:xfrm>
                    <a:prstGeom prst="rect">
                      <a:avLst/>
                    </a:prstGeom>
                  </pic:spPr>
                </pic:pic>
              </a:graphicData>
            </a:graphic>
          </wp:inline>
        </w:drawing>
      </w:r>
    </w:p>
    <w:p w:rsidR="00F1682A" w:rsidRDefault="0093019C" w14:paraId="5EB15E32"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Figure 1: Digital Revolution through CMR Surgical</w:t>
      </w:r>
    </w:p>
    <w:p w:rsidR="00F1682A" w:rsidRDefault="0093019C" w14:paraId="55777B74" w14:textId="77777777">
      <w:pPr>
        <w:spacing w:before="100" w:beforeAutospacing="1" w:after="100" w:afterAutospacing="1"/>
        <w:jc w:val="center"/>
        <w:rPr>
          <w:rFonts w:ascii="Arial" w:hAnsi="Arial" w:cs="Arial"/>
          <w:sz w:val="22"/>
          <w:szCs w:val="22"/>
        </w:rPr>
      </w:pPr>
      <w:r>
        <w:rPr>
          <w:rFonts w:ascii="Arial" w:hAnsi="Arial" w:cs="Arial"/>
          <w:sz w:val="22"/>
          <w:szCs w:val="22"/>
        </w:rPr>
        <w:t>(Source: CMR Surgical, n.d.a)</w:t>
      </w:r>
    </w:p>
    <w:p w:rsidR="00F1682A" w:rsidRDefault="0093019C" w14:paraId="63C8026E" w14:textId="77777777">
      <w:pPr>
        <w:spacing w:before="100" w:beforeAutospacing="1" w:after="100" w:afterAutospacing="1"/>
        <w:jc w:val="center"/>
        <w:rPr>
          <w:rFonts w:ascii="Arial" w:hAnsi="Arial" w:cs="Arial"/>
          <w:sz w:val="22"/>
          <w:szCs w:val="22"/>
        </w:rPr>
      </w:pPr>
      <w:r>
        <w:rPr>
          <w:rFonts w:ascii="Arial" w:hAnsi="Arial" w:cs="Arial"/>
          <w:noProof/>
          <w:sz w:val="22"/>
          <w:szCs w:val="22"/>
        </w:rPr>
        <w:drawing>
          <wp:inline distT="0" distB="0" distL="0" distR="0" wp14:anchorId="2EBD0BB8" wp14:editId="257752CF">
            <wp:extent cx="4922520" cy="3444240"/>
            <wp:effectExtent l="0" t="0" r="0" b="3810"/>
            <wp:docPr id="213126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61581" name="Picture 1"/>
                    <pic:cNvPicPr>
                      <a:picLocks noChangeAspect="1"/>
                    </pic:cNvPicPr>
                  </pic:nvPicPr>
                  <pic:blipFill>
                    <a:blip r:embed="rId10"/>
                    <a:stretch>
                      <a:fillRect/>
                    </a:stretch>
                  </pic:blipFill>
                  <pic:spPr>
                    <a:xfrm>
                      <a:off x="0" y="0"/>
                      <a:ext cx="4922947" cy="3444538"/>
                    </a:xfrm>
                    <a:prstGeom prst="rect">
                      <a:avLst/>
                    </a:prstGeom>
                  </pic:spPr>
                </pic:pic>
              </a:graphicData>
            </a:graphic>
          </wp:inline>
        </w:drawing>
      </w:r>
    </w:p>
    <w:p w:rsidR="00F1682A" w:rsidRDefault="0093019C" w14:paraId="0B122861"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Figure 2: The role of Versius in bringing transformation to surgeries</w:t>
      </w:r>
    </w:p>
    <w:p w:rsidR="00F1682A" w:rsidRDefault="0093019C" w14:paraId="52A3D2BA" w14:textId="77777777">
      <w:pPr>
        <w:spacing w:before="100" w:beforeAutospacing="1" w:after="100" w:afterAutospacing="1"/>
        <w:jc w:val="center"/>
        <w:rPr>
          <w:rFonts w:ascii="Arial" w:hAnsi="Arial" w:cs="Arial"/>
          <w:sz w:val="22"/>
          <w:szCs w:val="22"/>
        </w:rPr>
      </w:pPr>
      <w:r>
        <w:rPr>
          <w:rFonts w:ascii="Arial" w:hAnsi="Arial" w:cs="Arial"/>
          <w:sz w:val="22"/>
          <w:szCs w:val="22"/>
        </w:rPr>
        <w:t>(Source: CMR Surgical, n.d.b)</w:t>
      </w:r>
    </w:p>
    <w:p w:rsidRPr="00974EB0" w:rsidR="00F1682A" w:rsidP="00974EB0" w:rsidRDefault="0093019C" w14:paraId="71D7F9F7" w14:textId="77777777">
      <w:pPr>
        <w:pStyle w:val="Titlu4"/>
        <w:rPr>
          <w:rFonts w:ascii="Arial" w:hAnsi="Arial" w:cs="Arial"/>
        </w:rPr>
      </w:pPr>
      <w:bookmarkStart w:name="_Toc210409360" w:id="1"/>
      <w:bookmarkStart w:name="_Toc213345939" w:id="2"/>
      <w:bookmarkStart w:name="_Toc213345996" w:id="3"/>
      <w:bookmarkStart w:name="_Toc213346020" w:id="4"/>
      <w:r>
        <w:t>An appraisal of the company</w:t>
      </w:r>
      <w:bookmarkEnd w:id="1"/>
      <w:bookmarkEnd w:id="2"/>
      <w:bookmarkEnd w:id="3"/>
      <w:bookmarkEnd w:id="4"/>
    </w:p>
    <w:p w:rsidR="0093019C" w:rsidP="76B16249" w:rsidRDefault="0093019C" w14:paraId="76B58230" w14:textId="07CA326A">
      <w:pPr>
        <w:pStyle w:val="Titlu4"/>
        <w:rPr>
          <w:rFonts w:ascii="Arial" w:hAnsi="Arial" w:cs="Arial"/>
          <w:i w:val="0"/>
          <w:iCs w:val="0"/>
          <w:sz w:val="40"/>
          <w:szCs w:val="40"/>
        </w:rPr>
      </w:pPr>
      <w:r w:rsidRPr="76B16249" w:rsidR="0093019C">
        <w:rPr>
          <w:rFonts w:ascii="Arial" w:hAnsi="Arial" w:cs="Arial"/>
          <w:i w:val="0"/>
          <w:iCs w:val="0"/>
          <w:sz w:val="40"/>
          <w:szCs w:val="40"/>
        </w:rPr>
        <w:t>SWOT</w:t>
      </w:r>
      <w:r w:rsidRPr="76B16249" w:rsidR="7BE9EA85">
        <w:rPr>
          <w:rFonts w:ascii="Arial" w:hAnsi="Arial" w:cs="Arial"/>
          <w:i w:val="0"/>
          <w:iCs w:val="0"/>
          <w:sz w:val="40"/>
          <w:szCs w:val="40"/>
        </w:rPr>
        <w:t xml:space="preserve"> ANALY</w:t>
      </w:r>
      <w:r w:rsidRPr="76B16249" w:rsidR="22A13E4C">
        <w:rPr>
          <w:rFonts w:ascii="Arial" w:hAnsi="Arial" w:cs="Arial"/>
          <w:i w:val="0"/>
          <w:iCs w:val="0"/>
          <w:sz w:val="40"/>
          <w:szCs w:val="40"/>
        </w:rPr>
        <w:t>SIS</w:t>
      </w:r>
    </w:p>
    <w:p w:rsidR="005D3570" w:rsidP="005D3570" w:rsidRDefault="005D3570" w14:paraId="63E0D190" w14:textId="57E33428">
      <w:pPr>
        <w:rPr>
          <w:rFonts w:ascii="Arial" w:hAnsi="Arial" w:cs="Arial"/>
          <w:sz w:val="22"/>
          <w:szCs w:val="22"/>
        </w:rPr>
      </w:pPr>
      <w:r w:rsidRPr="76B16249" w:rsidR="005D3570">
        <w:rPr>
          <w:rFonts w:ascii="Arial" w:hAnsi="Arial" w:cs="Arial"/>
          <w:sz w:val="22"/>
          <w:szCs w:val="22"/>
        </w:rPr>
        <w:t>SWOT analysis is a tool for strategic planning and</w:t>
      </w:r>
      <w:r w:rsidRPr="76B16249" w:rsidR="005D3570">
        <w:rPr>
          <w:rFonts w:ascii="Arial" w:hAnsi="Arial" w:cs="Arial"/>
          <w:sz w:val="22"/>
          <w:szCs w:val="22"/>
        </w:rPr>
        <w:t> </w:t>
      </w:r>
      <w:r w:rsidRPr="76B16249" w:rsidR="005D3570">
        <w:rPr>
          <w:rFonts w:ascii="Arial" w:hAnsi="Arial" w:cs="Arial"/>
          <w:sz w:val="22"/>
          <w:szCs w:val="22"/>
        </w:rPr>
        <w:t>investment analysis that assesses the Strengths, Weaknesses, Opportunities and Threats of an organization. It offers a systematic way to measure and evaluate strengths of</w:t>
      </w:r>
      <w:r w:rsidRPr="76B16249" w:rsidR="005D3570">
        <w:rPr>
          <w:rFonts w:ascii="Arial" w:hAnsi="Arial" w:cs="Arial"/>
          <w:sz w:val="22"/>
          <w:szCs w:val="22"/>
        </w:rPr>
        <w:t> </w:t>
      </w:r>
      <w:r w:rsidRPr="76B16249" w:rsidR="005D3570">
        <w:rPr>
          <w:rFonts w:ascii="Arial" w:hAnsi="Arial" w:cs="Arial"/>
          <w:sz w:val="22"/>
          <w:szCs w:val="22"/>
        </w:rPr>
        <w:t xml:space="preserve">resources and weaknesses in environment factors that control performance (Gürel </w:t>
      </w:r>
      <w:r w:rsidRPr="76B16249" w:rsidR="2B4DE38F">
        <w:rPr>
          <w:rFonts w:ascii="Arial" w:hAnsi="Arial" w:cs="Arial"/>
          <w:sz w:val="22"/>
          <w:szCs w:val="22"/>
        </w:rPr>
        <w:t>and</w:t>
      </w:r>
      <w:r w:rsidRPr="76B16249" w:rsidR="005D3570">
        <w:rPr>
          <w:rFonts w:ascii="Arial" w:hAnsi="Arial" w:cs="Arial"/>
          <w:sz w:val="22"/>
          <w:szCs w:val="22"/>
        </w:rPr>
        <w:t xml:space="preserve"> Tat, 2017). By recognising these four dimensions, firms can link strategies to their resources and external market context through improvements in decision making and long-term competitiveness (Helms &amp; Nixon,</w:t>
      </w:r>
      <w:r w:rsidRPr="76B16249" w:rsidR="005D3570">
        <w:rPr>
          <w:rFonts w:ascii="Arial" w:hAnsi="Arial" w:cs="Arial"/>
          <w:sz w:val="22"/>
          <w:szCs w:val="22"/>
        </w:rPr>
        <w:t> </w:t>
      </w:r>
      <w:r w:rsidRPr="76B16249" w:rsidR="005D3570">
        <w:rPr>
          <w:rFonts w:ascii="Arial" w:hAnsi="Arial" w:cs="Arial"/>
          <w:sz w:val="22"/>
          <w:szCs w:val="22"/>
        </w:rPr>
        <w:t>2010). The approach has the potential to analyse and develop situational awareness as well as strategic anticipation,</w:t>
      </w:r>
      <w:r w:rsidRPr="76B16249" w:rsidR="005D3570">
        <w:rPr>
          <w:rFonts w:ascii="Arial" w:hAnsi="Arial" w:cs="Arial"/>
          <w:sz w:val="22"/>
          <w:szCs w:val="22"/>
        </w:rPr>
        <w:t> </w:t>
      </w:r>
      <w:r w:rsidRPr="76B16249" w:rsidR="005D3570">
        <w:rPr>
          <w:rFonts w:ascii="Arial" w:hAnsi="Arial" w:cs="Arial"/>
          <w:sz w:val="22"/>
          <w:szCs w:val="22"/>
        </w:rPr>
        <w:t>helping to face challenges and capture opportunities efficiently (</w:t>
      </w:r>
      <w:r w:rsidRPr="76B16249" w:rsidR="005D3570">
        <w:rPr>
          <w:rFonts w:ascii="Arial" w:hAnsi="Arial" w:cs="Arial"/>
          <w:sz w:val="22"/>
          <w:szCs w:val="22"/>
        </w:rPr>
        <w:t>Phadermrod</w:t>
      </w:r>
      <w:r w:rsidRPr="76B16249" w:rsidR="005D3570">
        <w:rPr>
          <w:rFonts w:ascii="Arial" w:hAnsi="Arial" w:cs="Arial"/>
          <w:sz w:val="22"/>
          <w:szCs w:val="22"/>
        </w:rPr>
        <w:t>, Crowder&amp; Wills,2019).</w:t>
      </w:r>
    </w:p>
    <w:p w:rsidR="005D3570" w:rsidP="005D3570" w:rsidRDefault="005D3570" w14:paraId="1CCCE8A5" w14:textId="77777777">
      <w:pPr>
        <w:rPr>
          <w:rFonts w:ascii="Arial" w:hAnsi="Arial" w:cs="Arial"/>
          <w:sz w:val="22"/>
          <w:szCs w:val="22"/>
        </w:rPr>
      </w:pPr>
    </w:p>
    <w:p w:rsidR="005D3570" w:rsidP="005D3570" w:rsidRDefault="005D3570" w14:paraId="069F86E9" w14:textId="77777777">
      <w:pPr>
        <w:rPr>
          <w:rFonts w:ascii="Arial" w:hAnsi="Arial" w:cs="Arial"/>
          <w:sz w:val="22"/>
          <w:szCs w:val="22"/>
        </w:rPr>
      </w:pPr>
    </w:p>
    <w:p w:rsidRPr="005D3570" w:rsidR="005D3570" w:rsidP="005D3570" w:rsidRDefault="005D3570" w14:paraId="018CC117" w14:textId="77777777">
      <w:pPr>
        <w:rPr>
          <w:rFonts w:ascii="Arial" w:hAnsi="Arial" w:cs="Arial"/>
          <w:sz w:val="22"/>
          <w:szCs w:val="22"/>
        </w:rPr>
      </w:pPr>
    </w:p>
    <w:tbl>
      <w:tblPr>
        <w:tblStyle w:val="GridTable4-Accent51"/>
        <w:tblW w:w="0" w:type="auto"/>
        <w:tblLook w:val="04A0" w:firstRow="1" w:lastRow="0" w:firstColumn="1" w:lastColumn="0" w:noHBand="0" w:noVBand="1"/>
      </w:tblPr>
      <w:tblGrid>
        <w:gridCol w:w="4508"/>
        <w:gridCol w:w="4508"/>
      </w:tblGrid>
      <w:tr w:rsidR="00F1682A" w:rsidTr="00F1682A" w14:paraId="3D4F120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1682A" w:rsidRDefault="0093019C" w14:paraId="04A2A118" w14:textId="77777777">
            <w:pPr>
              <w:spacing w:before="100" w:beforeAutospacing="1" w:after="100" w:afterAutospacing="1"/>
              <w:jc w:val="center"/>
              <w:rPr>
                <w:rFonts w:ascii="Arial" w:hAnsi="Arial" w:cs="Arial"/>
                <w:b w:val="0"/>
                <w:bCs w:val="0"/>
                <w:sz w:val="22"/>
                <w:szCs w:val="22"/>
              </w:rPr>
            </w:pPr>
            <w:r>
              <w:rPr>
                <w:rFonts w:ascii="Arial" w:hAnsi="Arial" w:cs="Arial"/>
                <w:sz w:val="22"/>
                <w:szCs w:val="22"/>
              </w:rPr>
              <w:t>Strengths</w:t>
            </w:r>
          </w:p>
          <w:p w:rsidR="00F1682A" w:rsidRDefault="0093019C" w14:paraId="6E0ADB1A" w14:textId="77777777">
            <w:pPr>
              <w:pStyle w:val="Listparagraf"/>
              <w:numPr>
                <w:ilvl w:val="0"/>
                <w:numId w:val="1"/>
              </w:numPr>
              <w:spacing w:before="100" w:beforeAutospacing="1" w:after="100" w:afterAutospacing="1"/>
              <w:rPr>
                <w:rFonts w:ascii="Arial" w:hAnsi="Arial" w:cs="Arial"/>
                <w:sz w:val="22"/>
                <w:szCs w:val="22"/>
              </w:rPr>
            </w:pPr>
            <w:r>
              <w:rPr>
                <w:rFonts w:ascii="Arial" w:hAnsi="Arial" w:cs="Arial"/>
                <w:b w:val="0"/>
                <w:bCs w:val="0"/>
                <w:sz w:val="22"/>
                <w:szCs w:val="22"/>
              </w:rPr>
              <w:t>Highest quality of care for patients</w:t>
            </w:r>
          </w:p>
          <w:p w:rsidR="00F1682A" w:rsidRDefault="0093019C" w14:paraId="318455EE" w14:textId="77777777">
            <w:pPr>
              <w:pStyle w:val="Listparagraf"/>
              <w:numPr>
                <w:ilvl w:val="0"/>
                <w:numId w:val="1"/>
              </w:numPr>
              <w:spacing w:before="100" w:beforeAutospacing="1" w:after="100" w:afterAutospacing="1"/>
              <w:rPr>
                <w:rFonts w:ascii="Arial" w:hAnsi="Arial" w:cs="Arial"/>
                <w:sz w:val="22"/>
                <w:szCs w:val="22"/>
              </w:rPr>
            </w:pPr>
            <w:r>
              <w:rPr>
                <w:rFonts w:ascii="Arial" w:hAnsi="Arial" w:cs="Arial"/>
                <w:b w:val="0"/>
                <w:bCs w:val="0"/>
                <w:sz w:val="22"/>
                <w:szCs w:val="22"/>
              </w:rPr>
              <w:t>Robotics is being prioritised</w:t>
            </w:r>
          </w:p>
          <w:p w:rsidR="00F1682A" w:rsidRDefault="0093019C" w14:paraId="3CE14B13" w14:textId="77777777">
            <w:pPr>
              <w:pStyle w:val="Listparagraf"/>
              <w:numPr>
                <w:ilvl w:val="0"/>
                <w:numId w:val="1"/>
              </w:numPr>
              <w:spacing w:before="100" w:beforeAutospacing="1" w:after="100" w:afterAutospacing="1"/>
              <w:rPr>
                <w:rFonts w:ascii="Arial" w:hAnsi="Arial" w:cs="Arial"/>
                <w:sz w:val="22"/>
                <w:szCs w:val="22"/>
              </w:rPr>
            </w:pPr>
            <w:r>
              <w:rPr>
                <w:rFonts w:ascii="Arial" w:hAnsi="Arial" w:cs="Arial"/>
                <w:b w:val="0"/>
                <w:bCs w:val="0"/>
                <w:sz w:val="22"/>
                <w:szCs w:val="22"/>
              </w:rPr>
              <w:t>Versius to empower the surgeons</w:t>
            </w:r>
          </w:p>
          <w:p w:rsidR="00F1682A" w:rsidRDefault="0093019C" w14:paraId="2A09F9E9" w14:textId="77777777">
            <w:pPr>
              <w:pStyle w:val="Listparagraf"/>
              <w:numPr>
                <w:ilvl w:val="0"/>
                <w:numId w:val="1"/>
              </w:numPr>
              <w:spacing w:before="100" w:beforeAutospacing="1" w:after="100" w:afterAutospacing="1"/>
              <w:rPr>
                <w:rFonts w:ascii="Arial" w:hAnsi="Arial" w:cs="Arial"/>
                <w:sz w:val="22"/>
                <w:szCs w:val="22"/>
              </w:rPr>
            </w:pPr>
            <w:r>
              <w:rPr>
                <w:rFonts w:ascii="Arial" w:hAnsi="Arial" w:cs="Arial"/>
                <w:b w:val="0"/>
                <w:bCs w:val="0"/>
                <w:sz w:val="22"/>
                <w:szCs w:val="22"/>
              </w:rPr>
              <w:t xml:space="preserve">Transformation to the world with </w:t>
            </w:r>
            <w:r>
              <w:rPr>
                <w:rFonts w:ascii="Arial" w:hAnsi="Arial" w:cs="Arial"/>
                <w:b w:val="0"/>
                <w:bCs w:val="0"/>
                <w:sz w:val="22"/>
                <w:szCs w:val="22"/>
              </w:rPr>
              <w:t>surgeries (CMR Surgical, n.d.b)</w:t>
            </w:r>
          </w:p>
          <w:p w:rsidR="00F1682A" w:rsidRDefault="00F1682A" w14:paraId="5BC52999" w14:textId="77777777">
            <w:pPr>
              <w:spacing w:before="100" w:beforeAutospacing="1" w:after="100" w:afterAutospacing="1"/>
              <w:rPr>
                <w:rFonts w:ascii="Arial" w:hAnsi="Arial" w:cs="Arial"/>
                <w:b w:val="0"/>
                <w:bCs w:val="0"/>
                <w:sz w:val="22"/>
                <w:szCs w:val="22"/>
              </w:rPr>
            </w:pPr>
          </w:p>
        </w:tc>
        <w:tc>
          <w:tcPr>
            <w:tcW w:w="4508" w:type="dxa"/>
          </w:tcPr>
          <w:p w:rsidR="00F1682A" w:rsidRDefault="0093019C" w14:paraId="35D9B723"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Weaknesses</w:t>
            </w:r>
          </w:p>
          <w:p w:rsidR="00F1682A" w:rsidRDefault="0093019C" w14:paraId="7C538A69"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Highly dependent on technology</w:t>
            </w:r>
          </w:p>
          <w:p w:rsidR="00F1682A" w:rsidRDefault="0093019C" w14:paraId="2BF1D009"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Still, some tools and devices are untested</w:t>
            </w:r>
          </w:p>
          <w:p w:rsidR="00F1682A" w:rsidRDefault="0093019C" w14:paraId="76C6C6B4"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 xml:space="preserve">It can face issues with technical glitches (Faulkner </w:t>
            </w:r>
            <w:r>
              <w:rPr>
                <w:rFonts w:ascii="Arial" w:hAnsi="Arial" w:cs="Arial"/>
                <w:b w:val="0"/>
                <w:bCs w:val="0"/>
                <w:i/>
                <w:iCs/>
                <w:sz w:val="22"/>
                <w:szCs w:val="22"/>
              </w:rPr>
              <w:t>et al</w:t>
            </w:r>
            <w:r>
              <w:rPr>
                <w:rFonts w:ascii="Arial" w:hAnsi="Arial" w:cs="Arial"/>
                <w:b w:val="0"/>
                <w:bCs w:val="0"/>
                <w:sz w:val="22"/>
                <w:szCs w:val="22"/>
              </w:rPr>
              <w:t>., 2024)</w:t>
            </w:r>
          </w:p>
          <w:p w:rsidR="00F1682A" w:rsidRDefault="0093019C" w14:paraId="42C1D4A3"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Tools like robotics incur high costs</w:t>
            </w:r>
          </w:p>
          <w:p w:rsidR="00F1682A" w:rsidRDefault="00F1682A" w14:paraId="210744C3"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p w:rsidR="00F1682A" w:rsidRDefault="00F1682A" w14:paraId="2EE5B49F"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tc>
      </w:tr>
      <w:tr w:rsidR="00F1682A" w:rsidTr="00F1682A" w14:paraId="3B87044D" w14:textId="77777777">
        <w:tc>
          <w:tcPr>
            <w:cnfStyle w:val="001000000000" w:firstRow="0" w:lastRow="0" w:firstColumn="1" w:lastColumn="0" w:oddVBand="0" w:evenVBand="0" w:oddHBand="0" w:evenHBand="0" w:firstRowFirstColumn="0" w:firstRowLastColumn="0" w:lastRowFirstColumn="0" w:lastRowLastColumn="0"/>
            <w:tcW w:w="4508" w:type="dxa"/>
            <w:shd w:val="clear" w:color="auto" w:fill="DEEAF6" w:themeFill="accent5" w:themeFillTint="33"/>
          </w:tcPr>
          <w:p w:rsidR="00F1682A" w:rsidRDefault="0093019C" w14:paraId="1D7451D8" w14:textId="77777777">
            <w:pPr>
              <w:spacing w:before="100" w:beforeAutospacing="1" w:after="100" w:afterAutospacing="1"/>
              <w:jc w:val="center"/>
              <w:rPr>
                <w:rFonts w:ascii="Arial" w:hAnsi="Arial" w:cs="Arial"/>
                <w:b w:val="0"/>
                <w:bCs w:val="0"/>
                <w:sz w:val="22"/>
                <w:szCs w:val="22"/>
              </w:rPr>
            </w:pPr>
            <w:r>
              <w:rPr>
                <w:rFonts w:ascii="Arial" w:hAnsi="Arial" w:cs="Arial"/>
                <w:sz w:val="22"/>
                <w:szCs w:val="22"/>
              </w:rPr>
              <w:t>Opportunities</w:t>
            </w:r>
          </w:p>
          <w:p w:rsidR="00F1682A" w:rsidRDefault="0093019C" w14:paraId="12748C23" w14:textId="77777777">
            <w:pPr>
              <w:pStyle w:val="Listparagraf"/>
              <w:numPr>
                <w:ilvl w:val="0"/>
                <w:numId w:val="2"/>
              </w:numPr>
              <w:spacing w:before="100" w:beforeAutospacing="1" w:after="100" w:afterAutospacing="1"/>
              <w:rPr>
                <w:rFonts w:ascii="Arial" w:hAnsi="Arial" w:cs="Arial"/>
                <w:sz w:val="22"/>
                <w:szCs w:val="22"/>
              </w:rPr>
            </w:pPr>
            <w:r>
              <w:rPr>
                <w:rFonts w:ascii="Arial" w:hAnsi="Arial" w:cs="Arial"/>
                <w:b w:val="0"/>
                <w:bCs w:val="0"/>
                <w:sz w:val="22"/>
                <w:szCs w:val="22"/>
              </w:rPr>
              <w:t xml:space="preserve">Minimal </w:t>
            </w:r>
            <w:r>
              <w:rPr>
                <w:rFonts w:ascii="Arial" w:hAnsi="Arial" w:cs="Arial"/>
                <w:b w:val="0"/>
                <w:bCs w:val="0"/>
                <w:sz w:val="22"/>
                <w:szCs w:val="22"/>
              </w:rPr>
              <w:t>access to surgeries with the help of robotics</w:t>
            </w:r>
          </w:p>
          <w:p w:rsidR="00F1682A" w:rsidRDefault="0093019C" w14:paraId="1C30C4D4" w14:textId="77777777">
            <w:pPr>
              <w:pStyle w:val="Listparagraf"/>
              <w:numPr>
                <w:ilvl w:val="0"/>
                <w:numId w:val="2"/>
              </w:numPr>
              <w:spacing w:before="100" w:beforeAutospacing="1" w:after="100" w:afterAutospacing="1"/>
              <w:rPr>
                <w:rFonts w:ascii="Arial" w:hAnsi="Arial" w:cs="Arial"/>
                <w:sz w:val="22"/>
                <w:szCs w:val="22"/>
              </w:rPr>
            </w:pPr>
            <w:r>
              <w:rPr>
                <w:rFonts w:ascii="Arial" w:hAnsi="Arial" w:cs="Arial"/>
                <w:b w:val="0"/>
                <w:bCs w:val="0"/>
                <w:sz w:val="22"/>
                <w:szCs w:val="22"/>
              </w:rPr>
              <w:t>Transformation for better lives for people in different ways, with minimal time being consumed</w:t>
            </w:r>
          </w:p>
          <w:p w:rsidR="00F1682A" w:rsidRDefault="0093019C" w14:paraId="15FBAFA4" w14:textId="77777777">
            <w:pPr>
              <w:pStyle w:val="Listparagraf"/>
              <w:numPr>
                <w:ilvl w:val="0"/>
                <w:numId w:val="2"/>
              </w:numPr>
              <w:spacing w:before="100" w:beforeAutospacing="1" w:after="100" w:afterAutospacing="1"/>
              <w:rPr>
                <w:rFonts w:ascii="Arial" w:hAnsi="Arial" w:cs="Arial"/>
                <w:sz w:val="22"/>
                <w:szCs w:val="22"/>
              </w:rPr>
            </w:pPr>
            <w:r>
              <w:rPr>
                <w:rFonts w:ascii="Arial" w:hAnsi="Arial" w:cs="Arial"/>
                <w:b w:val="0"/>
                <w:bCs w:val="0"/>
                <w:sz w:val="22"/>
                <w:szCs w:val="22"/>
              </w:rPr>
              <w:t>Digital ecosystem can touch various aspects of life in new ways and improve healthcare practices</w:t>
            </w:r>
          </w:p>
          <w:p w:rsidR="00F1682A" w:rsidRDefault="0093019C" w14:paraId="738DEA03" w14:textId="77777777">
            <w:pPr>
              <w:pStyle w:val="Listparagraf"/>
              <w:numPr>
                <w:ilvl w:val="0"/>
                <w:numId w:val="2"/>
              </w:numPr>
              <w:spacing w:before="100" w:beforeAutospacing="1" w:after="100" w:afterAutospacing="1"/>
              <w:rPr>
                <w:rFonts w:ascii="Arial" w:hAnsi="Arial" w:cs="Arial"/>
                <w:sz w:val="22"/>
                <w:szCs w:val="22"/>
              </w:rPr>
            </w:pPr>
            <w:r>
              <w:rPr>
                <w:rFonts w:ascii="Arial" w:hAnsi="Arial" w:cs="Arial"/>
                <w:b w:val="0"/>
                <w:bCs w:val="0"/>
                <w:sz w:val="22"/>
                <w:szCs w:val="22"/>
              </w:rPr>
              <w:t>Offer customised solutions for innovation to play a catastrophic role (Righi et al., 2025)</w:t>
            </w:r>
          </w:p>
          <w:p w:rsidR="00F1682A" w:rsidRDefault="00F1682A" w14:paraId="26576137" w14:textId="77777777">
            <w:pPr>
              <w:spacing w:before="100" w:beforeAutospacing="1" w:after="100" w:afterAutospacing="1"/>
              <w:rPr>
                <w:rFonts w:ascii="Arial" w:hAnsi="Arial" w:cs="Arial"/>
                <w:b w:val="0"/>
                <w:bCs w:val="0"/>
                <w:sz w:val="22"/>
                <w:szCs w:val="22"/>
              </w:rPr>
            </w:pPr>
          </w:p>
        </w:tc>
        <w:tc>
          <w:tcPr>
            <w:tcW w:w="4508" w:type="dxa"/>
            <w:shd w:val="clear" w:color="auto" w:fill="DEEAF6" w:themeFill="accent5" w:themeFillTint="33"/>
          </w:tcPr>
          <w:p w:rsidR="00F1682A" w:rsidRDefault="0093019C" w14:paraId="013932A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Threats</w:t>
            </w:r>
          </w:p>
          <w:p w:rsidR="00F1682A" w:rsidRDefault="0093019C" w14:paraId="0A5908F0" w14:textId="77777777">
            <w:pPr>
              <w:pStyle w:val="Listparagraf"/>
              <w:numPr>
                <w:ilvl w:val="0"/>
                <w:numId w:val="3"/>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High dependence on technology and low focus on human knowledge</w:t>
            </w:r>
          </w:p>
          <w:p w:rsidR="00F1682A" w:rsidRDefault="0093019C" w14:paraId="14B8919E" w14:textId="77777777">
            <w:pPr>
              <w:pStyle w:val="Listparagraf"/>
              <w:numPr>
                <w:ilvl w:val="0"/>
                <w:numId w:val="3"/>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Technical glitches during surgeries can be problematic</w:t>
            </w:r>
          </w:p>
          <w:p w:rsidR="00F1682A" w:rsidRDefault="0093019C" w14:paraId="07B722BF" w14:textId="77777777">
            <w:pPr>
              <w:pStyle w:val="Listparagraf"/>
              <w:numPr>
                <w:ilvl w:val="0"/>
                <w:numId w:val="3"/>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High costs associated with robotics</w:t>
            </w:r>
          </w:p>
          <w:p w:rsidR="00F1682A" w:rsidRDefault="0093019C" w14:paraId="17BCA808" w14:textId="77777777">
            <w:pPr>
              <w:pStyle w:val="Listparagraf"/>
              <w:numPr>
                <w:ilvl w:val="0"/>
                <w:numId w:val="3"/>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Less </w:t>
            </w:r>
            <w:r>
              <w:rPr>
                <w:rFonts w:ascii="Arial" w:hAnsi="Arial" w:cs="Arial"/>
                <w:sz w:val="22"/>
                <w:szCs w:val="22"/>
              </w:rPr>
              <w:t>knowledge among patients about new techniques can cause fear</w:t>
            </w:r>
          </w:p>
        </w:tc>
      </w:tr>
    </w:tbl>
    <w:p w:rsidRPr="005D3570" w:rsidR="005D3570" w:rsidP="005D3570" w:rsidRDefault="0093019C" w14:paraId="79D09FC6" w14:textId="538E5A9A">
      <w:pPr>
        <w:spacing w:before="100" w:beforeAutospacing="1" w:after="100" w:afterAutospacing="1"/>
        <w:rPr>
          <w:rFonts w:ascii="Arial" w:hAnsi="Arial" w:cs="Arial"/>
          <w:b/>
          <w:bCs/>
          <w:sz w:val="22"/>
          <w:szCs w:val="22"/>
        </w:rPr>
      </w:pPr>
      <w:r>
        <w:rPr>
          <w:rFonts w:ascii="Arial" w:hAnsi="Arial" w:cs="Arial"/>
          <w:b/>
          <w:bCs/>
          <w:sz w:val="22"/>
          <w:szCs w:val="22"/>
        </w:rPr>
        <w:t>Table 1: SWOT analysis</w:t>
      </w:r>
    </w:p>
    <w:p w:rsidR="005D3570" w:rsidRDefault="005D3570" w14:paraId="25B97266" w14:textId="77777777">
      <w:pPr>
        <w:spacing w:before="100" w:beforeAutospacing="1" w:after="100" w:afterAutospacing="1"/>
        <w:jc w:val="center"/>
        <w:rPr>
          <w:rFonts w:ascii="Arial" w:hAnsi="Arial" w:cs="Arial"/>
          <w:sz w:val="22"/>
          <w:szCs w:val="22"/>
        </w:rPr>
      </w:pPr>
    </w:p>
    <w:p w:rsidR="001B57CD" w:rsidRDefault="001B57CD" w14:paraId="020ECD7F" w14:textId="77777777">
      <w:pPr>
        <w:spacing w:before="100" w:beforeAutospacing="1" w:after="100" w:afterAutospacing="1"/>
        <w:jc w:val="center"/>
        <w:rPr>
          <w:rFonts w:ascii="Arial" w:hAnsi="Arial" w:cs="Arial"/>
          <w:sz w:val="22"/>
          <w:szCs w:val="22"/>
        </w:rPr>
      </w:pPr>
    </w:p>
    <w:p w:rsidR="00F1682A" w:rsidRDefault="0093019C" w14:paraId="75560EDF" w14:textId="4CD0D1D6">
      <w:pPr>
        <w:spacing w:before="100" w:beforeAutospacing="1" w:after="100" w:afterAutospacing="1"/>
        <w:jc w:val="center"/>
        <w:rPr>
          <w:rFonts w:ascii="Arial" w:hAnsi="Arial" w:cs="Arial"/>
          <w:sz w:val="22"/>
          <w:szCs w:val="22"/>
        </w:rPr>
      </w:pPr>
      <w:r>
        <w:rPr>
          <w:rFonts w:ascii="Arial" w:hAnsi="Arial" w:cs="Arial"/>
          <w:sz w:val="22"/>
          <w:szCs w:val="22"/>
        </w:rPr>
        <w:t>(Source: learner)</w:t>
      </w:r>
    </w:p>
    <w:p w:rsidRPr="00A05893" w:rsidR="00F1682A" w:rsidP="76B16249" w:rsidRDefault="005D3570" w14:paraId="018586C3" w14:textId="13D8B9B9">
      <w:pPr>
        <w:pStyle w:val="Titlu4"/>
        <w:rPr>
          <w:rFonts w:ascii="Arial" w:hAnsi="Arial" w:cs="Arial"/>
          <w:i w:val="0"/>
          <w:iCs w:val="0"/>
          <w:sz w:val="36"/>
          <w:szCs w:val="36"/>
        </w:rPr>
      </w:pPr>
      <w:r w:rsidRPr="76B16249" w:rsidR="005D3570">
        <w:rPr>
          <w:rFonts w:ascii="Arial" w:hAnsi="Arial" w:cs="Arial"/>
          <w:i w:val="0"/>
          <w:iCs w:val="0"/>
          <w:sz w:val="36"/>
          <w:szCs w:val="36"/>
        </w:rPr>
        <w:t>PESTL</w:t>
      </w:r>
      <w:r w:rsidRPr="76B16249" w:rsidR="0C6D847B">
        <w:rPr>
          <w:rFonts w:ascii="Arial" w:hAnsi="Arial" w:cs="Arial"/>
          <w:i w:val="0"/>
          <w:iCs w:val="0"/>
          <w:sz w:val="36"/>
          <w:szCs w:val="36"/>
        </w:rPr>
        <w:t>E</w:t>
      </w:r>
      <w:r w:rsidRPr="76B16249" w:rsidR="005D3570">
        <w:rPr>
          <w:rFonts w:ascii="Arial" w:hAnsi="Arial" w:cs="Arial"/>
          <w:i w:val="0"/>
          <w:iCs w:val="0"/>
          <w:sz w:val="36"/>
          <w:szCs w:val="36"/>
        </w:rPr>
        <w:t xml:space="preserve"> ANALISYS </w:t>
      </w:r>
    </w:p>
    <w:p w:rsidR="005D3570" w:rsidRDefault="005D3570" w14:paraId="4E1D78B2" w14:textId="77777777">
      <w:pPr>
        <w:spacing w:before="100" w:beforeAutospacing="1" w:after="100" w:afterAutospacing="1"/>
        <w:rPr>
          <w:rFonts w:ascii="Arial" w:hAnsi="Arial" w:cs="Arial"/>
          <w:sz w:val="22"/>
          <w:szCs w:val="22"/>
        </w:rPr>
      </w:pPr>
    </w:p>
    <w:p w:rsidR="005D3570" w:rsidRDefault="00014E3C" w14:paraId="36F0270C" w14:textId="644372A5">
      <w:pPr>
        <w:spacing w:before="100" w:beforeAutospacing="1" w:after="100" w:afterAutospacing="1"/>
        <w:rPr>
          <w:rFonts w:ascii="Arial" w:hAnsi="Arial" w:cs="Arial"/>
          <w:sz w:val="22"/>
          <w:szCs w:val="22"/>
        </w:rPr>
      </w:pPr>
      <w:bookmarkStart w:name="_Toc213345940" w:id="5"/>
      <w:bookmarkStart w:name="_Toc213345997" w:id="6"/>
      <w:bookmarkStart w:name="_Toc213346021" w:id="7"/>
      <w:bookmarkStart w:name="_Toc213346068" w:id="8"/>
      <w:bookmarkStart w:name="_Toc213346106" w:id="9"/>
      <w:bookmarkStart w:name="_Toc213346145" w:id="10"/>
      <w:r w:rsidRPr="00A05893">
        <w:rPr>
          <w:rStyle w:val="Titlu1Caracter"/>
        </w:rPr>
        <w:t>PESTLE</w:t>
      </w:r>
      <w:r w:rsidRPr="00A05893">
        <w:rPr>
          <w:rStyle w:val="Titlu1Caracter"/>
        </w:rPr>
        <w:t> </w:t>
      </w:r>
      <w:r w:rsidRPr="00A05893">
        <w:rPr>
          <w:rStyle w:val="Titlu1Caracter"/>
        </w:rPr>
        <w:t>is</w:t>
      </w:r>
      <w:bookmarkEnd w:id="5"/>
      <w:bookmarkEnd w:id="6"/>
      <w:bookmarkEnd w:id="7"/>
      <w:bookmarkEnd w:id="8"/>
      <w:bookmarkEnd w:id="9"/>
      <w:bookmarkEnd w:id="10"/>
      <w:r w:rsidRPr="00014E3C">
        <w:rPr>
          <w:rFonts w:ascii="Arial" w:hAnsi="Arial" w:cs="Arial"/>
          <w:sz w:val="22"/>
          <w:szCs w:val="22"/>
        </w:rPr>
        <w:t xml:space="preserve"> a Strategic analysis tool that is commonly used, as you can see from the above, and is widely accepted in the marketing business for this model being used to describe the environmental influences. That explains how does</w:t>
      </w:r>
      <w:r w:rsidRPr="00014E3C">
        <w:rPr>
          <w:rFonts w:ascii="Arial" w:hAnsi="Arial" w:cs="Arial"/>
          <w:sz w:val="22"/>
          <w:szCs w:val="22"/>
        </w:rPr>
        <w:t> </w:t>
      </w:r>
      <w:r w:rsidRPr="00014E3C">
        <w:rPr>
          <w:rFonts w:ascii="Arial" w:hAnsi="Arial" w:cs="Arial"/>
          <w:sz w:val="22"/>
          <w:szCs w:val="22"/>
        </w:rPr>
        <w:t>macro-environment influences business operations, competitiveness, and long-term strategy (Gupta, 2013). It helps the organizations to forecast</w:t>
      </w:r>
      <w:r w:rsidRPr="00014E3C">
        <w:rPr>
          <w:rFonts w:ascii="Arial" w:hAnsi="Arial" w:cs="Arial"/>
          <w:sz w:val="22"/>
          <w:szCs w:val="22"/>
        </w:rPr>
        <w:t> </w:t>
      </w:r>
      <w:r w:rsidRPr="00014E3C">
        <w:rPr>
          <w:rFonts w:ascii="Arial" w:hAnsi="Arial" w:cs="Arial"/>
          <w:sz w:val="22"/>
          <w:szCs w:val="22"/>
        </w:rPr>
        <w:t>external opportunities and threats which in turn enables more effective decision making and risk management (Yüksel, 2012). Through individual elements analysis, firms can adjust</w:t>
      </w:r>
      <w:r w:rsidRPr="00014E3C">
        <w:rPr>
          <w:rFonts w:ascii="Arial" w:hAnsi="Arial" w:cs="Arial"/>
          <w:sz w:val="22"/>
          <w:szCs w:val="22"/>
        </w:rPr>
        <w:t> </w:t>
      </w:r>
      <w:r w:rsidRPr="00014E3C">
        <w:rPr>
          <w:rFonts w:ascii="Arial" w:hAnsi="Arial" w:cs="Arial"/>
          <w:sz w:val="22"/>
          <w:szCs w:val="22"/>
        </w:rPr>
        <w:t>their strategy to suit dynamic global environments and regulatory surroundings (Perera et al., 2017)</w:t>
      </w:r>
    </w:p>
    <w:p w:rsidRPr="005D3570" w:rsidR="005D3570" w:rsidRDefault="005D3570" w14:paraId="233F3064" w14:textId="77777777">
      <w:pPr>
        <w:spacing w:before="100" w:beforeAutospacing="1" w:after="100" w:afterAutospacing="1"/>
        <w:rPr>
          <w:rFonts w:ascii="Arial" w:hAnsi="Arial" w:cs="Arial"/>
          <w:sz w:val="22"/>
          <w:szCs w:val="22"/>
        </w:rPr>
      </w:pPr>
    </w:p>
    <w:tbl>
      <w:tblPr>
        <w:tblStyle w:val="GridTable5Dark-Accent51"/>
        <w:tblW w:w="0" w:type="auto"/>
        <w:tblLook w:val="04A0" w:firstRow="1" w:lastRow="0" w:firstColumn="1" w:lastColumn="0" w:noHBand="0" w:noVBand="1"/>
      </w:tblPr>
      <w:tblGrid>
        <w:gridCol w:w="1980"/>
        <w:gridCol w:w="7036"/>
      </w:tblGrid>
      <w:tr w:rsidR="00F1682A" w:rsidTr="00F1682A" w14:paraId="0700CE1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rsidR="00F1682A" w:rsidRDefault="0093019C" w14:paraId="7A8FA327" w14:textId="77777777">
            <w:pPr>
              <w:spacing w:before="100" w:beforeAutospacing="1" w:after="100" w:afterAutospacing="1"/>
              <w:rPr>
                <w:rFonts w:ascii="Arial" w:hAnsi="Arial" w:cs="Arial"/>
                <w:b w:val="0"/>
                <w:bCs w:val="0"/>
                <w:sz w:val="22"/>
                <w:szCs w:val="22"/>
              </w:rPr>
            </w:pPr>
            <w:r>
              <w:rPr>
                <w:rFonts w:ascii="Arial" w:hAnsi="Arial" w:cs="Arial"/>
                <w:sz w:val="22"/>
                <w:szCs w:val="22"/>
              </w:rPr>
              <w:t>Political</w:t>
            </w:r>
          </w:p>
        </w:tc>
        <w:tc>
          <w:tcPr>
            <w:tcW w:w="7036" w:type="dxa"/>
          </w:tcPr>
          <w:p w:rsidR="00F1682A" w:rsidRDefault="0093019C" w14:paraId="737317D6" w14:textId="77777777">
            <w:pPr>
              <w:pStyle w:val="Listparagraf"/>
              <w:numPr>
                <w:ilvl w:val="0"/>
                <w:numId w:val="4"/>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Low interference of the Government in such medical operations and activities</w:t>
            </w:r>
          </w:p>
          <w:p w:rsidR="00F1682A" w:rsidRDefault="0093019C" w14:paraId="21665E1C" w14:textId="77777777">
            <w:pPr>
              <w:pStyle w:val="Listparagraf"/>
              <w:numPr>
                <w:ilvl w:val="0"/>
                <w:numId w:val="4"/>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 xml:space="preserve">Government policies do have a </w:t>
            </w:r>
            <w:r>
              <w:rPr>
                <w:rFonts w:ascii="Arial" w:hAnsi="Arial" w:cs="Arial"/>
                <w:b w:val="0"/>
                <w:bCs w:val="0"/>
                <w:sz w:val="22"/>
                <w:szCs w:val="22"/>
              </w:rPr>
              <w:t>fair play, like NHS budget allocation (</w:t>
            </w:r>
            <w:r>
              <w:rPr>
                <w:rFonts w:ascii="Arial" w:hAnsi="Arial" w:cs="Arial"/>
                <w:b w:val="0"/>
                <w:bCs w:val="0"/>
                <w:sz w:val="22"/>
                <w:szCs w:val="22"/>
                <w:lang w:val="en-IN"/>
              </w:rPr>
              <w:t>HwB, 2022</w:t>
            </w:r>
            <w:r>
              <w:rPr>
                <w:rFonts w:ascii="Arial" w:hAnsi="Arial" w:cs="Arial"/>
                <w:b w:val="0"/>
                <w:bCs w:val="0"/>
                <w:sz w:val="22"/>
                <w:szCs w:val="22"/>
              </w:rPr>
              <w:t>)</w:t>
            </w:r>
          </w:p>
          <w:p w:rsidR="00F1682A" w:rsidRDefault="0093019C" w14:paraId="6F352B44" w14:textId="77777777">
            <w:pPr>
              <w:pStyle w:val="Listparagraf"/>
              <w:numPr>
                <w:ilvl w:val="0"/>
                <w:numId w:val="4"/>
              </w:num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val="0"/>
                <w:bCs w:val="0"/>
                <w:sz w:val="22"/>
                <w:szCs w:val="22"/>
              </w:rPr>
              <w:t>Regulatory Agency (MHRA) does have control over the medical device market (GOV.UK, n.d.)</w:t>
            </w:r>
          </w:p>
          <w:p w:rsidR="00F1682A" w:rsidRDefault="0093019C" w14:paraId="65C9BA66"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 xml:space="preserve"> </w:t>
            </w:r>
          </w:p>
        </w:tc>
      </w:tr>
      <w:tr w:rsidR="00F1682A" w:rsidTr="00F1682A" w14:paraId="7013F681" w14:textId="77777777">
        <w:tc>
          <w:tcPr>
            <w:cnfStyle w:val="001000000000" w:firstRow="0" w:lastRow="0" w:firstColumn="1" w:lastColumn="0" w:oddVBand="0" w:evenVBand="0" w:oddHBand="0" w:evenHBand="0" w:firstRowFirstColumn="0" w:firstRowLastColumn="0" w:lastRowFirstColumn="0" w:lastRowLastColumn="0"/>
            <w:tcW w:w="1980" w:type="dxa"/>
          </w:tcPr>
          <w:p w:rsidR="00F1682A" w:rsidRDefault="0093019C" w14:paraId="44EE5B69" w14:textId="77777777">
            <w:pPr>
              <w:spacing w:before="100" w:beforeAutospacing="1" w:after="100" w:afterAutospacing="1"/>
              <w:rPr>
                <w:rFonts w:ascii="Arial" w:hAnsi="Arial" w:cs="Arial"/>
                <w:b w:val="0"/>
                <w:bCs w:val="0"/>
                <w:sz w:val="22"/>
                <w:szCs w:val="22"/>
              </w:rPr>
            </w:pPr>
            <w:r>
              <w:rPr>
                <w:rFonts w:ascii="Arial" w:hAnsi="Arial" w:cs="Arial"/>
                <w:sz w:val="22"/>
                <w:szCs w:val="22"/>
              </w:rPr>
              <w:t xml:space="preserve">Economic </w:t>
            </w:r>
          </w:p>
        </w:tc>
        <w:tc>
          <w:tcPr>
            <w:tcW w:w="7036" w:type="dxa"/>
            <w:shd w:val="clear" w:color="auto" w:fill="BDD6EE" w:themeFill="accent5" w:themeFillTint="66"/>
          </w:tcPr>
          <w:p w:rsidR="00F1682A" w:rsidRDefault="0093019C" w14:paraId="0735A0F1"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Due to the International Trade Agreements, impacts can be seen on CMR Surgical.</w:t>
            </w:r>
          </w:p>
          <w:p w:rsidR="00F1682A" w:rsidRDefault="0093019C" w14:paraId="2F6BF034"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w:t>
            </w:r>
            <w:r>
              <w:rPr>
                <w:rFonts w:ascii="Arial" w:hAnsi="Arial" w:cs="Arial"/>
                <w:sz w:val="22"/>
                <w:szCs w:val="22"/>
              </w:rPr>
              <w:t>UK-Australia Free Trade Agreement do play a positive role in reducing trade barriers, for example (Department for International Trade, n.d).</w:t>
            </w:r>
          </w:p>
          <w:p w:rsidR="00F1682A" w:rsidRDefault="0093019C" w14:paraId="5AEACCA3"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cost-of-living crisis can deter patients from seeking such costly services.</w:t>
            </w:r>
          </w:p>
          <w:p w:rsidR="00F1682A" w:rsidRDefault="00F1682A" w14:paraId="7CB96992"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F1682A" w:rsidTr="00F1682A" w14:paraId="61145E02" w14:textId="77777777">
        <w:tc>
          <w:tcPr>
            <w:cnfStyle w:val="001000000000" w:firstRow="0" w:lastRow="0" w:firstColumn="1" w:lastColumn="0" w:oddVBand="0" w:evenVBand="0" w:oddHBand="0" w:evenHBand="0" w:firstRowFirstColumn="0" w:firstRowLastColumn="0" w:lastRowFirstColumn="0" w:lastRowLastColumn="0"/>
            <w:tcW w:w="1980" w:type="dxa"/>
          </w:tcPr>
          <w:p w:rsidR="00F1682A" w:rsidRDefault="0093019C" w14:paraId="48E4A56E" w14:textId="77777777">
            <w:pPr>
              <w:spacing w:before="100" w:beforeAutospacing="1" w:after="100" w:afterAutospacing="1"/>
              <w:rPr>
                <w:rFonts w:ascii="Arial" w:hAnsi="Arial" w:cs="Arial"/>
                <w:b w:val="0"/>
                <w:bCs w:val="0"/>
                <w:sz w:val="22"/>
                <w:szCs w:val="22"/>
              </w:rPr>
            </w:pPr>
            <w:r>
              <w:rPr>
                <w:rFonts w:ascii="Arial" w:hAnsi="Arial" w:cs="Arial"/>
                <w:sz w:val="22"/>
                <w:szCs w:val="22"/>
              </w:rPr>
              <w:t>Social</w:t>
            </w:r>
          </w:p>
        </w:tc>
        <w:tc>
          <w:tcPr>
            <w:tcW w:w="7036" w:type="dxa"/>
          </w:tcPr>
          <w:p w:rsidR="00F1682A" w:rsidRDefault="0093019C" w14:paraId="06AB3C77" w14:textId="77777777">
            <w:pPr>
              <w:pStyle w:val="Listparagraf"/>
              <w:numPr>
                <w:ilvl w:val="0"/>
                <w:numId w:val="5"/>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Innovation is highly </w:t>
            </w:r>
            <w:r>
              <w:rPr>
                <w:rFonts w:ascii="Arial" w:hAnsi="Arial" w:cs="Arial"/>
                <w:sz w:val="22"/>
                <w:szCs w:val="22"/>
              </w:rPr>
              <w:t>demanded among people for better lifestyles</w:t>
            </w:r>
          </w:p>
          <w:p w:rsidR="00F1682A" w:rsidRDefault="0093019C" w14:paraId="723B49FD" w14:textId="77777777">
            <w:pPr>
              <w:pStyle w:val="Listparagraf"/>
              <w:numPr>
                <w:ilvl w:val="0"/>
                <w:numId w:val="5"/>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highest quality of healthcare has been the primary need of customers now</w:t>
            </w:r>
          </w:p>
          <w:p w:rsidR="00F1682A" w:rsidRDefault="0093019C" w14:paraId="679267EB" w14:textId="77777777">
            <w:pPr>
              <w:pStyle w:val="Listparagraf"/>
              <w:numPr>
                <w:ilvl w:val="0"/>
                <w:numId w:val="5"/>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Access to the global population </w:t>
            </w:r>
          </w:p>
          <w:p w:rsidR="00F1682A" w:rsidRDefault="0093019C" w14:paraId="76A989B2" w14:textId="77777777">
            <w:pPr>
              <w:pStyle w:val="Listparagraf"/>
              <w:numPr>
                <w:ilvl w:val="0"/>
                <w:numId w:val="5"/>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Due to the cost-of-living crisis, the high costs cause concerns for patients to seek services</w:t>
            </w:r>
          </w:p>
        </w:tc>
      </w:tr>
      <w:tr w:rsidR="00F1682A" w:rsidTr="00F1682A" w14:paraId="7BFE23CE" w14:textId="77777777">
        <w:tc>
          <w:tcPr>
            <w:cnfStyle w:val="001000000000" w:firstRow="0" w:lastRow="0" w:firstColumn="1" w:lastColumn="0" w:oddVBand="0" w:evenVBand="0" w:oddHBand="0" w:evenHBand="0" w:firstRowFirstColumn="0" w:firstRowLastColumn="0" w:lastRowFirstColumn="0" w:lastRowLastColumn="0"/>
            <w:tcW w:w="1980" w:type="dxa"/>
          </w:tcPr>
          <w:p w:rsidR="00F1682A" w:rsidRDefault="0093019C" w14:paraId="656765BD" w14:textId="77777777">
            <w:pPr>
              <w:spacing w:before="100" w:beforeAutospacing="1" w:after="100" w:afterAutospacing="1"/>
              <w:rPr>
                <w:rFonts w:ascii="Arial" w:hAnsi="Arial" w:cs="Arial"/>
                <w:b w:val="0"/>
                <w:bCs w:val="0"/>
                <w:sz w:val="22"/>
                <w:szCs w:val="22"/>
              </w:rPr>
            </w:pPr>
            <w:r>
              <w:rPr>
                <w:rFonts w:ascii="Arial" w:hAnsi="Arial" w:cs="Arial"/>
                <w:sz w:val="22"/>
                <w:szCs w:val="22"/>
              </w:rPr>
              <w:t>Technological</w:t>
            </w:r>
          </w:p>
        </w:tc>
        <w:tc>
          <w:tcPr>
            <w:tcW w:w="7036" w:type="dxa"/>
            <w:shd w:val="clear" w:color="auto" w:fill="BDD6EE" w:themeFill="accent5" w:themeFillTint="66"/>
          </w:tcPr>
          <w:p w:rsidR="00F1682A" w:rsidRDefault="0093019C" w14:paraId="4AB6FCE5"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Technological development is bringing change to the medical market, as most demanded by customers (Lee and Lee, 2021)</w:t>
            </w:r>
          </w:p>
          <w:p w:rsidR="00F1682A" w:rsidRDefault="0093019C" w14:paraId="6910B2FB"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Digital ecosystem being revived with CMR’s operations and activities </w:t>
            </w:r>
          </w:p>
          <w:p w:rsidR="00F1682A" w:rsidRDefault="0093019C" w14:paraId="40AF4690"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Access to the global population increases the profit margin and customer base, too</w:t>
            </w:r>
          </w:p>
          <w:p w:rsidR="00F1682A" w:rsidRDefault="0093019C" w14:paraId="1F32D410"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Minimal access to surgeries (CMR Surgical, n.d.b)</w:t>
            </w:r>
          </w:p>
        </w:tc>
      </w:tr>
      <w:tr w:rsidR="00F1682A" w:rsidTr="00F1682A" w14:paraId="15787794" w14:textId="77777777">
        <w:tc>
          <w:tcPr>
            <w:cnfStyle w:val="001000000000" w:firstRow="0" w:lastRow="0" w:firstColumn="1" w:lastColumn="0" w:oddVBand="0" w:evenVBand="0" w:oddHBand="0" w:evenHBand="0" w:firstRowFirstColumn="0" w:firstRowLastColumn="0" w:lastRowFirstColumn="0" w:lastRowLastColumn="0"/>
            <w:tcW w:w="1980" w:type="dxa"/>
          </w:tcPr>
          <w:p w:rsidR="00F1682A" w:rsidRDefault="0093019C" w14:paraId="5FB0864D" w14:textId="77777777">
            <w:pPr>
              <w:spacing w:before="100" w:beforeAutospacing="1" w:after="100" w:afterAutospacing="1"/>
              <w:rPr>
                <w:rFonts w:ascii="Arial" w:hAnsi="Arial" w:cs="Arial"/>
                <w:b w:val="0"/>
                <w:bCs w:val="0"/>
                <w:sz w:val="22"/>
                <w:szCs w:val="22"/>
              </w:rPr>
            </w:pPr>
            <w:r>
              <w:rPr>
                <w:rFonts w:ascii="Arial" w:hAnsi="Arial" w:cs="Arial"/>
                <w:sz w:val="22"/>
                <w:szCs w:val="22"/>
              </w:rPr>
              <w:t>Legal</w:t>
            </w:r>
          </w:p>
        </w:tc>
        <w:tc>
          <w:tcPr>
            <w:tcW w:w="7036" w:type="dxa"/>
          </w:tcPr>
          <w:p w:rsidR="00F1682A" w:rsidRDefault="0093019C" w14:paraId="121D2A8B"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Trade Agreements could pose a question on global expansions by companies like CMR Surgical</w:t>
            </w:r>
          </w:p>
          <w:p w:rsidR="00F1682A" w:rsidRDefault="0093019C" w14:paraId="03F5BF90"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authenticity of the devices being used does cause concerns for both the </w:t>
            </w:r>
            <w:r>
              <w:rPr>
                <w:rFonts w:ascii="Arial" w:hAnsi="Arial" w:cs="Arial"/>
                <w:sz w:val="22"/>
                <w:szCs w:val="22"/>
              </w:rPr>
              <w:t>patients and the authorities</w:t>
            </w:r>
          </w:p>
          <w:p w:rsidR="00F1682A" w:rsidRDefault="0093019C" w14:paraId="05C2991C" w14:textId="77777777">
            <w:pPr>
              <w:pStyle w:val="Listparagraf"/>
              <w:numPr>
                <w:ilvl w:val="0"/>
                <w:numId w:val="6"/>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Healthcare policies like the NHS Budget allocation act as a boon for the medical market (Homauni </w:t>
            </w:r>
            <w:r>
              <w:rPr>
                <w:rFonts w:ascii="Arial" w:hAnsi="Arial" w:cs="Arial"/>
                <w:i/>
                <w:iCs/>
                <w:sz w:val="22"/>
                <w:szCs w:val="22"/>
              </w:rPr>
              <w:t>et al.,</w:t>
            </w:r>
            <w:r>
              <w:rPr>
                <w:rFonts w:ascii="Arial" w:hAnsi="Arial" w:cs="Arial"/>
                <w:sz w:val="22"/>
                <w:szCs w:val="22"/>
              </w:rPr>
              <w:t xml:space="preserve"> 2023)</w:t>
            </w:r>
          </w:p>
        </w:tc>
      </w:tr>
      <w:tr w:rsidR="00F1682A" w:rsidTr="00F1682A" w14:paraId="226AB186" w14:textId="77777777">
        <w:tc>
          <w:tcPr>
            <w:cnfStyle w:val="001000000000" w:firstRow="0" w:lastRow="0" w:firstColumn="1" w:lastColumn="0" w:oddVBand="0" w:evenVBand="0" w:oddHBand="0" w:evenHBand="0" w:firstRowFirstColumn="0" w:firstRowLastColumn="0" w:lastRowFirstColumn="0" w:lastRowLastColumn="0"/>
            <w:tcW w:w="1980" w:type="dxa"/>
          </w:tcPr>
          <w:p w:rsidR="00F1682A" w:rsidRDefault="0093019C" w14:paraId="49902947" w14:textId="77777777">
            <w:pPr>
              <w:spacing w:before="100" w:beforeAutospacing="1" w:after="100" w:afterAutospacing="1"/>
              <w:rPr>
                <w:rFonts w:ascii="Arial" w:hAnsi="Arial" w:cs="Arial"/>
                <w:b w:val="0"/>
                <w:bCs w:val="0"/>
                <w:sz w:val="22"/>
                <w:szCs w:val="22"/>
              </w:rPr>
            </w:pPr>
            <w:r>
              <w:rPr>
                <w:rFonts w:ascii="Arial" w:hAnsi="Arial" w:cs="Arial"/>
                <w:sz w:val="22"/>
                <w:szCs w:val="22"/>
              </w:rPr>
              <w:t>Environmental</w:t>
            </w:r>
          </w:p>
        </w:tc>
        <w:tc>
          <w:tcPr>
            <w:tcW w:w="7036" w:type="dxa"/>
            <w:shd w:val="clear" w:color="auto" w:fill="BDD6EE" w:themeFill="accent5" w:themeFillTint="66"/>
          </w:tcPr>
          <w:p w:rsidR="00F1682A" w:rsidRDefault="0093019C" w14:paraId="3A8C71B1" w14:textId="77777777">
            <w:pPr>
              <w:pStyle w:val="Listparagraf"/>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Eco-friendly with the high dependence on the use of artificial intelligence</w:t>
            </w:r>
          </w:p>
          <w:p w:rsidR="00F1682A" w:rsidRDefault="0093019C" w14:paraId="38F27888" w14:textId="77777777">
            <w:pPr>
              <w:pStyle w:val="Listparagraf"/>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Digital ecosystem does cause a low threat to the environment</w:t>
            </w:r>
          </w:p>
          <w:p w:rsidR="00F1682A" w:rsidRDefault="0093019C" w14:paraId="4906BC18" w14:textId="77777777">
            <w:pPr>
              <w:pStyle w:val="Listparagraf"/>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Sustainable practices with the inclusion of the stakeholders, like surgeons and hospitals (CMR Surgical, n.d.a)</w:t>
            </w:r>
          </w:p>
        </w:tc>
      </w:tr>
    </w:tbl>
    <w:p w:rsidR="00F1682A" w:rsidRDefault="0093019C" w14:paraId="72291C1F"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Table 2: PESTLE analysis</w:t>
      </w:r>
    </w:p>
    <w:p w:rsidR="00A05893" w:rsidRDefault="00A05893" w14:paraId="677EE625" w14:textId="77777777">
      <w:pPr>
        <w:spacing w:before="100" w:beforeAutospacing="1" w:after="100" w:afterAutospacing="1"/>
        <w:jc w:val="center"/>
        <w:rPr>
          <w:rFonts w:ascii="Arial" w:hAnsi="Arial" w:cs="Arial"/>
          <w:b/>
          <w:bCs/>
          <w:sz w:val="22"/>
          <w:szCs w:val="22"/>
        </w:rPr>
      </w:pPr>
    </w:p>
    <w:p w:rsidRPr="00A05893" w:rsidR="00A05893" w:rsidP="76B16249" w:rsidRDefault="00A05893" w14:paraId="3C7371F2" w14:textId="439B3EA7">
      <w:pPr>
        <w:pStyle w:val="Titlu4"/>
        <w:rPr>
          <w:rFonts w:ascii="Arial" w:hAnsi="Arial" w:cs="Arial"/>
          <w:i w:val="0"/>
          <w:iCs w:val="0"/>
          <w:sz w:val="40"/>
          <w:szCs w:val="40"/>
        </w:rPr>
      </w:pPr>
      <w:r w:rsidRPr="76B16249" w:rsidR="00A05893">
        <w:rPr>
          <w:rFonts w:ascii="Arial" w:hAnsi="Arial" w:cs="Arial"/>
          <w:i w:val="0"/>
          <w:iCs w:val="0"/>
          <w:sz w:val="40"/>
          <w:szCs w:val="40"/>
        </w:rPr>
        <w:t>SMART OBJECT</w:t>
      </w:r>
      <w:r w:rsidRPr="76B16249" w:rsidR="79B2C195">
        <w:rPr>
          <w:rFonts w:ascii="Arial" w:hAnsi="Arial" w:cs="Arial"/>
          <w:i w:val="0"/>
          <w:iCs w:val="0"/>
          <w:sz w:val="40"/>
          <w:szCs w:val="40"/>
        </w:rPr>
        <w:t>IVE</w:t>
      </w:r>
      <w:r w:rsidRPr="76B16249" w:rsidR="00A05893">
        <w:rPr>
          <w:rFonts w:ascii="Arial" w:hAnsi="Arial" w:cs="Arial"/>
          <w:i w:val="0"/>
          <w:iCs w:val="0"/>
          <w:sz w:val="40"/>
          <w:szCs w:val="40"/>
        </w:rPr>
        <w:t xml:space="preserve">S </w:t>
      </w:r>
    </w:p>
    <w:p w:rsidRPr="00A05893" w:rsidR="007B259A" w:rsidP="00A05893" w:rsidRDefault="00A05893" w14:paraId="014B891B" w14:textId="574F52BA">
      <w:pPr>
        <w:rPr>
          <w:rFonts w:ascii="Arial" w:hAnsi="Arial" w:cs="Arial"/>
          <w:sz w:val="22"/>
          <w:szCs w:val="22"/>
        </w:rPr>
      </w:pPr>
      <w:r w:rsidRPr="76B16249" w:rsidR="00A05893">
        <w:rPr>
          <w:rFonts w:ascii="Arial" w:hAnsi="Arial" w:cs="Arial"/>
          <w:sz w:val="22"/>
          <w:szCs w:val="22"/>
        </w:rPr>
        <w:t>Smart object</w:t>
      </w:r>
      <w:r w:rsidRPr="76B16249" w:rsidR="16975789">
        <w:rPr>
          <w:rFonts w:ascii="Arial" w:hAnsi="Arial" w:cs="Arial"/>
          <w:sz w:val="22"/>
          <w:szCs w:val="22"/>
        </w:rPr>
        <w:t>ive</w:t>
      </w:r>
      <w:r w:rsidRPr="76B16249" w:rsidR="00A05893">
        <w:rPr>
          <w:rFonts w:ascii="Arial" w:hAnsi="Arial" w:cs="Arial"/>
          <w:sz w:val="22"/>
          <w:szCs w:val="22"/>
        </w:rPr>
        <w:t>s consist of intelligent entities with sensors, software, and communication facilities that can communicate, and act based on interaction with the other smart objects in</w:t>
      </w:r>
      <w:r w:rsidRPr="76B16249" w:rsidR="00A05893">
        <w:rPr>
          <w:rFonts w:ascii="Arial" w:hAnsi="Arial" w:cs="Arial"/>
          <w:sz w:val="22"/>
          <w:szCs w:val="22"/>
        </w:rPr>
        <w:t> </w:t>
      </w:r>
      <w:r w:rsidRPr="76B16249" w:rsidR="00A05893">
        <w:rPr>
          <w:rFonts w:ascii="Arial" w:hAnsi="Arial" w:cs="Arial"/>
          <w:sz w:val="22"/>
          <w:szCs w:val="22"/>
        </w:rPr>
        <w:t xml:space="preserve">real-time (Atzori et al., 2010). </w:t>
      </w:r>
    </w:p>
    <w:p w:rsidR="3EE2EE75" w:rsidP="76B16249" w:rsidRDefault="3EE2EE75" w14:paraId="674D85EE" w14:textId="0D84DD5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6249" w:rsidR="3EE2E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Looking ahead, CMR Surgical can aim to enhance its smart objectives through continuous integration of advanced technologies. Future goals may include:</w:t>
      </w:r>
    </w:p>
    <w:p w:rsidR="3EE2EE75" w:rsidP="76B16249" w:rsidRDefault="3EE2EE75" w14:paraId="6C22C156" w14:textId="65817ED3">
      <w:pPr>
        <w:pStyle w:val="Listparagraf"/>
        <w:numPr>
          <w:ilvl w:val="0"/>
          <w:numId w:val="8"/>
        </w:num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6249" w:rsidR="3EE2E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AI-driven predictive analytics to further minimize surgical risks and automate complex decision-making in real time.</w:t>
      </w:r>
    </w:p>
    <w:p w:rsidR="3EE2EE75" w:rsidP="76B16249" w:rsidRDefault="3EE2EE75" w14:paraId="4E04CF69" w14:textId="1ABEF40C">
      <w:pPr>
        <w:pStyle w:val="Listparagraf"/>
        <w:numPr>
          <w:ilvl w:val="0"/>
          <w:numId w:val="8"/>
        </w:num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6249" w:rsidR="3EE2E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Enhanced interconnectivity between smart surgical tools, hospital systems, and patient records to enable fully integrated surgical ecosystems.</w:t>
      </w:r>
    </w:p>
    <w:p w:rsidR="3EE2EE75" w:rsidP="76B16249" w:rsidRDefault="3EE2EE75" w14:paraId="2EB669C5" w14:textId="7EE08226">
      <w:pPr>
        <w:pStyle w:val="Listparagraf"/>
        <w:numPr>
          <w:ilvl w:val="0"/>
          <w:numId w:val="8"/>
        </w:num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6249" w:rsidR="3EE2E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Autonomous surgical assistance, where smart instruments can adapt dynamically during procedures based on sensor data and surgical context.</w:t>
      </w:r>
    </w:p>
    <w:p w:rsidR="3EE2EE75" w:rsidP="76B16249" w:rsidRDefault="3EE2EE75" w14:paraId="32503F1E" w14:textId="7B6B32E3">
      <w:pPr>
        <w:pStyle w:val="Listparagraf"/>
        <w:numPr>
          <w:ilvl w:val="0"/>
          <w:numId w:val="8"/>
        </w:num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6249" w:rsidR="3EE2E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Remote surgery capabilities supported by ultra-low latency 5G networks, expanding access to high-quality surgical care globally.</w:t>
      </w:r>
    </w:p>
    <w:p w:rsidR="3EE2EE75" w:rsidP="76B16249" w:rsidRDefault="3EE2EE75" w14:paraId="706C32FA" w14:textId="57258B64">
      <w:pPr>
        <w:pStyle w:val="Listparagraf"/>
        <w:numPr>
          <w:ilvl w:val="0"/>
          <w:numId w:val="8"/>
        </w:num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6249" w:rsidR="3EE2E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Sustainability-focused innovation, where smart devices are designed for energy efficiency, longevity, and environmentally responsible manufacturing.</w:t>
      </w:r>
    </w:p>
    <w:p w:rsidR="76B16249" w:rsidP="76B16249" w:rsidRDefault="76B16249" w14:paraId="64F46657" w14:textId="3DA5DC5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6B16249" w:rsidP="76B16249" w:rsidRDefault="76B16249" w14:paraId="0ABF45DE" w14:textId="07F4B4E8">
      <w:pPr>
        <w:rPr>
          <w:rFonts w:ascii="Arial" w:hAnsi="Arial" w:cs="Arial"/>
          <w:sz w:val="22"/>
          <w:szCs w:val="22"/>
        </w:rPr>
      </w:pPr>
    </w:p>
    <w:p w:rsidRPr="00974EB0" w:rsidR="00F1682A" w:rsidP="00974EB0" w:rsidRDefault="0093019C" w14:paraId="1DE0FF4E" w14:textId="77777777">
      <w:pPr>
        <w:pStyle w:val="Titlu5"/>
        <w:rPr>
          <w:rFonts w:ascii="Arial" w:hAnsi="Arial" w:cs="Arial"/>
          <w:sz w:val="36"/>
          <w:szCs w:val="36"/>
        </w:rPr>
      </w:pPr>
      <w:bookmarkStart w:name="_Toc210409361" w:id="11"/>
      <w:r w:rsidRPr="00974EB0">
        <w:rPr>
          <w:rFonts w:ascii="Arial" w:hAnsi="Arial" w:cs="Arial"/>
          <w:sz w:val="36"/>
          <w:szCs w:val="36"/>
        </w:rPr>
        <w:t>The key internal and external stakeholders involved in the project</w:t>
      </w:r>
      <w:bookmarkEnd w:id="11"/>
    </w:p>
    <w:p w:rsidR="00F1682A" w:rsidRDefault="0093019C" w14:paraId="5BAF0FF4" w14:textId="77777777">
      <w:pPr>
        <w:spacing w:before="100" w:beforeAutospacing="1" w:after="100" w:afterAutospacing="1"/>
        <w:rPr>
          <w:rFonts w:ascii="Arial" w:hAnsi="Arial" w:cs="Arial"/>
          <w:i/>
          <w:iCs/>
          <w:sz w:val="22"/>
          <w:szCs w:val="22"/>
          <w:u w:val="single"/>
        </w:rPr>
      </w:pPr>
      <w:r>
        <w:rPr>
          <w:rFonts w:ascii="Arial" w:hAnsi="Arial" w:cs="Arial"/>
          <w:i/>
          <w:iCs/>
          <w:sz w:val="22"/>
          <w:szCs w:val="22"/>
          <w:u w:val="single"/>
        </w:rPr>
        <w:t>Internal Stakeholders</w:t>
      </w:r>
    </w:p>
    <w:p w:rsidR="00F1682A" w:rsidRDefault="0093019C" w14:paraId="6603DB74" w14:textId="77777777">
      <w:pPr>
        <w:spacing w:before="100" w:beforeAutospacing="1" w:after="100" w:afterAutospacing="1"/>
        <w:rPr>
          <w:rFonts w:ascii="Arial" w:hAnsi="Arial" w:cs="Arial"/>
          <w:sz w:val="22"/>
          <w:szCs w:val="22"/>
        </w:rPr>
      </w:pPr>
      <w:r>
        <w:rPr>
          <w:rFonts w:ascii="Arial" w:hAnsi="Arial" w:cs="Arial"/>
          <w:b/>
          <w:bCs/>
          <w:sz w:val="22"/>
          <w:szCs w:val="22"/>
        </w:rPr>
        <w:t xml:space="preserve">Product Development Team: </w:t>
      </w:r>
      <w:r>
        <w:rPr>
          <w:rFonts w:ascii="Arial" w:hAnsi="Arial" w:cs="Arial"/>
          <w:sz w:val="22"/>
          <w:szCs w:val="22"/>
        </w:rPr>
        <w:t xml:space="preserve">This team is internally responsible for the development of the new product and undertakes it as a new project in coordination with other </w:t>
      </w:r>
      <w:r>
        <w:rPr>
          <w:rFonts w:ascii="Arial" w:hAnsi="Arial" w:cs="Arial"/>
          <w:sz w:val="22"/>
          <w:szCs w:val="22"/>
        </w:rPr>
        <w:t>members.</w:t>
      </w:r>
      <w:r>
        <w:rPr>
          <w:rFonts w:ascii="Arial" w:hAnsi="Arial" w:cs="Arial"/>
          <w:b/>
          <w:bCs/>
          <w:sz w:val="22"/>
          <w:szCs w:val="22"/>
        </w:rPr>
        <w:t xml:space="preserve"> </w:t>
      </w:r>
      <w:r>
        <w:rPr>
          <w:rFonts w:ascii="Arial" w:hAnsi="Arial" w:cs="Arial"/>
          <w:sz w:val="22"/>
          <w:szCs w:val="22"/>
        </w:rPr>
        <w:t xml:space="preserve">The research of Lehtinen </w:t>
      </w:r>
      <w:r>
        <w:rPr>
          <w:rFonts w:ascii="Arial" w:hAnsi="Arial" w:cs="Arial"/>
          <w:i/>
          <w:iCs/>
          <w:sz w:val="22"/>
          <w:szCs w:val="22"/>
        </w:rPr>
        <w:t>et al.</w:t>
      </w:r>
      <w:r>
        <w:rPr>
          <w:rFonts w:ascii="Arial" w:hAnsi="Arial" w:cs="Arial"/>
          <w:sz w:val="22"/>
          <w:szCs w:val="22"/>
        </w:rPr>
        <w:t xml:space="preserve"> (2019) offers a comprehensive view of how the success of a product is dependent on the operations and the techniques involved within it. </w:t>
      </w:r>
    </w:p>
    <w:p w:rsidR="00F1682A" w:rsidRDefault="0093019C" w14:paraId="3D06ECD9" w14:textId="77777777">
      <w:pPr>
        <w:spacing w:before="100" w:beforeAutospacing="1" w:after="100" w:afterAutospacing="1"/>
        <w:rPr>
          <w:rFonts w:ascii="Arial" w:hAnsi="Arial" w:cs="Arial"/>
          <w:sz w:val="22"/>
          <w:szCs w:val="22"/>
        </w:rPr>
      </w:pPr>
      <w:r>
        <w:rPr>
          <w:rFonts w:ascii="Arial" w:hAnsi="Arial" w:cs="Arial"/>
          <w:b/>
          <w:bCs/>
          <w:sz w:val="22"/>
          <w:szCs w:val="22"/>
        </w:rPr>
        <w:t xml:space="preserve">Marketing Team: </w:t>
      </w:r>
      <w:r>
        <w:rPr>
          <w:rFonts w:ascii="Arial" w:hAnsi="Arial" w:cs="Arial"/>
          <w:sz w:val="22"/>
          <w:szCs w:val="22"/>
        </w:rPr>
        <w:t>The marketing team acts as the internal team responsible for the promotion and marketing of the product lines to the customers. According to</w:t>
      </w:r>
      <w:r>
        <w:rPr>
          <w:rFonts w:ascii="Arial" w:hAnsi="Arial" w:cs="Arial"/>
          <w:b/>
          <w:bCs/>
          <w:sz w:val="22"/>
          <w:szCs w:val="22"/>
        </w:rPr>
        <w:t xml:space="preserve"> </w:t>
      </w:r>
      <w:r>
        <w:rPr>
          <w:rFonts w:ascii="Arial" w:hAnsi="Arial" w:cs="Arial"/>
          <w:sz w:val="22"/>
          <w:szCs w:val="22"/>
        </w:rPr>
        <w:t xml:space="preserve">Shevchenko </w:t>
      </w:r>
      <w:r>
        <w:rPr>
          <w:rFonts w:ascii="Arial" w:hAnsi="Arial" w:cs="Arial"/>
          <w:i/>
          <w:iCs/>
          <w:sz w:val="22"/>
          <w:szCs w:val="22"/>
        </w:rPr>
        <w:t xml:space="preserve">et al.  </w:t>
      </w:r>
      <w:r>
        <w:rPr>
          <w:rFonts w:ascii="Arial" w:hAnsi="Arial" w:cs="Arial"/>
          <w:sz w:val="22"/>
          <w:szCs w:val="22"/>
        </w:rPr>
        <w:t xml:space="preserve">(2023), with the integration of internet analytics and artificial intelligence, the marketing context has been uplifted. Similarly, for the launch of the new wearable devices, the marketing team has been responsible for internally deciding how to promote the new product line. </w:t>
      </w:r>
    </w:p>
    <w:p w:rsidR="00F1682A" w:rsidRDefault="0093019C" w14:paraId="4DB91666" w14:textId="77777777">
      <w:pPr>
        <w:spacing w:before="100" w:beforeAutospacing="1" w:after="100" w:afterAutospacing="1"/>
        <w:rPr>
          <w:rFonts w:ascii="Arial" w:hAnsi="Arial" w:cs="Arial"/>
          <w:sz w:val="22"/>
          <w:szCs w:val="22"/>
        </w:rPr>
      </w:pPr>
      <w:r>
        <w:rPr>
          <w:rFonts w:ascii="Arial" w:hAnsi="Arial" w:cs="Arial"/>
          <w:b/>
          <w:bCs/>
          <w:sz w:val="22"/>
          <w:szCs w:val="22"/>
        </w:rPr>
        <w:t xml:space="preserve">Patients: </w:t>
      </w:r>
      <w:r>
        <w:rPr>
          <w:rFonts w:ascii="Arial" w:hAnsi="Arial" w:cs="Arial"/>
          <w:sz w:val="22"/>
          <w:szCs w:val="22"/>
        </w:rPr>
        <w:t>They are even the internal stakeholders who need to be informed of the impact and significance of the new product on the healthcare service and their lifestyles</w:t>
      </w:r>
      <w:r>
        <w:rPr>
          <w:rFonts w:ascii="Arial" w:hAnsi="Arial" w:cs="Arial"/>
          <w:b/>
          <w:bCs/>
          <w:sz w:val="22"/>
          <w:szCs w:val="22"/>
        </w:rPr>
        <w:t xml:space="preserve">. </w:t>
      </w:r>
    </w:p>
    <w:p w:rsidR="00F1682A" w:rsidRDefault="0093019C" w14:paraId="509D3187" w14:textId="77777777">
      <w:pPr>
        <w:spacing w:before="100" w:beforeAutospacing="1" w:after="100" w:afterAutospacing="1"/>
        <w:rPr>
          <w:rFonts w:ascii="Arial" w:hAnsi="Arial" w:cs="Arial"/>
          <w:b/>
          <w:bCs/>
          <w:sz w:val="22"/>
          <w:szCs w:val="22"/>
        </w:rPr>
      </w:pPr>
      <w:r>
        <w:rPr>
          <w:rFonts w:ascii="Arial" w:hAnsi="Arial" w:cs="Arial"/>
          <w:b/>
          <w:bCs/>
          <w:sz w:val="22"/>
          <w:szCs w:val="22"/>
        </w:rPr>
        <w:t xml:space="preserve">Employees: </w:t>
      </w:r>
      <w:r>
        <w:rPr>
          <w:rFonts w:ascii="Arial" w:hAnsi="Arial" w:cs="Arial"/>
          <w:sz w:val="22"/>
          <w:szCs w:val="22"/>
        </w:rPr>
        <w:t xml:space="preserve">They have a major hand in carrying out the new product lines and are informed of how each activity is to be carried out by eliminating the risks (Sahi </w:t>
      </w:r>
      <w:r>
        <w:rPr>
          <w:rFonts w:ascii="Arial" w:hAnsi="Arial" w:cs="Arial"/>
          <w:i/>
          <w:iCs/>
          <w:sz w:val="22"/>
          <w:szCs w:val="22"/>
        </w:rPr>
        <w:t>et al</w:t>
      </w:r>
      <w:r>
        <w:rPr>
          <w:rFonts w:ascii="Arial" w:hAnsi="Arial" w:cs="Arial"/>
          <w:sz w:val="22"/>
          <w:szCs w:val="22"/>
        </w:rPr>
        <w:t>., 2024).</w:t>
      </w:r>
      <w:r>
        <w:rPr>
          <w:rFonts w:ascii="Arial" w:hAnsi="Arial" w:cs="Arial"/>
          <w:b/>
          <w:bCs/>
          <w:sz w:val="22"/>
          <w:szCs w:val="22"/>
        </w:rPr>
        <w:t xml:space="preserve"> </w:t>
      </w:r>
    </w:p>
    <w:p w:rsidR="00F1682A" w:rsidRDefault="0093019C" w14:paraId="3981E627" w14:textId="77777777">
      <w:pPr>
        <w:spacing w:before="100" w:beforeAutospacing="1" w:after="100" w:afterAutospacing="1"/>
        <w:rPr>
          <w:rFonts w:ascii="Arial" w:hAnsi="Arial" w:cs="Arial"/>
          <w:i/>
          <w:iCs/>
          <w:sz w:val="22"/>
          <w:szCs w:val="22"/>
          <w:u w:val="single"/>
        </w:rPr>
      </w:pPr>
      <w:r>
        <w:rPr>
          <w:rFonts w:ascii="Arial" w:hAnsi="Arial" w:cs="Arial"/>
          <w:i/>
          <w:iCs/>
          <w:sz w:val="22"/>
          <w:szCs w:val="22"/>
          <w:u w:val="single"/>
        </w:rPr>
        <w:t>External Stakeholders</w:t>
      </w:r>
    </w:p>
    <w:p w:rsidR="00F1682A" w:rsidRDefault="0093019C" w14:paraId="47674567" w14:textId="77777777">
      <w:pPr>
        <w:spacing w:before="100" w:beforeAutospacing="1" w:after="100" w:afterAutospacing="1"/>
        <w:rPr>
          <w:rFonts w:ascii="Arial" w:hAnsi="Arial" w:cs="Arial"/>
          <w:sz w:val="22"/>
          <w:szCs w:val="22"/>
        </w:rPr>
      </w:pPr>
      <w:r>
        <w:rPr>
          <w:rFonts w:ascii="Arial" w:hAnsi="Arial" w:cs="Arial"/>
          <w:b/>
          <w:bCs/>
          <w:sz w:val="22"/>
          <w:szCs w:val="22"/>
        </w:rPr>
        <w:t xml:space="preserve">Investors: </w:t>
      </w:r>
      <w:r>
        <w:rPr>
          <w:rFonts w:ascii="Arial" w:hAnsi="Arial" w:cs="Arial"/>
          <w:sz w:val="22"/>
          <w:szCs w:val="22"/>
        </w:rPr>
        <w:t xml:space="preserve">With the launch of new projects, investors play the main role in financially backing up the companies, irrespective of their size. According to CMR Surgical, for the launch of a new product, the investors externally contribute financially, supporting the project and even executing the success of the project. </w:t>
      </w:r>
    </w:p>
    <w:p w:rsidR="00F1682A" w:rsidRDefault="0093019C" w14:paraId="5FDE5516" w14:textId="77777777">
      <w:pPr>
        <w:spacing w:before="100" w:beforeAutospacing="1" w:after="100" w:afterAutospacing="1"/>
        <w:rPr>
          <w:rFonts w:ascii="Arial" w:hAnsi="Arial" w:cs="Arial"/>
          <w:sz w:val="22"/>
          <w:szCs w:val="22"/>
        </w:rPr>
      </w:pPr>
      <w:r>
        <w:rPr>
          <w:rFonts w:ascii="Arial" w:hAnsi="Arial" w:cs="Arial"/>
          <w:b/>
          <w:bCs/>
          <w:sz w:val="22"/>
          <w:szCs w:val="22"/>
        </w:rPr>
        <w:t xml:space="preserve">Government: </w:t>
      </w:r>
      <w:r>
        <w:rPr>
          <w:rFonts w:ascii="Arial" w:hAnsi="Arial" w:cs="Arial"/>
          <w:sz w:val="22"/>
          <w:szCs w:val="22"/>
        </w:rPr>
        <w:t xml:space="preserve">The approvals of the Government are externally required for the rolling out of the new project and affirm confidence among the public, too. </w:t>
      </w:r>
    </w:p>
    <w:p w:rsidR="00F1682A" w:rsidRDefault="0093019C" w14:paraId="6F731092" w14:textId="77777777">
      <w:pPr>
        <w:spacing w:before="100" w:beforeAutospacing="1" w:after="100" w:afterAutospacing="1"/>
        <w:rPr>
          <w:rFonts w:ascii="Arial" w:hAnsi="Arial" w:cs="Arial"/>
          <w:sz w:val="22"/>
          <w:szCs w:val="22"/>
        </w:rPr>
      </w:pPr>
      <w:r>
        <w:rPr>
          <w:rFonts w:ascii="Arial" w:hAnsi="Arial" w:cs="Arial"/>
          <w:b/>
          <w:bCs/>
          <w:sz w:val="22"/>
          <w:szCs w:val="22"/>
        </w:rPr>
        <w:t xml:space="preserve">Business Partners: </w:t>
      </w:r>
      <w:r>
        <w:rPr>
          <w:rFonts w:ascii="Arial" w:hAnsi="Arial" w:cs="Arial"/>
          <w:sz w:val="22"/>
          <w:szCs w:val="22"/>
        </w:rPr>
        <w:t xml:space="preserve">Business partners have the liability to support the company in the launch of the new project in various forms. For CMR Surgical, business partners like NHS England or other investors have played a role in the growth of new product launches and innovation (CMR Surgical, n.d.c). </w:t>
      </w:r>
    </w:p>
    <w:p w:rsidR="00A05893" w:rsidRDefault="0093019C" w14:paraId="0C52E810" w14:textId="77777777">
      <w:pPr>
        <w:spacing w:before="100" w:beforeAutospacing="1" w:after="100" w:afterAutospacing="1"/>
        <w:rPr>
          <w:rFonts w:ascii="Arial" w:hAnsi="Arial" w:cs="Arial"/>
          <w:sz w:val="22"/>
          <w:szCs w:val="22"/>
        </w:rPr>
      </w:pPr>
      <w:r>
        <w:rPr>
          <w:rFonts w:ascii="Arial" w:hAnsi="Arial" w:cs="Arial"/>
          <w:sz w:val="22"/>
          <w:szCs w:val="22"/>
        </w:rPr>
        <w:t>Through the presence of both the internal and external stakeholders, CMR Surgical can measure the feasibility and assess the successful carrying out of the new project. With healthcare intervention being planned, the stakeholders can contribute to an informed decision-making process and execute the project with desired outcomes. According to Suvvari and Saxena (2023), clarity of roles and effective communication enable projects to be successfully planned out and gain desired outcomes. Similarly, the interna</w:t>
      </w:r>
      <w:r>
        <w:rPr>
          <w:rFonts w:ascii="Arial" w:hAnsi="Arial" w:cs="Arial"/>
          <w:sz w:val="22"/>
          <w:szCs w:val="22"/>
        </w:rPr>
        <w:t xml:space="preserve">l and external stakeholders will play a dynamic role in carrying out the new project. </w:t>
      </w:r>
    </w:p>
    <w:p w:rsidR="00A05893" w:rsidRDefault="00A05893" w14:paraId="2950B28C" w14:textId="77777777">
      <w:pPr>
        <w:spacing w:before="100" w:beforeAutospacing="1" w:after="100" w:afterAutospacing="1"/>
        <w:rPr>
          <w:rFonts w:ascii="Arial" w:hAnsi="Arial" w:cs="Arial"/>
          <w:sz w:val="22"/>
          <w:szCs w:val="22"/>
        </w:rPr>
      </w:pPr>
    </w:p>
    <w:p w:rsidR="00A05893" w:rsidP="00A05893" w:rsidRDefault="00A05893" w14:paraId="2E77405E" w14:textId="77777777">
      <w:pPr>
        <w:pStyle w:val="Titlu4"/>
        <w:rPr>
          <w:rFonts w:ascii="Arial" w:hAnsi="Arial" w:cs="Arial"/>
          <w:i w:val="0"/>
          <w:iCs w:val="0"/>
          <w:sz w:val="36"/>
          <w:szCs w:val="36"/>
        </w:rPr>
      </w:pPr>
      <w:r w:rsidRPr="00A05893">
        <w:rPr>
          <w:rFonts w:ascii="Arial" w:hAnsi="Arial" w:cs="Arial"/>
          <w:i w:val="0"/>
          <w:iCs w:val="0"/>
          <w:sz w:val="36"/>
          <w:szCs w:val="36"/>
        </w:rPr>
        <w:t>Roles and responsibilities of the key stakeholders with benefits and challenges</w:t>
      </w:r>
    </w:p>
    <w:p w:rsidRPr="009A647B" w:rsidR="009A647B" w:rsidP="009A647B" w:rsidRDefault="009A647B" w14:paraId="5F457CED" w14:textId="5B9805FA">
      <w:r w:rsidRPr="009A647B">
        <w:t>Stakeholder map Stakeholder map is</w:t>
      </w:r>
      <w:r w:rsidRPr="009A647B">
        <w:t> </w:t>
      </w:r>
      <w:r w:rsidRPr="009A647B">
        <w:t>a diagrammatic tool which is used to visualise the key stakeholders who have an influence on, or are influenced by, an organisation's actions (Freeman, 1984). The analysis serves to identify</w:t>
      </w:r>
      <w:r w:rsidRPr="009A647B">
        <w:t> </w:t>
      </w:r>
      <w:r w:rsidRPr="009A647B">
        <w:t>the relative power and interest of stakeholders, which in turn inform their engagement and communication approaches. For CMR Surgical, stakeholder mapping is crucial for the private</w:t>
      </w:r>
      <w:r w:rsidRPr="009A647B">
        <w:t> </w:t>
      </w:r>
      <w:r w:rsidRPr="009A647B">
        <w:t>company to control its relationships with surgeons and patients, investors, regulators and healthcare organizations. It guarantees fit between technological development and stakeholder demands and subsequently trust,</w:t>
      </w:r>
      <w:r w:rsidRPr="009A647B">
        <w:t> </w:t>
      </w:r>
      <w:r w:rsidRPr="009A647B">
        <w:t>cooperation and ethical judgement (Bryson, 2018). This structure ed methodology promotes governance and macroscopic</w:t>
      </w:r>
      <w:r w:rsidRPr="009A647B">
        <w:t> </w:t>
      </w:r>
      <w:r w:rsidRPr="009A647B">
        <w:t>growth in the community.</w:t>
      </w:r>
    </w:p>
    <w:p w:rsidRPr="009A647B" w:rsidR="00014E3C" w:rsidP="009A647B" w:rsidRDefault="00A05893" w14:paraId="79F2F1EA" w14:textId="54B9294F">
      <w:pPr>
        <w:spacing w:before="100" w:beforeAutospacing="1" w:after="100" w:afterAutospacing="1"/>
        <w:rPr>
          <w:b/>
          <w:bCs/>
          <w:smallCaps/>
          <w:color w:val="2F5496" w:themeColor="accent1" w:themeShade="BF"/>
          <w:spacing w:val="5"/>
        </w:rPr>
      </w:pPr>
      <w:r>
        <w:rPr>
          <w:rStyle w:val="IntenseReference1"/>
        </w:rPr>
        <w:t xml:space="preserve">                                            </w:t>
      </w:r>
      <w:r w:rsidRPr="00A05893">
        <w:rPr>
          <w:rStyle w:val="IntenseReference1"/>
        </w:rPr>
        <w:t xml:space="preserve">STAKEHOLDER MAP </w:t>
      </w:r>
      <w:r>
        <w:rPr>
          <w:rFonts w:ascii="Arial" w:hAnsi="Arial" w:cs="Arial"/>
          <w:noProof/>
          <w:sz w:val="22"/>
          <w:szCs w:val="22"/>
        </w:rPr>
        <w:drawing>
          <wp:anchor distT="0" distB="0" distL="114300" distR="114300" simplePos="0" relativeHeight="251658240" behindDoc="0" locked="0" layoutInCell="1" allowOverlap="1" wp14:anchorId="1BEA4727" wp14:editId="17ECBBC4">
            <wp:simplePos x="0" y="0"/>
            <wp:positionH relativeFrom="margin">
              <wp:align>right</wp:align>
            </wp:positionH>
            <wp:positionV relativeFrom="margin">
              <wp:align>bottom</wp:align>
            </wp:positionV>
            <wp:extent cx="3689350" cy="3770630"/>
            <wp:effectExtent l="0" t="0" r="6350" b="1270"/>
            <wp:wrapSquare wrapText="bothSides"/>
            <wp:docPr id="76204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89350" cy="3770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259A">
        <w:rPr>
          <w:noProof/>
        </w:rPr>
        <w:drawing>
          <wp:anchor distT="0" distB="0" distL="114300" distR="114300" simplePos="0" relativeHeight="251659264" behindDoc="0" locked="0" layoutInCell="1" allowOverlap="1" wp14:anchorId="5150B8E1" wp14:editId="56BFD21E">
            <wp:simplePos x="914400" y="914400"/>
            <wp:positionH relativeFrom="margin">
              <wp:align>right</wp:align>
            </wp:positionH>
            <wp:positionV relativeFrom="margin">
              <wp:align>top</wp:align>
            </wp:positionV>
            <wp:extent cx="3489325" cy="3461971"/>
            <wp:effectExtent l="0" t="0" r="0" b="5715"/>
            <wp:wrapSquare wrapText="bothSides"/>
            <wp:docPr id="125548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89325" cy="3461971"/>
                    </a:xfrm>
                    <a:prstGeom prst="rect">
                      <a:avLst/>
                    </a:prstGeom>
                    <a:noFill/>
                    <a:ln>
                      <a:noFill/>
                    </a:ln>
                  </pic:spPr>
                </pic:pic>
              </a:graphicData>
            </a:graphic>
          </wp:anchor>
        </w:drawing>
      </w:r>
    </w:p>
    <w:p w:rsidR="00F1682A" w:rsidRDefault="0093019C" w14:paraId="1D5F8591" w14:textId="77777777">
      <w:pPr>
        <w:spacing w:before="100" w:beforeAutospacing="1" w:after="100" w:afterAutospacing="1"/>
        <w:rPr>
          <w:rFonts w:ascii="Arial" w:hAnsi="Arial" w:cs="Arial"/>
          <w:sz w:val="22"/>
          <w:szCs w:val="22"/>
        </w:rPr>
      </w:pPr>
      <w:r>
        <w:rPr>
          <w:rFonts w:ascii="Arial" w:hAnsi="Arial" w:cs="Arial"/>
          <w:b/>
          <w:bCs/>
          <w:sz w:val="22"/>
          <w:szCs w:val="22"/>
        </w:rPr>
        <w:t>Patients:</w:t>
      </w:r>
      <w:r>
        <w:rPr>
          <w:rFonts w:ascii="Arial" w:hAnsi="Arial" w:cs="Arial"/>
          <w:sz w:val="22"/>
          <w:szCs w:val="22"/>
        </w:rPr>
        <w:t xml:space="preserve"> They are the ones whose core role is to receive services from CMR Surgical. The new wearable health device could add benefits to their health system and offer the highest quality of care. For example, with the rollout of Versius, more than 30,000 procedures have been performed globally, which indicates the access of the patients to the new service (CMR Surgical, n.d.b). The challenges, however, can be encountered where they are not assured of the new products being launched and concern over the reliability</w:t>
      </w:r>
      <w:r>
        <w:rPr>
          <w:rFonts w:ascii="Arial" w:hAnsi="Arial" w:cs="Arial"/>
          <w:sz w:val="22"/>
          <w:szCs w:val="22"/>
        </w:rPr>
        <w:t xml:space="preserve"> of the projects. Likewise, Rabea (2022) argued of the high concerns that do raise among patients about the launch of the new product lines, which requires the businesses to ensure the pre-launch of the project and its readiness. </w:t>
      </w:r>
    </w:p>
    <w:p w:rsidR="00F1682A" w:rsidRDefault="0093019C" w14:paraId="7493C4B1" w14:textId="77777777">
      <w:pPr>
        <w:spacing w:before="100" w:beforeAutospacing="1" w:after="100" w:afterAutospacing="1"/>
        <w:rPr>
          <w:rFonts w:ascii="Arial" w:hAnsi="Arial" w:cs="Arial"/>
          <w:sz w:val="22"/>
          <w:szCs w:val="22"/>
        </w:rPr>
      </w:pPr>
      <w:r>
        <w:rPr>
          <w:rFonts w:ascii="Arial" w:hAnsi="Arial" w:cs="Arial"/>
          <w:b/>
          <w:bCs/>
          <w:sz w:val="22"/>
          <w:szCs w:val="22"/>
        </w:rPr>
        <w:t>Surgeons:</w:t>
      </w:r>
      <w:r>
        <w:rPr>
          <w:rFonts w:ascii="Arial" w:hAnsi="Arial" w:cs="Arial"/>
          <w:sz w:val="22"/>
          <w:szCs w:val="22"/>
        </w:rPr>
        <w:t xml:space="preserve"> They have the role to roll out and utilise the new device as equipment for the treatment of the patients and build confidence in the new device within them.</w:t>
      </w:r>
    </w:p>
    <w:p w:rsidR="00F1682A" w:rsidRDefault="0093019C" w14:paraId="63EDC345" w14:textId="77777777">
      <w:pPr>
        <w:spacing w:before="100" w:beforeAutospacing="1" w:after="100" w:afterAutospacing="1"/>
        <w:rPr>
          <w:rFonts w:ascii="Arial" w:hAnsi="Arial" w:cs="Arial"/>
          <w:i/>
          <w:iCs/>
          <w:sz w:val="22"/>
          <w:szCs w:val="22"/>
          <w:u w:val="single"/>
        </w:rPr>
      </w:pPr>
      <w:r>
        <w:rPr>
          <w:rFonts w:ascii="Arial" w:hAnsi="Arial" w:cs="Arial"/>
          <w:i/>
          <w:iCs/>
          <w:sz w:val="22"/>
          <w:szCs w:val="22"/>
          <w:u w:val="single"/>
        </w:rPr>
        <w:t>External Stakeholders</w:t>
      </w:r>
    </w:p>
    <w:p w:rsidR="00F1682A" w:rsidRDefault="0093019C" w14:paraId="33690968" w14:textId="77777777">
      <w:pPr>
        <w:spacing w:before="100" w:beforeAutospacing="1" w:after="100" w:afterAutospacing="1"/>
        <w:rPr>
          <w:rFonts w:ascii="Arial" w:hAnsi="Arial" w:cs="Arial"/>
          <w:sz w:val="22"/>
          <w:szCs w:val="22"/>
        </w:rPr>
      </w:pPr>
      <w:r>
        <w:rPr>
          <w:rFonts w:ascii="Arial" w:hAnsi="Arial" w:cs="Arial"/>
          <w:b/>
          <w:bCs/>
          <w:sz w:val="22"/>
          <w:szCs w:val="22"/>
        </w:rPr>
        <w:t>Investors:</w:t>
      </w:r>
      <w:r>
        <w:rPr>
          <w:rFonts w:ascii="Arial" w:hAnsi="Arial" w:cs="Arial"/>
          <w:sz w:val="22"/>
          <w:szCs w:val="22"/>
        </w:rPr>
        <w:t xml:space="preserve"> The investors have a crucial role in the upliftment of the performance of CMR, alongside offering financial backing. It has been reported that CMR Surgical did raise a fund of $1 billion from global investors, and in 2021, it did secure a value of $600 million from SoftBank Vision Fund 2 (SMG, 2025). The opportunities lie in the benefits that the investors can obtain from the new project, which is the responsibility of the project manager to convey and convince. In the study of Lange </w:t>
      </w:r>
      <w:r>
        <w:rPr>
          <w:rFonts w:ascii="Arial" w:hAnsi="Arial" w:cs="Arial"/>
          <w:i/>
          <w:iCs/>
          <w:sz w:val="22"/>
          <w:szCs w:val="22"/>
        </w:rPr>
        <w:t>et al.</w:t>
      </w:r>
      <w:r>
        <w:rPr>
          <w:rFonts w:ascii="Arial" w:hAnsi="Arial" w:cs="Arial"/>
          <w:sz w:val="22"/>
          <w:szCs w:val="22"/>
        </w:rPr>
        <w:t xml:space="preserve"> (2024) rightly </w:t>
      </w:r>
      <w:r>
        <w:rPr>
          <w:rFonts w:ascii="Arial" w:hAnsi="Arial" w:cs="Arial"/>
          <w:sz w:val="22"/>
          <w:szCs w:val="22"/>
        </w:rPr>
        <w:t xml:space="preserve">mentions of the business angels for financially supporting the firms in new projects to be discovered. </w:t>
      </w:r>
    </w:p>
    <w:p w:rsidR="00F1682A" w:rsidRDefault="0093019C" w14:paraId="5F9A9E5D" w14:textId="77777777">
      <w:pPr>
        <w:spacing w:before="100" w:beforeAutospacing="1" w:after="100" w:afterAutospacing="1"/>
        <w:rPr>
          <w:rFonts w:ascii="Arial" w:hAnsi="Arial" w:cs="Arial"/>
          <w:sz w:val="22"/>
          <w:szCs w:val="22"/>
        </w:rPr>
      </w:pPr>
      <w:r>
        <w:rPr>
          <w:rFonts w:ascii="Arial" w:hAnsi="Arial" w:cs="Arial"/>
          <w:b/>
          <w:bCs/>
          <w:sz w:val="22"/>
          <w:szCs w:val="22"/>
        </w:rPr>
        <w:t>Government:</w:t>
      </w:r>
      <w:r>
        <w:rPr>
          <w:rFonts w:ascii="Arial" w:hAnsi="Arial" w:cs="Arial"/>
          <w:sz w:val="22"/>
          <w:szCs w:val="22"/>
        </w:rPr>
        <w:t xml:space="preserve"> The Government do have a role in addressing and approving the policies that can promote better healthcare activities and performances. NHS England, for example did in 2025 shared the vision of expanding the use of artificial intelligence to enable millions of patients to receive benefits from it (LinkedIn, 2025). The disapproval from the end of the Government, however, can pose a threat to new projects with the legal and ethical issues with new product launches. </w:t>
      </w:r>
    </w:p>
    <w:p w:rsidR="00F1682A" w:rsidRDefault="0093019C" w14:paraId="49BA4FD8" w14:textId="77777777">
      <w:pPr>
        <w:spacing w:before="100" w:beforeAutospacing="1" w:after="100" w:afterAutospacing="1"/>
        <w:rPr>
          <w:rFonts w:ascii="Arial" w:hAnsi="Arial" w:cs="Arial"/>
          <w:sz w:val="22"/>
          <w:szCs w:val="22"/>
        </w:rPr>
      </w:pPr>
      <w:r>
        <w:rPr>
          <w:rFonts w:ascii="Arial" w:hAnsi="Arial" w:cs="Arial"/>
          <w:b/>
          <w:bCs/>
          <w:sz w:val="22"/>
          <w:szCs w:val="22"/>
        </w:rPr>
        <w:t>Business Partners</w:t>
      </w:r>
      <w:r>
        <w:rPr>
          <w:rFonts w:ascii="Arial" w:hAnsi="Arial" w:cs="Arial"/>
          <w:sz w:val="22"/>
          <w:szCs w:val="22"/>
        </w:rPr>
        <w:t xml:space="preserve">: </w:t>
      </w:r>
      <w:r>
        <w:rPr>
          <w:rFonts w:ascii="Arial" w:hAnsi="Arial" w:cs="Arial"/>
          <w:sz w:val="22"/>
          <w:szCs w:val="22"/>
        </w:rPr>
        <w:t>Additionally, the business partners do have a strategic role in the growth of such medical devices and markets for better services to the patients. NHS Wales acts as one of the strategic partners for CMR Surgical to shape and implement a digital ecosystem in the nation (HwB, 2022). Thus, the role has been to facilitate growth in the healthcare services and assist hospitals for the highest quality to be offered.</w:t>
      </w:r>
    </w:p>
    <w:p w:rsidRPr="00120E3A" w:rsidR="00F1682A" w:rsidRDefault="0093019C" w14:paraId="10D2EE7D" w14:textId="77777777">
      <w:pPr>
        <w:spacing w:before="100" w:beforeAutospacing="1" w:after="100" w:afterAutospacing="1"/>
        <w:rPr>
          <w:rStyle w:val="IntenseReference1"/>
        </w:rPr>
      </w:pPr>
      <w:r w:rsidRPr="00120E3A">
        <w:rPr>
          <w:rStyle w:val="IntenseReference1"/>
        </w:rPr>
        <w:t>RACI Matrix</w:t>
      </w:r>
    </w:p>
    <w:p w:rsidRPr="00120E3A" w:rsidR="00120E3A" w:rsidP="00120E3A" w:rsidRDefault="00120E3A" w14:paraId="39BAAC40" w14:textId="5D2DF7B6">
      <w:pPr>
        <w:rPr>
          <w:rFonts w:ascii="Arial" w:hAnsi="Arial" w:cs="Arial"/>
          <w:sz w:val="22"/>
          <w:szCs w:val="22"/>
        </w:rPr>
      </w:pPr>
      <w:r w:rsidRPr="00120E3A">
        <w:rPr>
          <w:rFonts w:ascii="Arial" w:hAnsi="Arial" w:cs="Arial"/>
          <w:sz w:val="22"/>
          <w:szCs w:val="22"/>
        </w:rPr>
        <w:t>RACI Matrix is a project management methodology in which stakeholder’s roles and responsibilities are defined regarding who (Responsible), who has the final say (Accountable),</w:t>
      </w:r>
      <w:r w:rsidRPr="00120E3A">
        <w:rPr>
          <w:rFonts w:ascii="Arial" w:hAnsi="Arial" w:cs="Arial"/>
          <w:sz w:val="22"/>
          <w:szCs w:val="22"/>
        </w:rPr>
        <w:t> </w:t>
      </w:r>
      <w:r w:rsidRPr="00120E3A">
        <w:rPr>
          <w:rFonts w:ascii="Arial" w:hAnsi="Arial" w:cs="Arial"/>
          <w:sz w:val="22"/>
          <w:szCs w:val="22"/>
        </w:rPr>
        <w:t>whom to consult, and whom to inform (Project Management Institute, 2021). The RACI Matrix is essential for CMR Surgical when</w:t>
      </w:r>
      <w:r w:rsidRPr="00120E3A">
        <w:rPr>
          <w:rFonts w:ascii="Arial" w:hAnsi="Arial" w:cs="Arial"/>
          <w:sz w:val="22"/>
          <w:szCs w:val="22"/>
        </w:rPr>
        <w:t> </w:t>
      </w:r>
      <w:r w:rsidRPr="00120E3A">
        <w:rPr>
          <w:rFonts w:ascii="Arial" w:hAnsi="Arial" w:cs="Arial"/>
          <w:sz w:val="22"/>
          <w:szCs w:val="22"/>
        </w:rPr>
        <w:t>it comes to orchestrating cross-functional teams working on the development of robotic surgery and for defining clarity in tasks and communication between teams. It facilitates the process of</w:t>
      </w:r>
      <w:r w:rsidRPr="00120E3A">
        <w:rPr>
          <w:rFonts w:ascii="Arial" w:hAnsi="Arial" w:cs="Arial"/>
          <w:sz w:val="22"/>
          <w:szCs w:val="22"/>
        </w:rPr>
        <w:t> </w:t>
      </w:r>
      <w:r w:rsidRPr="00120E3A">
        <w:rPr>
          <w:rFonts w:ascii="Arial" w:hAnsi="Arial" w:cs="Arial"/>
          <w:sz w:val="22"/>
          <w:szCs w:val="22"/>
        </w:rPr>
        <w:t>decision-making, minimizes position uncertainty and improves efficiency in system design, manufacturing and operation (Kerzner: 2019). By using the RACI model,</w:t>
      </w:r>
      <w:r w:rsidRPr="00120E3A">
        <w:rPr>
          <w:rFonts w:ascii="Arial" w:hAnsi="Arial" w:cs="Arial"/>
          <w:sz w:val="22"/>
          <w:szCs w:val="22"/>
        </w:rPr>
        <w:t> </w:t>
      </w:r>
      <w:r w:rsidRPr="00120E3A">
        <w:rPr>
          <w:rFonts w:ascii="Arial" w:hAnsi="Arial" w:cs="Arial"/>
          <w:sz w:val="22"/>
          <w:szCs w:val="22"/>
        </w:rPr>
        <w:t>CMR Surgical can ensure that there is effective collaboration between engineers, clinicians and managers with a focus on project success and increased innovation in healthcare robotics</w:t>
      </w:r>
      <w:r>
        <w:rPr>
          <w:rFonts w:ascii="Arial" w:hAnsi="Arial" w:cs="Arial"/>
          <w:sz w:val="22"/>
          <w:szCs w:val="22"/>
        </w:rPr>
        <w:t>.</w:t>
      </w:r>
    </w:p>
    <w:p w:rsidR="00120E3A" w:rsidRDefault="00120E3A" w14:paraId="3DCFB0F2" w14:textId="77777777">
      <w:pPr>
        <w:spacing w:before="100" w:beforeAutospacing="1" w:after="100" w:afterAutospacing="1"/>
        <w:rPr>
          <w:rFonts w:ascii="Arial" w:hAnsi="Arial" w:cs="Arial"/>
          <w:b/>
          <w:bCs/>
          <w:sz w:val="22"/>
          <w:szCs w:val="22"/>
        </w:rPr>
      </w:pPr>
    </w:p>
    <w:p w:rsidR="00F1682A" w:rsidRDefault="0093019C" w14:paraId="0713E0EB" w14:textId="77777777">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0BE80AC7" wp14:editId="3DEFDEE3">
            <wp:extent cx="5327650" cy="2327379"/>
            <wp:effectExtent l="0" t="0" r="6350" b="0"/>
            <wp:docPr id="526953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53496" name="Picture 1"/>
                    <pic:cNvPicPr>
                      <a:picLocks noChangeAspect="1"/>
                    </pic:cNvPicPr>
                  </pic:nvPicPr>
                  <pic:blipFill>
                    <a:blip r:embed="rId13"/>
                    <a:stretch>
                      <a:fillRect/>
                    </a:stretch>
                  </pic:blipFill>
                  <pic:spPr>
                    <a:xfrm>
                      <a:off x="0" y="0"/>
                      <a:ext cx="5332311" cy="2329415"/>
                    </a:xfrm>
                    <a:prstGeom prst="rect">
                      <a:avLst/>
                    </a:prstGeom>
                  </pic:spPr>
                </pic:pic>
              </a:graphicData>
            </a:graphic>
          </wp:inline>
        </w:drawing>
      </w:r>
    </w:p>
    <w:p w:rsidR="00F1682A" w:rsidRDefault="0093019C" w14:paraId="20A850FE"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Figure 4: RACI Matrix</w:t>
      </w:r>
    </w:p>
    <w:p w:rsidR="00F1682A" w:rsidRDefault="0093019C" w14:paraId="7437EDE5" w14:textId="77777777">
      <w:pPr>
        <w:spacing w:before="100" w:beforeAutospacing="1" w:after="100" w:afterAutospacing="1"/>
        <w:jc w:val="center"/>
        <w:rPr>
          <w:rFonts w:ascii="Arial" w:hAnsi="Arial" w:cs="Arial"/>
          <w:sz w:val="22"/>
          <w:szCs w:val="22"/>
        </w:rPr>
      </w:pPr>
      <w:r>
        <w:rPr>
          <w:rFonts w:ascii="Arial" w:hAnsi="Arial" w:cs="Arial"/>
          <w:sz w:val="22"/>
          <w:szCs w:val="22"/>
        </w:rPr>
        <w:t>(Source: Learner)</w:t>
      </w:r>
    </w:p>
    <w:p w:rsidR="00F1682A" w:rsidRDefault="0093019C" w14:paraId="20AE714A" w14:textId="77777777">
      <w:pPr>
        <w:spacing w:before="100" w:beforeAutospacing="1" w:after="100" w:afterAutospacing="1"/>
        <w:rPr>
          <w:rFonts w:ascii="Arial" w:hAnsi="Arial" w:cs="Arial"/>
          <w:sz w:val="22"/>
          <w:szCs w:val="22"/>
        </w:rPr>
      </w:pPr>
      <w:r>
        <w:rPr>
          <w:rFonts w:ascii="Arial" w:hAnsi="Arial" w:cs="Arial"/>
          <w:sz w:val="22"/>
          <w:szCs w:val="22"/>
        </w:rPr>
        <w:t xml:space="preserve">According to the RACI Matrix, it is evident that the project manager holds the responsibility of carrying out the project in coordination with the team members. Ashcroft (2017) argued for the necessity of the stakeholders being coordinated and synchronised for the effective carrying out of the project and meeting the objectives. For example, the investors do need to be informed of the various resources being utilised and even how the upcoming project can bring in a good return on investment. In the opinion </w:t>
      </w:r>
      <w:r>
        <w:rPr>
          <w:rFonts w:ascii="Arial" w:hAnsi="Arial" w:cs="Arial"/>
          <w:sz w:val="22"/>
          <w:szCs w:val="22"/>
        </w:rPr>
        <w:t xml:space="preserve">of Gai </w:t>
      </w:r>
      <w:r>
        <w:rPr>
          <w:rFonts w:ascii="Arial" w:hAnsi="Arial" w:cs="Arial"/>
          <w:i/>
          <w:iCs/>
          <w:sz w:val="22"/>
          <w:szCs w:val="22"/>
        </w:rPr>
        <w:t>et al</w:t>
      </w:r>
      <w:r>
        <w:rPr>
          <w:rFonts w:ascii="Arial" w:hAnsi="Arial" w:cs="Arial"/>
          <w:sz w:val="22"/>
          <w:szCs w:val="22"/>
        </w:rPr>
        <w:t>. (2025), the funding of projects is highly dependent on the investors, due to which different sources are looked up to, and the project manager seeks the best opportunity for the project to be carried out with financial stability. Additionally, through the interests of the investors, the struggle for finances can be overcome, which acts as a major constraint in many projects. On the other hand, the customers who are the buyers of the services do need to be informed of how the new product can be</w:t>
      </w:r>
      <w:r>
        <w:rPr>
          <w:rFonts w:ascii="Arial" w:hAnsi="Arial" w:cs="Arial"/>
          <w:sz w:val="22"/>
          <w:szCs w:val="22"/>
        </w:rPr>
        <w:t xml:space="preserve">nefit them and secure trust with the organisation. From the study of Syamil </w:t>
      </w:r>
      <w:r>
        <w:rPr>
          <w:rFonts w:ascii="Arial" w:hAnsi="Arial" w:cs="Arial"/>
          <w:i/>
          <w:iCs/>
          <w:sz w:val="22"/>
          <w:szCs w:val="22"/>
        </w:rPr>
        <w:t>et al. (</w:t>
      </w:r>
      <w:r>
        <w:rPr>
          <w:rFonts w:ascii="Arial" w:hAnsi="Arial" w:cs="Arial"/>
          <w:sz w:val="22"/>
          <w:szCs w:val="22"/>
        </w:rPr>
        <w:t xml:space="preserve">2021), customers do serve as the focal point for whom the products are being launched, which requires them to be consulted and even informed, which is the responsibility of the project manager. </w:t>
      </w:r>
    </w:p>
    <w:p w:rsidRPr="00974EB0" w:rsidR="00F1682A" w:rsidP="00974EB0" w:rsidRDefault="0093019C" w14:paraId="5F3CEA8A" w14:textId="77777777">
      <w:pPr>
        <w:pStyle w:val="Titlu5"/>
        <w:rPr>
          <w:rFonts w:ascii="Arial" w:hAnsi="Arial" w:cs="Arial"/>
          <w:sz w:val="36"/>
          <w:szCs w:val="36"/>
        </w:rPr>
      </w:pPr>
      <w:r w:rsidRPr="00974EB0">
        <w:rPr>
          <w:rFonts w:ascii="Arial" w:hAnsi="Arial" w:cs="Arial"/>
          <w:sz w:val="36"/>
          <w:szCs w:val="36"/>
        </w:rPr>
        <w:t>Engagement and Communication Plan</w:t>
      </w:r>
    </w:p>
    <w:tbl>
      <w:tblPr>
        <w:tblStyle w:val="Grilmedie1-Accentuare5"/>
        <w:tblW w:w="9062" w:type="dxa"/>
        <w:tblLayout w:type="fixed"/>
        <w:tblLook w:val="04A0" w:firstRow="1" w:lastRow="0" w:firstColumn="1" w:lastColumn="0" w:noHBand="0" w:noVBand="1"/>
      </w:tblPr>
      <w:tblGrid>
        <w:gridCol w:w="1650"/>
        <w:gridCol w:w="1410"/>
        <w:gridCol w:w="1440"/>
        <w:gridCol w:w="1635"/>
        <w:gridCol w:w="1170"/>
        <w:gridCol w:w="1757"/>
      </w:tblGrid>
      <w:tr w:rsidR="00F1682A" w:rsidTr="00F1682A" w14:paraId="6A102844" w14:textId="77777777">
        <w:trPr>
          <w:cnfStyle w:val="100000000000" w:firstRow="1" w:lastRow="0" w:firstColumn="0" w:lastColumn="0" w:oddVBand="0" w:evenVBand="0" w:oddHBand="0"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165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3EFE94FD" w14:textId="77777777">
            <w:pPr>
              <w:spacing w:before="100" w:beforeAutospacing="1" w:after="100" w:afterAutospacing="1"/>
              <w:jc w:val="center"/>
              <w:rPr>
                <w:rFonts w:ascii="Arial" w:hAnsi="Arial" w:cs="Arial"/>
                <w:b w:val="0"/>
                <w:sz w:val="22"/>
                <w:szCs w:val="22"/>
              </w:rPr>
            </w:pPr>
            <w:r>
              <w:rPr>
                <w:rFonts w:ascii="Arial" w:hAnsi="Arial" w:cs="Arial"/>
                <w:sz w:val="22"/>
                <w:szCs w:val="22"/>
              </w:rPr>
              <w:t>Description</w:t>
            </w:r>
          </w:p>
        </w:tc>
        <w:tc>
          <w:tcPr>
            <w:tcW w:w="141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47A6741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Pr>
                <w:rFonts w:ascii="Arial" w:hAnsi="Arial" w:cs="Arial"/>
                <w:sz w:val="22"/>
                <w:szCs w:val="22"/>
              </w:rPr>
              <w:t>Frequency</w:t>
            </w:r>
          </w:p>
        </w:tc>
        <w:tc>
          <w:tcPr>
            <w:tcW w:w="144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57C1844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Pr>
                <w:rFonts w:ascii="Arial" w:hAnsi="Arial" w:cs="Arial"/>
                <w:sz w:val="22"/>
                <w:szCs w:val="22"/>
              </w:rPr>
              <w:t>Method</w:t>
            </w:r>
          </w:p>
        </w:tc>
        <w:tc>
          <w:tcPr>
            <w:tcW w:w="1635"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35FD8345"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Pr>
                <w:rFonts w:ascii="Arial" w:hAnsi="Arial" w:cs="Arial"/>
                <w:sz w:val="22"/>
                <w:szCs w:val="22"/>
              </w:rPr>
              <w:t>Audience</w:t>
            </w:r>
          </w:p>
        </w:tc>
        <w:tc>
          <w:tcPr>
            <w:tcW w:w="117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59A1CD3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Pr>
                <w:rFonts w:ascii="Arial" w:hAnsi="Arial" w:cs="Arial"/>
                <w:sz w:val="22"/>
                <w:szCs w:val="22"/>
              </w:rPr>
              <w:t>Owner</w:t>
            </w:r>
          </w:p>
        </w:tc>
        <w:tc>
          <w:tcPr>
            <w:tcW w:w="1757"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2F4AF7C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Pr>
                <w:rFonts w:ascii="Arial" w:hAnsi="Arial" w:cs="Arial"/>
                <w:sz w:val="22"/>
                <w:szCs w:val="22"/>
              </w:rPr>
              <w:t>Benefit</w:t>
            </w:r>
          </w:p>
        </w:tc>
      </w:tr>
      <w:tr w:rsidR="00F1682A" w:rsidTr="00F1682A" w14:paraId="267B2F36" w14:textId="77777777">
        <w:trPr>
          <w:trHeight w:val="560"/>
        </w:trPr>
        <w:tc>
          <w:tcPr>
            <w:cnfStyle w:val="001000000000" w:firstRow="0" w:lastRow="0" w:firstColumn="1" w:lastColumn="0" w:oddVBand="0" w:evenVBand="0" w:oddHBand="0" w:evenHBand="0" w:firstRowFirstColumn="0" w:firstRowLastColumn="0" w:lastRowFirstColumn="0" w:lastRowLastColumn="0"/>
            <w:tcW w:w="165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8E5A188" w14:textId="77777777">
            <w:pPr>
              <w:spacing w:before="100" w:beforeAutospacing="1" w:after="100" w:afterAutospacing="1"/>
              <w:rPr>
                <w:rFonts w:ascii="Arial" w:hAnsi="Arial" w:cs="Arial"/>
                <w:bCs w:val="0"/>
                <w:sz w:val="22"/>
                <w:szCs w:val="22"/>
              </w:rPr>
            </w:pPr>
            <w:r>
              <w:rPr>
                <w:rFonts w:ascii="Arial" w:hAnsi="Arial" w:cs="Arial"/>
                <w:sz w:val="22"/>
                <w:szCs w:val="22"/>
              </w:rPr>
              <w:t xml:space="preserve">Project description </w:t>
            </w:r>
          </w:p>
        </w:tc>
        <w:tc>
          <w:tcPr>
            <w:tcW w:w="141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6C72964D"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Every 1 week</w:t>
            </w:r>
          </w:p>
        </w:tc>
        <w:tc>
          <w:tcPr>
            <w:tcW w:w="144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2FCF526"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Mails, Oral Conversation, meetings</w:t>
            </w:r>
          </w:p>
        </w:tc>
        <w:tc>
          <w:tcPr>
            <w:tcW w:w="1635"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3D5558F2"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Customers, Business Partners, investors</w:t>
            </w:r>
          </w:p>
        </w:tc>
        <w:tc>
          <w:tcPr>
            <w:tcW w:w="117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E4200DB"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Project manager</w:t>
            </w:r>
          </w:p>
        </w:tc>
        <w:tc>
          <w:tcPr>
            <w:tcW w:w="1757"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152779DF"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To be able to communicate the details of the project (new wearable device)</w:t>
            </w:r>
          </w:p>
        </w:tc>
      </w:tr>
      <w:tr w:rsidR="00F1682A" w:rsidTr="00F1682A" w14:paraId="2B7AB11A" w14:textId="77777777">
        <w:trPr>
          <w:trHeight w:val="560"/>
        </w:trPr>
        <w:tc>
          <w:tcPr>
            <w:cnfStyle w:val="001000000000" w:firstRow="0" w:lastRow="0" w:firstColumn="1" w:lastColumn="0" w:oddVBand="0" w:evenVBand="0" w:oddHBand="0" w:evenHBand="0" w:firstRowFirstColumn="0" w:firstRowLastColumn="0" w:lastRowFirstColumn="0" w:lastRowLastColumn="0"/>
            <w:tcW w:w="165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5ECF043B" w14:textId="77777777">
            <w:pPr>
              <w:spacing w:before="100" w:beforeAutospacing="1" w:after="100" w:afterAutospacing="1"/>
              <w:rPr>
                <w:rFonts w:ascii="Arial" w:hAnsi="Arial" w:cs="Arial"/>
                <w:bCs w:val="0"/>
                <w:sz w:val="22"/>
                <w:szCs w:val="22"/>
              </w:rPr>
            </w:pPr>
            <w:r>
              <w:rPr>
                <w:rFonts w:ascii="Arial" w:hAnsi="Arial" w:cs="Arial"/>
                <w:sz w:val="22"/>
                <w:szCs w:val="22"/>
              </w:rPr>
              <w:t xml:space="preserve">Share the functional units and design thinking </w:t>
            </w:r>
          </w:p>
        </w:tc>
        <w:tc>
          <w:tcPr>
            <w:tcW w:w="141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46E22E90"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Every 1 week</w:t>
            </w:r>
          </w:p>
        </w:tc>
        <w:tc>
          <w:tcPr>
            <w:tcW w:w="144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6E213010"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 xml:space="preserve">Mails, Presentation </w:t>
            </w:r>
          </w:p>
        </w:tc>
        <w:tc>
          <w:tcPr>
            <w:tcW w:w="1635"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A3DC948"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Business Partners, investors, Surgeons, Hospitals</w:t>
            </w:r>
          </w:p>
        </w:tc>
        <w:tc>
          <w:tcPr>
            <w:tcW w:w="117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7F5F7F2F"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 xml:space="preserve">Project Manager, </w:t>
            </w:r>
            <w:r>
              <w:rPr>
                <w:rFonts w:ascii="Arial" w:hAnsi="Arial" w:cs="Arial"/>
                <w:bCs/>
                <w:sz w:val="22"/>
                <w:szCs w:val="22"/>
              </w:rPr>
              <w:t>Marketing Manager</w:t>
            </w:r>
          </w:p>
        </w:tc>
        <w:tc>
          <w:tcPr>
            <w:tcW w:w="1757"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D9F187A"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 xml:space="preserve">To share the new device functions and units involved in it </w:t>
            </w:r>
          </w:p>
        </w:tc>
      </w:tr>
      <w:tr w:rsidR="00F1682A" w:rsidTr="00F1682A" w14:paraId="4C488FE8" w14:textId="77777777">
        <w:trPr>
          <w:trHeight w:val="560"/>
        </w:trPr>
        <w:tc>
          <w:tcPr>
            <w:cnfStyle w:val="001000000000" w:firstRow="0" w:lastRow="0" w:firstColumn="1" w:lastColumn="0" w:oddVBand="0" w:evenVBand="0" w:oddHBand="0" w:evenHBand="0" w:firstRowFirstColumn="0" w:firstRowLastColumn="0" w:lastRowFirstColumn="0" w:lastRowLastColumn="0"/>
            <w:tcW w:w="165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1CE8EF70" w14:textId="77777777">
            <w:pPr>
              <w:spacing w:before="100" w:beforeAutospacing="1" w:after="100" w:afterAutospacing="1"/>
              <w:rPr>
                <w:rFonts w:ascii="Arial" w:hAnsi="Arial" w:cs="Arial"/>
                <w:bCs w:val="0"/>
                <w:sz w:val="22"/>
                <w:szCs w:val="22"/>
              </w:rPr>
            </w:pPr>
            <w:r>
              <w:rPr>
                <w:rFonts w:ascii="Arial" w:hAnsi="Arial" w:cs="Arial"/>
                <w:sz w:val="22"/>
                <w:szCs w:val="22"/>
              </w:rPr>
              <w:t>Plan of the promotional tactics</w:t>
            </w:r>
          </w:p>
        </w:tc>
        <w:tc>
          <w:tcPr>
            <w:tcW w:w="141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2F366FFC"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Within 2 days of the week</w:t>
            </w:r>
          </w:p>
        </w:tc>
        <w:tc>
          <w:tcPr>
            <w:tcW w:w="144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5672D749"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Presentations, Mails, oral meetings</w:t>
            </w:r>
          </w:p>
        </w:tc>
        <w:tc>
          <w:tcPr>
            <w:tcW w:w="1635"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EB9E2F7"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Business Partners, investors, Surgeons, Hospitals, Customers</w:t>
            </w:r>
          </w:p>
        </w:tc>
        <w:tc>
          <w:tcPr>
            <w:tcW w:w="117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0C44D03C"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Marketing Manager</w:t>
            </w:r>
          </w:p>
        </w:tc>
        <w:tc>
          <w:tcPr>
            <w:tcW w:w="1757"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46F5519B"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To discuss the promotional media to be used and their effectiveness</w:t>
            </w:r>
          </w:p>
        </w:tc>
      </w:tr>
      <w:tr w:rsidR="00F1682A" w:rsidTr="00F1682A" w14:paraId="67D0713E" w14:textId="77777777">
        <w:trPr>
          <w:trHeight w:val="560"/>
        </w:trPr>
        <w:tc>
          <w:tcPr>
            <w:cnfStyle w:val="001000000000" w:firstRow="0" w:lastRow="0" w:firstColumn="1" w:lastColumn="0" w:oddVBand="0" w:evenVBand="0" w:oddHBand="0" w:evenHBand="0" w:firstRowFirstColumn="0" w:firstRowLastColumn="0" w:lastRowFirstColumn="0" w:lastRowLastColumn="0"/>
            <w:tcW w:w="165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16C5A701" w14:textId="77777777">
            <w:pPr>
              <w:spacing w:before="100" w:beforeAutospacing="1" w:after="100" w:afterAutospacing="1"/>
              <w:rPr>
                <w:rFonts w:ascii="Arial" w:hAnsi="Arial" w:cs="Arial"/>
                <w:bCs w:val="0"/>
                <w:sz w:val="22"/>
                <w:szCs w:val="22"/>
              </w:rPr>
            </w:pPr>
            <w:r>
              <w:rPr>
                <w:rFonts w:ascii="Arial" w:hAnsi="Arial" w:cs="Arial"/>
                <w:sz w:val="22"/>
                <w:szCs w:val="22"/>
              </w:rPr>
              <w:t>Assessment of the Risks</w:t>
            </w:r>
          </w:p>
        </w:tc>
        <w:tc>
          <w:tcPr>
            <w:tcW w:w="141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37A47E2C"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Within 2 2-day interval every week</w:t>
            </w:r>
          </w:p>
        </w:tc>
        <w:tc>
          <w:tcPr>
            <w:tcW w:w="144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3C89294A"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Presentations, emails, meetings, Zoom Calls</w:t>
            </w:r>
          </w:p>
        </w:tc>
        <w:tc>
          <w:tcPr>
            <w:tcW w:w="1635"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7501C469"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Business Partners and Investors</w:t>
            </w:r>
          </w:p>
        </w:tc>
        <w:tc>
          <w:tcPr>
            <w:tcW w:w="1170"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5FD8E9C0"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Project Manager</w:t>
            </w:r>
          </w:p>
        </w:tc>
        <w:tc>
          <w:tcPr>
            <w:tcW w:w="1757" w:type="dxa"/>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tcBorders>
          </w:tcPr>
          <w:p w:rsidR="00F1682A" w:rsidRDefault="0093019C" w14:paraId="1F8C6376" w14:textId="7777777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bCs/>
                <w:sz w:val="22"/>
                <w:szCs w:val="22"/>
              </w:rPr>
            </w:pPr>
            <w:r>
              <w:rPr>
                <w:rFonts w:ascii="Arial" w:hAnsi="Arial" w:cs="Arial"/>
                <w:bCs/>
                <w:sz w:val="22"/>
                <w:szCs w:val="22"/>
              </w:rPr>
              <w:t xml:space="preserve">To communicate the risks and the </w:t>
            </w:r>
            <w:r>
              <w:rPr>
                <w:rFonts w:ascii="Arial" w:hAnsi="Arial" w:cs="Arial"/>
                <w:bCs/>
                <w:sz w:val="22"/>
                <w:szCs w:val="22"/>
              </w:rPr>
              <w:t>contingency plans</w:t>
            </w:r>
          </w:p>
        </w:tc>
      </w:tr>
    </w:tbl>
    <w:p w:rsidR="00F1682A" w:rsidRDefault="0093019C" w14:paraId="42954D63"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Table 4: Communication and engagement plan for stakeholders</w:t>
      </w:r>
    </w:p>
    <w:p w:rsidR="00F1682A" w:rsidRDefault="0093019C" w14:paraId="74C69E16" w14:textId="77777777">
      <w:pPr>
        <w:spacing w:before="100" w:beforeAutospacing="1" w:after="100" w:afterAutospacing="1"/>
        <w:jc w:val="center"/>
        <w:rPr>
          <w:rFonts w:ascii="Arial" w:hAnsi="Arial" w:cs="Arial"/>
          <w:sz w:val="22"/>
          <w:szCs w:val="22"/>
        </w:rPr>
      </w:pPr>
      <w:r>
        <w:rPr>
          <w:rFonts w:ascii="Arial" w:hAnsi="Arial" w:cs="Arial"/>
          <w:sz w:val="22"/>
          <w:szCs w:val="22"/>
        </w:rPr>
        <w:t>(Source: Learner)</w:t>
      </w:r>
    </w:p>
    <w:p w:rsidR="00F1682A" w:rsidRDefault="0093019C" w14:paraId="02ABAB01" w14:textId="77777777">
      <w:pPr>
        <w:spacing w:before="100" w:beforeAutospacing="1" w:after="100" w:afterAutospacing="1"/>
        <w:rPr>
          <w:rFonts w:ascii="Arial" w:hAnsi="Arial" w:cs="Arial"/>
          <w:sz w:val="22"/>
          <w:szCs w:val="22"/>
        </w:rPr>
      </w:pPr>
      <w:r>
        <w:rPr>
          <w:rFonts w:ascii="Arial" w:hAnsi="Arial" w:cs="Arial"/>
          <w:sz w:val="22"/>
          <w:szCs w:val="22"/>
        </w:rPr>
        <w:t xml:space="preserve">The study of Christopher </w:t>
      </w:r>
      <w:r>
        <w:rPr>
          <w:rFonts w:ascii="Arial" w:hAnsi="Arial" w:cs="Arial"/>
          <w:i/>
          <w:iCs/>
          <w:sz w:val="22"/>
          <w:szCs w:val="22"/>
        </w:rPr>
        <w:t>et al</w:t>
      </w:r>
      <w:r>
        <w:rPr>
          <w:rFonts w:ascii="Arial" w:hAnsi="Arial" w:cs="Arial"/>
          <w:sz w:val="22"/>
          <w:szCs w:val="22"/>
        </w:rPr>
        <w:t>. (2013) argued that effective communication, being effectively carried out, helps improve the relationship between the stakeholders to be improved. Effectively, with the stakeholders, a vital part comes in the process of the decision-making that is strategic, with high engagement and a right communication matrix being executed. In the context of engaging with the members, meetings through digital channels and the use of face-to-face conversation, the issues can be openly discussed. The communication matrix</w:t>
      </w:r>
      <w:r>
        <w:rPr>
          <w:rFonts w:ascii="Arial" w:hAnsi="Arial" w:cs="Arial"/>
          <w:sz w:val="22"/>
          <w:szCs w:val="22"/>
        </w:rPr>
        <w:t xml:space="preserve"> thus helps in identifying the channels to be used for effective discussion to be done and to have an informed decision-making process. According to Ellis </w:t>
      </w:r>
      <w:r>
        <w:rPr>
          <w:rFonts w:ascii="Arial" w:hAnsi="Arial" w:cs="Arial"/>
          <w:i/>
          <w:iCs/>
          <w:sz w:val="22"/>
          <w:szCs w:val="22"/>
        </w:rPr>
        <w:t>et al.</w:t>
      </w:r>
      <w:r>
        <w:rPr>
          <w:rFonts w:ascii="Arial" w:hAnsi="Arial" w:cs="Arial"/>
          <w:sz w:val="22"/>
          <w:szCs w:val="22"/>
        </w:rPr>
        <w:t xml:space="preserve"> (1991), the significance of communication rightly shows the way clarity and governance are fostered in project works. </w:t>
      </w:r>
    </w:p>
    <w:p w:rsidRPr="00974EB0" w:rsidR="00F1682A" w:rsidP="00974EB0" w:rsidRDefault="0093019C" w14:paraId="0ECC0654" w14:textId="77777777">
      <w:pPr>
        <w:pStyle w:val="Titlu5"/>
        <w:rPr>
          <w:rFonts w:ascii="Arial" w:hAnsi="Arial" w:cs="Arial"/>
          <w:sz w:val="36"/>
          <w:szCs w:val="36"/>
        </w:rPr>
      </w:pPr>
      <w:bookmarkStart w:name="_Toc210409364" w:id="12"/>
      <w:r w:rsidRPr="00974EB0">
        <w:rPr>
          <w:rFonts w:ascii="Arial" w:hAnsi="Arial" w:cs="Arial"/>
          <w:sz w:val="36"/>
          <w:szCs w:val="36"/>
        </w:rPr>
        <w:t>Critical evaluation of the engagement of the stakeholders and managing the conflicts</w:t>
      </w:r>
      <w:bookmarkEnd w:id="12"/>
    </w:p>
    <w:p w:rsidR="00F1682A" w:rsidRDefault="0093019C" w14:paraId="441B8A80" w14:textId="6CEB2049">
      <w:pPr>
        <w:spacing w:before="100" w:beforeAutospacing="1" w:after="100" w:afterAutospacing="1"/>
        <w:rPr>
          <w:rFonts w:ascii="Arial" w:hAnsi="Arial" w:cs="Arial"/>
          <w:sz w:val="22"/>
          <w:szCs w:val="22"/>
        </w:rPr>
      </w:pPr>
      <w:r>
        <w:rPr>
          <w:rFonts w:ascii="Arial" w:hAnsi="Arial" w:cs="Arial"/>
          <w:sz w:val="22"/>
          <w:szCs w:val="22"/>
        </w:rPr>
        <w:t>With the idea of launching a new wearable health device, it is critical for the management of the stakeholders possessing diverse needs and diverse opinions. According to Prebanić and Vukomanović (2023), management of stakeholders is complex, with failures often being reported due to different issues like lack of communication, ineffective planning or other problems. For this new project, both internal and external stakeholders have a significant role to perform, for which, as a project manager, the task of</w:t>
      </w:r>
      <w:r>
        <w:rPr>
          <w:rFonts w:ascii="Arial" w:hAnsi="Arial" w:cs="Arial"/>
          <w:sz w:val="22"/>
          <w:szCs w:val="22"/>
        </w:rPr>
        <w:t xml:space="preserve"> engagement and managing conflict becomes crucial too. </w:t>
      </w:r>
      <w:r w:rsidR="009A647B">
        <w:rPr>
          <w:rFonts w:ascii="Arial" w:hAnsi="Arial" w:cs="Arial"/>
          <w:sz w:val="22"/>
          <w:szCs w:val="22"/>
        </w:rPr>
        <w:t>Using</w:t>
      </w:r>
      <w:r>
        <w:rPr>
          <w:rFonts w:ascii="Arial" w:hAnsi="Arial" w:cs="Arial"/>
          <w:sz w:val="22"/>
          <w:szCs w:val="22"/>
        </w:rPr>
        <w:t xml:space="preserve"> the 4C’s Model, the engagement and the management of the conflicts become effective and precise. </w:t>
      </w:r>
    </w:p>
    <w:tbl>
      <w:tblPr>
        <w:tblStyle w:val="Tabelgril"/>
        <w:tblW w:w="0" w:type="auto"/>
        <w:tblLook w:val="04A0" w:firstRow="1" w:lastRow="0" w:firstColumn="1" w:lastColumn="0" w:noHBand="0" w:noVBand="1"/>
      </w:tblPr>
      <w:tblGrid>
        <w:gridCol w:w="1771"/>
        <w:gridCol w:w="1979"/>
        <w:gridCol w:w="1796"/>
        <w:gridCol w:w="1836"/>
        <w:gridCol w:w="1634"/>
      </w:tblGrid>
      <w:tr w:rsidR="00F1682A" w14:paraId="272D95FB" w14:textId="77777777">
        <w:tc>
          <w:tcPr>
            <w:tcW w:w="1864" w:type="dxa"/>
            <w:shd w:val="clear" w:color="auto" w:fill="BDD6EE" w:themeFill="accent5" w:themeFillTint="66"/>
          </w:tcPr>
          <w:p w:rsidR="00F1682A" w:rsidRDefault="0093019C" w14:paraId="6F9D3401" w14:textId="77777777">
            <w:pPr>
              <w:spacing w:before="100" w:beforeAutospacing="1" w:after="100" w:afterAutospacing="1"/>
              <w:rPr>
                <w:rFonts w:ascii="Arial" w:hAnsi="Arial" w:cs="Arial"/>
                <w:b/>
                <w:bCs/>
                <w:sz w:val="22"/>
                <w:szCs w:val="22"/>
              </w:rPr>
            </w:pPr>
            <w:r>
              <w:rPr>
                <w:rFonts w:ascii="Arial" w:hAnsi="Arial" w:cs="Arial"/>
                <w:b/>
                <w:bCs/>
                <w:sz w:val="22"/>
                <w:szCs w:val="22"/>
              </w:rPr>
              <w:t>List of stakeholders (external and internal)</w:t>
            </w:r>
          </w:p>
        </w:tc>
        <w:tc>
          <w:tcPr>
            <w:tcW w:w="2026" w:type="dxa"/>
            <w:shd w:val="clear" w:color="auto" w:fill="BDD6EE" w:themeFill="accent5" w:themeFillTint="66"/>
          </w:tcPr>
          <w:p w:rsidR="00F1682A" w:rsidRDefault="0093019C" w14:paraId="7CE0EC97" w14:textId="77777777">
            <w:pPr>
              <w:spacing w:before="100" w:beforeAutospacing="1" w:after="100" w:afterAutospacing="1"/>
              <w:rPr>
                <w:rFonts w:ascii="Arial" w:hAnsi="Arial" w:cs="Arial"/>
                <w:b/>
                <w:bCs/>
                <w:sz w:val="22"/>
                <w:szCs w:val="22"/>
              </w:rPr>
            </w:pPr>
            <w:r>
              <w:rPr>
                <w:rFonts w:ascii="Arial" w:hAnsi="Arial" w:cs="Arial"/>
                <w:b/>
                <w:bCs/>
                <w:sz w:val="22"/>
                <w:szCs w:val="22"/>
              </w:rPr>
              <w:t>Communication</w:t>
            </w:r>
          </w:p>
        </w:tc>
        <w:tc>
          <w:tcPr>
            <w:tcW w:w="1896" w:type="dxa"/>
            <w:shd w:val="clear" w:color="auto" w:fill="BDD6EE" w:themeFill="accent5" w:themeFillTint="66"/>
          </w:tcPr>
          <w:p w:rsidR="00F1682A" w:rsidRDefault="0093019C" w14:paraId="5BE16227" w14:textId="77777777">
            <w:pPr>
              <w:spacing w:before="100" w:beforeAutospacing="1" w:after="100" w:afterAutospacing="1"/>
              <w:rPr>
                <w:rFonts w:ascii="Arial" w:hAnsi="Arial" w:cs="Arial"/>
                <w:b/>
                <w:bCs/>
                <w:sz w:val="22"/>
                <w:szCs w:val="22"/>
              </w:rPr>
            </w:pPr>
            <w:r>
              <w:rPr>
                <w:rFonts w:ascii="Arial" w:hAnsi="Arial" w:cs="Arial"/>
                <w:b/>
                <w:bCs/>
                <w:sz w:val="22"/>
                <w:szCs w:val="22"/>
              </w:rPr>
              <w:t>Coordination</w:t>
            </w:r>
          </w:p>
        </w:tc>
        <w:tc>
          <w:tcPr>
            <w:tcW w:w="1920" w:type="dxa"/>
            <w:shd w:val="clear" w:color="auto" w:fill="BDD6EE" w:themeFill="accent5" w:themeFillTint="66"/>
          </w:tcPr>
          <w:p w:rsidR="00F1682A" w:rsidRDefault="0093019C" w14:paraId="707F5166" w14:textId="77777777">
            <w:pPr>
              <w:spacing w:before="100" w:beforeAutospacing="1" w:after="100" w:afterAutospacing="1"/>
              <w:rPr>
                <w:rFonts w:ascii="Arial" w:hAnsi="Arial" w:cs="Arial"/>
                <w:b/>
                <w:bCs/>
                <w:sz w:val="22"/>
                <w:szCs w:val="22"/>
              </w:rPr>
            </w:pPr>
            <w:r>
              <w:rPr>
                <w:rFonts w:ascii="Arial" w:hAnsi="Arial" w:cs="Arial"/>
                <w:b/>
                <w:bCs/>
                <w:sz w:val="22"/>
                <w:szCs w:val="22"/>
              </w:rPr>
              <w:t>Cooperation</w:t>
            </w:r>
          </w:p>
          <w:p w:rsidR="00F1682A" w:rsidRDefault="00F1682A" w14:paraId="5F62B116" w14:textId="77777777">
            <w:pPr>
              <w:spacing w:before="100" w:beforeAutospacing="1" w:after="100" w:afterAutospacing="1"/>
              <w:rPr>
                <w:rFonts w:ascii="Arial" w:hAnsi="Arial" w:cs="Arial"/>
                <w:b/>
                <w:bCs/>
                <w:sz w:val="22"/>
                <w:szCs w:val="22"/>
              </w:rPr>
            </w:pPr>
          </w:p>
        </w:tc>
        <w:tc>
          <w:tcPr>
            <w:tcW w:w="1310" w:type="dxa"/>
            <w:shd w:val="clear" w:color="auto" w:fill="BDD6EE" w:themeFill="accent5" w:themeFillTint="66"/>
          </w:tcPr>
          <w:p w:rsidR="00F1682A" w:rsidRDefault="0093019C" w14:paraId="68307CB8" w14:textId="77777777">
            <w:pPr>
              <w:spacing w:before="100" w:beforeAutospacing="1" w:after="100" w:afterAutospacing="1"/>
              <w:rPr>
                <w:rFonts w:ascii="Arial" w:hAnsi="Arial" w:cs="Arial"/>
                <w:b/>
                <w:bCs/>
                <w:sz w:val="22"/>
                <w:szCs w:val="22"/>
              </w:rPr>
            </w:pPr>
            <w:r>
              <w:rPr>
                <w:rFonts w:ascii="Arial" w:hAnsi="Arial" w:cs="Arial"/>
                <w:b/>
                <w:bCs/>
                <w:sz w:val="22"/>
                <w:szCs w:val="22"/>
              </w:rPr>
              <w:t>Collaboration</w:t>
            </w:r>
          </w:p>
        </w:tc>
      </w:tr>
      <w:tr w:rsidR="00F1682A" w14:paraId="14EE7DBB" w14:textId="77777777">
        <w:tc>
          <w:tcPr>
            <w:tcW w:w="1864" w:type="dxa"/>
          </w:tcPr>
          <w:p w:rsidR="00F1682A" w:rsidRDefault="0093019C" w14:paraId="1ADF90AF" w14:textId="77777777">
            <w:pPr>
              <w:spacing w:before="100" w:beforeAutospacing="1" w:after="100" w:afterAutospacing="1"/>
              <w:rPr>
                <w:rFonts w:ascii="Arial" w:hAnsi="Arial" w:cs="Arial"/>
                <w:sz w:val="22"/>
                <w:szCs w:val="22"/>
              </w:rPr>
            </w:pPr>
            <w:r>
              <w:rPr>
                <w:rFonts w:ascii="Arial" w:hAnsi="Arial" w:cs="Arial"/>
                <w:sz w:val="22"/>
                <w:szCs w:val="22"/>
              </w:rPr>
              <w:t>Investors</w:t>
            </w:r>
          </w:p>
        </w:tc>
        <w:tc>
          <w:tcPr>
            <w:tcW w:w="2026" w:type="dxa"/>
          </w:tcPr>
          <w:p w:rsidR="00F1682A" w:rsidRDefault="0093019C" w14:paraId="0DBE3C87" w14:textId="77777777">
            <w:pPr>
              <w:spacing w:before="100" w:beforeAutospacing="1" w:after="100" w:afterAutospacing="1"/>
              <w:rPr>
                <w:rFonts w:ascii="Arial" w:hAnsi="Arial" w:cs="Arial"/>
                <w:sz w:val="22"/>
                <w:szCs w:val="22"/>
              </w:rPr>
            </w:pPr>
            <w:r>
              <w:rPr>
                <w:rFonts w:ascii="Arial" w:hAnsi="Arial" w:cs="Arial"/>
                <w:sz w:val="22"/>
                <w:szCs w:val="22"/>
              </w:rPr>
              <w:t>Mails on financial reports, updates on the returns</w:t>
            </w:r>
          </w:p>
        </w:tc>
        <w:tc>
          <w:tcPr>
            <w:tcW w:w="1896" w:type="dxa"/>
          </w:tcPr>
          <w:p w:rsidR="00F1682A" w:rsidRDefault="0093019C" w14:paraId="5624CE4C" w14:textId="77777777">
            <w:pPr>
              <w:spacing w:before="100" w:beforeAutospacing="1" w:after="100" w:afterAutospacing="1"/>
              <w:rPr>
                <w:rFonts w:ascii="Arial" w:hAnsi="Arial" w:cs="Arial"/>
                <w:sz w:val="22"/>
                <w:szCs w:val="22"/>
              </w:rPr>
            </w:pPr>
            <w:r>
              <w:rPr>
                <w:rFonts w:ascii="Arial" w:hAnsi="Arial" w:cs="Arial"/>
                <w:sz w:val="22"/>
                <w:szCs w:val="22"/>
              </w:rPr>
              <w:t>Project phases elaborated with the funding requirements</w:t>
            </w:r>
          </w:p>
        </w:tc>
        <w:tc>
          <w:tcPr>
            <w:tcW w:w="1920" w:type="dxa"/>
          </w:tcPr>
          <w:p w:rsidR="00F1682A" w:rsidRDefault="0093019C" w14:paraId="5D0B2FD8" w14:textId="77777777">
            <w:pPr>
              <w:spacing w:before="100" w:beforeAutospacing="1" w:after="100" w:afterAutospacing="1"/>
              <w:rPr>
                <w:rFonts w:ascii="Arial" w:hAnsi="Arial" w:cs="Arial"/>
                <w:sz w:val="22"/>
                <w:szCs w:val="22"/>
              </w:rPr>
            </w:pPr>
            <w:r>
              <w:rPr>
                <w:rFonts w:ascii="Arial" w:hAnsi="Arial" w:cs="Arial"/>
                <w:sz w:val="22"/>
                <w:szCs w:val="22"/>
              </w:rPr>
              <w:t xml:space="preserve">Financial backup and </w:t>
            </w:r>
            <w:r>
              <w:rPr>
                <w:rFonts w:ascii="Arial" w:hAnsi="Arial" w:cs="Arial"/>
                <w:sz w:val="22"/>
                <w:szCs w:val="22"/>
              </w:rPr>
              <w:t>lessen the complexities</w:t>
            </w:r>
          </w:p>
        </w:tc>
        <w:tc>
          <w:tcPr>
            <w:tcW w:w="1310" w:type="dxa"/>
          </w:tcPr>
          <w:p w:rsidR="00F1682A" w:rsidRDefault="0093019C" w14:paraId="11376370" w14:textId="77777777">
            <w:pPr>
              <w:spacing w:before="100" w:beforeAutospacing="1" w:after="100" w:afterAutospacing="1"/>
              <w:rPr>
                <w:rFonts w:ascii="Arial" w:hAnsi="Arial" w:cs="Arial"/>
                <w:sz w:val="22"/>
                <w:szCs w:val="22"/>
              </w:rPr>
            </w:pPr>
            <w:r>
              <w:rPr>
                <w:rFonts w:ascii="Arial" w:hAnsi="Arial" w:cs="Arial"/>
                <w:sz w:val="22"/>
                <w:szCs w:val="22"/>
              </w:rPr>
              <w:t>Strategic decision-making process involving every investor</w:t>
            </w:r>
          </w:p>
        </w:tc>
      </w:tr>
      <w:tr w:rsidR="00F1682A" w14:paraId="0BEE3D21" w14:textId="77777777">
        <w:tc>
          <w:tcPr>
            <w:tcW w:w="1864" w:type="dxa"/>
          </w:tcPr>
          <w:p w:rsidR="00F1682A" w:rsidRDefault="0093019C" w14:paraId="1C5A31B2" w14:textId="77777777">
            <w:pPr>
              <w:spacing w:before="100" w:beforeAutospacing="1" w:after="100" w:afterAutospacing="1"/>
              <w:rPr>
                <w:rFonts w:ascii="Arial" w:hAnsi="Arial" w:cs="Arial"/>
                <w:sz w:val="22"/>
                <w:szCs w:val="22"/>
              </w:rPr>
            </w:pPr>
            <w:r>
              <w:rPr>
                <w:rFonts w:ascii="Arial" w:hAnsi="Arial" w:cs="Arial"/>
                <w:sz w:val="22"/>
                <w:szCs w:val="22"/>
              </w:rPr>
              <w:t>Business Partners</w:t>
            </w:r>
          </w:p>
        </w:tc>
        <w:tc>
          <w:tcPr>
            <w:tcW w:w="2026" w:type="dxa"/>
          </w:tcPr>
          <w:p w:rsidR="00F1682A" w:rsidRDefault="0093019C" w14:paraId="4B314D6F" w14:textId="77777777">
            <w:pPr>
              <w:spacing w:before="100" w:beforeAutospacing="1" w:after="100" w:afterAutospacing="1"/>
              <w:rPr>
                <w:rFonts w:ascii="Arial" w:hAnsi="Arial" w:cs="Arial"/>
                <w:sz w:val="22"/>
                <w:szCs w:val="22"/>
              </w:rPr>
            </w:pPr>
            <w:r>
              <w:rPr>
                <w:rFonts w:ascii="Arial" w:hAnsi="Arial" w:cs="Arial"/>
                <w:sz w:val="22"/>
                <w:szCs w:val="22"/>
              </w:rPr>
              <w:t>Deadlines are being communicated, keeping up-to-date checks on the whereabouts, and regular monitoring with emails and chats.</w:t>
            </w:r>
          </w:p>
        </w:tc>
        <w:tc>
          <w:tcPr>
            <w:tcW w:w="1896" w:type="dxa"/>
          </w:tcPr>
          <w:p w:rsidR="00F1682A" w:rsidRDefault="0093019C" w14:paraId="3D747803" w14:textId="77777777">
            <w:pPr>
              <w:spacing w:before="100" w:beforeAutospacing="1" w:after="100" w:afterAutospacing="1"/>
              <w:rPr>
                <w:rFonts w:ascii="Arial" w:hAnsi="Arial" w:cs="Arial"/>
                <w:sz w:val="22"/>
                <w:szCs w:val="22"/>
              </w:rPr>
            </w:pPr>
            <w:r>
              <w:rPr>
                <w:rFonts w:ascii="Arial" w:hAnsi="Arial" w:cs="Arial"/>
                <w:sz w:val="22"/>
                <w:szCs w:val="22"/>
              </w:rPr>
              <w:t xml:space="preserve">Allocation of the </w:t>
            </w:r>
            <w:r>
              <w:rPr>
                <w:rFonts w:ascii="Arial" w:hAnsi="Arial" w:cs="Arial"/>
                <w:sz w:val="22"/>
                <w:szCs w:val="22"/>
              </w:rPr>
              <w:t>resources, mentioning of timelines</w:t>
            </w:r>
          </w:p>
        </w:tc>
        <w:tc>
          <w:tcPr>
            <w:tcW w:w="1920" w:type="dxa"/>
          </w:tcPr>
          <w:p w:rsidR="00F1682A" w:rsidRDefault="0093019C" w14:paraId="382CD904" w14:textId="77777777">
            <w:pPr>
              <w:spacing w:before="100" w:beforeAutospacing="1" w:after="100" w:afterAutospacing="1"/>
              <w:rPr>
                <w:rFonts w:ascii="Arial" w:hAnsi="Arial" w:cs="Arial"/>
                <w:sz w:val="22"/>
                <w:szCs w:val="22"/>
              </w:rPr>
            </w:pPr>
            <w:r>
              <w:rPr>
                <w:rFonts w:ascii="Arial" w:hAnsi="Arial" w:cs="Arial"/>
                <w:sz w:val="22"/>
                <w:szCs w:val="22"/>
              </w:rPr>
              <w:t>Compliance with the rules and policies of the Government</w:t>
            </w:r>
          </w:p>
        </w:tc>
        <w:tc>
          <w:tcPr>
            <w:tcW w:w="1310" w:type="dxa"/>
          </w:tcPr>
          <w:p w:rsidR="00F1682A" w:rsidRDefault="0093019C" w14:paraId="2B8E44B2" w14:textId="77777777">
            <w:pPr>
              <w:spacing w:before="100" w:beforeAutospacing="1" w:after="100" w:afterAutospacing="1"/>
              <w:rPr>
                <w:rFonts w:ascii="Arial" w:hAnsi="Arial" w:cs="Arial"/>
                <w:sz w:val="22"/>
                <w:szCs w:val="22"/>
              </w:rPr>
            </w:pPr>
            <w:r>
              <w:rPr>
                <w:rFonts w:ascii="Arial" w:hAnsi="Arial" w:cs="Arial"/>
                <w:sz w:val="22"/>
                <w:szCs w:val="22"/>
              </w:rPr>
              <w:t>Take the support for the product innovation and even gain the insights of the experts</w:t>
            </w:r>
          </w:p>
        </w:tc>
      </w:tr>
      <w:tr w:rsidR="00F1682A" w14:paraId="6A7AD43F" w14:textId="77777777">
        <w:tc>
          <w:tcPr>
            <w:tcW w:w="1864" w:type="dxa"/>
          </w:tcPr>
          <w:p w:rsidR="00F1682A" w:rsidRDefault="0093019C" w14:paraId="4DABD402" w14:textId="77777777">
            <w:pPr>
              <w:spacing w:before="100" w:beforeAutospacing="1" w:after="100" w:afterAutospacing="1"/>
              <w:rPr>
                <w:rFonts w:ascii="Arial" w:hAnsi="Arial" w:cs="Arial"/>
                <w:sz w:val="22"/>
                <w:szCs w:val="22"/>
              </w:rPr>
            </w:pPr>
            <w:r>
              <w:rPr>
                <w:rFonts w:ascii="Arial" w:hAnsi="Arial" w:cs="Arial"/>
                <w:sz w:val="22"/>
                <w:szCs w:val="22"/>
              </w:rPr>
              <w:t>Employees</w:t>
            </w:r>
          </w:p>
        </w:tc>
        <w:tc>
          <w:tcPr>
            <w:tcW w:w="2026" w:type="dxa"/>
          </w:tcPr>
          <w:p w:rsidR="00F1682A" w:rsidRDefault="0093019C" w14:paraId="53F13355" w14:textId="77777777">
            <w:pPr>
              <w:spacing w:before="100" w:beforeAutospacing="1" w:after="100" w:afterAutospacing="1"/>
              <w:rPr>
                <w:rFonts w:ascii="Arial" w:hAnsi="Arial" w:cs="Arial"/>
                <w:sz w:val="22"/>
                <w:szCs w:val="22"/>
              </w:rPr>
            </w:pPr>
            <w:r>
              <w:rPr>
                <w:rFonts w:ascii="Arial" w:hAnsi="Arial" w:cs="Arial"/>
                <w:sz w:val="22"/>
                <w:szCs w:val="22"/>
              </w:rPr>
              <w:t>Regular training involves design thinking and the decision-making process through meetings and preparing dashboards.</w:t>
            </w:r>
          </w:p>
        </w:tc>
        <w:tc>
          <w:tcPr>
            <w:tcW w:w="1896" w:type="dxa"/>
          </w:tcPr>
          <w:p w:rsidR="00F1682A" w:rsidRDefault="0093019C" w14:paraId="674B1F37" w14:textId="77777777">
            <w:pPr>
              <w:spacing w:before="100" w:beforeAutospacing="1" w:after="100" w:afterAutospacing="1"/>
              <w:rPr>
                <w:rFonts w:ascii="Arial" w:hAnsi="Arial" w:cs="Arial"/>
                <w:sz w:val="22"/>
                <w:szCs w:val="22"/>
              </w:rPr>
            </w:pPr>
            <w:r>
              <w:rPr>
                <w:rFonts w:ascii="Arial" w:hAnsi="Arial" w:cs="Arial"/>
                <w:sz w:val="22"/>
                <w:szCs w:val="22"/>
              </w:rPr>
              <w:t>Align roles in different departments like marketing, production and others.</w:t>
            </w:r>
          </w:p>
        </w:tc>
        <w:tc>
          <w:tcPr>
            <w:tcW w:w="1920" w:type="dxa"/>
          </w:tcPr>
          <w:p w:rsidR="00F1682A" w:rsidRDefault="0093019C" w14:paraId="47F96AEE" w14:textId="77777777">
            <w:pPr>
              <w:spacing w:before="100" w:beforeAutospacing="1" w:after="100" w:afterAutospacing="1"/>
              <w:rPr>
                <w:rFonts w:ascii="Arial" w:hAnsi="Arial" w:cs="Arial"/>
                <w:sz w:val="22"/>
                <w:szCs w:val="22"/>
              </w:rPr>
            </w:pPr>
            <w:r>
              <w:rPr>
                <w:rFonts w:ascii="Arial" w:hAnsi="Arial" w:cs="Arial"/>
                <w:sz w:val="22"/>
                <w:szCs w:val="22"/>
              </w:rPr>
              <w:t>Elaborate on the responsibilities and continuous monitoring of performances, reviews and feedback taken.</w:t>
            </w:r>
          </w:p>
        </w:tc>
        <w:tc>
          <w:tcPr>
            <w:tcW w:w="1310" w:type="dxa"/>
          </w:tcPr>
          <w:p w:rsidR="00F1682A" w:rsidRDefault="0093019C" w14:paraId="46880028" w14:textId="77777777">
            <w:pPr>
              <w:spacing w:before="100" w:beforeAutospacing="1" w:after="100" w:afterAutospacing="1"/>
              <w:rPr>
                <w:rFonts w:ascii="Arial" w:hAnsi="Arial" w:cs="Arial"/>
                <w:sz w:val="22"/>
                <w:szCs w:val="22"/>
              </w:rPr>
            </w:pPr>
            <w:r>
              <w:rPr>
                <w:rFonts w:ascii="Arial" w:hAnsi="Arial" w:cs="Arial"/>
                <w:sz w:val="22"/>
                <w:szCs w:val="22"/>
              </w:rPr>
              <w:t xml:space="preserve">Engage in </w:t>
            </w:r>
            <w:r>
              <w:rPr>
                <w:rFonts w:ascii="Arial" w:hAnsi="Arial" w:cs="Arial"/>
                <w:sz w:val="22"/>
                <w:szCs w:val="22"/>
              </w:rPr>
              <w:t>problem-solving scenarios.</w:t>
            </w:r>
          </w:p>
        </w:tc>
      </w:tr>
      <w:tr w:rsidR="00F1682A" w14:paraId="0D851108" w14:textId="77777777">
        <w:tc>
          <w:tcPr>
            <w:tcW w:w="1864" w:type="dxa"/>
          </w:tcPr>
          <w:p w:rsidR="00F1682A" w:rsidRDefault="0093019C" w14:paraId="052D6D4D" w14:textId="77777777">
            <w:pPr>
              <w:spacing w:before="100" w:beforeAutospacing="1" w:after="100" w:afterAutospacing="1"/>
              <w:rPr>
                <w:rFonts w:ascii="Arial" w:hAnsi="Arial" w:cs="Arial"/>
                <w:sz w:val="22"/>
                <w:szCs w:val="22"/>
              </w:rPr>
            </w:pPr>
            <w:r>
              <w:rPr>
                <w:rFonts w:ascii="Arial" w:hAnsi="Arial" w:cs="Arial"/>
                <w:sz w:val="22"/>
                <w:szCs w:val="22"/>
              </w:rPr>
              <w:t>Government</w:t>
            </w:r>
          </w:p>
        </w:tc>
        <w:tc>
          <w:tcPr>
            <w:tcW w:w="2026" w:type="dxa"/>
          </w:tcPr>
          <w:p w:rsidR="00F1682A" w:rsidRDefault="0093019C" w14:paraId="3AC6D27A" w14:textId="77777777">
            <w:pPr>
              <w:spacing w:before="100" w:beforeAutospacing="1" w:after="100" w:afterAutospacing="1"/>
              <w:rPr>
                <w:rFonts w:ascii="Arial" w:hAnsi="Arial" w:cs="Arial"/>
                <w:sz w:val="22"/>
                <w:szCs w:val="22"/>
              </w:rPr>
            </w:pPr>
            <w:r>
              <w:rPr>
                <w:rFonts w:ascii="Arial" w:hAnsi="Arial" w:cs="Arial"/>
                <w:sz w:val="22"/>
                <w:szCs w:val="22"/>
              </w:rPr>
              <w:t>Submit reports or data on the policies, the safety and ethical protocols being followed through mail and reports.</w:t>
            </w:r>
          </w:p>
        </w:tc>
        <w:tc>
          <w:tcPr>
            <w:tcW w:w="1896" w:type="dxa"/>
          </w:tcPr>
          <w:p w:rsidR="00F1682A" w:rsidRDefault="0093019C" w14:paraId="7885724D" w14:textId="77777777">
            <w:pPr>
              <w:spacing w:before="100" w:beforeAutospacing="1" w:after="100" w:afterAutospacing="1"/>
              <w:rPr>
                <w:rFonts w:ascii="Arial" w:hAnsi="Arial" w:cs="Arial"/>
                <w:sz w:val="22"/>
                <w:szCs w:val="22"/>
              </w:rPr>
            </w:pPr>
            <w:r>
              <w:rPr>
                <w:rFonts w:ascii="Arial" w:hAnsi="Arial" w:cs="Arial"/>
                <w:sz w:val="22"/>
                <w:szCs w:val="22"/>
              </w:rPr>
              <w:t>Keep informed of the project roadmap</w:t>
            </w:r>
          </w:p>
        </w:tc>
        <w:tc>
          <w:tcPr>
            <w:tcW w:w="1920" w:type="dxa"/>
          </w:tcPr>
          <w:p w:rsidR="00F1682A" w:rsidRDefault="0093019C" w14:paraId="327EE7F6" w14:textId="77777777">
            <w:pPr>
              <w:spacing w:before="100" w:beforeAutospacing="1" w:after="100" w:afterAutospacing="1"/>
              <w:rPr>
                <w:rFonts w:ascii="Arial" w:hAnsi="Arial" w:cs="Arial"/>
                <w:sz w:val="22"/>
                <w:szCs w:val="22"/>
              </w:rPr>
            </w:pPr>
            <w:r>
              <w:rPr>
                <w:rFonts w:ascii="Arial" w:hAnsi="Arial" w:cs="Arial"/>
                <w:sz w:val="22"/>
                <w:szCs w:val="22"/>
              </w:rPr>
              <w:t>Audits and inspections are being carried out with cooperation</w:t>
            </w:r>
          </w:p>
        </w:tc>
        <w:tc>
          <w:tcPr>
            <w:tcW w:w="1310" w:type="dxa"/>
          </w:tcPr>
          <w:p w:rsidR="00F1682A" w:rsidRDefault="0093019C" w14:paraId="4995A919" w14:textId="77777777">
            <w:pPr>
              <w:spacing w:before="100" w:beforeAutospacing="1" w:after="100" w:afterAutospacing="1"/>
              <w:rPr>
                <w:rFonts w:ascii="Arial" w:hAnsi="Arial" w:cs="Arial"/>
                <w:sz w:val="22"/>
                <w:szCs w:val="22"/>
              </w:rPr>
            </w:pPr>
            <w:r>
              <w:rPr>
                <w:rFonts w:ascii="Arial" w:hAnsi="Arial" w:cs="Arial"/>
                <w:sz w:val="22"/>
                <w:szCs w:val="22"/>
              </w:rPr>
              <w:t>Adhere to the instructions or statements given by bodies</w:t>
            </w:r>
          </w:p>
        </w:tc>
      </w:tr>
      <w:tr w:rsidR="00F1682A" w14:paraId="2166FBAE" w14:textId="77777777">
        <w:tc>
          <w:tcPr>
            <w:tcW w:w="1864" w:type="dxa"/>
          </w:tcPr>
          <w:p w:rsidR="00F1682A" w:rsidRDefault="0093019C" w14:paraId="44EB176E" w14:textId="77777777">
            <w:pPr>
              <w:spacing w:before="100" w:beforeAutospacing="1" w:after="100" w:afterAutospacing="1"/>
              <w:rPr>
                <w:rFonts w:ascii="Arial" w:hAnsi="Arial" w:cs="Arial"/>
                <w:sz w:val="22"/>
                <w:szCs w:val="22"/>
              </w:rPr>
            </w:pPr>
            <w:r>
              <w:rPr>
                <w:rFonts w:ascii="Arial" w:hAnsi="Arial" w:cs="Arial"/>
                <w:sz w:val="22"/>
                <w:szCs w:val="22"/>
              </w:rPr>
              <w:t>Patients</w:t>
            </w:r>
          </w:p>
        </w:tc>
        <w:tc>
          <w:tcPr>
            <w:tcW w:w="2026" w:type="dxa"/>
          </w:tcPr>
          <w:p w:rsidR="00F1682A" w:rsidRDefault="0093019C" w14:paraId="09EEA14B" w14:textId="77777777">
            <w:pPr>
              <w:spacing w:before="100" w:beforeAutospacing="1" w:after="100" w:afterAutospacing="1"/>
              <w:rPr>
                <w:rFonts w:ascii="Arial" w:hAnsi="Arial" w:cs="Arial"/>
                <w:sz w:val="22"/>
                <w:szCs w:val="22"/>
              </w:rPr>
            </w:pPr>
            <w:r>
              <w:rPr>
                <w:rFonts w:ascii="Arial" w:hAnsi="Arial" w:cs="Arial"/>
                <w:sz w:val="22"/>
                <w:szCs w:val="22"/>
              </w:rPr>
              <w:t xml:space="preserve">Awareness campaigns, sample testing </w:t>
            </w:r>
          </w:p>
        </w:tc>
        <w:tc>
          <w:tcPr>
            <w:tcW w:w="1896" w:type="dxa"/>
          </w:tcPr>
          <w:p w:rsidR="00F1682A" w:rsidRDefault="0093019C" w14:paraId="22AE74EB" w14:textId="77777777">
            <w:pPr>
              <w:spacing w:before="100" w:beforeAutospacing="1" w:after="100" w:afterAutospacing="1"/>
              <w:rPr>
                <w:rFonts w:ascii="Arial" w:hAnsi="Arial" w:cs="Arial"/>
                <w:sz w:val="22"/>
                <w:szCs w:val="22"/>
              </w:rPr>
            </w:pPr>
            <w:r>
              <w:rPr>
                <w:rFonts w:ascii="Arial" w:hAnsi="Arial" w:cs="Arial"/>
                <w:sz w:val="22"/>
                <w:szCs w:val="22"/>
              </w:rPr>
              <w:t>Keep them informed of the benefits, and advertise how the product works</w:t>
            </w:r>
          </w:p>
        </w:tc>
        <w:tc>
          <w:tcPr>
            <w:tcW w:w="1920" w:type="dxa"/>
          </w:tcPr>
          <w:p w:rsidR="00F1682A" w:rsidRDefault="0093019C" w14:paraId="19C81777" w14:textId="77777777">
            <w:pPr>
              <w:spacing w:before="100" w:beforeAutospacing="1" w:after="100" w:afterAutospacing="1"/>
              <w:rPr>
                <w:rFonts w:ascii="Arial" w:hAnsi="Arial" w:cs="Arial"/>
                <w:sz w:val="22"/>
                <w:szCs w:val="22"/>
              </w:rPr>
            </w:pPr>
            <w:r>
              <w:rPr>
                <w:rFonts w:ascii="Arial" w:hAnsi="Arial" w:cs="Arial"/>
                <w:sz w:val="22"/>
                <w:szCs w:val="22"/>
              </w:rPr>
              <w:t xml:space="preserve">Act with responsibility with the credentials provided by patients, if any, for testing </w:t>
            </w:r>
          </w:p>
        </w:tc>
        <w:tc>
          <w:tcPr>
            <w:tcW w:w="1310" w:type="dxa"/>
          </w:tcPr>
          <w:p w:rsidR="00F1682A" w:rsidRDefault="0093019C" w14:paraId="2C38FDA2" w14:textId="77777777">
            <w:pPr>
              <w:spacing w:before="100" w:beforeAutospacing="1" w:after="100" w:afterAutospacing="1"/>
              <w:rPr>
                <w:rFonts w:ascii="Arial" w:hAnsi="Arial" w:cs="Arial"/>
                <w:sz w:val="22"/>
                <w:szCs w:val="22"/>
              </w:rPr>
            </w:pPr>
            <w:r>
              <w:rPr>
                <w:rFonts w:ascii="Arial" w:hAnsi="Arial" w:cs="Arial"/>
                <w:sz w:val="22"/>
                <w:szCs w:val="22"/>
              </w:rPr>
              <w:t>Enable patient-oriented features with benefits</w:t>
            </w:r>
          </w:p>
        </w:tc>
      </w:tr>
    </w:tbl>
    <w:p w:rsidR="00F1682A" w:rsidRDefault="0093019C" w14:paraId="06D21529"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Table 5: 4Cs for management of stakeholders and engagement</w:t>
      </w:r>
    </w:p>
    <w:p w:rsidR="00F1682A" w:rsidRDefault="0093019C" w14:paraId="44827C4B" w14:textId="77777777">
      <w:pPr>
        <w:spacing w:before="100" w:beforeAutospacing="1" w:after="100" w:afterAutospacing="1"/>
        <w:jc w:val="center"/>
        <w:rPr>
          <w:rFonts w:ascii="Arial" w:hAnsi="Arial" w:cs="Arial"/>
          <w:sz w:val="22"/>
          <w:szCs w:val="22"/>
        </w:rPr>
      </w:pPr>
      <w:r>
        <w:rPr>
          <w:rFonts w:ascii="Arial" w:hAnsi="Arial" w:cs="Arial"/>
          <w:sz w:val="22"/>
          <w:szCs w:val="22"/>
        </w:rPr>
        <w:t>(Source: Learner)</w:t>
      </w:r>
    </w:p>
    <w:p w:rsidR="00F1682A" w:rsidRDefault="0093019C" w14:paraId="5CE71E23" w14:textId="77777777">
      <w:pPr>
        <w:spacing w:before="100" w:beforeAutospacing="1" w:after="100" w:afterAutospacing="1"/>
        <w:jc w:val="center"/>
        <w:rPr>
          <w:rFonts w:ascii="Arial" w:hAnsi="Arial" w:cs="Arial"/>
          <w:sz w:val="22"/>
          <w:szCs w:val="22"/>
        </w:rPr>
      </w:pPr>
      <w:r>
        <w:rPr>
          <w:rFonts w:ascii="Arial" w:hAnsi="Arial" w:cs="Arial"/>
          <w:noProof/>
          <w:sz w:val="22"/>
          <w:szCs w:val="22"/>
          <w14:ligatures w14:val="standardContextual"/>
        </w:rPr>
        <w:drawing>
          <wp:inline distT="0" distB="0" distL="0" distR="0" wp14:anchorId="6998CEF7" wp14:editId="2648D943">
            <wp:extent cx="5486400" cy="3200400"/>
            <wp:effectExtent l="0" t="0" r="0" b="19050"/>
            <wp:docPr id="6122631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1682A" w:rsidRDefault="0093019C" w14:paraId="297C1D34" w14:textId="77777777">
      <w:pPr>
        <w:spacing w:before="100" w:beforeAutospacing="1" w:after="100" w:afterAutospacing="1"/>
        <w:jc w:val="center"/>
        <w:rPr>
          <w:rFonts w:ascii="Arial" w:hAnsi="Arial" w:cs="Arial"/>
          <w:b/>
          <w:bCs/>
          <w:sz w:val="22"/>
          <w:szCs w:val="22"/>
        </w:rPr>
      </w:pPr>
      <w:r>
        <w:rPr>
          <w:rFonts w:ascii="Arial" w:hAnsi="Arial" w:cs="Arial"/>
          <w:b/>
          <w:bCs/>
          <w:sz w:val="22"/>
          <w:szCs w:val="22"/>
        </w:rPr>
        <w:t>Figure 6: 4Cs of stakeholder management</w:t>
      </w:r>
    </w:p>
    <w:p w:rsidR="00F1682A" w:rsidRDefault="0093019C" w14:paraId="19790A5E" w14:textId="77777777">
      <w:pPr>
        <w:spacing w:before="100" w:beforeAutospacing="1" w:after="100" w:afterAutospacing="1"/>
        <w:jc w:val="center"/>
        <w:rPr>
          <w:rFonts w:ascii="Arial" w:hAnsi="Arial" w:cs="Arial"/>
          <w:sz w:val="22"/>
          <w:szCs w:val="22"/>
        </w:rPr>
      </w:pPr>
      <w:r>
        <w:rPr>
          <w:rFonts w:ascii="Arial" w:hAnsi="Arial" w:cs="Arial"/>
          <w:sz w:val="22"/>
          <w:szCs w:val="22"/>
        </w:rPr>
        <w:t>(Source: Learner)</w:t>
      </w:r>
    </w:p>
    <w:p w:rsidR="00974EB0" w:rsidRDefault="0093019C" w14:paraId="2A028DF0" w14:textId="77777777">
      <w:pPr>
        <w:spacing w:before="100" w:beforeAutospacing="1" w:after="100" w:afterAutospacing="1"/>
        <w:rPr>
          <w:rFonts w:ascii="Arial" w:hAnsi="Arial" w:cs="Arial"/>
          <w:sz w:val="22"/>
          <w:szCs w:val="22"/>
        </w:rPr>
      </w:pPr>
      <w:r>
        <w:rPr>
          <w:rFonts w:ascii="Arial" w:hAnsi="Arial" w:cs="Arial"/>
          <w:sz w:val="22"/>
          <w:szCs w:val="22"/>
        </w:rPr>
        <w:t xml:space="preserve">As Lange </w:t>
      </w:r>
      <w:r>
        <w:rPr>
          <w:rFonts w:ascii="Arial" w:hAnsi="Arial" w:cs="Arial"/>
          <w:i/>
          <w:iCs/>
          <w:sz w:val="22"/>
          <w:szCs w:val="22"/>
        </w:rPr>
        <w:t>et al. (</w:t>
      </w:r>
      <w:r>
        <w:rPr>
          <w:rFonts w:ascii="Arial" w:hAnsi="Arial" w:cs="Arial"/>
          <w:sz w:val="22"/>
          <w:szCs w:val="22"/>
        </w:rPr>
        <w:t>2024) mentioned regarding the feasibility of projects being gained with the sourcing of funds, it is equally important that investors are informed of the phases that are carried out. It does communicate the way the project can benefit the return and increase the spontaneity of supporting the projects with financial backup. However, with poor communication and collaboration with investors, the risks increase of facing a financial crisis since projects incur costs lent by the investors. Similarly, com</w:t>
      </w:r>
      <w:r>
        <w:rPr>
          <w:rFonts w:ascii="Arial" w:hAnsi="Arial" w:cs="Arial"/>
          <w:sz w:val="22"/>
          <w:szCs w:val="22"/>
        </w:rPr>
        <w:t xml:space="preserve">munication transparency is one of the key needs for stakeholders to know of the project and contribute successfully with knowledge on the project work and have an informed decision-making process. </w:t>
      </w:r>
    </w:p>
    <w:p w:rsidR="00F1682A" w:rsidRDefault="0093019C" w14:paraId="538F6DA5" w14:textId="1E6F2C48">
      <w:pPr>
        <w:spacing w:before="100" w:beforeAutospacing="1" w:after="100" w:afterAutospacing="1"/>
        <w:rPr>
          <w:rFonts w:ascii="Arial" w:hAnsi="Arial" w:cs="Arial"/>
          <w:sz w:val="22"/>
          <w:szCs w:val="22"/>
        </w:rPr>
      </w:pPr>
      <w:r>
        <w:rPr>
          <w:rFonts w:ascii="Arial" w:hAnsi="Arial" w:cs="Arial"/>
          <w:sz w:val="22"/>
          <w:szCs w:val="22"/>
        </w:rPr>
        <w:t xml:space="preserve">According to Ganeshu </w:t>
      </w:r>
      <w:r>
        <w:rPr>
          <w:rFonts w:ascii="Arial" w:hAnsi="Arial" w:cs="Arial"/>
          <w:i/>
          <w:iCs/>
          <w:sz w:val="22"/>
          <w:szCs w:val="22"/>
        </w:rPr>
        <w:t>et al</w:t>
      </w:r>
      <w:r>
        <w:rPr>
          <w:rFonts w:ascii="Arial" w:hAnsi="Arial" w:cs="Arial"/>
          <w:sz w:val="22"/>
          <w:szCs w:val="22"/>
        </w:rPr>
        <w:t>. (2023), the systematised literature review argued of the fact that barriers can be of different kinds depending on the project being carried out. In an urban planning project, as the study researched, the lack of collaboration acted as one of the major barriers. Hence, collaboration ensures that the members work together and help in the enrolment of the phases with adequate resources and meet the milestones on time. For the launch of the new wearable health device, customers do serves as the key stak</w:t>
      </w:r>
      <w:r>
        <w:rPr>
          <w:rFonts w:ascii="Arial" w:hAnsi="Arial" w:cs="Arial"/>
          <w:sz w:val="22"/>
          <w:szCs w:val="22"/>
        </w:rPr>
        <w:t>eholders since it is for them the design has been planned by CMR Surgical. The presence, collaboration and transparent communication for the stakeholders means the smooth transformation of the input to the desired output. Hence, customers do need to be informed of the new product to be launched through effective digital media presence, for which the marketing team is responsible. However, as a project manager, keeping regular updates, pointing out the channels being used and even hosting campaigns can effec</w:t>
      </w:r>
      <w:r>
        <w:rPr>
          <w:rFonts w:ascii="Arial" w:hAnsi="Arial" w:cs="Arial"/>
          <w:sz w:val="22"/>
          <w:szCs w:val="22"/>
        </w:rPr>
        <w:t xml:space="preserve">tively eliminate any conflicts or issues that customers can face with the new project. </w:t>
      </w:r>
    </w:p>
    <w:p w:rsidR="00F1682A" w:rsidRDefault="0093019C" w14:paraId="406E474E" w14:textId="77777777">
      <w:pPr>
        <w:spacing w:before="100" w:beforeAutospacing="1" w:after="100" w:afterAutospacing="1"/>
        <w:rPr>
          <w:rFonts w:ascii="Arial" w:hAnsi="Arial" w:cs="Arial"/>
          <w:sz w:val="22"/>
          <w:szCs w:val="22"/>
        </w:rPr>
      </w:pPr>
      <w:r>
        <w:rPr>
          <w:rFonts w:ascii="Arial" w:hAnsi="Arial" w:cs="Arial"/>
          <w:sz w:val="22"/>
          <w:szCs w:val="22"/>
        </w:rPr>
        <w:t xml:space="preserve">Osobajo </w:t>
      </w:r>
      <w:r>
        <w:rPr>
          <w:rFonts w:ascii="Arial" w:hAnsi="Arial" w:cs="Arial"/>
          <w:i/>
          <w:iCs/>
          <w:sz w:val="22"/>
          <w:szCs w:val="22"/>
        </w:rPr>
        <w:t>et al</w:t>
      </w:r>
      <w:r>
        <w:rPr>
          <w:rFonts w:ascii="Arial" w:hAnsi="Arial" w:cs="Arial"/>
          <w:sz w:val="22"/>
          <w:szCs w:val="22"/>
        </w:rPr>
        <w:t xml:space="preserve">. (2023) stated that the culture of innovation to be fostered in projects for engaging with the stakeholders. Today, many projects are being launched across countries, hence appealing global population to be aware of the products or services. Similarly, CMR Surgical, with the new device, needs to be campaigned in a way that it gains the attention of customers from different cultures or origins. Hence, the culture of innovation with cross-cultural communication techniques can not only appeal to diverse </w:t>
      </w:r>
      <w:r>
        <w:rPr>
          <w:rFonts w:ascii="Arial" w:hAnsi="Arial" w:cs="Arial"/>
          <w:sz w:val="22"/>
          <w:szCs w:val="22"/>
        </w:rPr>
        <w:t xml:space="preserve">customer segments but also manage to eliminate conflicts that come with advertisements in international countries. Essentially, the collaboration and cooperation, like cooperating with the audits that the Government conducts, would help in the project work to be ethical and secure the trust of the public as well. Therefore, implementing the 4Cs has the potential to execute the project phase-wise and even manage conflicts that may arise with stakeholders. </w:t>
      </w:r>
    </w:p>
    <w:p w:rsidRPr="00974EB0" w:rsidR="00F1682A" w:rsidP="00974EB0" w:rsidRDefault="0093019C" w14:paraId="61B2588C" w14:textId="77777777">
      <w:pPr>
        <w:pStyle w:val="Titlu5"/>
        <w:rPr>
          <w:rFonts w:ascii="Arial" w:hAnsi="Arial" w:cs="Arial"/>
          <w:sz w:val="36"/>
          <w:szCs w:val="36"/>
        </w:rPr>
      </w:pPr>
      <w:bookmarkStart w:name="_Toc210409365" w:id="13"/>
      <w:r w:rsidRPr="00974EB0">
        <w:rPr>
          <w:rFonts w:ascii="Arial" w:hAnsi="Arial" w:cs="Arial"/>
          <w:sz w:val="36"/>
          <w:szCs w:val="36"/>
        </w:rPr>
        <w:t>Evaluation of the impact of stakeholders’ engagement on the business performance and future recommendations</w:t>
      </w:r>
      <w:bookmarkEnd w:id="13"/>
    </w:p>
    <w:p w:rsidR="00974EB0" w:rsidRDefault="0093019C" w14:paraId="2BD4B0D7" w14:textId="77777777">
      <w:pPr>
        <w:spacing w:before="100" w:beforeAutospacing="1" w:after="100" w:afterAutospacing="1"/>
        <w:rPr>
          <w:rFonts w:ascii="Arial" w:hAnsi="Arial" w:cs="Arial"/>
          <w:sz w:val="22"/>
          <w:szCs w:val="22"/>
        </w:rPr>
      </w:pPr>
      <w:r>
        <w:rPr>
          <w:rFonts w:ascii="Arial" w:hAnsi="Arial" w:cs="Arial"/>
          <w:sz w:val="22"/>
          <w:szCs w:val="22"/>
        </w:rPr>
        <w:t>Ashcroft (2017) argued in the context of stakeholder relationships within project works that it is possible with several strategies and processes being involved in it. As CMR Surgical is planning to launch a new health device, which is yet to be introduced in the market, significant complexities and challenges can be overcome with the engagement of the stakeholders. Both external and internal stakeholders have a purpose linked to the launch of the new project and even have a wider role in carrying out the n</w:t>
      </w:r>
      <w:r>
        <w:rPr>
          <w:rFonts w:ascii="Arial" w:hAnsi="Arial" w:cs="Arial"/>
          <w:sz w:val="22"/>
          <w:szCs w:val="22"/>
        </w:rPr>
        <w:t xml:space="preserve">ew project in the market. Engaging investors, for example, does cause a positive impact with the opportunity of flexible funding options and extended support for the purchase of the raw materials as needed. Communicating effectively with the stakeholders drives the pathway for a comprehensive understanding of the project and even suggests measures beneficial for it (Suvvari and Saxena, 2023). Governments being engaged do intervene in the presence of sustainability in the conduct of the project, and even in </w:t>
      </w:r>
      <w:r>
        <w:rPr>
          <w:rFonts w:ascii="Arial" w:hAnsi="Arial" w:cs="Arial"/>
          <w:sz w:val="22"/>
          <w:szCs w:val="22"/>
        </w:rPr>
        <w:t xml:space="preserve">meeting the goals too. For example, with the Government conducting an audit, it signifies that the work is under the scrutiny of the authorities and is assumed to be safe for the public too. However, if any product is not yet approved by the Government, a concern or doubt arises which affects the customer's satisfaction and the revenue figures. </w:t>
      </w:r>
    </w:p>
    <w:p w:rsidR="00F1682A" w:rsidRDefault="0093019C" w14:paraId="11FBCB34" w14:textId="069C0E13">
      <w:pPr>
        <w:spacing w:before="100" w:beforeAutospacing="1" w:after="100" w:afterAutospacing="1"/>
        <w:rPr>
          <w:rFonts w:ascii="Arial" w:hAnsi="Arial" w:cs="Arial"/>
          <w:sz w:val="22"/>
          <w:szCs w:val="22"/>
        </w:rPr>
      </w:pPr>
      <w:r>
        <w:rPr>
          <w:rFonts w:ascii="Arial" w:hAnsi="Arial" w:cs="Arial"/>
          <w:sz w:val="22"/>
          <w:szCs w:val="22"/>
        </w:rPr>
        <w:t xml:space="preserve">Using a new health device </w:t>
      </w:r>
      <w:r w:rsidR="00974EB0">
        <w:rPr>
          <w:rFonts w:ascii="Arial" w:hAnsi="Arial" w:cs="Arial"/>
          <w:sz w:val="22"/>
          <w:szCs w:val="22"/>
        </w:rPr>
        <w:t>does</w:t>
      </w:r>
      <w:r>
        <w:rPr>
          <w:rFonts w:ascii="Arial" w:hAnsi="Arial" w:cs="Arial"/>
          <w:sz w:val="22"/>
          <w:szCs w:val="22"/>
        </w:rPr>
        <w:t xml:space="preserve"> pose concerns among customers; however, with protocols being followed and Government approvals being gained, it does add assurance to the quality of the product or service being tested. Business Partners for CMR Surgical has been a boon, where it has helped not only in earning financial value but also in providing a promising trajectory in the med-tech region. As reported, Trinity Capital Inc., being one of the business partners for CMR Surgical, helped in 2025 to allow a capital growth of around £200 </w:t>
      </w:r>
      <w:r>
        <w:rPr>
          <w:rFonts w:ascii="Arial" w:hAnsi="Arial" w:cs="Arial"/>
          <w:sz w:val="22"/>
          <w:szCs w:val="22"/>
        </w:rPr>
        <w:t xml:space="preserve">million (Trinity Capital Inc., 2025). </w:t>
      </w:r>
      <w:r w:rsidR="00974EB0">
        <w:rPr>
          <w:rFonts w:ascii="Arial" w:hAnsi="Arial" w:cs="Arial"/>
          <w:sz w:val="22"/>
          <w:szCs w:val="22"/>
        </w:rPr>
        <w:t>Thus,</w:t>
      </w:r>
      <w:r>
        <w:rPr>
          <w:rFonts w:ascii="Arial" w:hAnsi="Arial" w:cs="Arial"/>
          <w:sz w:val="22"/>
          <w:szCs w:val="22"/>
        </w:rPr>
        <w:t xml:space="preserve"> indicating the benefits gained with the business partner and paving new way for the sector to grow and improve the lifestyles of people. With the engagement of the business partners for the new wearable health device, it would promote the growth of the product and even financially assist in different phases being carried out with resources. NHS Wales too has developed a partnership with CMR for our successful rollout of robotics in the performance and improving th</w:t>
      </w:r>
      <w:r>
        <w:rPr>
          <w:rFonts w:ascii="Arial" w:hAnsi="Arial" w:cs="Arial"/>
          <w:sz w:val="22"/>
          <w:szCs w:val="22"/>
        </w:rPr>
        <w:t>e living standards of customers (</w:t>
      </w:r>
      <w:r>
        <w:rPr>
          <w:rFonts w:ascii="Arial" w:hAnsi="Arial" w:cs="Arial"/>
          <w:sz w:val="22"/>
          <w:szCs w:val="22"/>
          <w:lang w:val="en-IN"/>
        </w:rPr>
        <w:t>HwB, 2022</w:t>
      </w:r>
      <w:r>
        <w:rPr>
          <w:rFonts w:ascii="Arial" w:hAnsi="Arial" w:cs="Arial"/>
          <w:sz w:val="22"/>
          <w:szCs w:val="22"/>
        </w:rPr>
        <w:t xml:space="preserve">). Thus, such evidence points to the impact of the engagement of the business partners for the smooth operations of the project works and even adds benefits to the meeting of the deliverables. </w:t>
      </w:r>
    </w:p>
    <w:p w:rsidR="00F1682A" w:rsidRDefault="0093019C" w14:paraId="03AF434A" w14:textId="77777777">
      <w:pPr>
        <w:spacing w:before="100" w:beforeAutospacing="1" w:after="100" w:afterAutospacing="1"/>
        <w:rPr>
          <w:rFonts w:ascii="Arial" w:hAnsi="Arial" w:cs="Arial"/>
          <w:sz w:val="22"/>
          <w:szCs w:val="22"/>
        </w:rPr>
      </w:pPr>
      <w:r>
        <w:rPr>
          <w:rFonts w:ascii="Arial" w:hAnsi="Arial" w:cs="Arial"/>
          <w:sz w:val="22"/>
          <w:szCs w:val="22"/>
        </w:rPr>
        <w:t xml:space="preserve">Engaging with employees does serve as the pillar, since internally, their expertise and knowledge do play a role in crafting the project. Similarly, for the new project, the employees with their efforts and skills can shape the innovation to the next level and contribute effectively, helping people to improve their standards of living. However, some future recommendations can be guided as the new project is yet to be rolled out in 6 months for the customers. </w:t>
      </w:r>
    </w:p>
    <w:p w:rsidR="00F1682A" w:rsidRDefault="0093019C" w14:paraId="75B5269A" w14:textId="77777777">
      <w:pPr>
        <w:spacing w:before="100" w:beforeAutospacing="1" w:after="100" w:afterAutospacing="1"/>
        <w:rPr>
          <w:rFonts w:ascii="Arial" w:hAnsi="Arial" w:cs="Arial"/>
          <w:sz w:val="22"/>
          <w:szCs w:val="22"/>
        </w:rPr>
      </w:pPr>
      <w:r>
        <w:rPr>
          <w:rFonts w:ascii="Arial" w:hAnsi="Arial" w:cs="Arial"/>
          <w:b/>
          <w:bCs/>
          <w:sz w:val="22"/>
          <w:szCs w:val="22"/>
        </w:rPr>
        <w:t>Long-term partnerships with business partners can be developed</w:t>
      </w:r>
      <w:r>
        <w:rPr>
          <w:rFonts w:ascii="Arial" w:hAnsi="Arial" w:cs="Arial"/>
          <w:sz w:val="22"/>
          <w:szCs w:val="22"/>
        </w:rPr>
        <w:t xml:space="preserve">: Seeing the positive sides of the business partners and their contributions, CMR Surgical could invest in developing long-term relationships and trust with the partners. Lehtinen </w:t>
      </w:r>
      <w:r>
        <w:rPr>
          <w:rFonts w:ascii="Arial" w:hAnsi="Arial" w:cs="Arial"/>
          <w:i/>
          <w:iCs/>
          <w:sz w:val="22"/>
          <w:szCs w:val="22"/>
        </w:rPr>
        <w:t>et al.</w:t>
      </w:r>
      <w:r>
        <w:rPr>
          <w:rFonts w:ascii="Arial" w:hAnsi="Arial" w:cs="Arial"/>
          <w:sz w:val="22"/>
          <w:szCs w:val="22"/>
        </w:rPr>
        <w:t xml:space="preserve"> (2019) pointed out the engagement of the stakeholders that drives clarity and collaboration, which impacts the deliverables in a mostly positive way and avoids confusion, too. Similarly, with the long-term endurance with the business partners, the popularity of the organisation and trust regarding the services do get enhanc</w:t>
      </w:r>
      <w:r>
        <w:rPr>
          <w:rFonts w:ascii="Arial" w:hAnsi="Arial" w:cs="Arial"/>
          <w:sz w:val="22"/>
          <w:szCs w:val="22"/>
        </w:rPr>
        <w:t xml:space="preserve">ed. Thus, CMR Surgical can plan new partnerships but focus on long-term relationships with the existing partners. </w:t>
      </w:r>
    </w:p>
    <w:p w:rsidR="00F1682A" w:rsidRDefault="0093019C" w14:paraId="4196CF0B" w14:textId="77777777">
      <w:pPr>
        <w:spacing w:before="100" w:beforeAutospacing="1" w:after="100" w:afterAutospacing="1"/>
        <w:rPr>
          <w:rFonts w:ascii="Arial" w:hAnsi="Arial" w:cs="Arial"/>
          <w:sz w:val="22"/>
          <w:szCs w:val="22"/>
        </w:rPr>
      </w:pPr>
      <w:r>
        <w:rPr>
          <w:rFonts w:ascii="Arial" w:hAnsi="Arial" w:cs="Arial"/>
          <w:b/>
          <w:bCs/>
          <w:sz w:val="22"/>
          <w:szCs w:val="22"/>
        </w:rPr>
        <w:t>Deploy continuous development training for the employees</w:t>
      </w:r>
      <w:r>
        <w:rPr>
          <w:rFonts w:ascii="Arial" w:hAnsi="Arial" w:cs="Arial"/>
          <w:sz w:val="22"/>
          <w:szCs w:val="22"/>
        </w:rPr>
        <w:t xml:space="preserve">: With digital ecosystem overshadowing traditional systems and practices, employees need to upgrade their skills and practices to match the demands of the customers (Seppänen </w:t>
      </w:r>
      <w:r>
        <w:rPr>
          <w:rFonts w:ascii="Arial" w:hAnsi="Arial" w:cs="Arial"/>
          <w:i/>
          <w:iCs/>
          <w:sz w:val="22"/>
          <w:szCs w:val="22"/>
        </w:rPr>
        <w:t>et al.,</w:t>
      </w:r>
      <w:r>
        <w:rPr>
          <w:rFonts w:ascii="Arial" w:hAnsi="Arial" w:cs="Arial"/>
          <w:sz w:val="22"/>
          <w:szCs w:val="22"/>
        </w:rPr>
        <w:t xml:space="preserve"> 2025). The employees do have the potential to utilise their skills and add innovation to the projects, which can be more appealing to the decisions of the CMR Surgical with the launch of new products. The training programs do need to be more realistic, like experimenting with the products or allowing employees to roll out the t</w:t>
      </w:r>
      <w:r>
        <w:rPr>
          <w:rFonts w:ascii="Arial" w:hAnsi="Arial" w:cs="Arial"/>
          <w:sz w:val="22"/>
          <w:szCs w:val="22"/>
        </w:rPr>
        <w:t xml:space="preserve">rial phasing to gain better experiences and knowledge on challenges to be faced. Thus, behind the launch of the new project and rolling out among the customers in 6 months, responsibilities and roles need to be clarified, with emphasis given on the engagement strategy and an effective communication plan for the employees. </w:t>
      </w:r>
    </w:p>
    <w:p w:rsidRPr="00974EB0" w:rsidR="00F1682A" w:rsidP="00974EB0" w:rsidRDefault="0093019C" w14:paraId="51919E74" w14:textId="77777777">
      <w:pPr>
        <w:pStyle w:val="Titlu5"/>
        <w:rPr>
          <w:rFonts w:ascii="Arial" w:hAnsi="Arial" w:cs="Arial"/>
          <w:sz w:val="44"/>
          <w:szCs w:val="44"/>
        </w:rPr>
      </w:pPr>
      <w:bookmarkStart w:name="_Toc210409366" w:id="14"/>
      <w:r w:rsidRPr="00974EB0">
        <w:rPr>
          <w:rFonts w:ascii="Arial" w:hAnsi="Arial" w:cs="Arial"/>
          <w:sz w:val="44"/>
          <w:szCs w:val="44"/>
        </w:rPr>
        <w:t>Conclusion</w:t>
      </w:r>
      <w:bookmarkEnd w:id="14"/>
    </w:p>
    <w:p w:rsidR="00F1682A" w:rsidRDefault="0093019C" w14:paraId="5A78B097" w14:textId="7334D4B3">
      <w:pPr>
        <w:spacing w:before="100" w:beforeAutospacing="1" w:after="100" w:afterAutospacing="1"/>
        <w:rPr>
          <w:rFonts w:ascii="Arial" w:hAnsi="Arial" w:cs="Arial"/>
          <w:sz w:val="22"/>
          <w:szCs w:val="22"/>
        </w:rPr>
      </w:pPr>
      <w:r>
        <w:rPr>
          <w:rFonts w:ascii="Arial" w:hAnsi="Arial" w:cs="Arial"/>
          <w:sz w:val="22"/>
          <w:szCs w:val="22"/>
        </w:rPr>
        <w:t xml:space="preserve">With the carrying out of new projects, the responsibility of the project manager and the presence of </w:t>
      </w:r>
      <w:r w:rsidR="001B57CD">
        <w:rPr>
          <w:rFonts w:ascii="Arial" w:hAnsi="Arial" w:cs="Arial"/>
          <w:sz w:val="22"/>
          <w:szCs w:val="22"/>
        </w:rPr>
        <w:t>stakeholder’s</w:t>
      </w:r>
      <w:r>
        <w:rPr>
          <w:rFonts w:ascii="Arial" w:hAnsi="Arial" w:cs="Arial"/>
          <w:sz w:val="22"/>
          <w:szCs w:val="22"/>
        </w:rPr>
        <w:t xml:space="preserve"> matter, which significantly affect the execution of the project. In the domain of the project being rolled out, it is important to identify the internal and external stakeholders and measure the communication and engagement tactics to be deployed for better management and deliverables to be met. Essentially, new projects pass through different milestones, among which stakeholder engagement and risk are significant for creating awareness on the project line. CMR Surgical, though with the popula</w:t>
      </w:r>
      <w:r>
        <w:rPr>
          <w:rFonts w:ascii="Arial" w:hAnsi="Arial" w:cs="Arial"/>
          <w:sz w:val="22"/>
          <w:szCs w:val="22"/>
        </w:rPr>
        <w:t xml:space="preserve">rity, it is assessed that new projects do need to cover up the details of the product to be introduced, the stakeholders to be consulted, and even an understanding of the management techniques of the stakeholders. From the marketing team to the business partners, all are responsible for the programming of the new product and gathering knowledge on the project being carried out successfully, tackling the constraints. </w:t>
      </w:r>
    </w:p>
    <w:p w:rsidR="00F1682A" w:rsidRDefault="0093019C" w14:paraId="631B72A3" w14:textId="77777777">
      <w:pPr>
        <w:spacing w:before="100" w:beforeAutospacing="1" w:after="100" w:afterAutospacing="1"/>
        <w:rPr>
          <w:rFonts w:ascii="Arial" w:hAnsi="Arial" w:cs="Arial"/>
          <w:sz w:val="22"/>
          <w:szCs w:val="22"/>
        </w:rPr>
      </w:pPr>
      <w:r>
        <w:rPr>
          <w:rFonts w:ascii="Arial" w:hAnsi="Arial" w:cs="Arial"/>
          <w:sz w:val="22"/>
          <w:szCs w:val="22"/>
        </w:rPr>
        <w:t>The new wearable device does pose concerns since being new, innovation is often doubted, and the same goes with CMR Surgical. However, with the inclusion of the stakeholders like the business partners and focusing on the digital ecosystem, comprehensive performances can be redirected helping for better deliverables to be planned in. According to the risks encountered, the threat can be posed from the insecurity of the patients (customers) and even with investors failing to be appealed to. Similarly, with th</w:t>
      </w:r>
      <w:r>
        <w:rPr>
          <w:rFonts w:ascii="Arial" w:hAnsi="Arial" w:cs="Arial"/>
          <w:sz w:val="22"/>
          <w:szCs w:val="22"/>
        </w:rPr>
        <w:t>e conduct of the communication and engagement plan, the relationship of the stakeholders can be improved, and clarity can be fostered on the workings of the project. In a project, the stakeholders have a wider impact, which needs to be measured by the project manager, as evidenced in the case of CMR Surgical, which is tailored to the outcome.</w:t>
      </w:r>
    </w:p>
    <w:p w:rsidR="00F1682A" w:rsidRDefault="0093019C" w14:paraId="2F09B2A1" w14:textId="77777777">
      <w:pPr>
        <w:spacing w:before="100" w:beforeAutospacing="1" w:after="100" w:afterAutospacing="1"/>
        <w:jc w:val="left"/>
        <w:rPr>
          <w:rFonts w:ascii="Arial" w:hAnsi="Arial" w:cs="Arial"/>
          <w:sz w:val="22"/>
          <w:szCs w:val="22"/>
        </w:rPr>
      </w:pPr>
      <w:r>
        <w:rPr>
          <w:rFonts w:ascii="Arial" w:hAnsi="Arial" w:cs="Arial"/>
          <w:sz w:val="22"/>
          <w:szCs w:val="22"/>
        </w:rPr>
        <w:br w:type="page"/>
      </w:r>
    </w:p>
    <w:p w:rsidRPr="00974EB0" w:rsidR="00F1682A" w:rsidP="00974EB0" w:rsidRDefault="0093019C" w14:paraId="2216950B" w14:textId="77777777">
      <w:pPr>
        <w:pStyle w:val="Titlu5"/>
        <w:rPr>
          <w:rFonts w:ascii="Arial" w:hAnsi="Arial" w:cs="Arial"/>
          <w:sz w:val="40"/>
          <w:szCs w:val="40"/>
        </w:rPr>
      </w:pPr>
      <w:bookmarkStart w:name="_Toc210409367" w:id="15"/>
      <w:r w:rsidRPr="00974EB0">
        <w:rPr>
          <w:rFonts w:ascii="Arial" w:hAnsi="Arial" w:cs="Arial"/>
          <w:sz w:val="40"/>
          <w:szCs w:val="40"/>
        </w:rPr>
        <w:t>References</w:t>
      </w:r>
      <w:bookmarkEnd w:id="15"/>
    </w:p>
    <w:p w:rsidRPr="0027240D" w:rsidR="0027240D" w:rsidP="0027240D" w:rsidRDefault="0027240D" w14:paraId="1AF478EC" w14:textId="77777777">
      <w:pPr>
        <w:rPr>
          <w:rFonts w:ascii="Arial" w:hAnsi="Arial" w:cs="Arial"/>
          <w:sz w:val="22"/>
          <w:szCs w:val="22"/>
          <w:lang w:val="en-IN"/>
        </w:rPr>
      </w:pPr>
      <w:r w:rsidRPr="0027240D">
        <w:rPr>
          <w:rFonts w:ascii="Arial" w:hAnsi="Arial" w:cs="Arial"/>
          <w:sz w:val="22"/>
          <w:szCs w:val="22"/>
          <w:lang w:val="en-IN"/>
        </w:rPr>
        <w:t>Kerzner, H. (2019). Project Management: A Systems Approach to Planning, Scheduling, and Controlling. 13th ed. Wiley.</w:t>
      </w:r>
    </w:p>
    <w:p w:rsidRPr="0027240D" w:rsidR="0027240D" w:rsidP="0027240D" w:rsidRDefault="0027240D" w14:paraId="5A96E90E" w14:textId="6A77A33D">
      <w:pPr>
        <w:rPr>
          <w:rFonts w:ascii="Arial" w:hAnsi="Arial" w:cs="Arial"/>
          <w:sz w:val="22"/>
          <w:szCs w:val="22"/>
          <w:lang w:val="en-IN"/>
        </w:rPr>
      </w:pPr>
      <w:r w:rsidRPr="0027240D">
        <w:rPr>
          <w:rFonts w:ascii="Arial" w:hAnsi="Arial" w:cs="Arial"/>
          <w:sz w:val="22"/>
          <w:szCs w:val="22"/>
          <w:lang w:val="en-IN"/>
        </w:rPr>
        <w:t>Project Management Institute. (2021). A Guide to the Project Management Body of Knowledge (PMBOK® Guide). 7th ed. PMI.</w:t>
      </w:r>
    </w:p>
    <w:p w:rsidRPr="0027240D" w:rsidR="00F1682A" w:rsidRDefault="0093019C" w14:paraId="5F682EB2" w14:textId="77777777">
      <w:pPr>
        <w:spacing w:before="100" w:beforeAutospacing="1" w:after="100" w:afterAutospacing="1"/>
        <w:jc w:val="left"/>
        <w:rPr>
          <w:rFonts w:ascii="Arial" w:hAnsi="Arial" w:cs="Arial"/>
          <w:sz w:val="22"/>
          <w:szCs w:val="22"/>
        </w:rPr>
      </w:pPr>
      <w:r w:rsidRPr="0027240D">
        <w:rPr>
          <w:rFonts w:ascii="Arial" w:hAnsi="Arial" w:cs="Arial"/>
          <w:sz w:val="22"/>
          <w:szCs w:val="22"/>
        </w:rPr>
        <w:t>Faulkner, J., Arora, A., McCulloch, P., Robertson, S., Rovira, A., Ourselin, S. and Jeannon, J.P. (2024) ‘Prospective development study of the Versius Surgical System for use in transoral robotic surgery: an IDEAL stage 1/2a first in human and initial case series experience’, </w:t>
      </w:r>
      <w:r w:rsidRPr="0027240D">
        <w:rPr>
          <w:rFonts w:ascii="Arial" w:hAnsi="Arial" w:cs="Arial"/>
          <w:i/>
          <w:iCs/>
          <w:sz w:val="22"/>
          <w:szCs w:val="22"/>
        </w:rPr>
        <w:t>European Archives of Oto-Rhino-Laryngology</w:t>
      </w:r>
      <w:r w:rsidRPr="0027240D">
        <w:rPr>
          <w:rFonts w:ascii="Arial" w:hAnsi="Arial" w:cs="Arial"/>
          <w:sz w:val="22"/>
          <w:szCs w:val="22"/>
        </w:rPr>
        <w:t>, 281(5), pp. 2667-2678.</w:t>
      </w:r>
    </w:p>
    <w:p w:rsidRPr="0027240D" w:rsidR="00F1682A" w:rsidRDefault="0093019C" w14:paraId="3AD45814" w14:textId="77777777">
      <w:pPr>
        <w:spacing w:before="100" w:beforeAutospacing="1" w:after="100" w:afterAutospacing="1"/>
        <w:jc w:val="left"/>
        <w:rPr>
          <w:rFonts w:ascii="Arial" w:hAnsi="Arial" w:cs="Arial"/>
          <w:sz w:val="22"/>
          <w:szCs w:val="22"/>
        </w:rPr>
      </w:pPr>
      <w:r w:rsidRPr="0027240D">
        <w:rPr>
          <w:rFonts w:ascii="Arial" w:hAnsi="Arial" w:cs="Arial"/>
          <w:sz w:val="22"/>
          <w:szCs w:val="22"/>
        </w:rPr>
        <w:t>Gai, L., Algeri, C., Ielasi, F. and Manganiello, M. (2025) ‘Sustainability-Oriented equity crowdfunding: the role of proponents, investors, and sustainable development’, </w:t>
      </w:r>
      <w:r w:rsidRPr="0027240D">
        <w:rPr>
          <w:rFonts w:ascii="Arial" w:hAnsi="Arial" w:cs="Arial"/>
          <w:i/>
          <w:iCs/>
          <w:sz w:val="22"/>
          <w:szCs w:val="22"/>
        </w:rPr>
        <w:t>Sustainability</w:t>
      </w:r>
      <w:r w:rsidRPr="0027240D">
        <w:rPr>
          <w:rFonts w:ascii="Arial" w:hAnsi="Arial" w:cs="Arial"/>
          <w:sz w:val="22"/>
          <w:szCs w:val="22"/>
        </w:rPr>
        <w:t>, 17(5), p. 2188.</w:t>
      </w:r>
    </w:p>
    <w:p w:rsidRPr="0027240D" w:rsidR="00F1682A" w:rsidRDefault="0093019C" w14:paraId="7F43C2F1" w14:textId="77777777">
      <w:pPr>
        <w:spacing w:before="100" w:beforeAutospacing="1" w:after="100" w:afterAutospacing="1"/>
        <w:rPr>
          <w:rFonts w:ascii="Arial" w:hAnsi="Arial" w:cs="Arial"/>
          <w:sz w:val="22"/>
          <w:szCs w:val="22"/>
        </w:rPr>
      </w:pPr>
      <w:r w:rsidRPr="0027240D">
        <w:rPr>
          <w:rFonts w:ascii="Arial" w:hAnsi="Arial" w:cs="Arial"/>
          <w:sz w:val="22"/>
          <w:szCs w:val="22"/>
        </w:rPr>
        <w:t>Ganeshu, P., Fernando, T. and Keraminiyage, K. (2023) ‘Barriers to, and enablers for, stakeholder collaboration in risk-sensitive urban planning: a systematised literature review’, </w:t>
      </w:r>
      <w:r w:rsidRPr="0027240D">
        <w:rPr>
          <w:rFonts w:ascii="Arial" w:hAnsi="Arial" w:cs="Arial"/>
          <w:i/>
          <w:iCs/>
          <w:sz w:val="22"/>
          <w:szCs w:val="22"/>
        </w:rPr>
        <w:t>Sustainability</w:t>
      </w:r>
      <w:r w:rsidRPr="0027240D">
        <w:rPr>
          <w:rFonts w:ascii="Arial" w:hAnsi="Arial" w:cs="Arial"/>
          <w:sz w:val="22"/>
          <w:szCs w:val="22"/>
        </w:rPr>
        <w:t>, 15(5), p. 4600.</w:t>
      </w:r>
    </w:p>
    <w:p w:rsidRPr="0027240D" w:rsidR="00F1682A" w:rsidRDefault="0093019C" w14:paraId="659A82EC" w14:textId="5F1B1A4F">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 xml:space="preserve">GOV.UK. (n.d.) </w:t>
      </w:r>
      <w:r w:rsidRPr="0027240D">
        <w:rPr>
          <w:rFonts w:ascii="Arial" w:hAnsi="Arial" w:cs="Arial"/>
          <w:i/>
          <w:iCs/>
          <w:sz w:val="22"/>
          <w:szCs w:val="22"/>
          <w:lang w:val="en-IN"/>
        </w:rPr>
        <w:t>Regulating medical devices in the UK</w:t>
      </w:r>
      <w:r w:rsidRPr="0027240D">
        <w:rPr>
          <w:rFonts w:ascii="Arial" w:hAnsi="Arial" w:cs="Arial"/>
          <w:sz w:val="22"/>
          <w:szCs w:val="22"/>
          <w:lang w:val="en-IN"/>
        </w:rPr>
        <w:t>. 2025).</w:t>
      </w:r>
    </w:p>
    <w:p w:rsidRPr="0027240D" w:rsidR="00F1682A" w:rsidRDefault="0093019C" w14:paraId="739D7CCF" w14:textId="77777777">
      <w:pPr>
        <w:spacing w:before="100" w:beforeAutospacing="1" w:after="100" w:afterAutospacing="1"/>
        <w:rPr>
          <w:rFonts w:ascii="Arial" w:hAnsi="Arial" w:cs="Arial"/>
          <w:sz w:val="22"/>
          <w:szCs w:val="22"/>
        </w:rPr>
      </w:pPr>
      <w:r w:rsidRPr="0027240D">
        <w:rPr>
          <w:rFonts w:ascii="Arial" w:hAnsi="Arial" w:cs="Arial"/>
          <w:sz w:val="22"/>
          <w:szCs w:val="22"/>
        </w:rPr>
        <w:t>Homauni, A., Markazi-Moghaddam, N., Mosadeghkhah, A., Noori, M., Abbasiyan, K. and Jame, S.Z.B. (2023) ‘Budgeting in healthcare systems and organizations: a systematic review’, </w:t>
      </w:r>
      <w:r w:rsidRPr="0027240D">
        <w:rPr>
          <w:rFonts w:ascii="Arial" w:hAnsi="Arial" w:cs="Arial"/>
          <w:i/>
          <w:iCs/>
          <w:sz w:val="22"/>
          <w:szCs w:val="22"/>
        </w:rPr>
        <w:t>Iranian journal of public health</w:t>
      </w:r>
      <w:r w:rsidRPr="0027240D">
        <w:rPr>
          <w:rFonts w:ascii="Arial" w:hAnsi="Arial" w:cs="Arial"/>
          <w:sz w:val="22"/>
          <w:szCs w:val="22"/>
        </w:rPr>
        <w:t>, 52(9), p. 1889.</w:t>
      </w:r>
    </w:p>
    <w:p w:rsidR="0027240D" w:rsidRDefault="0093019C" w14:paraId="1BD41B48" w14:textId="6B787DA1">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HwB (2022) </w:t>
      </w:r>
      <w:r w:rsidRPr="0027240D">
        <w:rPr>
          <w:rFonts w:ascii="Arial" w:hAnsi="Arial" w:cs="Arial"/>
          <w:i/>
          <w:iCs/>
          <w:sz w:val="22"/>
          <w:szCs w:val="22"/>
          <w:lang w:val="en-IN"/>
        </w:rPr>
        <w:t xml:space="preserve">NHS Wales appoints CMR Surgical as partner in National Robotic Assisted Surgery programme | Life </w:t>
      </w:r>
      <w:r w:rsidRPr="0027240D">
        <w:rPr>
          <w:rFonts w:ascii="Arial" w:hAnsi="Arial" w:cs="Arial"/>
          <w:i/>
          <w:iCs/>
          <w:sz w:val="22"/>
          <w:szCs w:val="22"/>
          <w:lang w:val="en-IN"/>
        </w:rPr>
        <w:t>Sciences</w:t>
      </w:r>
      <w:r w:rsidRPr="0027240D" w:rsidR="009A647B">
        <w:rPr>
          <w:rFonts w:ascii="Arial" w:hAnsi="Arial" w:cs="Arial"/>
          <w:sz w:val="22"/>
          <w:szCs w:val="22"/>
          <w:lang w:val="en-IN"/>
        </w:rPr>
        <w:t>.</w:t>
      </w:r>
    </w:p>
    <w:p w:rsidRPr="0027240D" w:rsidR="0027240D" w:rsidP="0027240D" w:rsidRDefault="0027240D" w14:paraId="24B1B07C" w14:textId="77777777">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Atzori, L., Iera, A., &amp; Morabito, G. (2010). The Internet of Things: A survey. Computer Networks, 54(15), 2787–2805.</w:t>
      </w:r>
    </w:p>
    <w:p w:rsidRPr="0027240D" w:rsidR="0027240D" w:rsidP="0027240D" w:rsidRDefault="0027240D" w14:paraId="07E43B4F" w14:textId="4692C366">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Rghi, R., et al. (2025). Digital ecosystem transformation in healthcare robotics.</w:t>
      </w:r>
    </w:p>
    <w:p w:rsidR="00F1682A" w:rsidRDefault="0093019C" w14:paraId="123B4BE5" w14:textId="77777777">
      <w:pPr>
        <w:spacing w:before="100" w:beforeAutospacing="1" w:after="100" w:afterAutospacing="1"/>
        <w:rPr>
          <w:rFonts w:ascii="Arial" w:hAnsi="Arial" w:cs="Arial"/>
          <w:sz w:val="22"/>
          <w:szCs w:val="22"/>
        </w:rPr>
      </w:pPr>
      <w:r w:rsidRPr="0027240D">
        <w:rPr>
          <w:rFonts w:ascii="Arial" w:hAnsi="Arial" w:cs="Arial"/>
          <w:sz w:val="22"/>
          <w:szCs w:val="22"/>
        </w:rPr>
        <w:t>Lange, J., Rezepa, S. and Zatrochová, M. (2024) ‘The Role of Business Angels in the Early-Stage Financing of Startups: A Systematic Literature Review’, </w:t>
      </w:r>
      <w:r w:rsidRPr="0027240D">
        <w:rPr>
          <w:rFonts w:ascii="Arial" w:hAnsi="Arial" w:cs="Arial"/>
          <w:i/>
          <w:iCs/>
          <w:sz w:val="22"/>
          <w:szCs w:val="22"/>
        </w:rPr>
        <w:t>Administrative Sciences</w:t>
      </w:r>
      <w:r w:rsidRPr="0027240D">
        <w:rPr>
          <w:rFonts w:ascii="Arial" w:hAnsi="Arial" w:cs="Arial"/>
          <w:sz w:val="22"/>
          <w:szCs w:val="22"/>
        </w:rPr>
        <w:t>, 14(10), p. 247.</w:t>
      </w:r>
    </w:p>
    <w:p w:rsidRPr="00974EB0" w:rsidR="00974EB0" w:rsidP="76B16249" w:rsidRDefault="00974EB0" w14:paraId="7C9CF091" w14:textId="3192F6FF">
      <w:pPr>
        <w:spacing w:before="100" w:beforeAutospacing="on" w:after="100" w:afterAutospacing="on"/>
        <w:rPr>
          <w:rFonts w:ascii="Arial" w:hAnsi="Arial" w:cs="Arial"/>
          <w:sz w:val="22"/>
          <w:szCs w:val="22"/>
        </w:rPr>
      </w:pPr>
      <w:r w:rsidRPr="76B16249" w:rsidR="00974EB0">
        <w:rPr>
          <w:rFonts w:ascii="Arial" w:hAnsi="Arial" w:cs="Arial"/>
          <w:sz w:val="22"/>
          <w:szCs w:val="22"/>
        </w:rPr>
        <w:t xml:space="preserve">Gupta, A. (2013). Environment </w:t>
      </w:r>
      <w:r w:rsidRPr="76B16249" w:rsidR="64844515">
        <w:rPr>
          <w:rFonts w:ascii="Arial" w:hAnsi="Arial" w:cs="Arial"/>
          <w:sz w:val="22"/>
          <w:szCs w:val="22"/>
        </w:rPr>
        <w:t>and</w:t>
      </w:r>
      <w:r w:rsidRPr="76B16249" w:rsidR="00974EB0">
        <w:rPr>
          <w:rFonts w:ascii="Arial" w:hAnsi="Arial" w:cs="Arial"/>
          <w:sz w:val="22"/>
          <w:szCs w:val="22"/>
        </w:rPr>
        <w:t xml:space="preserve"> PEST Analysis: An Approach to External Business Environment. International Journal of Modern Social Sciences, 2(1), 34–43.</w:t>
      </w:r>
    </w:p>
    <w:p w:rsidRPr="00974EB0" w:rsidR="00974EB0" w:rsidP="00974EB0" w:rsidRDefault="00974EB0" w14:paraId="2BC5D899" w14:textId="1508A18F">
      <w:pPr>
        <w:spacing w:before="100" w:beforeAutospacing="1" w:after="100" w:afterAutospacing="1"/>
        <w:rPr>
          <w:rFonts w:ascii="Arial" w:hAnsi="Arial" w:cs="Arial"/>
          <w:sz w:val="22"/>
          <w:szCs w:val="22"/>
        </w:rPr>
      </w:pPr>
      <w:r w:rsidRPr="00974EB0">
        <w:rPr>
          <w:rFonts w:ascii="Arial" w:hAnsi="Arial" w:cs="Arial"/>
          <w:sz w:val="22"/>
          <w:szCs w:val="22"/>
        </w:rPr>
        <w:t>Yüksel, İ. (2012). Developing a multi-criteria decision-making model for PESTEL analysis. International Journal of Business and Management, 7(24), 52–66.</w:t>
      </w:r>
    </w:p>
    <w:p w:rsidRPr="0027240D" w:rsidR="0027240D" w:rsidP="00974EB0" w:rsidRDefault="00974EB0" w14:paraId="61EA94C2" w14:textId="6E4BCFC7">
      <w:pPr>
        <w:spacing w:before="100" w:beforeAutospacing="1" w:after="100" w:afterAutospacing="1"/>
        <w:rPr>
          <w:rFonts w:ascii="Arial" w:hAnsi="Arial" w:cs="Arial"/>
          <w:sz w:val="22"/>
          <w:szCs w:val="22"/>
        </w:rPr>
      </w:pPr>
      <w:r w:rsidRPr="00974EB0">
        <w:rPr>
          <w:rFonts w:ascii="Arial" w:hAnsi="Arial" w:cs="Arial"/>
          <w:sz w:val="22"/>
          <w:szCs w:val="22"/>
        </w:rPr>
        <w:t>Perera, R. (2017). The PESTLE analysis. Nerdynaut.</w:t>
      </w:r>
    </w:p>
    <w:p w:rsidRPr="0027240D" w:rsidR="00F1682A" w:rsidRDefault="0093019C" w14:paraId="07DB49F7" w14:textId="77777777">
      <w:pPr>
        <w:spacing w:before="100" w:beforeAutospacing="1" w:after="100" w:afterAutospacing="1"/>
        <w:rPr>
          <w:rFonts w:ascii="Arial" w:hAnsi="Arial" w:cs="Arial"/>
          <w:sz w:val="22"/>
          <w:szCs w:val="22"/>
        </w:rPr>
      </w:pPr>
      <w:r w:rsidRPr="0027240D">
        <w:rPr>
          <w:rFonts w:ascii="Arial" w:hAnsi="Arial" w:cs="Arial"/>
          <w:sz w:val="22"/>
          <w:szCs w:val="22"/>
        </w:rPr>
        <w:t>Lee, S.M. and Lee, D. (2021) ‘Opportunities and challenges for contactless healthcare services in the post-COVID-19 Era’, </w:t>
      </w:r>
      <w:r w:rsidRPr="0027240D">
        <w:rPr>
          <w:rFonts w:ascii="Arial" w:hAnsi="Arial" w:cs="Arial"/>
          <w:i/>
          <w:iCs/>
          <w:sz w:val="22"/>
          <w:szCs w:val="22"/>
        </w:rPr>
        <w:t>Technological Forecasting and Social Change</w:t>
      </w:r>
      <w:r w:rsidRPr="0027240D">
        <w:rPr>
          <w:rFonts w:ascii="Arial" w:hAnsi="Arial" w:cs="Arial"/>
          <w:sz w:val="22"/>
          <w:szCs w:val="22"/>
        </w:rPr>
        <w:t>, 167, p. 120712.</w:t>
      </w:r>
    </w:p>
    <w:p w:rsidRPr="0027240D" w:rsidR="00F1682A" w:rsidRDefault="0093019C" w14:paraId="02B13DEF" w14:textId="77777777">
      <w:pPr>
        <w:spacing w:before="100" w:beforeAutospacing="1" w:after="100" w:afterAutospacing="1"/>
        <w:rPr>
          <w:rFonts w:ascii="Arial" w:hAnsi="Arial" w:cs="Arial"/>
          <w:sz w:val="22"/>
          <w:szCs w:val="22"/>
        </w:rPr>
      </w:pPr>
      <w:r w:rsidRPr="0027240D">
        <w:rPr>
          <w:rFonts w:ascii="Arial" w:hAnsi="Arial" w:cs="Arial"/>
          <w:sz w:val="22"/>
          <w:szCs w:val="22"/>
        </w:rPr>
        <w:t xml:space="preserve">Lehtinen, J., Aaltonen, K. and Rajala, R. (2019) ‘Stakeholder </w:t>
      </w:r>
      <w:r w:rsidRPr="0027240D">
        <w:rPr>
          <w:rFonts w:ascii="Arial" w:hAnsi="Arial" w:cs="Arial"/>
          <w:sz w:val="22"/>
          <w:szCs w:val="22"/>
        </w:rPr>
        <w:t>management in complex product systems: Practices and rationales for engagement and disengagement’, </w:t>
      </w:r>
      <w:r w:rsidRPr="0027240D">
        <w:rPr>
          <w:rFonts w:ascii="Arial" w:hAnsi="Arial" w:cs="Arial"/>
          <w:i/>
          <w:iCs/>
          <w:sz w:val="22"/>
          <w:szCs w:val="22"/>
        </w:rPr>
        <w:t>Industrial marketing management</w:t>
      </w:r>
      <w:r w:rsidRPr="0027240D">
        <w:rPr>
          <w:rFonts w:ascii="Arial" w:hAnsi="Arial" w:cs="Arial"/>
          <w:sz w:val="22"/>
          <w:szCs w:val="22"/>
        </w:rPr>
        <w:t>, 79, pp. 58-70.</w:t>
      </w:r>
    </w:p>
    <w:p w:rsidRPr="0027240D" w:rsidR="00F1682A" w:rsidRDefault="0093019C" w14:paraId="64A1ABF3" w14:textId="7F92395C">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LinkedIn (2025) </w:t>
      </w:r>
      <w:r w:rsidRPr="0027240D">
        <w:rPr>
          <w:rFonts w:ascii="Arial" w:hAnsi="Arial" w:cs="Arial"/>
          <w:i/>
          <w:iCs/>
          <w:sz w:val="22"/>
          <w:szCs w:val="22"/>
          <w:lang w:val="en-IN"/>
        </w:rPr>
        <w:t>NHS England plans to expand Robotic Assisted Surgery with Versius: CMR Surgical posted on the topic</w:t>
      </w:r>
      <w:r w:rsidRPr="0027240D">
        <w:rPr>
          <w:rFonts w:ascii="Arial" w:hAnsi="Arial" w:cs="Arial"/>
          <w:sz w:val="22"/>
          <w:szCs w:val="22"/>
          <w:lang w:val="en-IN"/>
        </w:rPr>
        <w:t xml:space="preserve">. </w:t>
      </w:r>
    </w:p>
    <w:p w:rsidRPr="0027240D" w:rsidR="00F1682A" w:rsidRDefault="0093019C" w14:paraId="294E76FA" w14:textId="77777777">
      <w:pPr>
        <w:spacing w:before="100" w:beforeAutospacing="1" w:after="100" w:afterAutospacing="1"/>
        <w:rPr>
          <w:rFonts w:ascii="Arial" w:hAnsi="Arial" w:cs="Arial"/>
          <w:sz w:val="22"/>
          <w:szCs w:val="22"/>
        </w:rPr>
      </w:pPr>
      <w:r w:rsidRPr="0027240D">
        <w:rPr>
          <w:rFonts w:ascii="Arial" w:hAnsi="Arial" w:cs="Arial"/>
          <w:sz w:val="22"/>
          <w:szCs w:val="22"/>
        </w:rPr>
        <w:t>Natarajan, A. and Bhallamudi, S.M. (2023) ‘Implementation challenges for new projects and technologies’, </w:t>
      </w:r>
      <w:r w:rsidRPr="0027240D">
        <w:rPr>
          <w:rFonts w:ascii="Arial" w:hAnsi="Arial" w:cs="Arial"/>
          <w:i/>
          <w:iCs/>
          <w:sz w:val="22"/>
          <w:szCs w:val="22"/>
        </w:rPr>
        <w:t>Technological Solutions for Water Sustainability: Challenges and Prospects</w:t>
      </w:r>
      <w:r w:rsidRPr="0027240D">
        <w:rPr>
          <w:rFonts w:ascii="Arial" w:hAnsi="Arial" w:cs="Arial"/>
          <w:sz w:val="22"/>
          <w:szCs w:val="22"/>
        </w:rPr>
        <w:t>, p. 275.</w:t>
      </w:r>
    </w:p>
    <w:p w:rsidRPr="0027240D" w:rsidR="00F1682A" w:rsidRDefault="0093019C" w14:paraId="42371C4D" w14:textId="77777777">
      <w:pPr>
        <w:spacing w:before="100" w:beforeAutospacing="1" w:after="100" w:afterAutospacing="1"/>
        <w:rPr>
          <w:rFonts w:ascii="Arial" w:hAnsi="Arial" w:cs="Arial"/>
          <w:sz w:val="22"/>
          <w:szCs w:val="22"/>
        </w:rPr>
      </w:pPr>
      <w:r w:rsidRPr="0027240D">
        <w:rPr>
          <w:rFonts w:ascii="Arial" w:hAnsi="Arial" w:cs="Arial"/>
          <w:sz w:val="22"/>
          <w:szCs w:val="22"/>
        </w:rPr>
        <w:t xml:space="preserve">Osobajo, O.A., Oke, A., Ajimmy, M., Otitoju, A. and </w:t>
      </w:r>
      <w:r w:rsidRPr="0027240D">
        <w:rPr>
          <w:rFonts w:ascii="Arial" w:hAnsi="Arial" w:cs="Arial"/>
          <w:sz w:val="22"/>
          <w:szCs w:val="22"/>
        </w:rPr>
        <w:t>Adeyanju, G.C. (2023) ‘The role of culture in stakeholder engagement: Its implication for open innovation’, </w:t>
      </w:r>
      <w:r w:rsidRPr="0027240D">
        <w:rPr>
          <w:rFonts w:ascii="Arial" w:hAnsi="Arial" w:cs="Arial"/>
          <w:i/>
          <w:iCs/>
          <w:sz w:val="22"/>
          <w:szCs w:val="22"/>
        </w:rPr>
        <w:t>Journal of Open Innovation: Technology, Market, and Complexity</w:t>
      </w:r>
      <w:r w:rsidRPr="0027240D">
        <w:rPr>
          <w:rFonts w:ascii="Arial" w:hAnsi="Arial" w:cs="Arial"/>
          <w:sz w:val="22"/>
          <w:szCs w:val="22"/>
        </w:rPr>
        <w:t>, 9(2), p. 100058.</w:t>
      </w:r>
    </w:p>
    <w:p w:rsidRPr="0027240D" w:rsidR="00F1682A" w:rsidRDefault="0093019C" w14:paraId="57459AC0" w14:textId="77777777">
      <w:pPr>
        <w:spacing w:before="100" w:beforeAutospacing="1" w:after="100" w:afterAutospacing="1"/>
        <w:rPr>
          <w:rFonts w:ascii="Arial" w:hAnsi="Arial" w:cs="Arial"/>
          <w:sz w:val="22"/>
          <w:szCs w:val="22"/>
        </w:rPr>
      </w:pPr>
      <w:r w:rsidRPr="0027240D">
        <w:rPr>
          <w:rFonts w:ascii="Arial" w:hAnsi="Arial" w:cs="Arial"/>
          <w:sz w:val="22"/>
          <w:szCs w:val="22"/>
        </w:rPr>
        <w:t>Prebanić, K.R. and Vukomanović, M. (2023) ‘Exploring stakeholder engagement process as the success factor for infrastructure projects’, </w:t>
      </w:r>
      <w:r w:rsidRPr="0027240D">
        <w:rPr>
          <w:rFonts w:ascii="Arial" w:hAnsi="Arial" w:cs="Arial"/>
          <w:i/>
          <w:iCs/>
          <w:sz w:val="22"/>
          <w:szCs w:val="22"/>
        </w:rPr>
        <w:t>Buildings</w:t>
      </w:r>
      <w:r w:rsidRPr="0027240D">
        <w:rPr>
          <w:rFonts w:ascii="Arial" w:hAnsi="Arial" w:cs="Arial"/>
          <w:sz w:val="22"/>
          <w:szCs w:val="22"/>
        </w:rPr>
        <w:t>, 13(7), p. 1785.</w:t>
      </w:r>
    </w:p>
    <w:p w:rsidRPr="0027240D" w:rsidR="00F1682A" w:rsidRDefault="0093019C" w14:paraId="244E9D5B" w14:textId="77777777">
      <w:pPr>
        <w:spacing w:before="100" w:beforeAutospacing="1" w:after="100" w:afterAutospacing="1"/>
        <w:rPr>
          <w:rFonts w:ascii="Arial" w:hAnsi="Arial" w:cs="Arial"/>
          <w:sz w:val="22"/>
          <w:szCs w:val="22"/>
        </w:rPr>
      </w:pPr>
      <w:r w:rsidRPr="0027240D">
        <w:rPr>
          <w:rFonts w:ascii="Arial" w:hAnsi="Arial" w:cs="Arial"/>
          <w:sz w:val="22"/>
          <w:szCs w:val="22"/>
        </w:rPr>
        <w:t>Rabea, M. (2022) ‘Understanding the factors that impact the pre-launch phase and new product launch excellence in the pharmaceutical industry’, </w:t>
      </w:r>
      <w:r w:rsidRPr="0027240D">
        <w:rPr>
          <w:rFonts w:ascii="Arial" w:hAnsi="Arial" w:cs="Arial"/>
          <w:i/>
          <w:iCs/>
          <w:sz w:val="22"/>
          <w:szCs w:val="22"/>
        </w:rPr>
        <w:t>American Journal of Industrial and Business Management</w:t>
      </w:r>
      <w:r w:rsidRPr="0027240D">
        <w:rPr>
          <w:rFonts w:ascii="Arial" w:hAnsi="Arial" w:cs="Arial"/>
          <w:sz w:val="22"/>
          <w:szCs w:val="22"/>
        </w:rPr>
        <w:t>, 12(1), pp. 88-122.</w:t>
      </w:r>
    </w:p>
    <w:p w:rsidR="00F1682A" w:rsidRDefault="0093019C" w14:paraId="76F76B38" w14:textId="77777777">
      <w:pPr>
        <w:spacing w:before="100" w:beforeAutospacing="1" w:after="100" w:afterAutospacing="1"/>
        <w:rPr>
          <w:rFonts w:ascii="Arial" w:hAnsi="Arial" w:cs="Arial"/>
          <w:sz w:val="22"/>
          <w:szCs w:val="22"/>
        </w:rPr>
      </w:pPr>
      <w:r w:rsidRPr="0027240D">
        <w:rPr>
          <w:rFonts w:ascii="Arial" w:hAnsi="Arial" w:cs="Arial"/>
          <w:sz w:val="22"/>
          <w:szCs w:val="22"/>
        </w:rPr>
        <w:t>Righi, I., Nosotti, M., Brivio, M., Cattaneo, M. and Rosso, L. (2025) ‘Implementation of a new modular robotic platform in anatomic lung resection with a triportal robotic-assisted technique: Technical issues’, </w:t>
      </w:r>
      <w:r w:rsidRPr="0027240D">
        <w:rPr>
          <w:rFonts w:ascii="Arial" w:hAnsi="Arial" w:cs="Arial"/>
          <w:i/>
          <w:iCs/>
          <w:sz w:val="22"/>
          <w:szCs w:val="22"/>
        </w:rPr>
        <w:t>JTCVS techniques</w:t>
      </w:r>
      <w:r w:rsidRPr="0027240D">
        <w:rPr>
          <w:rFonts w:ascii="Arial" w:hAnsi="Arial" w:cs="Arial"/>
          <w:sz w:val="22"/>
          <w:szCs w:val="22"/>
        </w:rPr>
        <w:t>, 29, pp. 167-172.</w:t>
      </w:r>
    </w:p>
    <w:p w:rsidRPr="00974EB0" w:rsidR="00974EB0" w:rsidP="00974EB0" w:rsidRDefault="00974EB0" w14:paraId="2A2BCF00" w14:textId="77777777">
      <w:pPr>
        <w:spacing w:before="100" w:beforeAutospacing="1" w:after="100" w:afterAutospacing="1"/>
        <w:rPr>
          <w:rFonts w:ascii="Arial" w:hAnsi="Arial" w:cs="Arial"/>
          <w:sz w:val="22"/>
          <w:szCs w:val="22"/>
        </w:rPr>
      </w:pPr>
      <w:r w:rsidRPr="00974EB0">
        <w:rPr>
          <w:rFonts w:ascii="Arial" w:hAnsi="Arial" w:cs="Arial"/>
          <w:sz w:val="22"/>
          <w:szCs w:val="22"/>
        </w:rPr>
        <w:t>Gürel, E., &amp; Tat, M. (2017). SWOT Analysis: A theoretical review. Journal of International Social Research, 10(51), 994–1006.</w:t>
      </w:r>
    </w:p>
    <w:p w:rsidRPr="00974EB0" w:rsidR="00974EB0" w:rsidP="00974EB0" w:rsidRDefault="00974EB0" w14:paraId="6DB108A4" w14:textId="01C80259">
      <w:pPr>
        <w:spacing w:before="100" w:beforeAutospacing="1" w:after="100" w:afterAutospacing="1"/>
        <w:rPr>
          <w:rFonts w:ascii="Arial" w:hAnsi="Arial" w:cs="Arial"/>
          <w:sz w:val="22"/>
          <w:szCs w:val="22"/>
        </w:rPr>
      </w:pPr>
      <w:r w:rsidRPr="00974EB0">
        <w:rPr>
          <w:rFonts w:ascii="Arial" w:hAnsi="Arial" w:cs="Arial"/>
          <w:sz w:val="22"/>
          <w:szCs w:val="22"/>
        </w:rPr>
        <w:t>Helms, M. M., &amp; Nixon, J. (2010). Exploring SWOT analysis – where are we now? Journal of Strategy and Management, 3(3), 215–251.</w:t>
      </w:r>
    </w:p>
    <w:p w:rsidRPr="0027240D" w:rsidR="00974EB0" w:rsidP="00974EB0" w:rsidRDefault="00974EB0" w14:paraId="55809E56" w14:textId="6729DD50">
      <w:pPr>
        <w:spacing w:before="100" w:beforeAutospacing="1" w:after="100" w:afterAutospacing="1"/>
        <w:rPr>
          <w:rFonts w:ascii="Arial" w:hAnsi="Arial" w:cs="Arial"/>
          <w:sz w:val="22"/>
          <w:szCs w:val="22"/>
        </w:rPr>
      </w:pPr>
      <w:r w:rsidRPr="00974EB0">
        <w:rPr>
          <w:rFonts w:ascii="Arial" w:hAnsi="Arial" w:cs="Arial"/>
          <w:sz w:val="22"/>
          <w:szCs w:val="22"/>
        </w:rPr>
        <w:t>Phadermrod, B., Crowder, R. M., &amp; Wills, G. B. (2019). Importance-performance analysis-based SWOT analysis. International Journal of Information Management, 44, 194–203.</w:t>
      </w:r>
    </w:p>
    <w:p w:rsidRPr="0027240D" w:rsidR="00F1682A" w:rsidRDefault="0093019C" w14:paraId="0CD94845" w14:textId="77777777">
      <w:pPr>
        <w:spacing w:before="100" w:beforeAutospacing="1" w:after="100" w:afterAutospacing="1"/>
        <w:rPr>
          <w:rFonts w:ascii="Arial" w:hAnsi="Arial" w:cs="Arial"/>
          <w:sz w:val="22"/>
          <w:szCs w:val="22"/>
        </w:rPr>
      </w:pPr>
      <w:r w:rsidRPr="0027240D">
        <w:rPr>
          <w:rFonts w:ascii="Arial" w:hAnsi="Arial" w:cs="Arial"/>
          <w:sz w:val="22"/>
          <w:szCs w:val="22"/>
        </w:rPr>
        <w:t>Rohini, M., Gowthamani, R., Priyadharshini, M.I. and Surendran, D. (2023) ‘Digital transformation technology and tools: shaping the future of primary health care’, </w:t>
      </w:r>
      <w:r w:rsidRPr="0027240D">
        <w:rPr>
          <w:rFonts w:ascii="Arial" w:hAnsi="Arial" w:cs="Arial"/>
          <w:i/>
          <w:iCs/>
          <w:sz w:val="22"/>
          <w:szCs w:val="22"/>
        </w:rPr>
        <w:t>Quantum Computing and Artificial Intelligence: Training Machine and Deep Learning Algorithms on Quantum Computers</w:t>
      </w:r>
      <w:r w:rsidRPr="0027240D">
        <w:rPr>
          <w:rFonts w:ascii="Arial" w:hAnsi="Arial" w:cs="Arial"/>
          <w:sz w:val="22"/>
          <w:szCs w:val="22"/>
        </w:rPr>
        <w:t>, 1.</w:t>
      </w:r>
    </w:p>
    <w:p w:rsidRPr="0027240D" w:rsidR="00F1682A" w:rsidRDefault="0093019C" w14:paraId="06B63B8A" w14:textId="77777777">
      <w:pPr>
        <w:spacing w:before="100" w:beforeAutospacing="1" w:after="100" w:afterAutospacing="1"/>
        <w:rPr>
          <w:rFonts w:ascii="Arial" w:hAnsi="Arial" w:cs="Arial"/>
          <w:sz w:val="22"/>
          <w:szCs w:val="22"/>
        </w:rPr>
      </w:pPr>
      <w:r w:rsidRPr="0027240D">
        <w:rPr>
          <w:rFonts w:ascii="Arial" w:hAnsi="Arial" w:cs="Arial"/>
          <w:sz w:val="22"/>
          <w:szCs w:val="22"/>
        </w:rPr>
        <w:t>Sahi, G.K., Mahajan, R. and Jones, P. (2024) ‘Strategic imperatives for new product success: An internal stakeholder perspective’, </w:t>
      </w:r>
      <w:r w:rsidRPr="0027240D">
        <w:rPr>
          <w:rFonts w:ascii="Arial" w:hAnsi="Arial" w:cs="Arial"/>
          <w:i/>
          <w:iCs/>
          <w:sz w:val="22"/>
          <w:szCs w:val="22"/>
        </w:rPr>
        <w:t>Journal of Innovation &amp; Knowledge</w:t>
      </w:r>
      <w:r w:rsidRPr="0027240D">
        <w:rPr>
          <w:rFonts w:ascii="Arial" w:hAnsi="Arial" w:cs="Arial"/>
          <w:sz w:val="22"/>
          <w:szCs w:val="22"/>
        </w:rPr>
        <w:t>, 9(1), p. 100467.</w:t>
      </w:r>
    </w:p>
    <w:p w:rsidRPr="0027240D" w:rsidR="00F1682A" w:rsidRDefault="0093019C" w14:paraId="1816C0A7" w14:textId="77777777">
      <w:pPr>
        <w:spacing w:before="100" w:beforeAutospacing="1" w:after="100" w:afterAutospacing="1"/>
        <w:rPr>
          <w:rFonts w:ascii="Arial" w:hAnsi="Arial" w:cs="Arial"/>
          <w:sz w:val="22"/>
          <w:szCs w:val="22"/>
          <w:lang w:val="en-IN"/>
        </w:rPr>
      </w:pPr>
      <w:r w:rsidRPr="0027240D">
        <w:rPr>
          <w:rFonts w:ascii="Arial" w:hAnsi="Arial" w:cs="Arial"/>
          <w:sz w:val="22"/>
          <w:szCs w:val="22"/>
        </w:rPr>
        <w:t xml:space="preserve">Seppänen, S., Ukko, J. and Saunila, M. (2025) ‘Understanding determinants of </w:t>
      </w:r>
      <w:r w:rsidRPr="0027240D">
        <w:rPr>
          <w:rFonts w:ascii="Arial" w:hAnsi="Arial" w:cs="Arial"/>
          <w:sz w:val="22"/>
          <w:szCs w:val="22"/>
        </w:rPr>
        <w:t>digital transformation and digitizing management functions in incumbent SMEs’, </w:t>
      </w:r>
      <w:r w:rsidRPr="0027240D">
        <w:rPr>
          <w:rFonts w:ascii="Arial" w:hAnsi="Arial" w:cs="Arial"/>
          <w:i/>
          <w:iCs/>
          <w:sz w:val="22"/>
          <w:szCs w:val="22"/>
        </w:rPr>
        <w:t>Digital Business</w:t>
      </w:r>
      <w:r w:rsidRPr="0027240D">
        <w:rPr>
          <w:rFonts w:ascii="Arial" w:hAnsi="Arial" w:cs="Arial"/>
          <w:sz w:val="22"/>
          <w:szCs w:val="22"/>
        </w:rPr>
        <w:t>, 5(1), p. 100106.</w:t>
      </w:r>
    </w:p>
    <w:p w:rsidRPr="0027240D" w:rsidR="00F1682A" w:rsidRDefault="0093019C" w14:paraId="3BE97DE4" w14:textId="77777777">
      <w:pPr>
        <w:spacing w:before="100" w:beforeAutospacing="1" w:after="100" w:afterAutospacing="1"/>
        <w:rPr>
          <w:rFonts w:ascii="Arial" w:hAnsi="Arial" w:cs="Arial"/>
          <w:sz w:val="22"/>
          <w:szCs w:val="22"/>
        </w:rPr>
      </w:pPr>
      <w:r w:rsidRPr="0027240D">
        <w:rPr>
          <w:rFonts w:ascii="Arial" w:hAnsi="Arial" w:cs="Arial"/>
          <w:sz w:val="22"/>
          <w:szCs w:val="22"/>
        </w:rPr>
        <w:t>Shevchenko, M., Buhaiova, M. and Lysa, S. (2023) ‘THE ROLE OF DIGITAL MARKETING IN PROMOTING GOODS AND SERVICES: NEW OPPORTUNITIES AND CHALLENGES’, </w:t>
      </w:r>
      <w:r w:rsidRPr="0027240D">
        <w:rPr>
          <w:rFonts w:ascii="Arial" w:hAnsi="Arial" w:cs="Arial"/>
          <w:i/>
          <w:iCs/>
          <w:sz w:val="22"/>
          <w:szCs w:val="22"/>
        </w:rPr>
        <w:t>SWorldJournal</w:t>
      </w:r>
      <w:r w:rsidRPr="0027240D">
        <w:rPr>
          <w:rFonts w:ascii="Arial" w:hAnsi="Arial" w:cs="Arial"/>
          <w:sz w:val="22"/>
          <w:szCs w:val="22"/>
        </w:rPr>
        <w:t>, (19-02), pp. 64-74.</w:t>
      </w:r>
    </w:p>
    <w:p w:rsidRPr="0027240D" w:rsidR="00F1682A" w:rsidRDefault="0093019C" w14:paraId="078F68A7" w14:textId="10791338">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SMG (2025) </w:t>
      </w:r>
      <w:r w:rsidRPr="0027240D">
        <w:rPr>
          <w:rFonts w:ascii="Arial" w:hAnsi="Arial" w:cs="Arial"/>
          <w:i/>
          <w:iCs/>
          <w:sz w:val="22"/>
          <w:szCs w:val="22"/>
          <w:lang w:val="en-IN"/>
        </w:rPr>
        <w:t>CMR Surgical Considers Potential $4 Billion Sale Amid Global Expansion of Versius Robot</w:t>
      </w:r>
      <w:r w:rsidRPr="0027240D" w:rsidR="0027240D">
        <w:rPr>
          <w:rFonts w:ascii="Arial" w:hAnsi="Arial" w:cs="Arial"/>
          <w:sz w:val="22"/>
          <w:szCs w:val="22"/>
          <w:lang w:val="en-IN"/>
        </w:rPr>
        <w:t>.</w:t>
      </w:r>
    </w:p>
    <w:p w:rsidRPr="0027240D" w:rsidR="00F1682A" w:rsidRDefault="0093019C" w14:paraId="23AE7376" w14:textId="77777777">
      <w:pPr>
        <w:spacing w:before="100" w:beforeAutospacing="1" w:after="100" w:afterAutospacing="1"/>
        <w:rPr>
          <w:rFonts w:ascii="Arial" w:hAnsi="Arial" w:cs="Arial"/>
          <w:sz w:val="22"/>
          <w:szCs w:val="22"/>
        </w:rPr>
      </w:pPr>
      <w:r w:rsidRPr="0027240D">
        <w:rPr>
          <w:rFonts w:ascii="Arial" w:hAnsi="Arial" w:cs="Arial"/>
          <w:sz w:val="22"/>
          <w:szCs w:val="22"/>
        </w:rPr>
        <w:t>Suvvari, S.K. and Saxena, V.D. (2023) ‘Stakeholder management in projects: Strategies for effective communication’, </w:t>
      </w:r>
      <w:r w:rsidRPr="0027240D">
        <w:rPr>
          <w:rFonts w:ascii="Arial" w:hAnsi="Arial" w:cs="Arial"/>
          <w:i/>
          <w:iCs/>
          <w:sz w:val="22"/>
          <w:szCs w:val="22"/>
        </w:rPr>
        <w:t>Innovative Research Thoughts</w:t>
      </w:r>
      <w:r w:rsidRPr="0027240D">
        <w:rPr>
          <w:rFonts w:ascii="Arial" w:hAnsi="Arial" w:cs="Arial"/>
          <w:sz w:val="22"/>
          <w:szCs w:val="22"/>
        </w:rPr>
        <w:t>, 9(5), pp. 188-201.</w:t>
      </w:r>
    </w:p>
    <w:p w:rsidRPr="0027240D" w:rsidR="00F1682A" w:rsidRDefault="0093019C" w14:paraId="76903075" w14:textId="77777777">
      <w:pPr>
        <w:spacing w:before="100" w:beforeAutospacing="1" w:after="100" w:afterAutospacing="1"/>
        <w:rPr>
          <w:rFonts w:ascii="Arial" w:hAnsi="Arial" w:cs="Arial"/>
          <w:sz w:val="22"/>
          <w:szCs w:val="22"/>
        </w:rPr>
      </w:pPr>
      <w:r w:rsidRPr="0027240D">
        <w:rPr>
          <w:rFonts w:ascii="Arial" w:hAnsi="Arial" w:cs="Arial"/>
          <w:sz w:val="22"/>
          <w:szCs w:val="22"/>
        </w:rPr>
        <w:t>Syamil, A., Samosir, J.M. and Heriyati, P. (2021) ‘The impact of project performance on customer satisfaction’, </w:t>
      </w:r>
      <w:r w:rsidRPr="0027240D">
        <w:rPr>
          <w:rFonts w:ascii="Arial" w:hAnsi="Arial" w:cs="Arial"/>
          <w:i/>
          <w:iCs/>
          <w:sz w:val="22"/>
          <w:szCs w:val="22"/>
        </w:rPr>
        <w:t>Turkish Journal of Computer and Mathematics Education</w:t>
      </w:r>
      <w:r w:rsidRPr="0027240D">
        <w:rPr>
          <w:rFonts w:ascii="Arial" w:hAnsi="Arial" w:cs="Arial"/>
          <w:sz w:val="22"/>
          <w:szCs w:val="22"/>
        </w:rPr>
        <w:t>, 12(3), pp. 5658-5668.</w:t>
      </w:r>
    </w:p>
    <w:p w:rsidRPr="0027240D" w:rsidR="00F1682A" w:rsidRDefault="0093019C" w14:paraId="149FFA5C" w14:textId="0FE2F9E1">
      <w:pPr>
        <w:spacing w:before="100" w:beforeAutospacing="1" w:after="100" w:afterAutospacing="1"/>
        <w:rPr>
          <w:rFonts w:ascii="Arial" w:hAnsi="Arial" w:cs="Arial"/>
          <w:sz w:val="22"/>
          <w:szCs w:val="22"/>
          <w:lang w:val="en-IN"/>
        </w:rPr>
      </w:pPr>
      <w:r w:rsidRPr="0027240D">
        <w:rPr>
          <w:rFonts w:ascii="Arial" w:hAnsi="Arial" w:cs="Arial"/>
          <w:sz w:val="22"/>
          <w:szCs w:val="22"/>
          <w:lang w:val="en-IN"/>
        </w:rPr>
        <w:t xml:space="preserve">Trinity Capital Inc. (2025) </w:t>
      </w:r>
      <w:r w:rsidRPr="0027240D">
        <w:rPr>
          <w:rFonts w:ascii="Arial" w:hAnsi="Arial" w:cs="Arial"/>
          <w:i/>
          <w:iCs/>
          <w:sz w:val="22"/>
          <w:szCs w:val="22"/>
          <w:lang w:val="en-IN"/>
        </w:rPr>
        <w:t>Trinity Capital Inc. Provides $68.75 Million in Growth Capital to CMR Surgical.</w:t>
      </w:r>
      <w:r w:rsidRPr="0027240D">
        <w:rPr>
          <w:rFonts w:ascii="Arial" w:hAnsi="Arial" w:cs="Arial"/>
          <w:sz w:val="22"/>
          <w:szCs w:val="22"/>
          <w:lang w:val="en-IN"/>
        </w:rPr>
        <w:t> </w:t>
      </w:r>
    </w:p>
    <w:p w:rsidRPr="0027240D" w:rsidR="00F1682A" w:rsidRDefault="00F1682A" w14:paraId="585446A8" w14:textId="77777777">
      <w:pPr>
        <w:spacing w:before="100" w:beforeAutospacing="1" w:after="100" w:afterAutospacing="1"/>
        <w:rPr>
          <w:rFonts w:ascii="Arial" w:hAnsi="Arial" w:cs="Arial"/>
          <w:sz w:val="22"/>
          <w:szCs w:val="22"/>
          <w:lang w:val="en-IN"/>
        </w:rPr>
      </w:pPr>
    </w:p>
    <w:p w:rsidRPr="0027240D" w:rsidR="00F1682A" w:rsidRDefault="00F1682A" w14:paraId="34276D74" w14:textId="77777777">
      <w:pPr>
        <w:spacing w:before="100" w:beforeAutospacing="1" w:after="100" w:afterAutospacing="1"/>
        <w:rPr>
          <w:rFonts w:ascii="Arial" w:hAnsi="Arial" w:cs="Arial"/>
          <w:sz w:val="22"/>
          <w:szCs w:val="22"/>
        </w:rPr>
      </w:pPr>
    </w:p>
    <w:sectPr w:rsidRPr="0027240D" w:rsidR="00F1682A">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A4182" w:rsidRDefault="00FA4182" w14:paraId="5DC2A8D9" w14:textId="77777777">
      <w:pPr>
        <w:spacing w:line="240" w:lineRule="auto"/>
      </w:pPr>
      <w:r>
        <w:separator/>
      </w:r>
    </w:p>
  </w:endnote>
  <w:endnote w:type="continuationSeparator" w:id="0">
    <w:p w:rsidR="00FA4182" w:rsidRDefault="00FA4182" w14:paraId="637C1A4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4264363"/>
      <w:docPartObj>
        <w:docPartGallery w:val="AutoText"/>
      </w:docPartObj>
    </w:sdtPr>
    <w:sdtEndPr/>
    <w:sdtContent>
      <w:p w:rsidR="00F1682A" w:rsidRDefault="0093019C" w14:paraId="03C2D3B4" w14:textId="77777777">
        <w:pPr>
          <w:pStyle w:val="Subsol"/>
          <w:jc w:val="right"/>
        </w:pPr>
        <w:r>
          <w:fldChar w:fldCharType="begin"/>
        </w:r>
        <w:r>
          <w:instrText xml:space="preserve"> PAGE   \* MERGEFORMAT </w:instrText>
        </w:r>
        <w:r>
          <w:fldChar w:fldCharType="separate"/>
        </w:r>
        <w:r>
          <w:t>2</w:t>
        </w:r>
        <w:r>
          <w:fldChar w:fldCharType="end"/>
        </w:r>
      </w:p>
    </w:sdtContent>
  </w:sdt>
  <w:p w:rsidR="00F1682A" w:rsidRDefault="00F1682A" w14:paraId="6440543D"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A4182" w:rsidRDefault="00FA4182" w14:paraId="482392B3" w14:textId="77777777">
      <w:pPr>
        <w:spacing w:after="0"/>
      </w:pPr>
      <w:r>
        <w:separator/>
      </w:r>
    </w:p>
  </w:footnote>
  <w:footnote w:type="continuationSeparator" w:id="0">
    <w:p w:rsidR="00FA4182" w:rsidRDefault="00FA4182" w14:paraId="2FAC41C6" w14:textId="7777777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
    <w:nsid w:val="13f3b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AA3061"/>
    <w:multiLevelType w:val="multilevel"/>
    <w:tmpl w:val="0BAA3061"/>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1FD90946"/>
    <w:multiLevelType w:val="multilevel"/>
    <w:tmpl w:val="1FD90946"/>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 w15:restartNumberingAfterBreak="0">
    <w:nsid w:val="24451E06"/>
    <w:multiLevelType w:val="multilevel"/>
    <w:tmpl w:val="24451E06"/>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24D94310"/>
    <w:multiLevelType w:val="multilevel"/>
    <w:tmpl w:val="24D9431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4" w15:restartNumberingAfterBreak="0">
    <w:nsid w:val="49353D4D"/>
    <w:multiLevelType w:val="multilevel"/>
    <w:tmpl w:val="49353D4D"/>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5" w15:restartNumberingAfterBreak="0">
    <w:nsid w:val="5ADC6E1A"/>
    <w:multiLevelType w:val="multilevel"/>
    <w:tmpl w:val="5ADC6E1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6" w15:restartNumberingAfterBreak="0">
    <w:nsid w:val="71087E70"/>
    <w:multiLevelType w:val="multilevel"/>
    <w:tmpl w:val="71087E7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8">
    <w:abstractNumId w:val="7"/>
  </w:num>
  <w:num w:numId="1" w16cid:durableId="1458643494">
    <w:abstractNumId w:val="1"/>
  </w:num>
  <w:num w:numId="2" w16cid:durableId="259872455">
    <w:abstractNumId w:val="6"/>
  </w:num>
  <w:num w:numId="3" w16cid:durableId="193811448">
    <w:abstractNumId w:val="3"/>
  </w:num>
  <w:num w:numId="4" w16cid:durableId="831528552">
    <w:abstractNumId w:val="2"/>
  </w:num>
  <w:num w:numId="5" w16cid:durableId="960919629">
    <w:abstractNumId w:val="0"/>
  </w:num>
  <w:num w:numId="6" w16cid:durableId="45154342">
    <w:abstractNumId w:val="4"/>
  </w:num>
  <w:num w:numId="7" w16cid:durableId="12604859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21E"/>
    <w:rsid w:val="00000F98"/>
    <w:rsid w:val="00001042"/>
    <w:rsid w:val="000079EF"/>
    <w:rsid w:val="000109BB"/>
    <w:rsid w:val="00012F3B"/>
    <w:rsid w:val="00014E3C"/>
    <w:rsid w:val="000151AC"/>
    <w:rsid w:val="000302E2"/>
    <w:rsid w:val="000307C4"/>
    <w:rsid w:val="00056282"/>
    <w:rsid w:val="000638AB"/>
    <w:rsid w:val="00077FDD"/>
    <w:rsid w:val="00085CBB"/>
    <w:rsid w:val="00092BC7"/>
    <w:rsid w:val="000B40DA"/>
    <w:rsid w:val="000B6E5E"/>
    <w:rsid w:val="000D5531"/>
    <w:rsid w:val="000F140E"/>
    <w:rsid w:val="000F2C1E"/>
    <w:rsid w:val="00112818"/>
    <w:rsid w:val="00114D9C"/>
    <w:rsid w:val="00120E3A"/>
    <w:rsid w:val="00132678"/>
    <w:rsid w:val="00136237"/>
    <w:rsid w:val="00141942"/>
    <w:rsid w:val="00143838"/>
    <w:rsid w:val="00145DCA"/>
    <w:rsid w:val="001500F4"/>
    <w:rsid w:val="00151998"/>
    <w:rsid w:val="0016458F"/>
    <w:rsid w:val="0017091E"/>
    <w:rsid w:val="00190A5F"/>
    <w:rsid w:val="0019191C"/>
    <w:rsid w:val="001B2BB6"/>
    <w:rsid w:val="001B57CD"/>
    <w:rsid w:val="001C0FEF"/>
    <w:rsid w:val="001C34A0"/>
    <w:rsid w:val="001C3B3E"/>
    <w:rsid w:val="001D00A5"/>
    <w:rsid w:val="001D0F9B"/>
    <w:rsid w:val="001D1C0B"/>
    <w:rsid w:val="001D2708"/>
    <w:rsid w:val="001D2DE0"/>
    <w:rsid w:val="001D4915"/>
    <w:rsid w:val="001E0D4E"/>
    <w:rsid w:val="001E37FF"/>
    <w:rsid w:val="002060B8"/>
    <w:rsid w:val="002233D4"/>
    <w:rsid w:val="00224A8F"/>
    <w:rsid w:val="00225EF8"/>
    <w:rsid w:val="002276F4"/>
    <w:rsid w:val="00230F76"/>
    <w:rsid w:val="0023472C"/>
    <w:rsid w:val="00240ECD"/>
    <w:rsid w:val="00242950"/>
    <w:rsid w:val="00245C57"/>
    <w:rsid w:val="002541AF"/>
    <w:rsid w:val="0027240D"/>
    <w:rsid w:val="00284976"/>
    <w:rsid w:val="00293370"/>
    <w:rsid w:val="00294F52"/>
    <w:rsid w:val="002979BC"/>
    <w:rsid w:val="002B2F49"/>
    <w:rsid w:val="002C7F89"/>
    <w:rsid w:val="00302DF6"/>
    <w:rsid w:val="00310ACF"/>
    <w:rsid w:val="00315E44"/>
    <w:rsid w:val="00320408"/>
    <w:rsid w:val="00327E8D"/>
    <w:rsid w:val="003317B9"/>
    <w:rsid w:val="00347119"/>
    <w:rsid w:val="00347DF3"/>
    <w:rsid w:val="00361865"/>
    <w:rsid w:val="003622BE"/>
    <w:rsid w:val="003761AA"/>
    <w:rsid w:val="003822C8"/>
    <w:rsid w:val="003834DE"/>
    <w:rsid w:val="003857BC"/>
    <w:rsid w:val="0039003F"/>
    <w:rsid w:val="00395618"/>
    <w:rsid w:val="003A3F46"/>
    <w:rsid w:val="003B08FC"/>
    <w:rsid w:val="003B146C"/>
    <w:rsid w:val="003B28D2"/>
    <w:rsid w:val="003C6FA3"/>
    <w:rsid w:val="003D43D4"/>
    <w:rsid w:val="003D5BF3"/>
    <w:rsid w:val="003D7C12"/>
    <w:rsid w:val="003E5BEB"/>
    <w:rsid w:val="003E6DED"/>
    <w:rsid w:val="003F11D6"/>
    <w:rsid w:val="00401EEF"/>
    <w:rsid w:val="004170C5"/>
    <w:rsid w:val="00422362"/>
    <w:rsid w:val="0042250E"/>
    <w:rsid w:val="00431A80"/>
    <w:rsid w:val="004333C0"/>
    <w:rsid w:val="004360A1"/>
    <w:rsid w:val="00450915"/>
    <w:rsid w:val="00456EF0"/>
    <w:rsid w:val="00460A6A"/>
    <w:rsid w:val="004657A4"/>
    <w:rsid w:val="00477C1A"/>
    <w:rsid w:val="00480CF5"/>
    <w:rsid w:val="004867FA"/>
    <w:rsid w:val="004A5779"/>
    <w:rsid w:val="004B54A3"/>
    <w:rsid w:val="004B7B5D"/>
    <w:rsid w:val="004C3D1F"/>
    <w:rsid w:val="004D047D"/>
    <w:rsid w:val="004D1060"/>
    <w:rsid w:val="004D1BD7"/>
    <w:rsid w:val="004E79FF"/>
    <w:rsid w:val="004F588B"/>
    <w:rsid w:val="004F77F5"/>
    <w:rsid w:val="005105AC"/>
    <w:rsid w:val="00524009"/>
    <w:rsid w:val="0052421E"/>
    <w:rsid w:val="00525435"/>
    <w:rsid w:val="00531C49"/>
    <w:rsid w:val="00533344"/>
    <w:rsid w:val="00535786"/>
    <w:rsid w:val="00542635"/>
    <w:rsid w:val="00542C46"/>
    <w:rsid w:val="0055252A"/>
    <w:rsid w:val="005557F7"/>
    <w:rsid w:val="005635B7"/>
    <w:rsid w:val="00564581"/>
    <w:rsid w:val="00565CFB"/>
    <w:rsid w:val="0057068E"/>
    <w:rsid w:val="005776B1"/>
    <w:rsid w:val="005878C5"/>
    <w:rsid w:val="00593B28"/>
    <w:rsid w:val="00594EE3"/>
    <w:rsid w:val="005B2CA2"/>
    <w:rsid w:val="005B5179"/>
    <w:rsid w:val="005D3570"/>
    <w:rsid w:val="005D3DDD"/>
    <w:rsid w:val="005E654C"/>
    <w:rsid w:val="005F45F5"/>
    <w:rsid w:val="005F4FE7"/>
    <w:rsid w:val="006060AB"/>
    <w:rsid w:val="00606A30"/>
    <w:rsid w:val="00607C27"/>
    <w:rsid w:val="0061118E"/>
    <w:rsid w:val="0061133C"/>
    <w:rsid w:val="00617701"/>
    <w:rsid w:val="006217BB"/>
    <w:rsid w:val="00625229"/>
    <w:rsid w:val="00627808"/>
    <w:rsid w:val="006417F3"/>
    <w:rsid w:val="00655A85"/>
    <w:rsid w:val="006636D6"/>
    <w:rsid w:val="0068638B"/>
    <w:rsid w:val="00690992"/>
    <w:rsid w:val="006A39FB"/>
    <w:rsid w:val="006B6C82"/>
    <w:rsid w:val="006D4A29"/>
    <w:rsid w:val="006F7D23"/>
    <w:rsid w:val="00704C05"/>
    <w:rsid w:val="00705AC3"/>
    <w:rsid w:val="007072A5"/>
    <w:rsid w:val="00711834"/>
    <w:rsid w:val="00712802"/>
    <w:rsid w:val="007208D7"/>
    <w:rsid w:val="0072553F"/>
    <w:rsid w:val="00734DE2"/>
    <w:rsid w:val="00754522"/>
    <w:rsid w:val="00755E8E"/>
    <w:rsid w:val="00760C1B"/>
    <w:rsid w:val="00762661"/>
    <w:rsid w:val="00762E01"/>
    <w:rsid w:val="00774B0C"/>
    <w:rsid w:val="00775881"/>
    <w:rsid w:val="007768C1"/>
    <w:rsid w:val="0079322A"/>
    <w:rsid w:val="007978D4"/>
    <w:rsid w:val="007A226D"/>
    <w:rsid w:val="007B01D1"/>
    <w:rsid w:val="007B1C49"/>
    <w:rsid w:val="007B259A"/>
    <w:rsid w:val="007C359F"/>
    <w:rsid w:val="007C4E0F"/>
    <w:rsid w:val="007C7832"/>
    <w:rsid w:val="007D5432"/>
    <w:rsid w:val="007F40D3"/>
    <w:rsid w:val="007F63EB"/>
    <w:rsid w:val="00801D36"/>
    <w:rsid w:val="0080551D"/>
    <w:rsid w:val="00821E39"/>
    <w:rsid w:val="008226D2"/>
    <w:rsid w:val="008301DD"/>
    <w:rsid w:val="00830522"/>
    <w:rsid w:val="008329BE"/>
    <w:rsid w:val="00836183"/>
    <w:rsid w:val="00851C77"/>
    <w:rsid w:val="00861F16"/>
    <w:rsid w:val="00863E53"/>
    <w:rsid w:val="0086489D"/>
    <w:rsid w:val="00867D79"/>
    <w:rsid w:val="00872CA0"/>
    <w:rsid w:val="00877230"/>
    <w:rsid w:val="00882584"/>
    <w:rsid w:val="008865C7"/>
    <w:rsid w:val="008B2A38"/>
    <w:rsid w:val="008C4BAC"/>
    <w:rsid w:val="008D3DB7"/>
    <w:rsid w:val="008E025C"/>
    <w:rsid w:val="008E3437"/>
    <w:rsid w:val="008E5A28"/>
    <w:rsid w:val="008F418B"/>
    <w:rsid w:val="00920BA9"/>
    <w:rsid w:val="00923157"/>
    <w:rsid w:val="0092381C"/>
    <w:rsid w:val="00925B06"/>
    <w:rsid w:val="0093019C"/>
    <w:rsid w:val="00940831"/>
    <w:rsid w:val="00941D78"/>
    <w:rsid w:val="009465C8"/>
    <w:rsid w:val="0095245A"/>
    <w:rsid w:val="0096497C"/>
    <w:rsid w:val="00974572"/>
    <w:rsid w:val="00974EB0"/>
    <w:rsid w:val="00977279"/>
    <w:rsid w:val="009810A7"/>
    <w:rsid w:val="0098142D"/>
    <w:rsid w:val="00982A43"/>
    <w:rsid w:val="009A066C"/>
    <w:rsid w:val="009A1D58"/>
    <w:rsid w:val="009A5D68"/>
    <w:rsid w:val="009A5E48"/>
    <w:rsid w:val="009A647B"/>
    <w:rsid w:val="009B027A"/>
    <w:rsid w:val="009B5224"/>
    <w:rsid w:val="009C05F4"/>
    <w:rsid w:val="009C1CFE"/>
    <w:rsid w:val="009D330D"/>
    <w:rsid w:val="009D7912"/>
    <w:rsid w:val="009E0D9E"/>
    <w:rsid w:val="009E25FE"/>
    <w:rsid w:val="009E2FE1"/>
    <w:rsid w:val="009F64C1"/>
    <w:rsid w:val="009F7A8E"/>
    <w:rsid w:val="00A0197F"/>
    <w:rsid w:val="00A05893"/>
    <w:rsid w:val="00A068FC"/>
    <w:rsid w:val="00A06C6F"/>
    <w:rsid w:val="00A229DB"/>
    <w:rsid w:val="00A321F9"/>
    <w:rsid w:val="00A4122B"/>
    <w:rsid w:val="00A425BB"/>
    <w:rsid w:val="00A44D16"/>
    <w:rsid w:val="00A6180F"/>
    <w:rsid w:val="00A70EB2"/>
    <w:rsid w:val="00A72B73"/>
    <w:rsid w:val="00A7505A"/>
    <w:rsid w:val="00A77BCC"/>
    <w:rsid w:val="00A91AEA"/>
    <w:rsid w:val="00A92AAD"/>
    <w:rsid w:val="00AB77A3"/>
    <w:rsid w:val="00AC1D3A"/>
    <w:rsid w:val="00AC7170"/>
    <w:rsid w:val="00AD0E7C"/>
    <w:rsid w:val="00AE4F99"/>
    <w:rsid w:val="00AE7FB6"/>
    <w:rsid w:val="00AF1F88"/>
    <w:rsid w:val="00AF3662"/>
    <w:rsid w:val="00AF73CA"/>
    <w:rsid w:val="00B0036E"/>
    <w:rsid w:val="00B11421"/>
    <w:rsid w:val="00B21EB3"/>
    <w:rsid w:val="00B30B7B"/>
    <w:rsid w:val="00B4071D"/>
    <w:rsid w:val="00B4245B"/>
    <w:rsid w:val="00B52B55"/>
    <w:rsid w:val="00B63B26"/>
    <w:rsid w:val="00B7117D"/>
    <w:rsid w:val="00B742E6"/>
    <w:rsid w:val="00B752B9"/>
    <w:rsid w:val="00B81473"/>
    <w:rsid w:val="00BA051E"/>
    <w:rsid w:val="00BA1377"/>
    <w:rsid w:val="00BA2408"/>
    <w:rsid w:val="00BA434B"/>
    <w:rsid w:val="00BB0257"/>
    <w:rsid w:val="00BB1B55"/>
    <w:rsid w:val="00BB4636"/>
    <w:rsid w:val="00BB5989"/>
    <w:rsid w:val="00BB7090"/>
    <w:rsid w:val="00BC4C25"/>
    <w:rsid w:val="00BD78BA"/>
    <w:rsid w:val="00BE7258"/>
    <w:rsid w:val="00C11941"/>
    <w:rsid w:val="00C12069"/>
    <w:rsid w:val="00C14463"/>
    <w:rsid w:val="00C15A9D"/>
    <w:rsid w:val="00C16254"/>
    <w:rsid w:val="00C20042"/>
    <w:rsid w:val="00C237E5"/>
    <w:rsid w:val="00C24A15"/>
    <w:rsid w:val="00C30236"/>
    <w:rsid w:val="00C321EF"/>
    <w:rsid w:val="00C66EE7"/>
    <w:rsid w:val="00C80023"/>
    <w:rsid w:val="00C85D6E"/>
    <w:rsid w:val="00C97EC0"/>
    <w:rsid w:val="00CA2253"/>
    <w:rsid w:val="00CA4CAB"/>
    <w:rsid w:val="00CB0EE6"/>
    <w:rsid w:val="00CB6BD6"/>
    <w:rsid w:val="00CC02D1"/>
    <w:rsid w:val="00CD234E"/>
    <w:rsid w:val="00CD236A"/>
    <w:rsid w:val="00CD6166"/>
    <w:rsid w:val="00CE180E"/>
    <w:rsid w:val="00CE19A7"/>
    <w:rsid w:val="00CE41B2"/>
    <w:rsid w:val="00CE780C"/>
    <w:rsid w:val="00CF46AC"/>
    <w:rsid w:val="00D04FE9"/>
    <w:rsid w:val="00D05077"/>
    <w:rsid w:val="00D05F7B"/>
    <w:rsid w:val="00D1495D"/>
    <w:rsid w:val="00D23427"/>
    <w:rsid w:val="00D2680C"/>
    <w:rsid w:val="00D82407"/>
    <w:rsid w:val="00DA7725"/>
    <w:rsid w:val="00DA789B"/>
    <w:rsid w:val="00DA7F31"/>
    <w:rsid w:val="00DB0635"/>
    <w:rsid w:val="00DB22B0"/>
    <w:rsid w:val="00DC11CA"/>
    <w:rsid w:val="00E1646E"/>
    <w:rsid w:val="00E17E5F"/>
    <w:rsid w:val="00E33C89"/>
    <w:rsid w:val="00E41921"/>
    <w:rsid w:val="00E4736E"/>
    <w:rsid w:val="00E5603F"/>
    <w:rsid w:val="00E70B41"/>
    <w:rsid w:val="00E76C83"/>
    <w:rsid w:val="00E85D96"/>
    <w:rsid w:val="00E919B9"/>
    <w:rsid w:val="00E9430B"/>
    <w:rsid w:val="00E96169"/>
    <w:rsid w:val="00EA6BFF"/>
    <w:rsid w:val="00EA7F48"/>
    <w:rsid w:val="00ED2369"/>
    <w:rsid w:val="00ED5DB6"/>
    <w:rsid w:val="00ED64C8"/>
    <w:rsid w:val="00EE7506"/>
    <w:rsid w:val="00EE75DF"/>
    <w:rsid w:val="00EF3D02"/>
    <w:rsid w:val="00EF4ECD"/>
    <w:rsid w:val="00EF68DA"/>
    <w:rsid w:val="00F06492"/>
    <w:rsid w:val="00F166C9"/>
    <w:rsid w:val="00F1682A"/>
    <w:rsid w:val="00F23E61"/>
    <w:rsid w:val="00F245BD"/>
    <w:rsid w:val="00F33A1F"/>
    <w:rsid w:val="00F345BE"/>
    <w:rsid w:val="00F46F69"/>
    <w:rsid w:val="00F476A3"/>
    <w:rsid w:val="00F76792"/>
    <w:rsid w:val="00F771D6"/>
    <w:rsid w:val="00F772BC"/>
    <w:rsid w:val="00F859BF"/>
    <w:rsid w:val="00FA0DCA"/>
    <w:rsid w:val="00FA403F"/>
    <w:rsid w:val="00FA4182"/>
    <w:rsid w:val="00FC4903"/>
    <w:rsid w:val="00FD038D"/>
    <w:rsid w:val="00FD0BBF"/>
    <w:rsid w:val="00FD3896"/>
    <w:rsid w:val="00FD5ABF"/>
    <w:rsid w:val="00FF0239"/>
    <w:rsid w:val="00FF2EE3"/>
    <w:rsid w:val="00FF7365"/>
    <w:rsid w:val="0C6D847B"/>
    <w:rsid w:val="16975789"/>
    <w:rsid w:val="19A67342"/>
    <w:rsid w:val="1B319065"/>
    <w:rsid w:val="2025BA62"/>
    <w:rsid w:val="219A33D5"/>
    <w:rsid w:val="22A13E4C"/>
    <w:rsid w:val="2B4DE38F"/>
    <w:rsid w:val="313D1553"/>
    <w:rsid w:val="35071453"/>
    <w:rsid w:val="3AC08C3A"/>
    <w:rsid w:val="3EE2EE75"/>
    <w:rsid w:val="413CA4C1"/>
    <w:rsid w:val="4942DBBF"/>
    <w:rsid w:val="5B7F8698"/>
    <w:rsid w:val="64844515"/>
    <w:rsid w:val="6F300CF5"/>
    <w:rsid w:val="76B16249"/>
    <w:rsid w:val="79B2C195"/>
    <w:rsid w:val="7BE9EA85"/>
    <w:rsid w:val="7E88A66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F78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eastAsia="Times New Roman" w:ascii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qFormat="1"/>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360" w:lineRule="auto"/>
      <w:jc w:val="both"/>
    </w:pPr>
    <w:rPr>
      <w:rFonts w:ascii="Times New Roman" w:hAnsi="Times New Roman" w:cs="Times New Roman"/>
      <w:color w:val="000000" w:themeColor="text1"/>
      <w:sz w:val="24"/>
      <w:szCs w:val="24"/>
    </w:rPr>
  </w:style>
  <w:style w:type="paragraph" w:styleId="Titlu1">
    <w:name w:val="heading 1"/>
    <w:basedOn w:val="Normal"/>
    <w:next w:val="Normal"/>
    <w:link w:val="Titlu1Caracter"/>
    <w:uiPriority w:val="9"/>
    <w:qFormat/>
    <w:pPr>
      <w:keepNext/>
      <w:keepLines/>
      <w:spacing w:before="360" w:after="80"/>
      <w:outlineLvl w:val="0"/>
    </w:pPr>
    <w:rPr>
      <w:rFonts w:eastAsiaTheme="majorEastAsia" w:cstheme="majorBidi"/>
      <w:b/>
      <w:szCs w:val="40"/>
      <w:lang w:val="en-IN"/>
    </w:rPr>
  </w:style>
  <w:style w:type="paragraph" w:styleId="Titlu2">
    <w:name w:val="heading 2"/>
    <w:basedOn w:val="Normal"/>
    <w:next w:val="Normal"/>
    <w:link w:val="Titlu2Caracter"/>
    <w:uiPriority w:val="9"/>
    <w:unhideWhenUsed/>
    <w:qFormat/>
    <w:pPr>
      <w:keepNext/>
      <w:keepLines/>
      <w:spacing w:before="80" w:after="0" w:line="240" w:lineRule="auto"/>
      <w:outlineLvl w:val="1"/>
    </w:pPr>
    <w:rPr>
      <w:rFonts w:eastAsiaTheme="majorEastAsia" w:cstheme="majorBidi"/>
      <w:b/>
      <w:szCs w:val="28"/>
      <w:lang w:val="en-IN"/>
    </w:rPr>
  </w:style>
  <w:style w:type="paragraph" w:styleId="Titlu3">
    <w:name w:val="heading 3"/>
    <w:basedOn w:val="Normal"/>
    <w:next w:val="Normal"/>
    <w:link w:val="Titlu3Caracter"/>
    <w:uiPriority w:val="9"/>
    <w:unhideWhenUsed/>
    <w:qFormat/>
    <w:pPr>
      <w:keepNext/>
      <w:keepLines/>
      <w:spacing w:before="40"/>
      <w:outlineLvl w:val="2"/>
    </w:pPr>
    <w:rPr>
      <w:rFonts w:eastAsiaTheme="majorEastAsia" w:cstheme="majorBidi"/>
      <w:b/>
    </w:rPr>
  </w:style>
  <w:style w:type="paragraph" w:styleId="Titlu4">
    <w:name w:val="heading 4"/>
    <w:basedOn w:val="Normal"/>
    <w:next w:val="Normal"/>
    <w:link w:val="Titlu4Caracter"/>
    <w:uiPriority w:val="9"/>
    <w:unhideWhenUsed/>
    <w:qFormat/>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asciiTheme="minorHAnsi" w:hAnsiTheme="minorHAnsi"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pPr>
      <w:keepNext/>
      <w:keepLines/>
      <w:spacing w:before="40" w:after="0"/>
      <w:outlineLvl w:val="5"/>
    </w:pPr>
    <w:rPr>
      <w:rFonts w:asciiTheme="minorHAnsi" w:hAnsiTheme="minorHAnsi"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pPr>
      <w:keepNext/>
      <w:keepLines/>
      <w:spacing w:before="40" w:after="0"/>
      <w:outlineLvl w:val="6"/>
    </w:pPr>
    <w:rPr>
      <w:rFonts w:asciiTheme="minorHAnsi" w:hAnsiTheme="minorHAnsi"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pPr>
      <w:keepNext/>
      <w:keepLines/>
      <w:spacing w:after="0"/>
      <w:outlineLvl w:val="7"/>
    </w:pPr>
    <w:rPr>
      <w:rFonts w:asciiTheme="minorHAnsi" w:hAnsiTheme="minorHAnsi" w:eastAsiaTheme="majorEastAsia" w:cstheme="majorBidi"/>
      <w:i/>
      <w:iCs/>
      <w:color w:val="262626" w:themeColor="text1" w:themeTint="D9"/>
    </w:rPr>
  </w:style>
  <w:style w:type="paragraph" w:styleId="Titlu9">
    <w:name w:val="heading 9"/>
    <w:basedOn w:val="Normal"/>
    <w:next w:val="Normal"/>
    <w:link w:val="Titlu9Caracter"/>
    <w:uiPriority w:val="9"/>
    <w:semiHidden/>
    <w:unhideWhenUsed/>
    <w:qFormat/>
    <w:pPr>
      <w:keepNext/>
      <w:keepLines/>
      <w:spacing w:after="0"/>
      <w:outlineLvl w:val="8"/>
    </w:pPr>
    <w:rPr>
      <w:rFonts w:asciiTheme="minorHAnsi" w:hAnsiTheme="minorHAnsi" w:eastAsiaTheme="majorEastAsia" w:cstheme="majorBidi"/>
      <w:color w:val="262626" w:themeColor="text1" w:themeTint="D9"/>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Subsol">
    <w:name w:val="footer"/>
    <w:basedOn w:val="Normal"/>
    <w:link w:val="SubsolCaracter"/>
    <w:uiPriority w:val="99"/>
    <w:unhideWhenUsed/>
    <w:qFormat/>
    <w:pPr>
      <w:tabs>
        <w:tab w:val="center" w:pos="4513"/>
        <w:tab w:val="right" w:pos="9026"/>
      </w:tabs>
      <w:spacing w:after="0" w:line="240" w:lineRule="auto"/>
    </w:pPr>
  </w:style>
  <w:style w:type="paragraph" w:styleId="Antet">
    <w:name w:val="header"/>
    <w:basedOn w:val="Normal"/>
    <w:link w:val="AntetCaracter"/>
    <w:uiPriority w:val="99"/>
    <w:unhideWhenUsed/>
    <w:pPr>
      <w:tabs>
        <w:tab w:val="center" w:pos="4513"/>
        <w:tab w:val="right" w:pos="9026"/>
      </w:tabs>
      <w:spacing w:after="0" w:line="240" w:lineRule="auto"/>
    </w:pPr>
  </w:style>
  <w:style w:type="character" w:styleId="Hyperlink">
    <w:name w:val="Hyperlink"/>
    <w:basedOn w:val="Fontdeparagrafimplicit"/>
    <w:uiPriority w:val="99"/>
    <w:unhideWhenUsed/>
    <w:qFormat/>
    <w:rPr>
      <w:color w:val="0563C1" w:themeColor="hyperlink"/>
      <w:u w:val="single"/>
    </w:rPr>
  </w:style>
  <w:style w:type="paragraph" w:styleId="NormalWeb">
    <w:name w:val="Normal (Web)"/>
    <w:basedOn w:val="Normal"/>
    <w:uiPriority w:val="99"/>
    <w:semiHidden/>
    <w:unhideWhenUsed/>
    <w:qFormat/>
  </w:style>
  <w:style w:type="paragraph" w:styleId="Subtitlu">
    <w:name w:val="Subtitle"/>
    <w:basedOn w:val="Normal"/>
    <w:next w:val="Normal"/>
    <w:link w:val="SubtitluCaracter"/>
    <w:uiPriority w:val="11"/>
    <w:qFormat/>
    <w:rPr>
      <w:rFonts w:asciiTheme="minorHAnsi" w:hAnsiTheme="minorHAnsi" w:eastAsiaTheme="majorEastAsia" w:cstheme="majorBidi"/>
      <w:color w:val="595959" w:themeColor="text1" w:themeTint="A6"/>
      <w:spacing w:val="15"/>
      <w:sz w:val="28"/>
      <w:szCs w:val="28"/>
    </w:rPr>
  </w:style>
  <w:style w:type="table" w:styleId="Tabelgril">
    <w:name w:val="Table Grid"/>
    <w:basedOn w:val="TabelNormal"/>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u">
    <w:name w:val="Title"/>
    <w:basedOn w:val="Normal"/>
    <w:next w:val="Normal"/>
    <w:link w:val="TitluCaracter"/>
    <w:uiPriority w:val="10"/>
    <w:qFormat/>
    <w:pPr>
      <w:spacing w:after="80" w:line="240" w:lineRule="auto"/>
      <w:contextualSpacing/>
    </w:pPr>
    <w:rPr>
      <w:rFonts w:asciiTheme="majorHAnsi" w:hAnsiTheme="majorHAnsi" w:eastAsiaTheme="majorEastAsia" w:cstheme="majorBidi"/>
      <w:color w:val="auto"/>
      <w:spacing w:val="-10"/>
      <w:kern w:val="28"/>
      <w:sz w:val="56"/>
      <w:szCs w:val="56"/>
    </w:rPr>
  </w:style>
  <w:style w:type="paragraph" w:styleId="Cuprins1">
    <w:name w:val="toc 1"/>
    <w:basedOn w:val="Normal"/>
    <w:next w:val="Normal"/>
    <w:autoRedefine/>
    <w:uiPriority w:val="39"/>
    <w:unhideWhenUsed/>
    <w:qFormat/>
    <w:pPr>
      <w:spacing w:after="100"/>
    </w:pPr>
  </w:style>
  <w:style w:type="table" w:styleId="Grilmedie1-Accentuare5">
    <w:name w:val="Medium Grid 1 Accent 5"/>
    <w:basedOn w:val="TabelNormal"/>
    <w:uiPriority w:val="67"/>
    <w:semiHidden/>
    <w:unhideWhenUsed/>
    <w:qFormat/>
    <w:tblPr>
      <w:tbl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insideH w:val="single" w:color="84B3DF" w:themeColor="accent5" w:themeTint="BF" w:sz="8" w:space="0"/>
        <w:insideV w:val="single" w:color="84B3DF" w:themeColor="accent5" w:themeTint="BF" w:sz="8" w:space="0"/>
      </w:tblBorders>
    </w:tblPr>
    <w:tcPr>
      <w:shd w:val="clear" w:color="auto" w:fill="D6E6F4" w:themeFill="accent5" w:themeFillTint="3F"/>
    </w:tcPr>
    <w:tblStylePr w:type="firstRow">
      <w:rPr>
        <w:b/>
        <w:bCs/>
      </w:rPr>
    </w:tblStylePr>
    <w:tblStylePr w:type="lastRow">
      <w:rPr>
        <w:b/>
        <w:bCs/>
      </w:rPr>
      <w:tblPr/>
      <w:tcPr>
        <w:tcBorders>
          <w:top w:val="single" w:color="84B3DF" w:themeColor="accent5" w:themeTint="BF" w:sz="18" w:space="0"/>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character" w:styleId="Titlu1Caracter" w:customStyle="1">
    <w:name w:val="Titlu 1 Caracter"/>
    <w:basedOn w:val="Fontdeparagrafimplicit"/>
    <w:link w:val="Titlu1"/>
    <w:uiPriority w:val="9"/>
    <w:qFormat/>
    <w:rPr>
      <w:rFonts w:ascii="Times New Roman" w:hAnsi="Times New Roman" w:eastAsiaTheme="majorEastAsia" w:cstheme="majorBidi"/>
      <w:b/>
      <w:color w:val="000000" w:themeColor="text1"/>
      <w:kern w:val="0"/>
      <w:sz w:val="24"/>
      <w:szCs w:val="40"/>
      <w:lang w:eastAsia="en-GB"/>
      <w14:ligatures w14:val="none"/>
    </w:rPr>
  </w:style>
  <w:style w:type="character" w:styleId="Titlu2Caracter" w:customStyle="1">
    <w:name w:val="Titlu 2 Caracter"/>
    <w:basedOn w:val="Fontdeparagrafimplicit"/>
    <w:link w:val="Titlu2"/>
    <w:uiPriority w:val="9"/>
    <w:qFormat/>
    <w:rPr>
      <w:rFonts w:ascii="Times New Roman" w:hAnsi="Times New Roman" w:eastAsiaTheme="majorEastAsia" w:cstheme="majorBidi"/>
      <w:b/>
      <w:color w:val="000000" w:themeColor="text1"/>
      <w:kern w:val="0"/>
      <w:sz w:val="24"/>
      <w:szCs w:val="28"/>
      <w:lang w:eastAsia="en-GB"/>
      <w14:ligatures w14:val="none"/>
    </w:rPr>
  </w:style>
  <w:style w:type="character" w:styleId="Titlu3Caracter" w:customStyle="1">
    <w:name w:val="Titlu 3 Caracter"/>
    <w:basedOn w:val="Fontdeparagrafimplicit"/>
    <w:link w:val="Titlu3"/>
    <w:uiPriority w:val="9"/>
    <w:qFormat/>
    <w:rPr>
      <w:rFonts w:ascii="Arial" w:hAnsi="Arial" w:eastAsiaTheme="majorEastAsia" w:cstheme="majorBidi"/>
      <w:b/>
      <w:color w:val="000000" w:themeColor="text1"/>
      <w:sz w:val="24"/>
      <w:szCs w:val="24"/>
      <w:lang w:val="en-GB"/>
    </w:rPr>
  </w:style>
  <w:style w:type="character" w:styleId="Titlu4Caracter" w:customStyle="1">
    <w:name w:val="Titlu 4 Caracter"/>
    <w:basedOn w:val="Fontdeparagrafimplicit"/>
    <w:link w:val="Titlu4"/>
    <w:uiPriority w:val="9"/>
    <w:qFormat/>
    <w:rPr>
      <w:rFonts w:eastAsiaTheme="majorEastAsia" w:cstheme="majorBidi"/>
      <w:i/>
      <w:iCs/>
      <w:color w:val="2F5496" w:themeColor="accent1" w:themeShade="BF"/>
      <w:kern w:val="0"/>
      <w:sz w:val="24"/>
      <w:szCs w:val="24"/>
      <w:lang w:val="en-GB" w:eastAsia="en-GB"/>
      <w14:ligatures w14:val="none"/>
    </w:rPr>
  </w:style>
  <w:style w:type="character" w:styleId="Titlu5Caracter" w:customStyle="1">
    <w:name w:val="Titlu 5 Caracter"/>
    <w:basedOn w:val="Fontdeparagrafimplicit"/>
    <w:link w:val="Titlu5"/>
    <w:uiPriority w:val="9"/>
    <w:qFormat/>
    <w:rPr>
      <w:rFonts w:eastAsiaTheme="majorEastAsia" w:cstheme="majorBidi"/>
      <w:color w:val="2F5496" w:themeColor="accent1" w:themeShade="BF"/>
      <w:kern w:val="0"/>
      <w:sz w:val="24"/>
      <w:szCs w:val="24"/>
      <w:lang w:val="en-GB" w:eastAsia="en-GB"/>
      <w14:ligatures w14:val="none"/>
    </w:rPr>
  </w:style>
  <w:style w:type="character" w:styleId="Titlu6Caracter" w:customStyle="1">
    <w:name w:val="Titlu 6 Caracter"/>
    <w:basedOn w:val="Fontdeparagrafimplicit"/>
    <w:link w:val="Titlu6"/>
    <w:uiPriority w:val="9"/>
    <w:semiHidden/>
    <w:qFormat/>
    <w:rPr>
      <w:rFonts w:eastAsiaTheme="majorEastAsia" w:cstheme="majorBidi"/>
      <w:i/>
      <w:iCs/>
      <w:color w:val="595959" w:themeColor="text1" w:themeTint="A6"/>
      <w:kern w:val="0"/>
      <w:sz w:val="24"/>
      <w:szCs w:val="24"/>
      <w:lang w:val="en-GB" w:eastAsia="en-GB"/>
      <w14:ligatures w14:val="none"/>
    </w:rPr>
  </w:style>
  <w:style w:type="character" w:styleId="Titlu7Caracter" w:customStyle="1">
    <w:name w:val="Titlu 7 Caracter"/>
    <w:basedOn w:val="Fontdeparagrafimplicit"/>
    <w:link w:val="Titlu7"/>
    <w:uiPriority w:val="9"/>
    <w:semiHidden/>
    <w:qFormat/>
    <w:rPr>
      <w:rFonts w:eastAsiaTheme="majorEastAsia" w:cstheme="majorBidi"/>
      <w:color w:val="595959" w:themeColor="text1" w:themeTint="A6"/>
      <w:kern w:val="0"/>
      <w:sz w:val="24"/>
      <w:szCs w:val="24"/>
      <w:lang w:val="en-GB" w:eastAsia="en-GB"/>
      <w14:ligatures w14:val="none"/>
    </w:rPr>
  </w:style>
  <w:style w:type="character" w:styleId="Titlu8Caracter" w:customStyle="1">
    <w:name w:val="Titlu 8 Caracter"/>
    <w:basedOn w:val="Fontdeparagrafimplicit"/>
    <w:link w:val="Titlu8"/>
    <w:uiPriority w:val="9"/>
    <w:semiHidden/>
    <w:rPr>
      <w:rFonts w:eastAsiaTheme="majorEastAsia" w:cstheme="majorBidi"/>
      <w:i/>
      <w:iCs/>
      <w:color w:val="262626" w:themeColor="text1" w:themeTint="D9"/>
      <w:kern w:val="0"/>
      <w:sz w:val="24"/>
      <w:szCs w:val="24"/>
      <w:lang w:val="en-GB" w:eastAsia="en-GB"/>
      <w14:ligatures w14:val="none"/>
    </w:rPr>
  </w:style>
  <w:style w:type="character" w:styleId="Titlu9Caracter" w:customStyle="1">
    <w:name w:val="Titlu 9 Caracter"/>
    <w:basedOn w:val="Fontdeparagrafimplicit"/>
    <w:link w:val="Titlu9"/>
    <w:uiPriority w:val="9"/>
    <w:semiHidden/>
    <w:qFormat/>
    <w:rPr>
      <w:rFonts w:eastAsiaTheme="majorEastAsia" w:cstheme="majorBidi"/>
      <w:color w:val="262626" w:themeColor="text1" w:themeTint="D9"/>
      <w:kern w:val="0"/>
      <w:sz w:val="24"/>
      <w:szCs w:val="24"/>
      <w:lang w:val="en-GB" w:eastAsia="en-GB"/>
      <w14:ligatures w14:val="none"/>
    </w:rPr>
  </w:style>
  <w:style w:type="character" w:styleId="TitluCaracter" w:customStyle="1">
    <w:name w:val="Titlu Caracter"/>
    <w:basedOn w:val="Fontdeparagrafimplicit"/>
    <w:link w:val="Titlu"/>
    <w:uiPriority w:val="10"/>
    <w:qFormat/>
    <w:rPr>
      <w:rFonts w:asciiTheme="majorHAnsi" w:hAnsiTheme="majorHAnsi" w:eastAsiaTheme="majorEastAsia" w:cstheme="majorBidi"/>
      <w:spacing w:val="-10"/>
      <w:kern w:val="28"/>
      <w:sz w:val="56"/>
      <w:szCs w:val="56"/>
      <w:lang w:val="en-GB" w:eastAsia="en-GB"/>
      <w14:ligatures w14:val="none"/>
    </w:rPr>
  </w:style>
  <w:style w:type="character" w:styleId="SubtitluCaracter" w:customStyle="1">
    <w:name w:val="Subtitlu Caracter"/>
    <w:basedOn w:val="Fontdeparagrafimplicit"/>
    <w:link w:val="Subtitlu"/>
    <w:uiPriority w:val="11"/>
    <w:qFormat/>
    <w:rPr>
      <w:rFonts w:eastAsiaTheme="majorEastAsia" w:cstheme="majorBidi"/>
      <w:color w:val="595959" w:themeColor="text1" w:themeTint="A6"/>
      <w:spacing w:val="15"/>
      <w:kern w:val="0"/>
      <w:sz w:val="28"/>
      <w:szCs w:val="28"/>
      <w:lang w:val="en-GB" w:eastAsia="en-GB"/>
      <w14:ligatures w14:val="none"/>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styleId="CitatCaracter" w:customStyle="1">
    <w:name w:val="Citat Caracter"/>
    <w:basedOn w:val="Fontdeparagrafimplicit"/>
    <w:link w:val="Citat"/>
    <w:uiPriority w:val="29"/>
    <w:qFormat/>
    <w:rPr>
      <w:rFonts w:ascii="Times New Roman" w:hAnsi="Times New Roman" w:cs="Times New Roman"/>
      <w:i/>
      <w:iCs/>
      <w:color w:val="404040" w:themeColor="text1" w:themeTint="BF"/>
      <w:kern w:val="0"/>
      <w:sz w:val="24"/>
      <w:szCs w:val="24"/>
      <w:lang w:val="en-GB" w:eastAsia="en-GB"/>
      <w14:ligatures w14:val="none"/>
    </w:rPr>
  </w:style>
  <w:style w:type="paragraph" w:styleId="Listparagraf">
    <w:name w:val="List Paragraph"/>
    <w:basedOn w:val="Normal"/>
    <w:uiPriority w:val="34"/>
    <w:qFormat/>
    <w:pPr>
      <w:ind w:left="720"/>
      <w:contextualSpacing/>
    </w:pPr>
  </w:style>
  <w:style w:type="character" w:styleId="IntenseEmphasis1" w:customStyle="1">
    <w:name w:val="Intense Emphasis1"/>
    <w:basedOn w:val="Fontdeparagrafimplicit"/>
    <w:uiPriority w:val="21"/>
    <w:qFormat/>
    <w:rPr>
      <w:i/>
      <w:iCs/>
      <w:color w:val="2F5496" w:themeColor="accent1" w:themeShade="BF"/>
    </w:rPr>
  </w:style>
  <w:style w:type="paragraph" w:styleId="Citatintens">
    <w:name w:val="Intense Quote"/>
    <w:basedOn w:val="Normal"/>
    <w:next w:val="Normal"/>
    <w:link w:val="CitatintensCaracter"/>
    <w:uiPriority w:val="30"/>
    <w:qFormat/>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CitatintensCaracter" w:customStyle="1">
    <w:name w:val="Citat intens Caracter"/>
    <w:basedOn w:val="Fontdeparagrafimplicit"/>
    <w:link w:val="Citatintens"/>
    <w:uiPriority w:val="30"/>
    <w:qFormat/>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1" w:customStyle="1">
    <w:name w:val="Intense Reference1"/>
    <w:basedOn w:val="Fontdeparagrafimplicit"/>
    <w:uiPriority w:val="32"/>
    <w:qFormat/>
    <w:rPr>
      <w:b/>
      <w:bCs/>
      <w:smallCaps/>
      <w:color w:val="2F5496" w:themeColor="accent1" w:themeShade="BF"/>
      <w:spacing w:val="5"/>
    </w:rPr>
  </w:style>
  <w:style w:type="character" w:styleId="AntetCaracter" w:customStyle="1">
    <w:name w:val="Antet Caracter"/>
    <w:basedOn w:val="Fontdeparagrafimplicit"/>
    <w:link w:val="Antet"/>
    <w:uiPriority w:val="99"/>
    <w:qFormat/>
    <w:rPr>
      <w:rFonts w:ascii="Times New Roman" w:hAnsi="Times New Roman" w:cs="Times New Roman"/>
      <w:color w:val="000000" w:themeColor="text1"/>
      <w:kern w:val="0"/>
      <w:sz w:val="24"/>
      <w:szCs w:val="24"/>
      <w:lang w:val="en-GB" w:eastAsia="en-GB"/>
      <w14:ligatures w14:val="none"/>
    </w:rPr>
  </w:style>
  <w:style w:type="character" w:styleId="SubsolCaracter" w:customStyle="1">
    <w:name w:val="Subsol Caracter"/>
    <w:basedOn w:val="Fontdeparagrafimplicit"/>
    <w:link w:val="Subsol"/>
    <w:uiPriority w:val="99"/>
    <w:qFormat/>
    <w:rPr>
      <w:rFonts w:ascii="Times New Roman" w:hAnsi="Times New Roman" w:cs="Times New Roman"/>
      <w:color w:val="000000" w:themeColor="text1"/>
      <w:kern w:val="0"/>
      <w:sz w:val="24"/>
      <w:szCs w:val="24"/>
      <w:lang w:val="en-GB" w:eastAsia="en-GB"/>
      <w14:ligatures w14:val="none"/>
    </w:rPr>
  </w:style>
  <w:style w:type="table" w:styleId="GridTable31" w:customStyle="1">
    <w:name w:val="Grid Table 31"/>
    <w:basedOn w:val="TabelNormal"/>
    <w:uiPriority w:val="48"/>
    <w:qFormat/>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paragraph" w:styleId="TOCHeading1" w:customStyle="1">
    <w:name w:val="TOC Heading1"/>
    <w:basedOn w:val="Titlu1"/>
    <w:next w:val="Normal"/>
    <w:uiPriority w:val="39"/>
    <w:unhideWhenUsed/>
    <w:qFormat/>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table" w:styleId="GridTable4-Accent51" w:customStyle="1">
    <w:name w:val="Grid Table 4 - Accent 51"/>
    <w:basedOn w:val="TabelNormal"/>
    <w:uiPriority w:val="49"/>
    <w:qFormat/>
    <w:tblPr>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41" w:customStyle="1">
    <w:name w:val="Grid Table 5 Dark - Accent 41"/>
    <w:basedOn w:val="TabelNormal"/>
    <w:uiPriority w:val="50"/>
    <w:qFormat/>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F2C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1" w:customStyle="1">
    <w:name w:val="Grid Table 5 Dark - Accent 51"/>
    <w:basedOn w:val="TabelNormal"/>
    <w:uiPriority w:val="50"/>
    <w:qFormat/>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itlu11" w:customStyle="1">
    <w:name w:val="Titlu 11"/>
    <w:basedOn w:val="Normal"/>
    <w:link w:val="HEADING1Char"/>
    <w:qFormat/>
    <w:rsid w:val="00014E3C"/>
    <w:pPr>
      <w:spacing w:before="100" w:beforeAutospacing="1" w:after="100" w:afterAutospacing="1"/>
    </w:pPr>
    <w:rPr>
      <w:rFonts w:ascii="Arial" w:hAnsi="Arial" w:cs="Arial"/>
      <w:sz w:val="22"/>
      <w:szCs w:val="22"/>
    </w:rPr>
  </w:style>
  <w:style w:type="character" w:styleId="HEADING1Char" w:customStyle="1">
    <w:name w:val="HEADING 1 Char"/>
    <w:basedOn w:val="Fontdeparagrafimplicit"/>
    <w:link w:val="Titlu11"/>
    <w:rsid w:val="00014E3C"/>
    <w:rPr>
      <w:rFonts w:ascii="Arial" w:hAnsi="Arial" w:cs="Arial"/>
      <w:color w:val="000000" w:themeColor="text1"/>
      <w:sz w:val="22"/>
      <w:szCs w:val="22"/>
    </w:rPr>
  </w:style>
  <w:style w:type="paragraph" w:styleId="Titlucuprins">
    <w:name w:val="TOC Heading"/>
    <w:basedOn w:val="Titlu1"/>
    <w:next w:val="Normal"/>
    <w:uiPriority w:val="39"/>
    <w:unhideWhenUsed/>
    <w:qFormat/>
    <w:rsid w:val="00974EB0"/>
    <w:pPr>
      <w:spacing w:before="240" w:after="0" w:line="259" w:lineRule="auto"/>
      <w:jc w:val="left"/>
      <w:outlineLvl w:val="9"/>
    </w:pPr>
    <w:rPr>
      <w:rFonts w:asciiTheme="majorHAnsi" w:hAnsiTheme="majorHAnsi"/>
      <w:b w:val="0"/>
      <w:color w:val="2F5496" w:themeColor="accent1" w:themeShade="BF"/>
      <w:sz w:val="32"/>
      <w:szCs w:val="32"/>
      <w:lang w:val="en-GB"/>
    </w:rPr>
  </w:style>
  <w:style w:type="paragraph" w:styleId="Cuprins2">
    <w:name w:val="toc 2"/>
    <w:basedOn w:val="Normal"/>
    <w:next w:val="Normal"/>
    <w:autoRedefine/>
    <w:uiPriority w:val="39"/>
    <w:unhideWhenUsed/>
    <w:rsid w:val="00974EB0"/>
    <w:pPr>
      <w:spacing w:after="100" w:line="259" w:lineRule="auto"/>
      <w:ind w:left="220"/>
      <w:jc w:val="left"/>
    </w:pPr>
    <w:rPr>
      <w:rFonts w:asciiTheme="minorHAnsi" w:hAnsiTheme="minorHAnsi" w:eastAsiaTheme="minorEastAsia"/>
      <w:color w:val="auto"/>
      <w:sz w:val="22"/>
      <w:szCs w:val="22"/>
    </w:rPr>
  </w:style>
  <w:style w:type="paragraph" w:styleId="Cuprins3">
    <w:name w:val="toc 3"/>
    <w:basedOn w:val="Normal"/>
    <w:next w:val="Normal"/>
    <w:autoRedefine/>
    <w:uiPriority w:val="39"/>
    <w:unhideWhenUsed/>
    <w:rsid w:val="00974EB0"/>
    <w:pPr>
      <w:spacing w:after="100" w:line="259" w:lineRule="auto"/>
      <w:ind w:left="440"/>
      <w:jc w:val="left"/>
    </w:pPr>
    <w:rPr>
      <w:rFonts w:asciiTheme="minorHAnsi" w:hAnsiTheme="minorHAnsi" w:eastAsiaTheme="minorEastAsia"/>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microsoft.com/office/2007/relationships/diagramDrawing" Target="diagrams/drawing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diagramColors" Target="diagrams/colors1.xml" Id="rId17" /><Relationship Type="http://schemas.openxmlformats.org/officeDocument/2006/relationships/numbering" Target="numbering.xml" Id="rId2" /><Relationship Type="http://schemas.openxmlformats.org/officeDocument/2006/relationships/diagramQuickStyle" Target="diagrams/quickStyle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webSettings" Target="webSettings.xml" Id="rId5" /><Relationship Type="http://schemas.openxmlformats.org/officeDocument/2006/relationships/diagramLayout" Target="diagrams/layout1.xml" Id="rId15" /><Relationship Type="http://schemas.openxmlformats.org/officeDocument/2006/relationships/image" Target="media/image3.png"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diagramData" Target="diagrams/data1.xml" Id="rId14" /></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D3E62C45-45C6-4387-AA01-1A660264F44C}" type="doc">
      <dgm:prSet loTypeId="urn:microsoft.com/office/officeart/2005/8/layout/radial3" loCatId="cycle" qsTypeId="urn:microsoft.com/office/officeart/2005/8/quickstyle/simple1#1" qsCatId="simple" csTypeId="urn:microsoft.com/office/officeart/2005/8/colors/colorful1#1" csCatId="colorful" phldr="1"/>
      <dgm:spPr/>
      <dgm:t>
        <a:bodyPr/>
        <a:lstStyle/>
        <a:p>
          <a:endParaRPr lang="en-IN"/>
        </a:p>
      </dgm:t>
    </dgm:pt>
    <dgm:pt modelId="{DF3863BF-33A9-4A65-A99F-1DFDDC14A2C1}">
      <dgm:prSet phldrT="[Text]"/>
      <dgm:spPr/>
      <dgm:t>
        <a:bodyPr/>
        <a:lstStyle/>
        <a:p>
          <a:r>
            <a:rPr lang="en-IN" b="1"/>
            <a:t>Management of Stakeholders</a:t>
          </a:r>
        </a:p>
      </dgm:t>
    </dgm:pt>
    <dgm:pt modelId="{0634434C-BC3D-453A-A02F-DBB7D6423F92}" type="parTrans" cxnId="{6756B2DA-BF50-4759-94CD-E5B8B6F6EF4C}">
      <dgm:prSet/>
      <dgm:spPr/>
      <dgm:t>
        <a:bodyPr/>
        <a:lstStyle/>
        <a:p>
          <a:endParaRPr lang="en-IN" b="1"/>
        </a:p>
      </dgm:t>
    </dgm:pt>
    <dgm:pt modelId="{46251521-7EFF-475E-80A2-5BCF36A05F7A}" type="sibTrans" cxnId="{6756B2DA-BF50-4759-94CD-E5B8B6F6EF4C}">
      <dgm:prSet/>
      <dgm:spPr/>
      <dgm:t>
        <a:bodyPr/>
        <a:lstStyle/>
        <a:p>
          <a:endParaRPr lang="en-IN" b="1"/>
        </a:p>
      </dgm:t>
    </dgm:pt>
    <dgm:pt modelId="{DEB65F37-66B4-4C4C-B8C4-F2A95E5C32A7}">
      <dgm:prSet phldrT="[Text]"/>
      <dgm:spPr/>
      <dgm:t>
        <a:bodyPr/>
        <a:lstStyle/>
        <a:p>
          <a:r>
            <a:rPr lang="en-IN" b="1"/>
            <a:t>Collaboration</a:t>
          </a:r>
        </a:p>
      </dgm:t>
    </dgm:pt>
    <dgm:pt modelId="{22B10932-A8D3-4183-9B37-A23BD5FF933F}" type="parTrans" cxnId="{0B035E1A-6D1E-4B5C-BB58-8BF335E4C46C}">
      <dgm:prSet/>
      <dgm:spPr/>
      <dgm:t>
        <a:bodyPr/>
        <a:lstStyle/>
        <a:p>
          <a:endParaRPr lang="en-IN" b="1"/>
        </a:p>
      </dgm:t>
    </dgm:pt>
    <dgm:pt modelId="{6E5E8A89-661D-42E8-B6B3-307F810D2F11}" type="sibTrans" cxnId="{0B035E1A-6D1E-4B5C-BB58-8BF335E4C46C}">
      <dgm:prSet/>
      <dgm:spPr/>
      <dgm:t>
        <a:bodyPr/>
        <a:lstStyle/>
        <a:p>
          <a:endParaRPr lang="en-IN" b="1"/>
        </a:p>
      </dgm:t>
    </dgm:pt>
    <dgm:pt modelId="{5724764F-4403-439C-B65E-DA0BEEAD55AF}">
      <dgm:prSet phldrT="[Text]"/>
      <dgm:spPr/>
      <dgm:t>
        <a:bodyPr/>
        <a:lstStyle/>
        <a:p>
          <a:r>
            <a:rPr lang="en-IN" b="1"/>
            <a:t>Communication</a:t>
          </a:r>
        </a:p>
      </dgm:t>
    </dgm:pt>
    <dgm:pt modelId="{8FEA178F-EC53-4A2F-B41E-BF935FD93585}" type="parTrans" cxnId="{7AF00814-1D00-4C39-8FF4-37299D84BE63}">
      <dgm:prSet/>
      <dgm:spPr/>
      <dgm:t>
        <a:bodyPr/>
        <a:lstStyle/>
        <a:p>
          <a:endParaRPr lang="en-IN" b="1"/>
        </a:p>
      </dgm:t>
    </dgm:pt>
    <dgm:pt modelId="{1E2EA419-D7B5-4345-B7B6-16CDE3F3330B}" type="sibTrans" cxnId="{7AF00814-1D00-4C39-8FF4-37299D84BE63}">
      <dgm:prSet/>
      <dgm:spPr/>
      <dgm:t>
        <a:bodyPr/>
        <a:lstStyle/>
        <a:p>
          <a:endParaRPr lang="en-IN" b="1"/>
        </a:p>
      </dgm:t>
    </dgm:pt>
    <dgm:pt modelId="{B5823DFC-D6D3-4AC8-8F29-0221E530221A}">
      <dgm:prSet phldrT="[Text]"/>
      <dgm:spPr/>
      <dgm:t>
        <a:bodyPr/>
        <a:lstStyle/>
        <a:p>
          <a:r>
            <a:rPr lang="en-IN" b="1"/>
            <a:t>Cooperation </a:t>
          </a:r>
        </a:p>
      </dgm:t>
    </dgm:pt>
    <dgm:pt modelId="{CB636148-606F-4597-BCF6-F15BA4CB0289}" type="parTrans" cxnId="{A1253FC0-66D9-46DB-8390-52CA13F2251D}">
      <dgm:prSet/>
      <dgm:spPr/>
      <dgm:t>
        <a:bodyPr/>
        <a:lstStyle/>
        <a:p>
          <a:endParaRPr lang="en-IN" b="1"/>
        </a:p>
      </dgm:t>
    </dgm:pt>
    <dgm:pt modelId="{45E733E9-F1E7-43D5-B0D4-BF71D0EED487}" type="sibTrans" cxnId="{A1253FC0-66D9-46DB-8390-52CA13F2251D}">
      <dgm:prSet/>
      <dgm:spPr/>
      <dgm:t>
        <a:bodyPr/>
        <a:lstStyle/>
        <a:p>
          <a:endParaRPr lang="en-IN" b="1"/>
        </a:p>
      </dgm:t>
    </dgm:pt>
    <dgm:pt modelId="{20DB7873-1F27-469E-AD25-97A1113B0B92}">
      <dgm:prSet phldrT="[Text]"/>
      <dgm:spPr/>
      <dgm:t>
        <a:bodyPr/>
        <a:lstStyle/>
        <a:p>
          <a:r>
            <a:rPr lang="en-IN" b="1"/>
            <a:t>Coordination </a:t>
          </a:r>
        </a:p>
      </dgm:t>
    </dgm:pt>
    <dgm:pt modelId="{180F71E2-7CD5-4346-941B-8136AA6A55B5}" type="parTrans" cxnId="{3A7A6094-2726-4396-805B-2F6D96A114EB}">
      <dgm:prSet/>
      <dgm:spPr/>
      <dgm:t>
        <a:bodyPr/>
        <a:lstStyle/>
        <a:p>
          <a:endParaRPr lang="en-IN" b="1"/>
        </a:p>
      </dgm:t>
    </dgm:pt>
    <dgm:pt modelId="{5B74EEA5-CBCD-4B26-B988-777763D72277}" type="sibTrans" cxnId="{3A7A6094-2726-4396-805B-2F6D96A114EB}">
      <dgm:prSet/>
      <dgm:spPr/>
      <dgm:t>
        <a:bodyPr/>
        <a:lstStyle/>
        <a:p>
          <a:endParaRPr lang="en-IN" b="1"/>
        </a:p>
      </dgm:t>
    </dgm:pt>
    <dgm:pt modelId="{53BA332D-7B42-4A5D-BAD4-56B288658F7D}" type="pres">
      <dgm:prSet presAssocID="{D3E62C45-45C6-4387-AA01-1A660264F44C}" presName="composite" presStyleCnt="0">
        <dgm:presLayoutVars>
          <dgm:chMax val="1"/>
          <dgm:dir/>
          <dgm:resizeHandles val="exact"/>
        </dgm:presLayoutVars>
      </dgm:prSet>
      <dgm:spPr/>
    </dgm:pt>
    <dgm:pt modelId="{1298810E-E3CC-4676-8E0D-DFEE2E406C64}" type="pres">
      <dgm:prSet presAssocID="{D3E62C45-45C6-4387-AA01-1A660264F44C}" presName="radial" presStyleCnt="0">
        <dgm:presLayoutVars>
          <dgm:animLvl val="ctr"/>
        </dgm:presLayoutVars>
      </dgm:prSet>
      <dgm:spPr/>
    </dgm:pt>
    <dgm:pt modelId="{611EF5B1-BDDD-4E9B-827F-F659E86941D2}" type="pres">
      <dgm:prSet presAssocID="{DF3863BF-33A9-4A65-A99F-1DFDDC14A2C1}" presName="centerShape" presStyleLbl="vennNode1" presStyleIdx="0" presStyleCnt="5"/>
      <dgm:spPr/>
    </dgm:pt>
    <dgm:pt modelId="{4DCD6606-DB2F-44AF-8452-4BFF22EB3C15}" type="pres">
      <dgm:prSet presAssocID="{DEB65F37-66B4-4C4C-B8C4-F2A95E5C32A7}" presName="node" presStyleLbl="vennNode1" presStyleIdx="1" presStyleCnt="5">
        <dgm:presLayoutVars>
          <dgm:bulletEnabled val="1"/>
        </dgm:presLayoutVars>
      </dgm:prSet>
      <dgm:spPr/>
    </dgm:pt>
    <dgm:pt modelId="{F01079AC-3376-4A83-884A-8C9435B2C125}" type="pres">
      <dgm:prSet presAssocID="{5724764F-4403-439C-B65E-DA0BEEAD55AF}" presName="node" presStyleLbl="vennNode1" presStyleIdx="2" presStyleCnt="5">
        <dgm:presLayoutVars>
          <dgm:bulletEnabled val="1"/>
        </dgm:presLayoutVars>
      </dgm:prSet>
      <dgm:spPr/>
    </dgm:pt>
    <dgm:pt modelId="{293B1241-FD49-4609-BEBB-1414CC011D16}" type="pres">
      <dgm:prSet presAssocID="{B5823DFC-D6D3-4AC8-8F29-0221E530221A}" presName="node" presStyleLbl="vennNode1" presStyleIdx="3" presStyleCnt="5">
        <dgm:presLayoutVars>
          <dgm:bulletEnabled val="1"/>
        </dgm:presLayoutVars>
      </dgm:prSet>
      <dgm:spPr/>
    </dgm:pt>
    <dgm:pt modelId="{E913C4B6-0353-4C13-ADE3-20638A941686}" type="pres">
      <dgm:prSet presAssocID="{20DB7873-1F27-469E-AD25-97A1113B0B92}" presName="node" presStyleLbl="vennNode1" presStyleIdx="4" presStyleCnt="5">
        <dgm:presLayoutVars>
          <dgm:bulletEnabled val="1"/>
        </dgm:presLayoutVars>
      </dgm:prSet>
      <dgm:spPr/>
    </dgm:pt>
  </dgm:ptLst>
  <dgm:cxnLst>
    <dgm:cxn modelId="{7AF00814-1D00-4C39-8FF4-37299D84BE63}" srcId="{DF3863BF-33A9-4A65-A99F-1DFDDC14A2C1}" destId="{5724764F-4403-439C-B65E-DA0BEEAD55AF}" srcOrd="1" destOrd="0" parTransId="{8FEA178F-EC53-4A2F-B41E-BF935FD93585}" sibTransId="{1E2EA419-D7B5-4345-B7B6-16CDE3F3330B}"/>
    <dgm:cxn modelId="{0B035E1A-6D1E-4B5C-BB58-8BF335E4C46C}" srcId="{DF3863BF-33A9-4A65-A99F-1DFDDC14A2C1}" destId="{DEB65F37-66B4-4C4C-B8C4-F2A95E5C32A7}" srcOrd="0" destOrd="0" parTransId="{22B10932-A8D3-4183-9B37-A23BD5FF933F}" sibTransId="{6E5E8A89-661D-42E8-B6B3-307F810D2F11}"/>
    <dgm:cxn modelId="{0AD7A84D-6542-4FF0-8817-589C885C8B17}" type="presOf" srcId="{B5823DFC-D6D3-4AC8-8F29-0221E530221A}" destId="{293B1241-FD49-4609-BEBB-1414CC011D16}" srcOrd="0" destOrd="0" presId="urn:microsoft.com/office/officeart/2005/8/layout/radial3"/>
    <dgm:cxn modelId="{53BD3B74-B3DD-42D3-BF88-ECD832F3CB43}" type="presOf" srcId="{5724764F-4403-439C-B65E-DA0BEEAD55AF}" destId="{F01079AC-3376-4A83-884A-8C9435B2C125}" srcOrd="0" destOrd="0" presId="urn:microsoft.com/office/officeart/2005/8/layout/radial3"/>
    <dgm:cxn modelId="{38D6BF56-AD47-4098-90C4-E6E0C8E9AD65}" type="presOf" srcId="{D3E62C45-45C6-4387-AA01-1A660264F44C}" destId="{53BA332D-7B42-4A5D-BAD4-56B288658F7D}" srcOrd="0" destOrd="0" presId="urn:microsoft.com/office/officeart/2005/8/layout/radial3"/>
    <dgm:cxn modelId="{F58CC88C-7EF8-44FD-B3E4-9CE3F46FAD16}" type="presOf" srcId="{DF3863BF-33A9-4A65-A99F-1DFDDC14A2C1}" destId="{611EF5B1-BDDD-4E9B-827F-F659E86941D2}" srcOrd="0" destOrd="0" presId="urn:microsoft.com/office/officeart/2005/8/layout/radial3"/>
    <dgm:cxn modelId="{3A7A6094-2726-4396-805B-2F6D96A114EB}" srcId="{DF3863BF-33A9-4A65-A99F-1DFDDC14A2C1}" destId="{20DB7873-1F27-469E-AD25-97A1113B0B92}" srcOrd="3" destOrd="0" parTransId="{180F71E2-7CD5-4346-941B-8136AA6A55B5}" sibTransId="{5B74EEA5-CBCD-4B26-B988-777763D72277}"/>
    <dgm:cxn modelId="{03FB0AAA-D416-49C1-A151-D8B28724F9E7}" type="presOf" srcId="{20DB7873-1F27-469E-AD25-97A1113B0B92}" destId="{E913C4B6-0353-4C13-ADE3-20638A941686}" srcOrd="0" destOrd="0" presId="urn:microsoft.com/office/officeart/2005/8/layout/radial3"/>
    <dgm:cxn modelId="{A1253FC0-66D9-46DB-8390-52CA13F2251D}" srcId="{DF3863BF-33A9-4A65-A99F-1DFDDC14A2C1}" destId="{B5823DFC-D6D3-4AC8-8F29-0221E530221A}" srcOrd="2" destOrd="0" parTransId="{CB636148-606F-4597-BCF6-F15BA4CB0289}" sibTransId="{45E733E9-F1E7-43D5-B0D4-BF71D0EED487}"/>
    <dgm:cxn modelId="{6756B2DA-BF50-4759-94CD-E5B8B6F6EF4C}" srcId="{D3E62C45-45C6-4387-AA01-1A660264F44C}" destId="{DF3863BF-33A9-4A65-A99F-1DFDDC14A2C1}" srcOrd="0" destOrd="0" parTransId="{0634434C-BC3D-453A-A02F-DBB7D6423F92}" sibTransId="{46251521-7EFF-475E-80A2-5BCF36A05F7A}"/>
    <dgm:cxn modelId="{EC30D9DC-9058-45F6-9225-1B46A087015A}" type="presOf" srcId="{DEB65F37-66B4-4C4C-B8C4-F2A95E5C32A7}" destId="{4DCD6606-DB2F-44AF-8452-4BFF22EB3C15}" srcOrd="0" destOrd="0" presId="urn:microsoft.com/office/officeart/2005/8/layout/radial3"/>
    <dgm:cxn modelId="{2CD7647C-B5F6-4E2E-9C7B-9FB1556AC2E7}" type="presParOf" srcId="{53BA332D-7B42-4A5D-BAD4-56B288658F7D}" destId="{1298810E-E3CC-4676-8E0D-DFEE2E406C64}" srcOrd="0" destOrd="0" presId="urn:microsoft.com/office/officeart/2005/8/layout/radial3"/>
    <dgm:cxn modelId="{7F853127-084F-404D-99A6-8AA520EF7DF4}" type="presParOf" srcId="{1298810E-E3CC-4676-8E0D-DFEE2E406C64}" destId="{611EF5B1-BDDD-4E9B-827F-F659E86941D2}" srcOrd="0" destOrd="0" presId="urn:microsoft.com/office/officeart/2005/8/layout/radial3"/>
    <dgm:cxn modelId="{8133603B-2A8F-4B92-B363-52A4E9C10562}" type="presParOf" srcId="{1298810E-E3CC-4676-8E0D-DFEE2E406C64}" destId="{4DCD6606-DB2F-44AF-8452-4BFF22EB3C15}" srcOrd="1" destOrd="0" presId="urn:microsoft.com/office/officeart/2005/8/layout/radial3"/>
    <dgm:cxn modelId="{2DE46A38-5D86-4B70-BF85-828B72E3D5B7}" type="presParOf" srcId="{1298810E-E3CC-4676-8E0D-DFEE2E406C64}" destId="{F01079AC-3376-4A83-884A-8C9435B2C125}" srcOrd="2" destOrd="0" presId="urn:microsoft.com/office/officeart/2005/8/layout/radial3"/>
    <dgm:cxn modelId="{FE8E4B85-C385-497C-88AD-9B98DC82D323}" type="presParOf" srcId="{1298810E-E3CC-4676-8E0D-DFEE2E406C64}" destId="{293B1241-FD49-4609-BEBB-1414CC011D16}" srcOrd="3" destOrd="0" presId="urn:microsoft.com/office/officeart/2005/8/layout/radial3"/>
    <dgm:cxn modelId="{BE2ABE60-C68A-4068-B120-24D84D509EDE}" type="presParOf" srcId="{1298810E-E3CC-4676-8E0D-DFEE2E406C64}" destId="{E913C4B6-0353-4C13-ADE3-20638A941686}" srcOrd="4"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1EF5B1-BDDD-4E9B-827F-F659E86941D2}">
      <dsp:nvSpPr>
        <dsp:cNvPr id="0" name=""/>
        <dsp:cNvSpPr/>
      </dsp:nvSpPr>
      <dsp:spPr bwMode="white">
        <a:xfrm>
          <a:off x="1855589" y="712589"/>
          <a:ext cx="1775221" cy="177522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IN" sz="1700" b="1" kern="1200"/>
            <a:t>Management of Stakeholders</a:t>
          </a:r>
        </a:p>
      </dsp:txBody>
      <dsp:txXfrm>
        <a:off x="2115564" y="972564"/>
        <a:ext cx="1255271" cy="1255271"/>
      </dsp:txXfrm>
    </dsp:sp>
    <dsp:sp modelId="{4DCD6606-DB2F-44AF-8452-4BFF22EB3C15}">
      <dsp:nvSpPr>
        <dsp:cNvPr id="0" name=""/>
        <dsp:cNvSpPr/>
      </dsp:nvSpPr>
      <dsp:spPr bwMode="white">
        <a:xfrm>
          <a:off x="2299394" y="316"/>
          <a:ext cx="887610" cy="88761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Collaboration</a:t>
          </a:r>
        </a:p>
      </dsp:txBody>
      <dsp:txXfrm>
        <a:off x="2429381" y="130303"/>
        <a:ext cx="627636" cy="627636"/>
      </dsp:txXfrm>
    </dsp:sp>
    <dsp:sp modelId="{F01079AC-3376-4A83-884A-8C9435B2C125}">
      <dsp:nvSpPr>
        <dsp:cNvPr id="0" name=""/>
        <dsp:cNvSpPr/>
      </dsp:nvSpPr>
      <dsp:spPr bwMode="white">
        <a:xfrm>
          <a:off x="3455472" y="1156394"/>
          <a:ext cx="887610" cy="887610"/>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Communication</a:t>
          </a:r>
        </a:p>
      </dsp:txBody>
      <dsp:txXfrm>
        <a:off x="3585459" y="1286381"/>
        <a:ext cx="627636" cy="627636"/>
      </dsp:txXfrm>
    </dsp:sp>
    <dsp:sp modelId="{293B1241-FD49-4609-BEBB-1414CC011D16}">
      <dsp:nvSpPr>
        <dsp:cNvPr id="0" name=""/>
        <dsp:cNvSpPr/>
      </dsp:nvSpPr>
      <dsp:spPr bwMode="white">
        <a:xfrm>
          <a:off x="2299394" y="2312472"/>
          <a:ext cx="887610" cy="887610"/>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Cooperation </a:t>
          </a:r>
        </a:p>
      </dsp:txBody>
      <dsp:txXfrm>
        <a:off x="2429381" y="2442459"/>
        <a:ext cx="627636" cy="627636"/>
      </dsp:txXfrm>
    </dsp:sp>
    <dsp:sp modelId="{E913C4B6-0353-4C13-ADE3-20638A941686}">
      <dsp:nvSpPr>
        <dsp:cNvPr id="0" name=""/>
        <dsp:cNvSpPr/>
      </dsp:nvSpPr>
      <dsp:spPr bwMode="white">
        <a:xfrm>
          <a:off x="1143316" y="1156394"/>
          <a:ext cx="887610" cy="887610"/>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t>Coordination </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9192F-21F7-4DB9-9E62-6BF7D079CE6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Rodica Ion (2414562)</lastModifiedBy>
  <revision>3</revision>
  <dcterms:created xsi:type="dcterms:W3CDTF">2025-11-07T20:34:00.0000000Z</dcterms:created>
  <dcterms:modified xsi:type="dcterms:W3CDTF">2025-11-12T19:48:25.5836128Z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5d717d90-d99d-4b46-b39f-f3c8679af138</vt:lpwstr>
  </property>
  <property fmtid="{D5CDD505-2E9C-101B-9397-08002B2CF9AE}" pid="3" name="KSOProductBuildVer">
    <vt:lpwstr>2057-12.2.0.22549</vt:lpwstr>
  </property>
  <property fmtid="{D5CDD505-2E9C-101B-9397-08002B2CF9AE}" pid="4" name="ICV">
    <vt:lpwstr>0F0CEAACA8D0449C807CAC063A06044A_12</vt:lpwstr>
  </property>
</Properties>
</file>