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540" w:rsidRPr="004B7540" w:rsidRDefault="004B7540" w:rsidP="004B7540">
      <w:pPr>
        <w:spacing w:after="0" w:line="240" w:lineRule="auto"/>
        <w:ind w:left="-180" w:right="-334"/>
        <w:rPr>
          <w:rFonts w:ascii="Georgia" w:eastAsia="SimSun" w:hAnsi="Georgia" w:cs="Times New Roman"/>
          <w:color w:val="000000"/>
          <w:sz w:val="21"/>
          <w:szCs w:val="21"/>
          <w:lang w:eastAsia="zh-CN"/>
        </w:rPr>
      </w:pPr>
      <w:r w:rsidRPr="004B7540">
        <w:rPr>
          <w:rFonts w:ascii="Georgia" w:eastAsia="SimSun" w:hAnsi="Georgia" w:cs="Times New Roman"/>
          <w:noProof/>
          <w:color w:val="000000"/>
          <w:sz w:val="21"/>
          <w:szCs w:val="21"/>
          <w:lang w:eastAsia="zh-CN"/>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4B7540" w:rsidRPr="004B7540" w:rsidRDefault="004B7540" w:rsidP="004B7540">
      <w:pPr>
        <w:spacing w:after="0" w:line="240" w:lineRule="auto"/>
        <w:ind w:left="-180" w:right="-334"/>
        <w:rPr>
          <w:rFonts w:ascii="Georgia" w:eastAsia="SimSun" w:hAnsi="Georgia" w:cs="Times New Roman"/>
          <w:color w:val="000000"/>
          <w:sz w:val="21"/>
          <w:szCs w:val="21"/>
          <w:lang w:eastAsia="zh-CN"/>
        </w:rPr>
      </w:pPr>
    </w:p>
    <w:p w:rsidR="004B7540" w:rsidRPr="004B7540" w:rsidRDefault="004B7540" w:rsidP="004B7540">
      <w:pPr>
        <w:spacing w:after="0" w:line="240" w:lineRule="auto"/>
        <w:ind w:left="-180" w:right="-334"/>
        <w:rPr>
          <w:rFonts w:ascii="Georgia" w:eastAsia="SimSun" w:hAnsi="Georgia" w:cs="Times New Roman"/>
          <w:color w:val="000000"/>
          <w:sz w:val="21"/>
          <w:szCs w:val="21"/>
          <w:lang w:eastAsia="zh-CN"/>
        </w:rPr>
      </w:pPr>
    </w:p>
    <w:p w:rsidR="004B7540" w:rsidRPr="004B7540" w:rsidRDefault="004B7540" w:rsidP="004B7540">
      <w:pPr>
        <w:spacing w:after="0" w:line="240" w:lineRule="auto"/>
        <w:ind w:left="-180" w:right="-334"/>
        <w:jc w:val="center"/>
        <w:rPr>
          <w:rFonts w:ascii="Arial" w:eastAsia="SimSun" w:hAnsi="Arial" w:cs="Arial"/>
          <w:b/>
          <w:color w:val="000000"/>
          <w:sz w:val="28"/>
          <w:szCs w:val="28"/>
          <w:lang w:val="cy-GB" w:eastAsia="zh-CN"/>
        </w:rPr>
      </w:pPr>
      <w:r w:rsidRPr="004B7540">
        <w:rPr>
          <w:rFonts w:ascii="Arial" w:eastAsia="SimSun" w:hAnsi="Arial" w:cs="Arial"/>
          <w:b/>
          <w:color w:val="000000"/>
          <w:sz w:val="28"/>
          <w:szCs w:val="28"/>
          <w:lang w:val="cy-GB" w:eastAsia="zh-CN"/>
        </w:rPr>
        <w:t xml:space="preserve">Postgraduate/Distance Learning </w:t>
      </w:r>
    </w:p>
    <w:p w:rsidR="004B7540" w:rsidRPr="004B7540" w:rsidRDefault="004B7540" w:rsidP="004B7540">
      <w:pPr>
        <w:spacing w:after="0" w:line="240" w:lineRule="auto"/>
        <w:ind w:left="-180" w:right="-334"/>
        <w:jc w:val="center"/>
        <w:rPr>
          <w:rFonts w:ascii="Arial" w:eastAsia="SimSun" w:hAnsi="Arial" w:cs="Arial"/>
          <w:b/>
          <w:color w:val="000000"/>
          <w:sz w:val="28"/>
          <w:szCs w:val="28"/>
          <w:lang w:eastAsia="zh-CN"/>
        </w:rPr>
      </w:pPr>
      <w:r w:rsidRPr="004B7540">
        <w:rPr>
          <w:rFonts w:ascii="Arial" w:eastAsia="SimSun" w:hAnsi="Arial" w:cs="Arial"/>
          <w:b/>
          <w:color w:val="000000"/>
          <w:sz w:val="28"/>
          <w:szCs w:val="28"/>
          <w:lang w:val="cy-GB" w:eastAsia="zh-CN"/>
        </w:rPr>
        <w:t>Assignment coversheet &amp; feedback form</w:t>
      </w:r>
    </w:p>
    <w:p w:rsidR="004B7540" w:rsidRPr="004B7540" w:rsidRDefault="004B7540" w:rsidP="004B7540">
      <w:pPr>
        <w:spacing w:after="0" w:line="240" w:lineRule="auto"/>
        <w:rPr>
          <w:rFonts w:ascii="Arial" w:eastAsia="SimSun" w:hAnsi="Arial" w:cs="Arial"/>
          <w:sz w:val="28"/>
          <w:szCs w:val="28"/>
          <w:lang w:val="cy-GB" w:eastAsia="zh-CN"/>
        </w:rPr>
      </w:pPr>
    </w:p>
    <w:p w:rsidR="004B7540" w:rsidRPr="004B7540" w:rsidRDefault="004B7540" w:rsidP="004B7540">
      <w:pPr>
        <w:keepNext/>
        <w:spacing w:after="0" w:line="240" w:lineRule="auto"/>
        <w:ind w:left="720"/>
        <w:jc w:val="center"/>
        <w:outlineLvl w:val="2"/>
        <w:rPr>
          <w:rFonts w:ascii="Tahoma" w:eastAsia="SimSun" w:hAnsi="Tahoma" w:cs="Tahoma"/>
          <w:b/>
          <w:bCs/>
          <w:sz w:val="20"/>
          <w:szCs w:val="20"/>
          <w:lang w:val="cy-GB" w:eastAsia="zh-CN"/>
        </w:rPr>
      </w:pPr>
      <w:r w:rsidRPr="004B7540">
        <w:rPr>
          <w:rFonts w:ascii="Tahoma" w:eastAsia="SimSun" w:hAnsi="Tahoma" w:cs="Tahoma"/>
          <w:b/>
          <w:bCs/>
          <w:sz w:val="20"/>
          <w:szCs w:val="20"/>
          <w:lang w:val="cy-GB" w:eastAsia="zh-CN"/>
        </w:rPr>
        <w:t>THIS SHEET MUST BE THE FIRST PAGE OF THE ASSIGNMENT YOU ARE SUBMITTING  (DO NOT SEND AS A SEPARATE FILE)</w:t>
      </w:r>
    </w:p>
    <w:p w:rsidR="004B7540" w:rsidRPr="004B7540" w:rsidRDefault="004B7540" w:rsidP="004B7540">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B7540" w:rsidRPr="004B7540" w:rsidTr="00C02A3E">
        <w:trPr>
          <w:trHeight w:val="614"/>
        </w:trPr>
        <w:tc>
          <w:tcPr>
            <w:tcW w:w="8856" w:type="dxa"/>
            <w:gridSpan w:val="5"/>
          </w:tcPr>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b/>
                <w:color w:val="000000"/>
                <w:lang w:eastAsia="zh-CN"/>
              </w:rPr>
              <w:t>For completion by the student</w:t>
            </w:r>
            <w:r w:rsidRPr="004B7540">
              <w:rPr>
                <w:rFonts w:ascii="Arial" w:eastAsia="SimSun" w:hAnsi="Arial" w:cs="Arial"/>
                <w:color w:val="000000"/>
                <w:lang w:eastAsia="zh-CN"/>
              </w:rPr>
              <w:t>:</w:t>
            </w:r>
          </w:p>
        </w:tc>
      </w:tr>
      <w:tr w:rsidR="004B7540" w:rsidRPr="004B7540" w:rsidTr="00C02A3E">
        <w:trPr>
          <w:trHeight w:val="718"/>
        </w:trPr>
        <w:tc>
          <w:tcPr>
            <w:tcW w:w="8856" w:type="dxa"/>
            <w:gridSpan w:val="5"/>
          </w:tcPr>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Student Name:</w:t>
            </w:r>
            <w:r>
              <w:rPr>
                <w:rFonts w:ascii="Arial" w:eastAsia="SimSun" w:hAnsi="Arial" w:cs="Arial"/>
                <w:color w:val="000000"/>
                <w:lang w:eastAsia="zh-CN"/>
              </w:rPr>
              <w:t xml:space="preserve"> Suzanne Caisey</w:t>
            </w:r>
          </w:p>
          <w:p w:rsidR="004B7540" w:rsidRPr="004B7540" w:rsidRDefault="004B7540" w:rsidP="004B7540">
            <w:pPr>
              <w:spacing w:after="0" w:line="240" w:lineRule="auto"/>
              <w:ind w:right="34"/>
              <w:rPr>
                <w:rFonts w:ascii="Arial" w:eastAsia="SimSun" w:hAnsi="Arial" w:cs="Arial"/>
                <w:color w:val="000000"/>
                <w:lang w:eastAsia="zh-CN"/>
              </w:rPr>
            </w:pPr>
          </w:p>
        </w:tc>
      </w:tr>
      <w:tr w:rsidR="004B7540" w:rsidRPr="004B7540" w:rsidTr="00C02A3E">
        <w:trPr>
          <w:trHeight w:val="849"/>
        </w:trPr>
        <w:tc>
          <w:tcPr>
            <w:tcW w:w="4788" w:type="dxa"/>
          </w:tcPr>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Module code:</w:t>
            </w:r>
            <w:r>
              <w:rPr>
                <w:rFonts w:ascii="Arial" w:eastAsia="SimSun" w:hAnsi="Arial" w:cs="Arial"/>
                <w:color w:val="000000"/>
                <w:lang w:eastAsia="zh-CN"/>
              </w:rPr>
              <w:t xml:space="preserve"> CYCS7021</w:t>
            </w:r>
          </w:p>
          <w:p w:rsidR="004B7540" w:rsidRPr="004B7540" w:rsidRDefault="004B7540" w:rsidP="004B7540">
            <w:pPr>
              <w:spacing w:after="0" w:line="240" w:lineRule="auto"/>
              <w:ind w:right="34"/>
              <w:rPr>
                <w:rFonts w:ascii="Arial" w:eastAsia="SimSun" w:hAnsi="Arial" w:cs="Arial"/>
                <w:color w:val="000000"/>
                <w:lang w:eastAsia="zh-CN"/>
              </w:rPr>
            </w:pPr>
          </w:p>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Module title:</w:t>
            </w:r>
            <w:r>
              <w:rPr>
                <w:rFonts w:ascii="Arial" w:eastAsia="SimSun" w:hAnsi="Arial" w:cs="Arial"/>
                <w:color w:val="000000"/>
                <w:lang w:eastAsia="zh-CN"/>
              </w:rPr>
              <w:t xml:space="preserve"> The Celtic Arthur and the Matter of Britain</w:t>
            </w:r>
          </w:p>
          <w:p w:rsidR="004B7540" w:rsidRPr="004B7540" w:rsidRDefault="004B7540" w:rsidP="004B7540">
            <w:pPr>
              <w:spacing w:after="0" w:line="240" w:lineRule="auto"/>
              <w:ind w:right="34"/>
              <w:rPr>
                <w:rFonts w:ascii="Arial" w:eastAsia="SimSun" w:hAnsi="Arial" w:cs="Arial"/>
                <w:color w:val="000000"/>
                <w:lang w:eastAsia="zh-CN"/>
              </w:rPr>
            </w:pPr>
          </w:p>
          <w:p w:rsidR="004B7540" w:rsidRPr="004B7540" w:rsidRDefault="004B7540" w:rsidP="004B7540">
            <w:pPr>
              <w:spacing w:after="0" w:line="240" w:lineRule="auto"/>
              <w:ind w:right="34"/>
              <w:rPr>
                <w:rFonts w:ascii="Arial" w:eastAsia="SimSun" w:hAnsi="Arial" w:cs="Arial"/>
                <w:color w:val="000000"/>
                <w:lang w:eastAsia="zh-CN"/>
              </w:rPr>
            </w:pPr>
          </w:p>
        </w:tc>
        <w:tc>
          <w:tcPr>
            <w:tcW w:w="2266" w:type="dxa"/>
            <w:gridSpan w:val="3"/>
          </w:tcPr>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Student ID number:</w:t>
            </w:r>
            <w:r>
              <w:rPr>
                <w:rFonts w:ascii="Arial" w:eastAsia="SimSun" w:hAnsi="Arial" w:cs="Arial"/>
                <w:color w:val="000000"/>
                <w:lang w:eastAsia="zh-CN"/>
              </w:rPr>
              <w:t xml:space="preserve"> 1708467</w:t>
            </w:r>
          </w:p>
        </w:tc>
        <w:tc>
          <w:tcPr>
            <w:tcW w:w="1802" w:type="dxa"/>
          </w:tcPr>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Educational support needs:</w:t>
            </w:r>
          </w:p>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No</w:t>
            </w:r>
          </w:p>
        </w:tc>
      </w:tr>
      <w:tr w:rsidR="004B7540" w:rsidRPr="004B7540" w:rsidTr="00C02A3E">
        <w:trPr>
          <w:trHeight w:val="1139"/>
        </w:trPr>
        <w:tc>
          <w:tcPr>
            <w:tcW w:w="8856" w:type="dxa"/>
            <w:gridSpan w:val="5"/>
          </w:tcPr>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Module tutor:</w:t>
            </w:r>
            <w:r>
              <w:rPr>
                <w:rFonts w:ascii="Arial" w:eastAsia="SimSun" w:hAnsi="Arial" w:cs="Arial"/>
                <w:color w:val="000000"/>
                <w:lang w:eastAsia="zh-CN"/>
              </w:rPr>
              <w:t xml:space="preserve"> Professor Jane Cartwright and Rhys Kaminski-Jones</w:t>
            </w:r>
          </w:p>
          <w:p w:rsidR="004B7540" w:rsidRPr="004B7540" w:rsidRDefault="004B7540" w:rsidP="004B7540">
            <w:pPr>
              <w:spacing w:after="0" w:line="240" w:lineRule="auto"/>
              <w:ind w:right="34"/>
              <w:rPr>
                <w:rFonts w:ascii="Arial" w:eastAsia="SimSun" w:hAnsi="Arial" w:cs="Arial"/>
                <w:color w:val="000000"/>
                <w:lang w:eastAsia="zh-CN"/>
              </w:rPr>
            </w:pPr>
          </w:p>
          <w:p w:rsidR="004B7540" w:rsidRPr="004B7540" w:rsidRDefault="004B7540" w:rsidP="004B7540">
            <w:pPr>
              <w:spacing w:after="0" w:line="240" w:lineRule="auto"/>
              <w:ind w:right="34"/>
              <w:rPr>
                <w:rFonts w:ascii="Arial" w:eastAsia="SimSun" w:hAnsi="Arial" w:cs="Arial"/>
                <w:color w:val="000000"/>
                <w:lang w:eastAsia="zh-CN"/>
              </w:rPr>
            </w:pPr>
          </w:p>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Assignment due date:</w:t>
            </w:r>
            <w:r w:rsidR="00715C85">
              <w:rPr>
                <w:rFonts w:ascii="Arial" w:eastAsia="SimSun" w:hAnsi="Arial" w:cs="Arial"/>
                <w:color w:val="000000"/>
                <w:lang w:eastAsia="zh-CN"/>
              </w:rPr>
              <w:t xml:space="preserve"> 14</w:t>
            </w:r>
            <w:r w:rsidR="00715C85" w:rsidRPr="00715C85">
              <w:rPr>
                <w:rFonts w:ascii="Arial" w:eastAsia="SimSun" w:hAnsi="Arial" w:cs="Arial"/>
                <w:color w:val="000000"/>
                <w:vertAlign w:val="superscript"/>
                <w:lang w:eastAsia="zh-CN"/>
              </w:rPr>
              <w:t>th</w:t>
            </w:r>
            <w:r w:rsidR="00715C85">
              <w:rPr>
                <w:rFonts w:ascii="Arial" w:eastAsia="SimSun" w:hAnsi="Arial" w:cs="Arial"/>
                <w:color w:val="000000"/>
                <w:lang w:eastAsia="zh-CN"/>
              </w:rPr>
              <w:t xml:space="preserve"> January 2019</w:t>
            </w:r>
          </w:p>
        </w:tc>
      </w:tr>
      <w:tr w:rsidR="004B7540" w:rsidRPr="004B7540" w:rsidTr="00C02A3E">
        <w:trPr>
          <w:trHeight w:val="978"/>
        </w:trPr>
        <w:tc>
          <w:tcPr>
            <w:tcW w:w="8856" w:type="dxa"/>
            <w:gridSpan w:val="5"/>
            <w:tcBorders>
              <w:bottom w:val="single" w:sz="4" w:space="0" w:color="000000"/>
            </w:tcBorders>
          </w:tcPr>
          <w:p w:rsidR="004B7540" w:rsidRPr="004B7540" w:rsidRDefault="004B7540" w:rsidP="004B7540">
            <w:pPr>
              <w:spacing w:after="0" w:line="240" w:lineRule="auto"/>
              <w:rPr>
                <w:rFonts w:ascii="Arial" w:eastAsia="SimSun" w:hAnsi="Arial" w:cs="Arial"/>
                <w:lang w:eastAsia="zh-CN"/>
              </w:rPr>
            </w:pPr>
            <w:r w:rsidRPr="004B7540">
              <w:rPr>
                <w:rFonts w:ascii="Arial" w:eastAsia="SimSun" w:hAnsi="Arial" w:cs="Arial"/>
                <w:lang w:eastAsia="zh-CN"/>
              </w:rPr>
              <w:t>If your module has multiple submissions please indicate which piece of work this is.</w:t>
            </w:r>
          </w:p>
          <w:p w:rsidR="004B7540" w:rsidRPr="004B7540" w:rsidRDefault="004B7540" w:rsidP="004B7540">
            <w:pPr>
              <w:spacing w:after="0" w:line="240" w:lineRule="auto"/>
              <w:rPr>
                <w:rFonts w:ascii="Arial" w:eastAsia="SimSun" w:hAnsi="Arial" w:cs="Arial"/>
                <w:lang w:eastAsia="zh-CN"/>
              </w:rPr>
            </w:pPr>
          </w:p>
          <w:p w:rsidR="004B7540" w:rsidRPr="004B7540" w:rsidRDefault="004B7540" w:rsidP="004B7540">
            <w:pPr>
              <w:spacing w:after="0" w:line="240" w:lineRule="auto"/>
              <w:rPr>
                <w:rFonts w:ascii="Arial" w:eastAsia="SimSun" w:hAnsi="Arial" w:cs="Arial"/>
                <w:lang w:eastAsia="zh-CN"/>
              </w:rPr>
            </w:pPr>
            <w:r w:rsidRPr="004B7540">
              <w:rPr>
                <w:rFonts w:ascii="Arial" w:eastAsia="SimSun" w:hAnsi="Arial" w:cs="Arial"/>
                <w:lang w:eastAsia="zh-CN"/>
              </w:rPr>
              <w:t>1</w:t>
            </w:r>
            <w:r w:rsidRPr="004B7540">
              <w:rPr>
                <w:rFonts w:ascii="Arial" w:eastAsia="SimSun" w:hAnsi="Arial" w:cs="Arial"/>
                <w:vertAlign w:val="superscript"/>
                <w:lang w:eastAsia="zh-CN"/>
              </w:rPr>
              <w:t xml:space="preserve">st </w:t>
            </w:r>
            <w:r w:rsidRPr="004B7540">
              <w:rPr>
                <w:rFonts w:ascii="Arial" w:eastAsia="SimSun" w:hAnsi="Arial" w:cs="Arial"/>
                <w:lang w:eastAsia="zh-CN"/>
              </w:rPr>
              <w:fldChar w:fldCharType="begin">
                <w:ffData>
                  <w:name w:val="Check13"/>
                  <w:enabled/>
                  <w:calcOnExit w:val="0"/>
                  <w:checkBox>
                    <w:sizeAuto/>
                    <w:default w:val="0"/>
                  </w:checkBox>
                </w:ffData>
              </w:fldChar>
            </w:r>
            <w:bookmarkStart w:id="0" w:name="Check13"/>
            <w:r w:rsidRPr="004B7540">
              <w:rPr>
                <w:rFonts w:ascii="Arial" w:eastAsia="SimSun" w:hAnsi="Arial" w:cs="Arial"/>
                <w:lang w:eastAsia="zh-CN"/>
              </w:rPr>
              <w:instrText xml:space="preserve"> FORMCHECKBOX </w:instrText>
            </w:r>
            <w:r w:rsidR="00FB50BF">
              <w:rPr>
                <w:rFonts w:ascii="Arial" w:eastAsia="SimSun" w:hAnsi="Arial" w:cs="Arial"/>
                <w:lang w:eastAsia="zh-CN"/>
              </w:rPr>
            </w:r>
            <w:r w:rsidR="00FB50BF">
              <w:rPr>
                <w:rFonts w:ascii="Arial" w:eastAsia="SimSun" w:hAnsi="Arial" w:cs="Arial"/>
                <w:lang w:eastAsia="zh-CN"/>
              </w:rPr>
              <w:fldChar w:fldCharType="separate"/>
            </w:r>
            <w:r w:rsidRPr="004B7540">
              <w:rPr>
                <w:rFonts w:ascii="Arial" w:eastAsia="SimSun" w:hAnsi="Arial" w:cs="Arial"/>
                <w:lang w:eastAsia="zh-CN"/>
              </w:rPr>
              <w:fldChar w:fldCharType="end"/>
            </w:r>
            <w:bookmarkEnd w:id="0"/>
            <w:r w:rsidRPr="004B7540">
              <w:rPr>
                <w:rFonts w:ascii="Arial" w:eastAsia="SimSun" w:hAnsi="Arial" w:cs="Arial"/>
                <w:lang w:eastAsia="zh-CN"/>
              </w:rPr>
              <w:t xml:space="preserve">    2</w:t>
            </w:r>
            <w:r w:rsidRPr="004B7540">
              <w:rPr>
                <w:rFonts w:ascii="Arial" w:eastAsia="SimSun" w:hAnsi="Arial" w:cs="Arial"/>
                <w:vertAlign w:val="superscript"/>
                <w:lang w:eastAsia="zh-CN"/>
              </w:rPr>
              <w:t>nd</w:t>
            </w:r>
            <w:r w:rsidRPr="004B7540">
              <w:rPr>
                <w:rFonts w:ascii="Arial" w:eastAsia="SimSun" w:hAnsi="Arial" w:cs="Arial"/>
                <w:lang w:eastAsia="zh-CN"/>
              </w:rPr>
              <w:t xml:space="preserve">  </w:t>
            </w:r>
            <w:r w:rsidRPr="004B7540">
              <w:rPr>
                <w:rFonts w:ascii="Arial" w:eastAsia="SimSun" w:hAnsi="Arial" w:cs="Arial"/>
                <w:lang w:eastAsia="zh-CN"/>
              </w:rPr>
              <w:fldChar w:fldCharType="begin">
                <w:ffData>
                  <w:name w:val="Check14"/>
                  <w:enabled/>
                  <w:calcOnExit w:val="0"/>
                  <w:checkBox>
                    <w:sizeAuto/>
                    <w:default w:val="0"/>
                  </w:checkBox>
                </w:ffData>
              </w:fldChar>
            </w:r>
            <w:bookmarkStart w:id="1" w:name="Check14"/>
            <w:r w:rsidRPr="004B7540">
              <w:rPr>
                <w:rFonts w:ascii="Arial" w:eastAsia="SimSun" w:hAnsi="Arial" w:cs="Arial"/>
                <w:lang w:eastAsia="zh-CN"/>
              </w:rPr>
              <w:instrText xml:space="preserve"> FORMCHECKBOX </w:instrText>
            </w:r>
            <w:r w:rsidR="00FB50BF">
              <w:rPr>
                <w:rFonts w:ascii="Arial" w:eastAsia="SimSun" w:hAnsi="Arial" w:cs="Arial"/>
                <w:lang w:eastAsia="zh-CN"/>
              </w:rPr>
            </w:r>
            <w:r w:rsidR="00FB50BF">
              <w:rPr>
                <w:rFonts w:ascii="Arial" w:eastAsia="SimSun" w:hAnsi="Arial" w:cs="Arial"/>
                <w:lang w:eastAsia="zh-CN"/>
              </w:rPr>
              <w:fldChar w:fldCharType="separate"/>
            </w:r>
            <w:r w:rsidRPr="004B7540">
              <w:rPr>
                <w:rFonts w:ascii="Arial" w:eastAsia="SimSun" w:hAnsi="Arial" w:cs="Arial"/>
                <w:lang w:eastAsia="zh-CN"/>
              </w:rPr>
              <w:fldChar w:fldCharType="end"/>
            </w:r>
            <w:bookmarkEnd w:id="1"/>
            <w:r w:rsidRPr="004B7540">
              <w:rPr>
                <w:rFonts w:ascii="Arial" w:eastAsia="SimSun" w:hAnsi="Arial" w:cs="Arial"/>
                <w:lang w:eastAsia="zh-CN"/>
              </w:rPr>
              <w:t xml:space="preserve">     3</w:t>
            </w:r>
            <w:r w:rsidRPr="004B7540">
              <w:rPr>
                <w:rFonts w:ascii="Arial" w:eastAsia="SimSun" w:hAnsi="Arial" w:cs="Arial"/>
                <w:vertAlign w:val="superscript"/>
                <w:lang w:eastAsia="zh-CN"/>
              </w:rPr>
              <w:t>rd</w:t>
            </w:r>
            <w:r w:rsidRPr="004B7540">
              <w:rPr>
                <w:rFonts w:ascii="Arial" w:eastAsia="SimSun" w:hAnsi="Arial" w:cs="Arial"/>
                <w:lang w:eastAsia="zh-CN"/>
              </w:rPr>
              <w:t xml:space="preserve">  </w:t>
            </w:r>
            <w:r w:rsidRPr="004B7540">
              <w:rPr>
                <w:rFonts w:ascii="Arial" w:eastAsia="SimSun" w:hAnsi="Arial" w:cs="Arial"/>
                <w:lang w:eastAsia="zh-CN"/>
              </w:rPr>
              <w:fldChar w:fldCharType="begin">
                <w:ffData>
                  <w:name w:val="Check15"/>
                  <w:enabled/>
                  <w:calcOnExit w:val="0"/>
                  <w:checkBox>
                    <w:sizeAuto/>
                    <w:default w:val="0"/>
                  </w:checkBox>
                </w:ffData>
              </w:fldChar>
            </w:r>
            <w:bookmarkStart w:id="2" w:name="Check15"/>
            <w:r w:rsidRPr="004B7540">
              <w:rPr>
                <w:rFonts w:ascii="Arial" w:eastAsia="SimSun" w:hAnsi="Arial" w:cs="Arial"/>
                <w:lang w:eastAsia="zh-CN"/>
              </w:rPr>
              <w:instrText xml:space="preserve"> FORMCHECKBOX </w:instrText>
            </w:r>
            <w:r w:rsidR="00FB50BF">
              <w:rPr>
                <w:rFonts w:ascii="Arial" w:eastAsia="SimSun" w:hAnsi="Arial" w:cs="Arial"/>
                <w:lang w:eastAsia="zh-CN"/>
              </w:rPr>
            </w:r>
            <w:r w:rsidR="00FB50BF">
              <w:rPr>
                <w:rFonts w:ascii="Arial" w:eastAsia="SimSun" w:hAnsi="Arial" w:cs="Arial"/>
                <w:lang w:eastAsia="zh-CN"/>
              </w:rPr>
              <w:fldChar w:fldCharType="separate"/>
            </w:r>
            <w:r w:rsidRPr="004B7540">
              <w:rPr>
                <w:rFonts w:ascii="Arial" w:eastAsia="SimSun" w:hAnsi="Arial" w:cs="Arial"/>
                <w:lang w:eastAsia="zh-CN"/>
              </w:rPr>
              <w:fldChar w:fldCharType="end"/>
            </w:r>
            <w:bookmarkEnd w:id="2"/>
            <w:r w:rsidRPr="004B7540">
              <w:rPr>
                <w:rFonts w:ascii="Arial" w:eastAsia="SimSun" w:hAnsi="Arial" w:cs="Arial"/>
                <w:lang w:eastAsia="zh-CN"/>
              </w:rPr>
              <w:t xml:space="preserve">      4</w:t>
            </w:r>
            <w:r w:rsidRPr="004B7540">
              <w:rPr>
                <w:rFonts w:ascii="Arial" w:eastAsia="SimSun" w:hAnsi="Arial" w:cs="Arial"/>
                <w:vertAlign w:val="superscript"/>
                <w:lang w:eastAsia="zh-CN"/>
              </w:rPr>
              <w:t>th</w:t>
            </w:r>
            <w:r w:rsidRPr="004B7540">
              <w:rPr>
                <w:rFonts w:ascii="Arial" w:eastAsia="SimSun" w:hAnsi="Arial" w:cs="Arial"/>
                <w:lang w:eastAsia="zh-CN"/>
              </w:rPr>
              <w:t xml:space="preserve"> </w:t>
            </w:r>
            <w:r w:rsidRPr="004B7540">
              <w:rPr>
                <w:rFonts w:ascii="Arial" w:eastAsia="SimSun" w:hAnsi="Arial" w:cs="Arial"/>
                <w:lang w:eastAsia="zh-CN"/>
              </w:rPr>
              <w:fldChar w:fldCharType="begin">
                <w:ffData>
                  <w:name w:val="Check16"/>
                  <w:enabled/>
                  <w:calcOnExit w:val="0"/>
                  <w:checkBox>
                    <w:sizeAuto/>
                    <w:default w:val="0"/>
                  </w:checkBox>
                </w:ffData>
              </w:fldChar>
            </w:r>
            <w:bookmarkStart w:id="3" w:name="Check16"/>
            <w:r w:rsidRPr="004B7540">
              <w:rPr>
                <w:rFonts w:ascii="Arial" w:eastAsia="SimSun" w:hAnsi="Arial" w:cs="Arial"/>
                <w:lang w:eastAsia="zh-CN"/>
              </w:rPr>
              <w:instrText xml:space="preserve"> FORMCHECKBOX </w:instrText>
            </w:r>
            <w:r w:rsidR="00FB50BF">
              <w:rPr>
                <w:rFonts w:ascii="Arial" w:eastAsia="SimSun" w:hAnsi="Arial" w:cs="Arial"/>
                <w:lang w:eastAsia="zh-CN"/>
              </w:rPr>
            </w:r>
            <w:r w:rsidR="00FB50BF">
              <w:rPr>
                <w:rFonts w:ascii="Arial" w:eastAsia="SimSun" w:hAnsi="Arial" w:cs="Arial"/>
                <w:lang w:eastAsia="zh-CN"/>
              </w:rPr>
              <w:fldChar w:fldCharType="separate"/>
            </w:r>
            <w:r w:rsidRPr="004B7540">
              <w:rPr>
                <w:rFonts w:ascii="Arial" w:eastAsia="SimSun" w:hAnsi="Arial" w:cs="Arial"/>
                <w:lang w:eastAsia="zh-CN"/>
              </w:rPr>
              <w:fldChar w:fldCharType="end"/>
            </w:r>
            <w:bookmarkEnd w:id="3"/>
            <w:r w:rsidRPr="004B7540">
              <w:rPr>
                <w:rFonts w:ascii="Arial" w:eastAsia="SimSun" w:hAnsi="Arial" w:cs="Arial"/>
                <w:lang w:eastAsia="zh-CN"/>
              </w:rPr>
              <w:t xml:space="preserve">      5</w:t>
            </w:r>
            <w:r w:rsidRPr="004B7540">
              <w:rPr>
                <w:rFonts w:ascii="Arial" w:eastAsia="SimSun" w:hAnsi="Arial" w:cs="Arial"/>
                <w:vertAlign w:val="superscript"/>
                <w:lang w:eastAsia="zh-CN"/>
              </w:rPr>
              <w:t>th</w:t>
            </w:r>
            <w:r w:rsidRPr="004B7540">
              <w:rPr>
                <w:rFonts w:ascii="Arial" w:eastAsia="SimSun" w:hAnsi="Arial" w:cs="Arial"/>
                <w:lang w:eastAsia="zh-CN"/>
              </w:rPr>
              <w:t xml:space="preserve"> </w:t>
            </w:r>
            <w:r w:rsidRPr="004B7540">
              <w:rPr>
                <w:rFonts w:ascii="Arial" w:eastAsia="SimSun" w:hAnsi="Arial" w:cs="Arial"/>
                <w:lang w:eastAsia="zh-CN"/>
              </w:rPr>
              <w:fldChar w:fldCharType="begin">
                <w:ffData>
                  <w:name w:val="Check17"/>
                  <w:enabled/>
                  <w:calcOnExit w:val="0"/>
                  <w:checkBox>
                    <w:sizeAuto/>
                    <w:default w:val="0"/>
                  </w:checkBox>
                </w:ffData>
              </w:fldChar>
            </w:r>
            <w:bookmarkStart w:id="4" w:name="Check17"/>
            <w:r w:rsidRPr="004B7540">
              <w:rPr>
                <w:rFonts w:ascii="Arial" w:eastAsia="SimSun" w:hAnsi="Arial" w:cs="Arial"/>
                <w:lang w:eastAsia="zh-CN"/>
              </w:rPr>
              <w:instrText xml:space="preserve"> FORMCHECKBOX </w:instrText>
            </w:r>
            <w:r w:rsidR="00FB50BF">
              <w:rPr>
                <w:rFonts w:ascii="Arial" w:eastAsia="SimSun" w:hAnsi="Arial" w:cs="Arial"/>
                <w:lang w:eastAsia="zh-CN"/>
              </w:rPr>
            </w:r>
            <w:r w:rsidR="00FB50BF">
              <w:rPr>
                <w:rFonts w:ascii="Arial" w:eastAsia="SimSun" w:hAnsi="Arial" w:cs="Arial"/>
                <w:lang w:eastAsia="zh-CN"/>
              </w:rPr>
              <w:fldChar w:fldCharType="separate"/>
            </w:r>
            <w:r w:rsidRPr="004B7540">
              <w:rPr>
                <w:rFonts w:ascii="Arial" w:eastAsia="SimSun" w:hAnsi="Arial" w:cs="Arial"/>
                <w:lang w:eastAsia="zh-CN"/>
              </w:rPr>
              <w:fldChar w:fldCharType="end"/>
            </w:r>
            <w:bookmarkEnd w:id="4"/>
            <w:r w:rsidRPr="004B7540">
              <w:rPr>
                <w:rFonts w:ascii="Arial" w:eastAsia="SimSun" w:hAnsi="Arial" w:cs="Arial"/>
                <w:lang w:eastAsia="zh-CN"/>
              </w:rPr>
              <w:t xml:space="preserve">      6</w:t>
            </w:r>
            <w:r w:rsidRPr="004B7540">
              <w:rPr>
                <w:rFonts w:ascii="Arial" w:eastAsia="SimSun" w:hAnsi="Arial" w:cs="Arial"/>
                <w:vertAlign w:val="superscript"/>
                <w:lang w:eastAsia="zh-CN"/>
              </w:rPr>
              <w:t>th</w:t>
            </w:r>
            <w:r w:rsidRPr="004B7540">
              <w:rPr>
                <w:rFonts w:ascii="Arial" w:eastAsia="SimSun" w:hAnsi="Arial" w:cs="Arial"/>
                <w:lang w:eastAsia="zh-CN"/>
              </w:rPr>
              <w:t xml:space="preserve"> </w:t>
            </w:r>
            <w:r w:rsidRPr="004B7540">
              <w:rPr>
                <w:rFonts w:ascii="Arial" w:eastAsia="SimSun" w:hAnsi="Arial" w:cs="Arial"/>
                <w:lang w:eastAsia="zh-CN"/>
              </w:rPr>
              <w:fldChar w:fldCharType="begin">
                <w:ffData>
                  <w:name w:val="Check18"/>
                  <w:enabled/>
                  <w:calcOnExit w:val="0"/>
                  <w:checkBox>
                    <w:sizeAuto/>
                    <w:default w:val="0"/>
                  </w:checkBox>
                </w:ffData>
              </w:fldChar>
            </w:r>
            <w:bookmarkStart w:id="5" w:name="Check18"/>
            <w:r w:rsidRPr="004B7540">
              <w:rPr>
                <w:rFonts w:ascii="Arial" w:eastAsia="SimSun" w:hAnsi="Arial" w:cs="Arial"/>
                <w:lang w:eastAsia="zh-CN"/>
              </w:rPr>
              <w:instrText xml:space="preserve"> FORMCHECKBOX </w:instrText>
            </w:r>
            <w:r w:rsidR="00FB50BF">
              <w:rPr>
                <w:rFonts w:ascii="Arial" w:eastAsia="SimSun" w:hAnsi="Arial" w:cs="Arial"/>
                <w:lang w:eastAsia="zh-CN"/>
              </w:rPr>
            </w:r>
            <w:r w:rsidR="00FB50BF">
              <w:rPr>
                <w:rFonts w:ascii="Arial" w:eastAsia="SimSun" w:hAnsi="Arial" w:cs="Arial"/>
                <w:lang w:eastAsia="zh-CN"/>
              </w:rPr>
              <w:fldChar w:fldCharType="separate"/>
            </w:r>
            <w:r w:rsidRPr="004B7540">
              <w:rPr>
                <w:rFonts w:ascii="Arial" w:eastAsia="SimSun" w:hAnsi="Arial" w:cs="Arial"/>
                <w:lang w:eastAsia="zh-CN"/>
              </w:rPr>
              <w:fldChar w:fldCharType="end"/>
            </w:r>
            <w:bookmarkEnd w:id="5"/>
          </w:p>
        </w:tc>
      </w:tr>
      <w:tr w:rsidR="004B7540" w:rsidRPr="004B7540" w:rsidTr="00C02A3E">
        <w:trPr>
          <w:trHeight w:val="978"/>
        </w:trPr>
        <w:tc>
          <w:tcPr>
            <w:tcW w:w="8856" w:type="dxa"/>
            <w:gridSpan w:val="5"/>
            <w:shd w:val="clear" w:color="auto" w:fill="D9D9D9"/>
          </w:tcPr>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I confirm that this is my original work and that I have adhered to the University policy on plagiarism.</w:t>
            </w:r>
          </w:p>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Arial" w:eastAsia="SimSun" w:hAnsi="Arial" w:cs="Arial"/>
                <w:color w:val="000000"/>
                <w:lang w:eastAsia="zh-CN"/>
              </w:rPr>
              <w:t>Signed ……………………………………………………………</w:t>
            </w:r>
          </w:p>
          <w:p w:rsidR="004B7540" w:rsidRPr="004B7540" w:rsidRDefault="004B7540" w:rsidP="004B7540">
            <w:pPr>
              <w:spacing w:after="0" w:line="240" w:lineRule="auto"/>
              <w:ind w:right="34"/>
              <w:rPr>
                <w:rFonts w:ascii="Calibri" w:eastAsia="SimSun" w:hAnsi="Calibri" w:cs="Calibri"/>
                <w:b/>
                <w:color w:val="000000"/>
                <w:sz w:val="44"/>
                <w:szCs w:val="44"/>
                <w:lang w:eastAsia="zh-CN"/>
              </w:rPr>
            </w:pPr>
            <w:r w:rsidRPr="004B7540">
              <w:rPr>
                <w:rFonts w:ascii="Calibri" w:eastAsia="SimSun" w:hAnsi="Calibri" w:cs="Tahoma"/>
                <w:b/>
                <w:color w:val="000000"/>
                <w:sz w:val="24"/>
                <w:szCs w:val="24"/>
                <w:lang w:eastAsia="zh-CN"/>
              </w:rPr>
              <w:t xml:space="preserve">Email submission: if you are submitting this form via email, please tick this box </w:t>
            </w:r>
            <w:r w:rsidR="00715C85">
              <w:rPr>
                <w:rFonts w:ascii="Calibri" w:eastAsia="SimSun" w:hAnsi="Calibri" w:cs="Calibri"/>
                <w:b/>
                <w:color w:val="000000"/>
                <w:sz w:val="44"/>
                <w:szCs w:val="44"/>
                <w:lang w:eastAsia="zh-CN"/>
              </w:rPr>
              <w:t>√</w:t>
            </w:r>
          </w:p>
          <w:p w:rsidR="004B7540" w:rsidRPr="004B7540" w:rsidRDefault="004B7540" w:rsidP="004B7540">
            <w:pPr>
              <w:spacing w:after="0" w:line="240" w:lineRule="auto"/>
              <w:ind w:right="34"/>
              <w:rPr>
                <w:rFonts w:ascii="Arial" w:eastAsia="SimSun" w:hAnsi="Arial" w:cs="Arial"/>
                <w:color w:val="000000"/>
                <w:lang w:eastAsia="zh-CN"/>
              </w:rPr>
            </w:pPr>
            <w:r w:rsidRPr="004B7540">
              <w:rPr>
                <w:rFonts w:ascii="Calibri" w:eastAsia="SimSun" w:hAnsi="Calibri" w:cs="Tahoma"/>
                <w:b/>
                <w:color w:val="000000"/>
                <w:sz w:val="24"/>
                <w:szCs w:val="24"/>
                <w:lang w:eastAsia="zh-CN"/>
              </w:rPr>
              <w:t>(as a substitute for your signature) to confirm that you agree to the above declaration.</w:t>
            </w:r>
          </w:p>
        </w:tc>
      </w:tr>
      <w:tr w:rsidR="004B7540" w:rsidRPr="004B7540" w:rsidTr="00C02A3E">
        <w:trPr>
          <w:trHeight w:val="3972"/>
        </w:trPr>
        <w:tc>
          <w:tcPr>
            <w:tcW w:w="8856" w:type="dxa"/>
            <w:gridSpan w:val="5"/>
          </w:tcPr>
          <w:p w:rsidR="004B7540" w:rsidRPr="004B7540" w:rsidRDefault="004B7540" w:rsidP="004B7540">
            <w:pPr>
              <w:spacing w:after="0" w:line="240" w:lineRule="auto"/>
              <w:rPr>
                <w:rFonts w:ascii="Arial" w:eastAsia="SimSun" w:hAnsi="Arial" w:cs="Times New Roman"/>
                <w:b/>
                <w:sz w:val="24"/>
                <w:szCs w:val="24"/>
                <w:lang w:eastAsia="zh-CN"/>
              </w:rPr>
            </w:pPr>
          </w:p>
          <w:p w:rsidR="004B7540" w:rsidRPr="004B7540" w:rsidRDefault="004B7540" w:rsidP="004B7540">
            <w:pPr>
              <w:spacing w:after="0" w:line="240" w:lineRule="auto"/>
              <w:rPr>
                <w:rFonts w:ascii="Arial" w:eastAsia="SimSun" w:hAnsi="Arial" w:cs="Times New Roman"/>
                <w:sz w:val="24"/>
                <w:szCs w:val="24"/>
                <w:lang w:eastAsia="zh-CN"/>
              </w:rPr>
            </w:pPr>
            <w:r w:rsidRPr="004B7540">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B7540" w:rsidRPr="004B7540" w:rsidTr="00C02A3E">
              <w:tc>
                <w:tcPr>
                  <w:tcW w:w="6970" w:type="dxa"/>
                </w:tcPr>
                <w:p w:rsidR="004B7540" w:rsidRPr="004B7540" w:rsidRDefault="004B7540" w:rsidP="004B7540">
                  <w:pPr>
                    <w:spacing w:after="0" w:line="240" w:lineRule="auto"/>
                    <w:rPr>
                      <w:rFonts w:ascii="Arial" w:eastAsia="SimSun" w:hAnsi="Arial" w:cs="Times New Roman"/>
                      <w:sz w:val="20"/>
                      <w:szCs w:val="20"/>
                      <w:lang w:eastAsia="zh-CN"/>
                    </w:rPr>
                  </w:pPr>
                </w:p>
                <w:p w:rsidR="004B7540" w:rsidRPr="004B7540" w:rsidRDefault="004B7540" w:rsidP="004B7540">
                  <w:pPr>
                    <w:spacing w:after="0" w:line="240" w:lineRule="auto"/>
                    <w:rPr>
                      <w:rFonts w:ascii="Arial" w:eastAsia="SimSun" w:hAnsi="Arial" w:cs="Times New Roman"/>
                      <w:sz w:val="20"/>
                      <w:szCs w:val="20"/>
                      <w:lang w:eastAsia="zh-CN"/>
                    </w:rPr>
                  </w:pPr>
                  <w:r w:rsidRPr="004B7540">
                    <w:rPr>
                      <w:rFonts w:ascii="Arial" w:eastAsia="SimSun" w:hAnsi="Arial" w:cs="Times New Roman"/>
                      <w:sz w:val="20"/>
                      <w:szCs w:val="20"/>
                      <w:lang w:eastAsia="zh-CN"/>
                    </w:rPr>
                    <w:t>1</w:t>
                  </w:r>
                  <w:r w:rsidRPr="004B7540">
                    <w:rPr>
                      <w:rFonts w:ascii="Arial" w:eastAsia="SimSun" w:hAnsi="Arial" w:cs="Times New Roman"/>
                      <w:sz w:val="20"/>
                      <w:szCs w:val="20"/>
                      <w:vertAlign w:val="superscript"/>
                      <w:lang w:eastAsia="zh-CN"/>
                    </w:rPr>
                    <w:t>st</w:t>
                  </w:r>
                  <w:r w:rsidRPr="004B7540">
                    <w:rPr>
                      <w:rFonts w:ascii="Arial" w:eastAsia="SimSun" w:hAnsi="Arial" w:cs="Times New Roman"/>
                      <w:sz w:val="20"/>
                      <w:szCs w:val="20"/>
                      <w:lang w:eastAsia="zh-CN"/>
                    </w:rPr>
                    <w:t xml:space="preserve"> Marker’s Provisional mark</w:t>
                  </w:r>
                </w:p>
              </w:tc>
              <w:tc>
                <w:tcPr>
                  <w:tcW w:w="1660" w:type="dxa"/>
                </w:tcPr>
                <w:p w:rsidR="004B7540" w:rsidRPr="004B7540" w:rsidRDefault="004B7540" w:rsidP="004B7540">
                  <w:pPr>
                    <w:spacing w:after="0" w:line="240" w:lineRule="auto"/>
                    <w:rPr>
                      <w:rFonts w:ascii="Arial" w:eastAsia="SimSun" w:hAnsi="Arial" w:cs="Times New Roman"/>
                      <w:sz w:val="20"/>
                      <w:szCs w:val="20"/>
                      <w:lang w:eastAsia="zh-CN"/>
                    </w:rPr>
                  </w:pPr>
                </w:p>
              </w:tc>
            </w:tr>
            <w:tr w:rsidR="004B7540" w:rsidRPr="004B7540" w:rsidTr="00C02A3E">
              <w:tc>
                <w:tcPr>
                  <w:tcW w:w="6970" w:type="dxa"/>
                </w:tcPr>
                <w:p w:rsidR="004B7540" w:rsidRPr="004B7540" w:rsidRDefault="004B7540" w:rsidP="004B7540">
                  <w:pPr>
                    <w:spacing w:after="0" w:line="240" w:lineRule="auto"/>
                    <w:rPr>
                      <w:rFonts w:ascii="Arial" w:eastAsia="SimSun" w:hAnsi="Arial" w:cs="Times New Roman"/>
                      <w:sz w:val="20"/>
                      <w:szCs w:val="20"/>
                      <w:lang w:eastAsia="zh-CN"/>
                    </w:rPr>
                  </w:pPr>
                </w:p>
                <w:p w:rsidR="004B7540" w:rsidRPr="004B7540" w:rsidRDefault="004B7540" w:rsidP="004B7540">
                  <w:pPr>
                    <w:spacing w:after="0" w:line="240" w:lineRule="auto"/>
                    <w:rPr>
                      <w:rFonts w:ascii="Arial" w:eastAsia="SimSun" w:hAnsi="Arial" w:cs="Times New Roman"/>
                      <w:sz w:val="20"/>
                      <w:szCs w:val="20"/>
                      <w:lang w:eastAsia="zh-CN"/>
                    </w:rPr>
                  </w:pPr>
                  <w:r w:rsidRPr="004B7540">
                    <w:rPr>
                      <w:rFonts w:ascii="Arial" w:eastAsia="SimSun" w:hAnsi="Arial" w:cs="Times New Roman"/>
                      <w:sz w:val="20"/>
                      <w:szCs w:val="20"/>
                      <w:lang w:eastAsia="zh-CN"/>
                    </w:rPr>
                    <w:t>2</w:t>
                  </w:r>
                  <w:r w:rsidRPr="004B7540">
                    <w:rPr>
                      <w:rFonts w:ascii="Arial" w:eastAsia="SimSun" w:hAnsi="Arial" w:cs="Times New Roman"/>
                      <w:sz w:val="20"/>
                      <w:szCs w:val="20"/>
                      <w:vertAlign w:val="superscript"/>
                      <w:lang w:eastAsia="zh-CN"/>
                    </w:rPr>
                    <w:t>nd</w:t>
                  </w:r>
                  <w:r w:rsidRPr="004B7540">
                    <w:rPr>
                      <w:rFonts w:ascii="Arial" w:eastAsia="SimSun" w:hAnsi="Arial" w:cs="Times New Roman"/>
                      <w:sz w:val="20"/>
                      <w:szCs w:val="20"/>
                      <w:lang w:eastAsia="zh-CN"/>
                    </w:rPr>
                    <w:t xml:space="preserve"> Marker’s/Moderator’s provisional mark</w:t>
                  </w:r>
                </w:p>
              </w:tc>
              <w:tc>
                <w:tcPr>
                  <w:tcW w:w="1660" w:type="dxa"/>
                </w:tcPr>
                <w:p w:rsidR="004B7540" w:rsidRPr="004B7540" w:rsidRDefault="004B7540" w:rsidP="004B7540">
                  <w:pPr>
                    <w:spacing w:after="0" w:line="240" w:lineRule="auto"/>
                    <w:rPr>
                      <w:rFonts w:ascii="Arial" w:eastAsia="SimSun" w:hAnsi="Arial" w:cs="Times New Roman"/>
                      <w:sz w:val="20"/>
                      <w:szCs w:val="20"/>
                      <w:lang w:eastAsia="zh-CN"/>
                    </w:rPr>
                  </w:pPr>
                </w:p>
              </w:tc>
            </w:tr>
            <w:tr w:rsidR="004B7540" w:rsidRPr="004B7540" w:rsidTr="00C02A3E">
              <w:tc>
                <w:tcPr>
                  <w:tcW w:w="6970" w:type="dxa"/>
                </w:tcPr>
                <w:p w:rsidR="004B7540" w:rsidRPr="004B7540" w:rsidRDefault="004B7540" w:rsidP="004B7540">
                  <w:pPr>
                    <w:spacing w:after="0" w:line="240" w:lineRule="auto"/>
                    <w:rPr>
                      <w:rFonts w:ascii="Arial" w:eastAsia="SimSun" w:hAnsi="Arial" w:cs="Times New Roman"/>
                      <w:sz w:val="20"/>
                      <w:szCs w:val="20"/>
                      <w:lang w:eastAsia="zh-CN"/>
                    </w:rPr>
                  </w:pPr>
                </w:p>
                <w:p w:rsidR="004B7540" w:rsidRPr="004B7540" w:rsidRDefault="004B7540" w:rsidP="004B7540">
                  <w:pPr>
                    <w:spacing w:after="0" w:line="240" w:lineRule="auto"/>
                    <w:rPr>
                      <w:rFonts w:ascii="Arial" w:eastAsia="SimSun" w:hAnsi="Arial" w:cs="Times New Roman"/>
                      <w:sz w:val="20"/>
                      <w:szCs w:val="20"/>
                      <w:lang w:eastAsia="zh-CN"/>
                    </w:rPr>
                  </w:pPr>
                  <w:r w:rsidRPr="004B7540">
                    <w:rPr>
                      <w:rFonts w:ascii="Arial" w:eastAsia="SimSun" w:hAnsi="Arial" w:cs="Times New Roman"/>
                      <w:sz w:val="20"/>
                      <w:szCs w:val="20"/>
                      <w:lang w:eastAsia="zh-CN"/>
                    </w:rPr>
                    <w:t>External Examiner’s mark (if relevant)</w:t>
                  </w:r>
                </w:p>
              </w:tc>
              <w:tc>
                <w:tcPr>
                  <w:tcW w:w="1660" w:type="dxa"/>
                </w:tcPr>
                <w:p w:rsidR="004B7540" w:rsidRPr="004B7540" w:rsidRDefault="004B7540" w:rsidP="004B7540">
                  <w:pPr>
                    <w:spacing w:after="0" w:line="240" w:lineRule="auto"/>
                    <w:rPr>
                      <w:rFonts w:ascii="Arial" w:eastAsia="SimSun" w:hAnsi="Arial" w:cs="Times New Roman"/>
                      <w:sz w:val="20"/>
                      <w:szCs w:val="20"/>
                      <w:lang w:eastAsia="zh-CN"/>
                    </w:rPr>
                  </w:pPr>
                </w:p>
              </w:tc>
            </w:tr>
            <w:tr w:rsidR="004B7540" w:rsidRPr="004B7540" w:rsidTr="00C02A3E">
              <w:tc>
                <w:tcPr>
                  <w:tcW w:w="6970" w:type="dxa"/>
                </w:tcPr>
                <w:p w:rsidR="004B7540" w:rsidRPr="004B7540" w:rsidRDefault="004B7540" w:rsidP="004B7540">
                  <w:pPr>
                    <w:spacing w:after="0" w:line="240" w:lineRule="auto"/>
                    <w:rPr>
                      <w:rFonts w:ascii="Arial" w:eastAsia="SimSun" w:hAnsi="Arial" w:cs="Times New Roman"/>
                      <w:sz w:val="20"/>
                      <w:szCs w:val="20"/>
                      <w:lang w:eastAsia="zh-CN"/>
                    </w:rPr>
                  </w:pPr>
                </w:p>
                <w:p w:rsidR="004B7540" w:rsidRPr="004B7540" w:rsidRDefault="004B7540" w:rsidP="004B7540">
                  <w:pPr>
                    <w:spacing w:after="0" w:line="240" w:lineRule="auto"/>
                    <w:rPr>
                      <w:rFonts w:ascii="Arial" w:eastAsia="SimSun" w:hAnsi="Arial" w:cs="Times New Roman"/>
                      <w:b/>
                      <w:sz w:val="20"/>
                      <w:szCs w:val="20"/>
                      <w:lang w:eastAsia="zh-CN"/>
                    </w:rPr>
                  </w:pPr>
                  <w:r w:rsidRPr="004B7540">
                    <w:rPr>
                      <w:rFonts w:ascii="Arial" w:eastAsia="SimSun" w:hAnsi="Arial" w:cs="Times New Roman"/>
                      <w:b/>
                      <w:sz w:val="20"/>
                      <w:szCs w:val="20"/>
                      <w:lang w:eastAsia="zh-CN"/>
                    </w:rPr>
                    <w:t>Final Mark</w:t>
                  </w:r>
                </w:p>
                <w:p w:rsidR="004B7540" w:rsidRPr="004B7540" w:rsidRDefault="004B7540" w:rsidP="004B7540">
                  <w:pPr>
                    <w:spacing w:after="0" w:line="240" w:lineRule="auto"/>
                    <w:rPr>
                      <w:rFonts w:ascii="Arial" w:eastAsia="SimSun" w:hAnsi="Arial" w:cs="Times New Roman"/>
                      <w:sz w:val="20"/>
                      <w:szCs w:val="20"/>
                      <w:lang w:eastAsia="zh-CN"/>
                    </w:rPr>
                  </w:pPr>
                </w:p>
              </w:tc>
              <w:tc>
                <w:tcPr>
                  <w:tcW w:w="1660" w:type="dxa"/>
                </w:tcPr>
                <w:p w:rsidR="004B7540" w:rsidRPr="004B7540" w:rsidRDefault="004B7540" w:rsidP="004B7540">
                  <w:pPr>
                    <w:spacing w:after="0" w:line="240" w:lineRule="auto"/>
                    <w:rPr>
                      <w:rFonts w:ascii="Arial" w:eastAsia="SimSun" w:hAnsi="Arial" w:cs="Times New Roman"/>
                      <w:sz w:val="20"/>
                      <w:szCs w:val="20"/>
                      <w:lang w:eastAsia="zh-CN"/>
                    </w:rPr>
                  </w:pPr>
                </w:p>
              </w:tc>
            </w:tr>
          </w:tbl>
          <w:p w:rsidR="004B7540" w:rsidRPr="004B7540" w:rsidRDefault="004B7540" w:rsidP="004B7540">
            <w:pPr>
              <w:spacing w:after="0" w:line="240" w:lineRule="auto"/>
              <w:ind w:left="142" w:right="34"/>
              <w:rPr>
                <w:rFonts w:ascii="Arial" w:eastAsia="SimSun" w:hAnsi="Arial" w:cs="Arial"/>
                <w:b/>
                <w:color w:val="000000"/>
                <w:lang w:eastAsia="zh-CN"/>
              </w:rPr>
            </w:pPr>
          </w:p>
          <w:p w:rsidR="004B7540" w:rsidRPr="004B7540" w:rsidRDefault="004B7540" w:rsidP="004B7540">
            <w:pPr>
              <w:spacing w:after="0" w:line="240" w:lineRule="auto"/>
              <w:ind w:left="142" w:right="34"/>
              <w:rPr>
                <w:rFonts w:ascii="Arial" w:eastAsia="SimSun" w:hAnsi="Arial" w:cs="Arial"/>
                <w:color w:val="000000"/>
                <w:lang w:eastAsia="zh-CN"/>
              </w:rPr>
            </w:pPr>
            <w:r w:rsidRPr="004B7540">
              <w:rPr>
                <w:rFonts w:ascii="Arial" w:eastAsia="SimSun" w:hAnsi="Arial" w:cs="Arial"/>
                <w:b/>
                <w:color w:val="000000"/>
                <w:lang w:eastAsia="zh-CN"/>
              </w:rPr>
              <w:t>NB.</w:t>
            </w:r>
            <w:r w:rsidRPr="004B7540">
              <w:rPr>
                <w:rFonts w:ascii="Arial" w:eastAsia="SimSun" w:hAnsi="Arial" w:cs="Arial"/>
                <w:color w:val="000000"/>
                <w:lang w:eastAsia="zh-CN"/>
              </w:rPr>
              <w:t xml:space="preserve">  All marks are provisional until confirmed by the Final Examination Board.</w:t>
            </w:r>
          </w:p>
          <w:p w:rsidR="004B7540" w:rsidRPr="004B7540" w:rsidRDefault="004B7540" w:rsidP="004B7540">
            <w:pPr>
              <w:spacing w:after="0" w:line="240" w:lineRule="auto"/>
              <w:rPr>
                <w:rFonts w:ascii="Arial" w:eastAsia="SimSun" w:hAnsi="Arial" w:cs="Arial"/>
                <w:b/>
                <w:color w:val="000000"/>
                <w:lang w:eastAsia="zh-CN"/>
              </w:rPr>
            </w:pPr>
          </w:p>
          <w:p w:rsidR="004B7540" w:rsidRPr="004B7540" w:rsidRDefault="004B7540" w:rsidP="004B7540">
            <w:pPr>
              <w:spacing w:after="0" w:line="240" w:lineRule="auto"/>
              <w:rPr>
                <w:rFonts w:ascii="Arial" w:eastAsia="SimSun" w:hAnsi="Arial" w:cs="Arial"/>
                <w:b/>
                <w:color w:val="000000"/>
                <w:lang w:eastAsia="zh-CN"/>
              </w:rPr>
            </w:pPr>
          </w:p>
          <w:p w:rsidR="004B7540" w:rsidRPr="004B7540" w:rsidRDefault="004B7540" w:rsidP="004B7540">
            <w:pPr>
              <w:spacing w:after="0" w:line="240" w:lineRule="auto"/>
              <w:rPr>
                <w:rFonts w:ascii="Arial" w:eastAsia="SimSun" w:hAnsi="Arial" w:cs="Arial"/>
                <w:b/>
                <w:color w:val="000000"/>
                <w:lang w:eastAsia="zh-CN"/>
              </w:rPr>
            </w:pPr>
          </w:p>
          <w:p w:rsidR="004B7540" w:rsidRPr="004B7540" w:rsidRDefault="004B7540" w:rsidP="004B7540">
            <w:pPr>
              <w:spacing w:after="0" w:line="240" w:lineRule="auto"/>
              <w:rPr>
                <w:rFonts w:ascii="Arial" w:eastAsia="SimSun" w:hAnsi="Arial" w:cs="Arial"/>
                <w:b/>
                <w:color w:val="000000"/>
                <w:lang w:eastAsia="zh-CN"/>
              </w:rPr>
            </w:pPr>
          </w:p>
          <w:p w:rsidR="004B7540" w:rsidRPr="004B7540" w:rsidRDefault="004B7540" w:rsidP="004B7540">
            <w:pPr>
              <w:spacing w:after="0" w:line="240" w:lineRule="auto"/>
              <w:rPr>
                <w:rFonts w:ascii="Arial" w:eastAsia="SimSun" w:hAnsi="Arial" w:cs="Arial"/>
                <w:b/>
                <w:color w:val="000000"/>
                <w:lang w:eastAsia="zh-CN"/>
              </w:rPr>
            </w:pPr>
          </w:p>
          <w:p w:rsidR="004B7540" w:rsidRPr="004B7540" w:rsidRDefault="004B7540" w:rsidP="004B7540">
            <w:pPr>
              <w:spacing w:after="0" w:line="240" w:lineRule="auto"/>
              <w:rPr>
                <w:rFonts w:ascii="Arial" w:eastAsia="SimSun" w:hAnsi="Arial" w:cs="Arial"/>
                <w:b/>
                <w:color w:val="000000"/>
                <w:lang w:eastAsia="zh-CN"/>
              </w:rPr>
            </w:pPr>
            <w:r w:rsidRPr="004B7540">
              <w:rPr>
                <w:rFonts w:ascii="Arial" w:eastAsia="SimSun" w:hAnsi="Arial" w:cs="Arial"/>
                <w:b/>
                <w:color w:val="000000"/>
                <w:lang w:eastAsia="zh-CN"/>
              </w:rPr>
              <w:t>For completion by Marker 1 :</w:t>
            </w:r>
          </w:p>
          <w:p w:rsidR="004B7540" w:rsidRPr="004B7540" w:rsidRDefault="004B7540" w:rsidP="004B7540">
            <w:pPr>
              <w:spacing w:before="100" w:beforeAutospacing="1" w:after="100" w:afterAutospacing="1" w:line="240" w:lineRule="auto"/>
              <w:rPr>
                <w:rFonts w:ascii="Arial" w:eastAsia="SimSun" w:hAnsi="Arial" w:cs="Arial"/>
                <w:color w:val="000000"/>
                <w:lang w:eastAsia="zh-CN"/>
              </w:rPr>
            </w:pPr>
            <w:r w:rsidRPr="004B7540">
              <w:rPr>
                <w:rFonts w:ascii="Arial" w:eastAsia="SimSun" w:hAnsi="Arial" w:cs="Arial"/>
                <w:color w:val="000000"/>
                <w:lang w:eastAsia="zh-CN"/>
              </w:rPr>
              <w:t>Comments:</w:t>
            </w:r>
          </w:p>
          <w:p w:rsidR="004B7540" w:rsidRPr="004B7540" w:rsidRDefault="004B7540" w:rsidP="004B7540">
            <w:pPr>
              <w:spacing w:before="100" w:beforeAutospacing="1" w:after="100" w:afterAutospacing="1" w:line="240" w:lineRule="auto"/>
              <w:rPr>
                <w:rFonts w:ascii="Arial" w:eastAsia="SimSun" w:hAnsi="Arial" w:cs="Arial"/>
                <w:color w:val="000000"/>
                <w:lang w:eastAsia="zh-CN"/>
              </w:rPr>
            </w:pPr>
          </w:p>
        </w:tc>
      </w:tr>
      <w:tr w:rsidR="004B7540" w:rsidRPr="004B7540" w:rsidTr="00C02A3E">
        <w:trPr>
          <w:trHeight w:val="492"/>
        </w:trPr>
        <w:tc>
          <w:tcPr>
            <w:tcW w:w="6768" w:type="dxa"/>
            <w:gridSpan w:val="3"/>
          </w:tcPr>
          <w:p w:rsidR="004B7540" w:rsidRPr="004B7540" w:rsidRDefault="004B7540" w:rsidP="004B7540">
            <w:pPr>
              <w:spacing w:before="100" w:beforeAutospacing="1" w:after="100" w:afterAutospacing="1" w:line="240" w:lineRule="auto"/>
              <w:ind w:left="142" w:right="34"/>
              <w:rPr>
                <w:rFonts w:ascii="Arial" w:eastAsia="SimSun" w:hAnsi="Arial" w:cs="Arial"/>
                <w:color w:val="000000"/>
                <w:lang w:eastAsia="zh-CN"/>
              </w:rPr>
            </w:pPr>
            <w:r w:rsidRPr="004B7540">
              <w:rPr>
                <w:rFonts w:ascii="Arial" w:eastAsia="SimSun" w:hAnsi="Arial" w:cs="Arial"/>
                <w:color w:val="000000"/>
                <w:lang w:eastAsia="zh-CN"/>
              </w:rPr>
              <w:t>Marker’s signature:</w:t>
            </w:r>
          </w:p>
        </w:tc>
        <w:tc>
          <w:tcPr>
            <w:tcW w:w="2088" w:type="dxa"/>
            <w:gridSpan w:val="2"/>
          </w:tcPr>
          <w:p w:rsidR="004B7540" w:rsidRPr="004B7540" w:rsidRDefault="004B7540" w:rsidP="004B7540">
            <w:pPr>
              <w:spacing w:before="100" w:beforeAutospacing="1" w:after="0" w:afterAutospacing="1" w:line="240" w:lineRule="auto"/>
              <w:ind w:left="142" w:right="34"/>
              <w:rPr>
                <w:rFonts w:ascii="Arial" w:eastAsia="SimSun" w:hAnsi="Arial" w:cs="Arial"/>
                <w:color w:val="000000"/>
                <w:lang w:eastAsia="zh-CN"/>
              </w:rPr>
            </w:pPr>
            <w:r w:rsidRPr="004B7540">
              <w:rPr>
                <w:rFonts w:ascii="Arial" w:eastAsia="SimSun" w:hAnsi="Arial" w:cs="Arial"/>
                <w:color w:val="000000"/>
                <w:lang w:eastAsia="zh-CN"/>
              </w:rPr>
              <w:t>Date:</w:t>
            </w:r>
          </w:p>
        </w:tc>
      </w:tr>
      <w:tr w:rsidR="004B7540" w:rsidRPr="004B7540" w:rsidTr="00C02A3E">
        <w:tc>
          <w:tcPr>
            <w:tcW w:w="8856" w:type="dxa"/>
            <w:gridSpan w:val="5"/>
          </w:tcPr>
          <w:p w:rsidR="004B7540" w:rsidRPr="004B7540" w:rsidRDefault="004B7540" w:rsidP="004B7540">
            <w:pPr>
              <w:spacing w:after="0" w:line="240" w:lineRule="auto"/>
              <w:ind w:right="-334"/>
              <w:rPr>
                <w:rFonts w:ascii="Arial" w:eastAsia="SimSun" w:hAnsi="Arial" w:cs="Arial"/>
                <w:bCs/>
                <w:i/>
                <w:color w:val="000000"/>
                <w:lang w:eastAsia="zh-CN"/>
              </w:rPr>
            </w:pPr>
          </w:p>
          <w:p w:rsidR="004B7540" w:rsidRPr="004B7540" w:rsidRDefault="004B7540" w:rsidP="004B7540">
            <w:pPr>
              <w:spacing w:after="0" w:line="240" w:lineRule="auto"/>
              <w:ind w:right="-334"/>
              <w:rPr>
                <w:rFonts w:ascii="Arial" w:eastAsia="SimSun" w:hAnsi="Arial" w:cs="Arial"/>
                <w:b/>
                <w:bCs/>
                <w:color w:val="000000"/>
                <w:lang w:eastAsia="zh-CN"/>
              </w:rPr>
            </w:pPr>
            <w:r w:rsidRPr="004B7540">
              <w:rPr>
                <w:rFonts w:ascii="Arial" w:eastAsia="SimSun" w:hAnsi="Arial" w:cs="Arial"/>
                <w:b/>
                <w:bCs/>
                <w:color w:val="000000"/>
                <w:lang w:eastAsia="zh-CN"/>
              </w:rPr>
              <w:t>For completion by Marker 2/Moderator:</w:t>
            </w:r>
          </w:p>
          <w:p w:rsidR="004B7540" w:rsidRPr="004B7540" w:rsidRDefault="004B7540" w:rsidP="004B7540">
            <w:pPr>
              <w:spacing w:after="0" w:line="240" w:lineRule="auto"/>
              <w:ind w:right="-334"/>
              <w:rPr>
                <w:rFonts w:ascii="Arial" w:eastAsia="SimSun" w:hAnsi="Arial" w:cs="Arial"/>
                <w:b/>
                <w:bCs/>
                <w:color w:val="000000"/>
                <w:lang w:eastAsia="zh-CN"/>
              </w:rPr>
            </w:pPr>
          </w:p>
          <w:p w:rsidR="004B7540" w:rsidRPr="004B7540" w:rsidRDefault="004B7540" w:rsidP="004B7540">
            <w:pPr>
              <w:spacing w:after="0" w:line="240" w:lineRule="auto"/>
              <w:ind w:right="-334"/>
              <w:rPr>
                <w:rFonts w:ascii="Arial" w:eastAsia="SimSun" w:hAnsi="Arial" w:cs="Arial"/>
                <w:bCs/>
                <w:color w:val="000000"/>
                <w:lang w:eastAsia="zh-CN"/>
              </w:rPr>
            </w:pPr>
            <w:r w:rsidRPr="004B7540">
              <w:rPr>
                <w:rFonts w:ascii="Arial" w:eastAsia="SimSun" w:hAnsi="Arial" w:cs="Arial"/>
                <w:bCs/>
                <w:color w:val="000000"/>
                <w:lang w:eastAsia="zh-CN"/>
              </w:rPr>
              <w:t>Comments:</w:t>
            </w:r>
          </w:p>
          <w:p w:rsidR="004B7540" w:rsidRPr="004B7540" w:rsidRDefault="004B7540" w:rsidP="004B7540">
            <w:pPr>
              <w:spacing w:after="0" w:line="240" w:lineRule="auto"/>
              <w:ind w:right="-334"/>
              <w:rPr>
                <w:rFonts w:ascii="Arial" w:eastAsia="SimSun" w:hAnsi="Arial" w:cs="Arial"/>
                <w:bCs/>
                <w:color w:val="000000"/>
                <w:lang w:eastAsia="zh-CN"/>
              </w:rPr>
            </w:pPr>
          </w:p>
          <w:p w:rsidR="004B7540" w:rsidRPr="004B7540" w:rsidRDefault="004B7540" w:rsidP="004B7540">
            <w:pPr>
              <w:spacing w:after="0" w:line="240" w:lineRule="auto"/>
              <w:ind w:right="-334"/>
              <w:rPr>
                <w:rFonts w:ascii="Arial" w:eastAsia="SimSun" w:hAnsi="Arial" w:cs="Arial"/>
                <w:bCs/>
                <w:color w:val="000000"/>
                <w:lang w:eastAsia="zh-CN"/>
              </w:rPr>
            </w:pPr>
          </w:p>
          <w:p w:rsidR="004B7540" w:rsidRPr="004B7540" w:rsidRDefault="004B7540" w:rsidP="004B7540">
            <w:pPr>
              <w:spacing w:after="0" w:line="240" w:lineRule="auto"/>
              <w:ind w:right="-334"/>
              <w:rPr>
                <w:rFonts w:ascii="Arial" w:eastAsia="SimSun" w:hAnsi="Arial" w:cs="Arial"/>
                <w:bCs/>
                <w:color w:val="000000"/>
                <w:lang w:eastAsia="zh-CN"/>
              </w:rPr>
            </w:pPr>
          </w:p>
        </w:tc>
      </w:tr>
      <w:tr w:rsidR="004B7540" w:rsidRPr="004B7540" w:rsidTr="00C02A3E">
        <w:trPr>
          <w:trHeight w:val="720"/>
        </w:trPr>
        <w:tc>
          <w:tcPr>
            <w:tcW w:w="5211" w:type="dxa"/>
            <w:gridSpan w:val="2"/>
          </w:tcPr>
          <w:p w:rsidR="004B7540" w:rsidRPr="004B7540" w:rsidRDefault="004B7540" w:rsidP="004B7540">
            <w:pPr>
              <w:spacing w:after="0" w:line="240" w:lineRule="auto"/>
              <w:ind w:right="-334"/>
              <w:rPr>
                <w:rFonts w:ascii="Arial" w:eastAsia="SimSun" w:hAnsi="Arial" w:cs="Arial"/>
                <w:bCs/>
                <w:color w:val="000000"/>
                <w:lang w:eastAsia="zh-CN"/>
              </w:rPr>
            </w:pPr>
            <w:r w:rsidRPr="004B7540">
              <w:rPr>
                <w:rFonts w:ascii="Arial" w:eastAsia="SimSun" w:hAnsi="Arial" w:cs="Arial"/>
                <w:bCs/>
                <w:color w:val="000000"/>
                <w:lang w:eastAsia="zh-CN"/>
              </w:rPr>
              <w:t>Marker’s Signature:</w:t>
            </w:r>
          </w:p>
        </w:tc>
        <w:tc>
          <w:tcPr>
            <w:tcW w:w="3645" w:type="dxa"/>
            <w:gridSpan w:val="3"/>
          </w:tcPr>
          <w:p w:rsidR="004B7540" w:rsidRPr="004B7540" w:rsidRDefault="004B7540" w:rsidP="004B7540">
            <w:pPr>
              <w:spacing w:after="0" w:line="240" w:lineRule="auto"/>
              <w:ind w:right="-334"/>
              <w:rPr>
                <w:rFonts w:ascii="Arial" w:eastAsia="SimSun" w:hAnsi="Arial" w:cs="Arial"/>
                <w:bCs/>
                <w:color w:val="000000"/>
                <w:lang w:eastAsia="zh-CN"/>
              </w:rPr>
            </w:pPr>
            <w:r w:rsidRPr="004B7540">
              <w:rPr>
                <w:rFonts w:ascii="Arial" w:eastAsia="SimSun" w:hAnsi="Arial" w:cs="Arial"/>
                <w:bCs/>
                <w:color w:val="000000"/>
                <w:lang w:eastAsia="zh-CN"/>
              </w:rPr>
              <w:t>Date:</w:t>
            </w:r>
          </w:p>
        </w:tc>
      </w:tr>
      <w:tr w:rsidR="004B7540" w:rsidRPr="004B7540" w:rsidTr="00C02A3E">
        <w:trPr>
          <w:trHeight w:val="720"/>
        </w:trPr>
        <w:tc>
          <w:tcPr>
            <w:tcW w:w="8856" w:type="dxa"/>
            <w:gridSpan w:val="5"/>
          </w:tcPr>
          <w:p w:rsidR="004B7540" w:rsidRPr="004B7540" w:rsidRDefault="004B7540" w:rsidP="004B7540">
            <w:pPr>
              <w:spacing w:after="0" w:line="240" w:lineRule="auto"/>
              <w:rPr>
                <w:rFonts w:ascii="Arial" w:eastAsia="SimSun" w:hAnsi="Arial" w:cs="Arial"/>
                <w:b/>
                <w:lang w:eastAsia="zh-CN"/>
              </w:rPr>
            </w:pPr>
            <w:r w:rsidRPr="004B7540">
              <w:rPr>
                <w:rFonts w:ascii="Arial" w:eastAsia="SimSun" w:hAnsi="Arial" w:cs="Arial"/>
                <w:b/>
                <w:lang w:eastAsia="zh-CN"/>
              </w:rPr>
              <w:t>External Examiner’s comments (if relevant)</w:t>
            </w:r>
          </w:p>
          <w:p w:rsidR="004B7540" w:rsidRPr="004B7540" w:rsidRDefault="004B7540" w:rsidP="004B7540">
            <w:pPr>
              <w:spacing w:after="0" w:line="240" w:lineRule="auto"/>
              <w:ind w:right="-334"/>
              <w:rPr>
                <w:rFonts w:ascii="Arial" w:eastAsia="SimSun" w:hAnsi="Arial" w:cs="Arial"/>
                <w:bCs/>
                <w:color w:val="000000"/>
                <w:lang w:eastAsia="zh-CN"/>
              </w:rPr>
            </w:pPr>
          </w:p>
          <w:p w:rsidR="004B7540" w:rsidRPr="004B7540" w:rsidRDefault="004B7540" w:rsidP="004B7540">
            <w:pPr>
              <w:spacing w:after="0" w:line="240" w:lineRule="auto"/>
              <w:ind w:right="-334"/>
              <w:rPr>
                <w:rFonts w:ascii="Arial" w:eastAsia="SimSun" w:hAnsi="Arial" w:cs="Arial"/>
                <w:bCs/>
                <w:color w:val="000000"/>
                <w:lang w:eastAsia="zh-CN"/>
              </w:rPr>
            </w:pPr>
          </w:p>
          <w:p w:rsidR="004B7540" w:rsidRPr="004B7540" w:rsidRDefault="004B7540" w:rsidP="004B7540">
            <w:pPr>
              <w:spacing w:after="0" w:line="240" w:lineRule="auto"/>
              <w:ind w:right="-334"/>
              <w:rPr>
                <w:rFonts w:ascii="Arial" w:eastAsia="SimSun" w:hAnsi="Arial" w:cs="Arial"/>
                <w:bCs/>
                <w:color w:val="000000"/>
                <w:lang w:eastAsia="zh-CN"/>
              </w:rPr>
            </w:pPr>
          </w:p>
        </w:tc>
      </w:tr>
      <w:tr w:rsidR="004B7540" w:rsidRPr="004B7540" w:rsidTr="00C02A3E">
        <w:trPr>
          <w:trHeight w:val="720"/>
        </w:trPr>
        <w:tc>
          <w:tcPr>
            <w:tcW w:w="5211" w:type="dxa"/>
            <w:gridSpan w:val="2"/>
          </w:tcPr>
          <w:p w:rsidR="004B7540" w:rsidRPr="004B7540" w:rsidRDefault="004B7540" w:rsidP="004B7540">
            <w:pPr>
              <w:spacing w:after="0" w:line="240" w:lineRule="auto"/>
              <w:rPr>
                <w:rFonts w:ascii="Arial" w:eastAsia="SimSun" w:hAnsi="Arial" w:cs="Arial"/>
                <w:lang w:eastAsia="zh-CN"/>
              </w:rPr>
            </w:pPr>
            <w:r w:rsidRPr="004B7540">
              <w:rPr>
                <w:rFonts w:ascii="Arial" w:eastAsia="SimSun" w:hAnsi="Arial" w:cs="Arial"/>
                <w:lang w:eastAsia="zh-CN"/>
              </w:rPr>
              <w:t>External Examiner’s Signature:</w:t>
            </w:r>
          </w:p>
        </w:tc>
        <w:tc>
          <w:tcPr>
            <w:tcW w:w="3645" w:type="dxa"/>
            <w:gridSpan w:val="3"/>
          </w:tcPr>
          <w:p w:rsidR="004B7540" w:rsidRPr="004B7540" w:rsidRDefault="004B7540" w:rsidP="004B7540">
            <w:pPr>
              <w:spacing w:after="0" w:line="240" w:lineRule="auto"/>
              <w:rPr>
                <w:rFonts w:ascii="Arial" w:eastAsia="SimSun" w:hAnsi="Arial" w:cs="Arial"/>
                <w:lang w:eastAsia="zh-CN"/>
              </w:rPr>
            </w:pPr>
            <w:r w:rsidRPr="004B7540">
              <w:rPr>
                <w:rFonts w:ascii="Arial" w:eastAsia="SimSun" w:hAnsi="Arial" w:cs="Arial"/>
                <w:lang w:eastAsia="zh-CN"/>
              </w:rPr>
              <w:t>Date:</w:t>
            </w:r>
          </w:p>
        </w:tc>
      </w:tr>
    </w:tbl>
    <w:p w:rsidR="004B7540" w:rsidRPr="004B7540" w:rsidRDefault="004B7540" w:rsidP="004B7540">
      <w:pPr>
        <w:spacing w:after="0" w:line="240" w:lineRule="auto"/>
        <w:ind w:right="-334"/>
        <w:rPr>
          <w:rFonts w:ascii="Trebuchet MS" w:eastAsia="SimSun" w:hAnsi="Trebuchet MS" w:cs="Tahoma"/>
          <w:bCs/>
          <w:color w:val="000000"/>
          <w:sz w:val="24"/>
          <w:szCs w:val="24"/>
          <w:lang w:eastAsia="zh-CN"/>
        </w:rPr>
      </w:pPr>
    </w:p>
    <w:p w:rsidR="004B7540" w:rsidRDefault="004B7540">
      <w:pPr>
        <w:rPr>
          <w:rFonts w:ascii="Times New Roman" w:hAnsi="Times New Roman" w:cs="Times New Roman"/>
          <w:b/>
          <w:sz w:val="24"/>
          <w:szCs w:val="24"/>
        </w:rPr>
      </w:pPr>
      <w:r>
        <w:rPr>
          <w:rFonts w:ascii="Times New Roman" w:hAnsi="Times New Roman" w:cs="Times New Roman"/>
          <w:b/>
          <w:sz w:val="24"/>
          <w:szCs w:val="24"/>
        </w:rPr>
        <w:br w:type="page"/>
      </w:r>
    </w:p>
    <w:p w:rsidR="00A63BDB" w:rsidRDefault="00A63BDB" w:rsidP="00A63BDB">
      <w:pPr>
        <w:spacing w:line="240" w:lineRule="auto"/>
        <w:jc w:val="center"/>
        <w:rPr>
          <w:rFonts w:ascii="Times New Roman" w:hAnsi="Times New Roman" w:cs="Times New Roman"/>
          <w:b/>
          <w:sz w:val="24"/>
          <w:szCs w:val="24"/>
        </w:rPr>
      </w:pPr>
      <w:r w:rsidRPr="00A63BDB">
        <w:rPr>
          <w:rFonts w:ascii="Times New Roman" w:hAnsi="Times New Roman" w:cs="Times New Roman"/>
          <w:b/>
          <w:sz w:val="24"/>
          <w:szCs w:val="24"/>
        </w:rPr>
        <w:lastRenderedPageBreak/>
        <w:t xml:space="preserve">To what extent did Geoffrey of Monmouth’s Historia </w:t>
      </w:r>
      <w:r>
        <w:rPr>
          <w:rFonts w:ascii="Times New Roman" w:hAnsi="Times New Roman" w:cs="Times New Roman"/>
          <w:b/>
          <w:sz w:val="24"/>
          <w:szCs w:val="24"/>
        </w:rPr>
        <w:t>R</w:t>
      </w:r>
      <w:r w:rsidRPr="00A63BDB">
        <w:rPr>
          <w:rFonts w:ascii="Times New Roman" w:hAnsi="Times New Roman" w:cs="Times New Roman"/>
          <w:b/>
          <w:sz w:val="24"/>
          <w:szCs w:val="24"/>
        </w:rPr>
        <w:t>egum Britanniae preserve earlier material and to what extent was this work innovative?</w:t>
      </w:r>
    </w:p>
    <w:p w:rsidR="00A63BDB" w:rsidRPr="00A63BDB" w:rsidRDefault="00A63BDB" w:rsidP="00A63BDB">
      <w:pPr>
        <w:spacing w:line="240" w:lineRule="auto"/>
        <w:jc w:val="center"/>
        <w:rPr>
          <w:rFonts w:ascii="Times New Roman" w:hAnsi="Times New Roman" w:cs="Times New Roman"/>
          <w:b/>
          <w:sz w:val="24"/>
          <w:szCs w:val="24"/>
        </w:rPr>
      </w:pPr>
      <w:bookmarkStart w:id="6" w:name="_GoBack"/>
      <w:bookmarkEnd w:id="6"/>
    </w:p>
    <w:p w:rsidR="00035C57" w:rsidRDefault="003B144F" w:rsidP="007E2138">
      <w:pPr>
        <w:spacing w:line="480" w:lineRule="auto"/>
        <w:rPr>
          <w:rFonts w:ascii="Times New Roman" w:hAnsi="Times New Roman" w:cs="Times New Roman"/>
          <w:sz w:val="24"/>
          <w:szCs w:val="24"/>
        </w:rPr>
      </w:pPr>
      <w:r w:rsidRPr="007E2138">
        <w:rPr>
          <w:rFonts w:ascii="Times New Roman" w:hAnsi="Times New Roman" w:cs="Times New Roman"/>
          <w:sz w:val="24"/>
          <w:szCs w:val="24"/>
        </w:rPr>
        <w:t>As anyone with an interest in Geoffrey of Monmouth and his Historia Regum Brittaniae will be able to tell you, the ‘very ancient book’ he cites as the source of his information almost certainly never existed</w:t>
      </w:r>
      <w:r w:rsidR="00313D9A">
        <w:rPr>
          <w:rFonts w:ascii="Times New Roman" w:hAnsi="Times New Roman" w:cs="Times New Roman"/>
          <w:sz w:val="24"/>
          <w:szCs w:val="24"/>
        </w:rPr>
        <w:t>.</w:t>
      </w:r>
      <w:r w:rsidR="00A63BDB">
        <w:rPr>
          <w:rStyle w:val="FootnoteReference"/>
          <w:rFonts w:ascii="Times New Roman" w:hAnsi="Times New Roman" w:cs="Times New Roman"/>
          <w:sz w:val="24"/>
          <w:szCs w:val="24"/>
        </w:rPr>
        <w:footnoteReference w:id="1"/>
      </w:r>
      <w:r w:rsidR="00313D9A">
        <w:rPr>
          <w:rFonts w:ascii="Times New Roman" w:hAnsi="Times New Roman" w:cs="Times New Roman"/>
          <w:sz w:val="24"/>
          <w:szCs w:val="24"/>
        </w:rPr>
        <w:t xml:space="preserve"> And yet the Historia is not a completely</w:t>
      </w:r>
      <w:r w:rsidRPr="007E2138">
        <w:rPr>
          <w:rFonts w:ascii="Times New Roman" w:hAnsi="Times New Roman" w:cs="Times New Roman"/>
          <w:sz w:val="24"/>
          <w:szCs w:val="24"/>
        </w:rPr>
        <w:t xml:space="preserve"> original </w:t>
      </w:r>
      <w:r w:rsidR="00A25916">
        <w:rPr>
          <w:rFonts w:ascii="Times New Roman" w:hAnsi="Times New Roman" w:cs="Times New Roman"/>
          <w:sz w:val="24"/>
          <w:szCs w:val="24"/>
        </w:rPr>
        <w:t>piece of work</w:t>
      </w:r>
      <w:r w:rsidRPr="007E2138">
        <w:rPr>
          <w:rFonts w:ascii="Times New Roman" w:hAnsi="Times New Roman" w:cs="Times New Roman"/>
          <w:sz w:val="24"/>
          <w:szCs w:val="24"/>
        </w:rPr>
        <w:t xml:space="preserve">, and many of the events and characters contained within exist in </w:t>
      </w:r>
      <w:r w:rsidR="007E2138" w:rsidRPr="007E2138">
        <w:rPr>
          <w:rFonts w:ascii="Times New Roman" w:hAnsi="Times New Roman" w:cs="Times New Roman"/>
          <w:sz w:val="24"/>
          <w:szCs w:val="24"/>
        </w:rPr>
        <w:t>plenty of literature that predate Geoffrey.</w:t>
      </w:r>
      <w:r w:rsidR="00776923">
        <w:rPr>
          <w:rFonts w:ascii="Times New Roman" w:hAnsi="Times New Roman" w:cs="Times New Roman"/>
          <w:sz w:val="24"/>
          <w:szCs w:val="24"/>
        </w:rPr>
        <w:t xml:space="preserve"> The question then is </w:t>
      </w:r>
      <w:r w:rsidR="00C40432">
        <w:rPr>
          <w:rFonts w:ascii="Times New Roman" w:hAnsi="Times New Roman" w:cs="Times New Roman"/>
          <w:sz w:val="24"/>
          <w:szCs w:val="24"/>
        </w:rPr>
        <w:t xml:space="preserve">to what extent Geoffrey used this earlier literature in his Historia, and how innovatively he combined it with his own imaginative writing to produce </w:t>
      </w:r>
      <w:r w:rsidR="006023D2">
        <w:rPr>
          <w:rFonts w:ascii="Times New Roman" w:hAnsi="Times New Roman" w:cs="Times New Roman"/>
          <w:sz w:val="24"/>
          <w:szCs w:val="24"/>
        </w:rPr>
        <w:t>what is now considered to be</w:t>
      </w:r>
      <w:r w:rsidR="00C32226">
        <w:rPr>
          <w:rFonts w:ascii="Times New Roman" w:hAnsi="Times New Roman" w:cs="Times New Roman"/>
          <w:sz w:val="24"/>
          <w:szCs w:val="24"/>
        </w:rPr>
        <w:t>,</w:t>
      </w:r>
      <w:r w:rsidR="006023D2">
        <w:rPr>
          <w:rFonts w:ascii="Times New Roman" w:hAnsi="Times New Roman" w:cs="Times New Roman"/>
          <w:sz w:val="24"/>
          <w:szCs w:val="24"/>
        </w:rPr>
        <w:t xml:space="preserve"> one of the most long-standing, influential p</w:t>
      </w:r>
      <w:r w:rsidR="00A570D9">
        <w:rPr>
          <w:rFonts w:ascii="Times New Roman" w:hAnsi="Times New Roman" w:cs="Times New Roman"/>
          <w:sz w:val="24"/>
          <w:szCs w:val="24"/>
        </w:rPr>
        <w:t>ieces of literature in British history</w:t>
      </w:r>
      <w:r w:rsidR="006023D2">
        <w:rPr>
          <w:rFonts w:ascii="Times New Roman" w:hAnsi="Times New Roman" w:cs="Times New Roman"/>
          <w:sz w:val="24"/>
          <w:szCs w:val="24"/>
        </w:rPr>
        <w:t>.</w:t>
      </w:r>
    </w:p>
    <w:p w:rsidR="00FC1349" w:rsidRDefault="00DF4F31" w:rsidP="007E2138">
      <w:pPr>
        <w:spacing w:line="480" w:lineRule="auto"/>
        <w:rPr>
          <w:rFonts w:ascii="Times New Roman" w:hAnsi="Times New Roman" w:cs="Times New Roman"/>
          <w:sz w:val="24"/>
          <w:szCs w:val="24"/>
        </w:rPr>
      </w:pPr>
      <w:r>
        <w:rPr>
          <w:rFonts w:ascii="Times New Roman" w:hAnsi="Times New Roman" w:cs="Times New Roman"/>
          <w:sz w:val="24"/>
          <w:szCs w:val="24"/>
        </w:rPr>
        <w:t>The Historia Brittonum is particularly notable due to its standing as the earliest text that mentions Arthur,</w:t>
      </w:r>
      <w:r w:rsidR="00A63BDB">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although this claim is complicated due to the ambiguous nature of dating the earlier Welsh poems which some argue pre-date the Historia Brittonum.</w:t>
      </w:r>
      <w:r w:rsidR="00A63BDB">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w:t>
      </w:r>
      <w:r w:rsidR="003B74B1">
        <w:rPr>
          <w:rFonts w:ascii="Times New Roman" w:hAnsi="Times New Roman" w:cs="Times New Roman"/>
          <w:sz w:val="24"/>
          <w:szCs w:val="24"/>
        </w:rPr>
        <w:t>What we can be certain of is that the Historia Brittonum pre-dates Geoffrey of Monmouth’s Historia Regum Britanniae, and there are multiple elements from the former</w:t>
      </w:r>
      <w:r w:rsidR="00812892">
        <w:rPr>
          <w:rFonts w:ascii="Times New Roman" w:hAnsi="Times New Roman" w:cs="Times New Roman"/>
          <w:sz w:val="24"/>
          <w:szCs w:val="24"/>
        </w:rPr>
        <w:t xml:space="preserve"> </w:t>
      </w:r>
      <w:r w:rsidR="003B74B1">
        <w:rPr>
          <w:rFonts w:ascii="Times New Roman" w:hAnsi="Times New Roman" w:cs="Times New Roman"/>
          <w:sz w:val="24"/>
          <w:szCs w:val="24"/>
        </w:rPr>
        <w:t>that appear in the latter. The first of which concerns the naming of Britain, which according to the Historia Brittonum ‘derives its name from Brutus, a roman consul’</w:t>
      </w:r>
      <w:r w:rsidR="002A3B48">
        <w:rPr>
          <w:rFonts w:ascii="Times New Roman" w:hAnsi="Times New Roman" w:cs="Times New Roman"/>
          <w:sz w:val="24"/>
          <w:szCs w:val="24"/>
        </w:rPr>
        <w:t>, and a descendant of the Trojan hero Aeneas.</w:t>
      </w:r>
      <w:r w:rsidR="00A63BDB">
        <w:rPr>
          <w:rStyle w:val="FootnoteReference"/>
          <w:rFonts w:ascii="Times New Roman" w:hAnsi="Times New Roman" w:cs="Times New Roman"/>
          <w:sz w:val="24"/>
          <w:szCs w:val="24"/>
        </w:rPr>
        <w:footnoteReference w:id="4"/>
      </w:r>
      <w:r w:rsidR="002A3B48">
        <w:rPr>
          <w:rFonts w:ascii="Times New Roman" w:hAnsi="Times New Roman" w:cs="Times New Roman"/>
          <w:sz w:val="24"/>
          <w:szCs w:val="24"/>
        </w:rPr>
        <w:t xml:space="preserve"> Geoffrey preserves the story of Brutus fairly well, although he places him as the grandson of Ascanius </w:t>
      </w:r>
      <w:r w:rsidR="00FB1193">
        <w:rPr>
          <w:rFonts w:ascii="Times New Roman" w:hAnsi="Times New Roman" w:cs="Times New Roman"/>
          <w:sz w:val="24"/>
          <w:szCs w:val="24"/>
        </w:rPr>
        <w:t>rather than his son</w:t>
      </w:r>
      <w:r w:rsidR="006C5149">
        <w:rPr>
          <w:rFonts w:ascii="Times New Roman" w:hAnsi="Times New Roman" w:cs="Times New Roman"/>
          <w:sz w:val="24"/>
          <w:szCs w:val="24"/>
        </w:rPr>
        <w:t>. I</w:t>
      </w:r>
      <w:r w:rsidR="00FB1193">
        <w:rPr>
          <w:rFonts w:ascii="Times New Roman" w:hAnsi="Times New Roman" w:cs="Times New Roman"/>
          <w:sz w:val="24"/>
          <w:szCs w:val="24"/>
        </w:rPr>
        <w:t xml:space="preserve">n both cases a young Brutus is expelled from Italy after accidentally killing his father, his mother having previously died in childbirth, and after </w:t>
      </w:r>
      <w:r w:rsidR="00FB1193">
        <w:rPr>
          <w:rFonts w:ascii="Times New Roman" w:hAnsi="Times New Roman" w:cs="Times New Roman"/>
          <w:sz w:val="24"/>
          <w:szCs w:val="24"/>
        </w:rPr>
        <w:lastRenderedPageBreak/>
        <w:t>travelling a while arrives in Britain whereupon he becomes the first king of the island and populates the land with his descendants.</w:t>
      </w:r>
    </w:p>
    <w:p w:rsidR="00EF2AEF" w:rsidRDefault="00050DBA" w:rsidP="007E2138">
      <w:pPr>
        <w:spacing w:line="480" w:lineRule="auto"/>
        <w:rPr>
          <w:rFonts w:ascii="Times New Roman" w:hAnsi="Times New Roman" w:cs="Times New Roman"/>
          <w:sz w:val="24"/>
          <w:szCs w:val="24"/>
        </w:rPr>
      </w:pPr>
      <w:r>
        <w:rPr>
          <w:rFonts w:ascii="Times New Roman" w:hAnsi="Times New Roman" w:cs="Times New Roman"/>
          <w:sz w:val="24"/>
          <w:szCs w:val="24"/>
        </w:rPr>
        <w:t xml:space="preserve">While Arthur himself </w:t>
      </w:r>
      <w:r w:rsidR="00812892">
        <w:rPr>
          <w:rFonts w:ascii="Times New Roman" w:hAnsi="Times New Roman" w:cs="Times New Roman"/>
          <w:sz w:val="24"/>
          <w:szCs w:val="24"/>
        </w:rPr>
        <w:t>first appears in Book Eight of Geoffrey’s Historia, the first Arthurian characters are introduced in Book Five and Six with the arrival of Vortiger</w:t>
      </w:r>
      <w:r w:rsidR="005B0F5D">
        <w:rPr>
          <w:rFonts w:ascii="Times New Roman" w:hAnsi="Times New Roman" w:cs="Times New Roman"/>
          <w:sz w:val="24"/>
          <w:szCs w:val="24"/>
        </w:rPr>
        <w:t>n, Uther, and of course Merlin</w:t>
      </w:r>
      <w:r w:rsidR="00812892">
        <w:rPr>
          <w:rFonts w:ascii="Times New Roman" w:hAnsi="Times New Roman" w:cs="Times New Roman"/>
          <w:sz w:val="24"/>
          <w:szCs w:val="24"/>
        </w:rPr>
        <w:t>. Many of the events contained within these chapters, and the ones that follow can also be found in the earlier Historia Brittonum, starting with Vortigern</w:t>
      </w:r>
      <w:r w:rsidR="00BE79B2">
        <w:rPr>
          <w:rFonts w:ascii="Times New Roman" w:hAnsi="Times New Roman" w:cs="Times New Roman"/>
          <w:sz w:val="24"/>
          <w:szCs w:val="24"/>
        </w:rPr>
        <w:t xml:space="preserve"> and his dealings with the Saxon brothers Hengist and Horsa.</w:t>
      </w:r>
      <w:r w:rsidR="00A63BDB">
        <w:rPr>
          <w:rStyle w:val="FootnoteReference"/>
          <w:rFonts w:ascii="Times New Roman" w:hAnsi="Times New Roman" w:cs="Times New Roman"/>
          <w:sz w:val="24"/>
          <w:szCs w:val="24"/>
        </w:rPr>
        <w:footnoteReference w:id="5"/>
      </w:r>
      <w:r w:rsidR="00833CE0">
        <w:rPr>
          <w:rFonts w:ascii="Times New Roman" w:hAnsi="Times New Roman" w:cs="Times New Roman"/>
          <w:sz w:val="24"/>
          <w:szCs w:val="24"/>
        </w:rPr>
        <w:t xml:space="preserve"> The Historia Brittonum is not the earliest text these figures appear in however as they are also mentioned in Bede’s Historia ecclesiastica gentis Anglorum,</w:t>
      </w:r>
      <w:r w:rsidR="00A63BDB">
        <w:rPr>
          <w:rStyle w:val="FootnoteReference"/>
          <w:rFonts w:ascii="Times New Roman" w:hAnsi="Times New Roman" w:cs="Times New Roman"/>
          <w:sz w:val="24"/>
          <w:szCs w:val="24"/>
        </w:rPr>
        <w:footnoteReference w:id="6"/>
      </w:r>
      <w:r w:rsidR="00833CE0">
        <w:rPr>
          <w:rFonts w:ascii="Times New Roman" w:hAnsi="Times New Roman" w:cs="Times New Roman"/>
          <w:sz w:val="24"/>
          <w:szCs w:val="24"/>
        </w:rPr>
        <w:t xml:space="preserve"> as well as our nearest contemporary source to the period, Gildas’ </w:t>
      </w:r>
      <w:r w:rsidR="00833CE0" w:rsidRPr="00833CE0">
        <w:rPr>
          <w:rFonts w:ascii="Times New Roman" w:hAnsi="Times New Roman" w:cs="Times New Roman"/>
          <w:sz w:val="24"/>
          <w:szCs w:val="24"/>
        </w:rPr>
        <w:t>De Excidio et Conquestu Britanniae</w:t>
      </w:r>
      <w:r w:rsidR="00833CE0">
        <w:rPr>
          <w:rFonts w:ascii="Times New Roman" w:hAnsi="Times New Roman" w:cs="Times New Roman"/>
          <w:sz w:val="24"/>
          <w:szCs w:val="24"/>
        </w:rPr>
        <w:t>.</w:t>
      </w:r>
      <w:r w:rsidR="00A63BDB">
        <w:rPr>
          <w:rStyle w:val="FootnoteReference"/>
          <w:rFonts w:ascii="Times New Roman" w:hAnsi="Times New Roman" w:cs="Times New Roman"/>
          <w:sz w:val="24"/>
          <w:szCs w:val="24"/>
        </w:rPr>
        <w:footnoteReference w:id="7"/>
      </w:r>
      <w:r w:rsidR="00C5461B">
        <w:rPr>
          <w:rFonts w:ascii="Times New Roman" w:hAnsi="Times New Roman" w:cs="Times New Roman"/>
          <w:sz w:val="24"/>
          <w:szCs w:val="24"/>
        </w:rPr>
        <w:t xml:space="preserve"> While in each of these texts Vortigern is placed at fault for inviting Hengist and Horsa into Britain, it is only the Historia Brittonum that goes into much detail and introduces events such as Vortigern’s marriage to Hengist’s daughter which Geoffrey includes and expounds on in his own work.</w:t>
      </w:r>
    </w:p>
    <w:p w:rsidR="00122B2F" w:rsidRDefault="005B0F5D" w:rsidP="007E2138">
      <w:pPr>
        <w:spacing w:line="480" w:lineRule="auto"/>
        <w:rPr>
          <w:rFonts w:ascii="Times New Roman" w:hAnsi="Times New Roman" w:cs="Times New Roman"/>
          <w:sz w:val="24"/>
          <w:szCs w:val="24"/>
        </w:rPr>
      </w:pPr>
      <w:r>
        <w:rPr>
          <w:rFonts w:ascii="Times New Roman" w:hAnsi="Times New Roman" w:cs="Times New Roman"/>
          <w:sz w:val="24"/>
          <w:szCs w:val="24"/>
        </w:rPr>
        <w:t>It is towards the end of Book Six in Geoffrey’s Historia that we first meet the illustrious Merlin</w:t>
      </w:r>
      <w:r w:rsidR="00130249">
        <w:rPr>
          <w:rFonts w:ascii="Times New Roman" w:hAnsi="Times New Roman" w:cs="Times New Roman"/>
          <w:sz w:val="24"/>
          <w:szCs w:val="24"/>
        </w:rPr>
        <w:t>, in an episode</w:t>
      </w:r>
      <w:r w:rsidR="00925E8E">
        <w:rPr>
          <w:rFonts w:ascii="Times New Roman" w:hAnsi="Times New Roman" w:cs="Times New Roman"/>
          <w:sz w:val="24"/>
          <w:szCs w:val="24"/>
        </w:rPr>
        <w:t xml:space="preserve"> that is lifted entirely from the Historia Brittonum and embellished upon.</w:t>
      </w:r>
      <w:r w:rsidR="00A63BDB">
        <w:rPr>
          <w:rStyle w:val="FootnoteReference"/>
          <w:rFonts w:ascii="Times New Roman" w:hAnsi="Times New Roman" w:cs="Times New Roman"/>
          <w:sz w:val="24"/>
          <w:szCs w:val="24"/>
        </w:rPr>
        <w:footnoteReference w:id="8"/>
      </w:r>
      <w:r w:rsidR="00925E8E">
        <w:rPr>
          <w:rFonts w:ascii="Times New Roman" w:hAnsi="Times New Roman" w:cs="Times New Roman"/>
          <w:sz w:val="24"/>
          <w:szCs w:val="24"/>
        </w:rPr>
        <w:t xml:space="preserve"> </w:t>
      </w:r>
      <w:r w:rsidR="00130249">
        <w:rPr>
          <w:rFonts w:ascii="Times New Roman" w:hAnsi="Times New Roman" w:cs="Times New Roman"/>
          <w:sz w:val="24"/>
          <w:szCs w:val="24"/>
        </w:rPr>
        <w:t xml:space="preserve">Book Seven stands out the most however as Geoffrey pauses the narrative in order to deliver a series of prophecies he attributes to Merlin, and it is in this chapter that we start to see strong parallels between Geoffrey and </w:t>
      </w:r>
      <w:r w:rsidR="004D23D4">
        <w:rPr>
          <w:rFonts w:ascii="Times New Roman" w:hAnsi="Times New Roman" w:cs="Times New Roman"/>
          <w:sz w:val="24"/>
          <w:szCs w:val="24"/>
        </w:rPr>
        <w:t>the early Welsh texts such as the poems that make up the Black Book of Ca</w:t>
      </w:r>
      <w:r w:rsidR="008901C8">
        <w:rPr>
          <w:rFonts w:ascii="Times New Roman" w:hAnsi="Times New Roman" w:cs="Times New Roman"/>
          <w:sz w:val="24"/>
          <w:szCs w:val="24"/>
        </w:rPr>
        <w:t>r</w:t>
      </w:r>
      <w:r w:rsidR="004D23D4">
        <w:rPr>
          <w:rFonts w:ascii="Times New Roman" w:hAnsi="Times New Roman" w:cs="Times New Roman"/>
          <w:sz w:val="24"/>
          <w:szCs w:val="24"/>
        </w:rPr>
        <w:t>marthen.</w:t>
      </w:r>
      <w:r w:rsidR="00122B2F">
        <w:rPr>
          <w:rFonts w:ascii="Times New Roman" w:hAnsi="Times New Roman" w:cs="Times New Roman"/>
          <w:sz w:val="24"/>
          <w:szCs w:val="24"/>
        </w:rPr>
        <w:t xml:space="preserve"> As is the case with so many texts in this period, dating of the Black Book is uncertain although Jarman claims that the entire contents can be attributed to anywhere between the ninth and thirteenth centuries, with the poems being a mixture of </w:t>
      </w:r>
      <w:r w:rsidR="00122B2F">
        <w:rPr>
          <w:rFonts w:ascii="Times New Roman" w:hAnsi="Times New Roman" w:cs="Times New Roman"/>
          <w:sz w:val="24"/>
          <w:szCs w:val="24"/>
        </w:rPr>
        <w:lastRenderedPageBreak/>
        <w:t>typically medieval poetry and late hengerdd (old style) verse.</w:t>
      </w:r>
      <w:r w:rsidR="00A63BDB">
        <w:rPr>
          <w:rStyle w:val="FootnoteReference"/>
          <w:rFonts w:ascii="Times New Roman" w:hAnsi="Times New Roman" w:cs="Times New Roman"/>
          <w:sz w:val="24"/>
          <w:szCs w:val="24"/>
        </w:rPr>
        <w:footnoteReference w:id="9"/>
      </w:r>
      <w:r w:rsidR="00112C07">
        <w:rPr>
          <w:rFonts w:ascii="Times New Roman" w:hAnsi="Times New Roman" w:cs="Times New Roman"/>
          <w:sz w:val="24"/>
          <w:szCs w:val="24"/>
        </w:rPr>
        <w:t xml:space="preserve"> We cannot therefore simply take it on faith that all the Black Book poems are pre-Geoffrey, but </w:t>
      </w:r>
      <w:r w:rsidR="002B7CE6">
        <w:rPr>
          <w:rFonts w:ascii="Times New Roman" w:hAnsi="Times New Roman" w:cs="Times New Roman"/>
          <w:sz w:val="24"/>
          <w:szCs w:val="24"/>
        </w:rPr>
        <w:t xml:space="preserve">the lack of Galfridian influences in the poems attributed to Myrddin such as Yr Afallenau, Yr Oianau, and of course </w:t>
      </w:r>
      <w:r w:rsidR="002B7CE6" w:rsidRPr="002B7CE6">
        <w:rPr>
          <w:rFonts w:ascii="Times New Roman" w:hAnsi="Times New Roman" w:cs="Times New Roman"/>
          <w:sz w:val="24"/>
          <w:szCs w:val="24"/>
        </w:rPr>
        <w:t>Ymddiddan Myrddin a Thaliesin</w:t>
      </w:r>
      <w:r w:rsidR="002B7CE6">
        <w:rPr>
          <w:rFonts w:ascii="Times New Roman" w:hAnsi="Times New Roman" w:cs="Times New Roman"/>
          <w:sz w:val="24"/>
          <w:szCs w:val="24"/>
        </w:rPr>
        <w:t xml:space="preserve"> mean that it is likely that these poems represent a pre-Arthurian form of the Merlin legend.</w:t>
      </w:r>
      <w:r w:rsidR="00A63BDB">
        <w:rPr>
          <w:rStyle w:val="FootnoteReference"/>
          <w:rFonts w:ascii="Times New Roman" w:hAnsi="Times New Roman" w:cs="Times New Roman"/>
          <w:sz w:val="24"/>
          <w:szCs w:val="24"/>
        </w:rPr>
        <w:footnoteReference w:id="10"/>
      </w:r>
      <w:r w:rsidR="002B7CE6">
        <w:rPr>
          <w:rFonts w:ascii="Times New Roman" w:hAnsi="Times New Roman" w:cs="Times New Roman"/>
          <w:sz w:val="24"/>
          <w:szCs w:val="24"/>
        </w:rPr>
        <w:t xml:space="preserve"> One that inspired Geoffrey in writing his own version.</w:t>
      </w:r>
    </w:p>
    <w:p w:rsidR="002539BC" w:rsidRDefault="002539BC" w:rsidP="007E2138">
      <w:pPr>
        <w:spacing w:line="480" w:lineRule="auto"/>
        <w:rPr>
          <w:rFonts w:ascii="Times New Roman" w:hAnsi="Times New Roman" w:cs="Times New Roman"/>
          <w:sz w:val="24"/>
          <w:szCs w:val="24"/>
        </w:rPr>
      </w:pPr>
      <w:r>
        <w:rPr>
          <w:rFonts w:ascii="Times New Roman" w:hAnsi="Times New Roman" w:cs="Times New Roman"/>
          <w:sz w:val="24"/>
          <w:szCs w:val="24"/>
        </w:rPr>
        <w:t xml:space="preserve">Merlin is not the only character in Welsh poetry that Geoffrey included in his own work however. The </w:t>
      </w:r>
      <w:r w:rsidRPr="002539BC">
        <w:rPr>
          <w:rFonts w:ascii="Times New Roman" w:hAnsi="Times New Roman" w:cs="Times New Roman"/>
          <w:sz w:val="24"/>
          <w:szCs w:val="24"/>
        </w:rPr>
        <w:t>Englynion y Beddau</w:t>
      </w:r>
      <w:r>
        <w:rPr>
          <w:rFonts w:ascii="Times New Roman" w:hAnsi="Times New Roman" w:cs="Times New Roman"/>
          <w:sz w:val="24"/>
          <w:szCs w:val="24"/>
        </w:rPr>
        <w:t xml:space="preserve"> mentions several of Arthur’s knights as well as an early allusion to Arthur himself ‘the grave of Arthur is a mystery’</w:t>
      </w:r>
      <w:r w:rsidR="0056138B">
        <w:rPr>
          <w:rFonts w:ascii="Times New Roman" w:hAnsi="Times New Roman" w:cs="Times New Roman"/>
          <w:sz w:val="24"/>
          <w:szCs w:val="24"/>
        </w:rPr>
        <w:t>.</w:t>
      </w:r>
      <w:r w:rsidR="00A63BDB">
        <w:rPr>
          <w:rStyle w:val="FootnoteReference"/>
          <w:rFonts w:ascii="Times New Roman" w:hAnsi="Times New Roman" w:cs="Times New Roman"/>
          <w:sz w:val="24"/>
          <w:szCs w:val="24"/>
        </w:rPr>
        <w:footnoteReference w:id="11"/>
      </w:r>
      <w:r w:rsidR="0056138B">
        <w:rPr>
          <w:rFonts w:ascii="Times New Roman" w:hAnsi="Times New Roman" w:cs="Times New Roman"/>
          <w:sz w:val="24"/>
          <w:szCs w:val="24"/>
        </w:rPr>
        <w:t xml:space="preserve"> The poem </w:t>
      </w:r>
      <w:r w:rsidR="0056138B" w:rsidRPr="0056138B">
        <w:rPr>
          <w:rFonts w:ascii="Times New Roman" w:hAnsi="Times New Roman" w:cs="Times New Roman"/>
          <w:sz w:val="24"/>
          <w:szCs w:val="24"/>
        </w:rPr>
        <w:t>Pa Gur yv y Porthaur</w:t>
      </w:r>
      <w:r w:rsidR="0056138B">
        <w:rPr>
          <w:rFonts w:ascii="Times New Roman" w:hAnsi="Times New Roman" w:cs="Times New Roman"/>
          <w:sz w:val="24"/>
          <w:szCs w:val="24"/>
        </w:rPr>
        <w:t xml:space="preserve"> on the other hand details a conversation between Arthur and the gatekeeper</w:t>
      </w:r>
      <w:r w:rsidR="00DB0075">
        <w:rPr>
          <w:rFonts w:ascii="Times New Roman" w:hAnsi="Times New Roman" w:cs="Times New Roman"/>
          <w:sz w:val="24"/>
          <w:szCs w:val="24"/>
        </w:rPr>
        <w:t>,</w:t>
      </w:r>
      <w:r w:rsidR="00A63BDB">
        <w:rPr>
          <w:rStyle w:val="FootnoteReference"/>
          <w:rFonts w:ascii="Times New Roman" w:hAnsi="Times New Roman" w:cs="Times New Roman"/>
          <w:sz w:val="24"/>
          <w:szCs w:val="24"/>
        </w:rPr>
        <w:footnoteReference w:id="12"/>
      </w:r>
      <w:r w:rsidR="00DB0075">
        <w:rPr>
          <w:rFonts w:ascii="Times New Roman" w:hAnsi="Times New Roman" w:cs="Times New Roman"/>
          <w:sz w:val="24"/>
          <w:szCs w:val="24"/>
        </w:rPr>
        <w:t xml:space="preserve"> where Arthur lists many of his warriors </w:t>
      </w:r>
      <w:r w:rsidR="001F6685">
        <w:rPr>
          <w:rFonts w:ascii="Times New Roman" w:hAnsi="Times New Roman" w:cs="Times New Roman"/>
          <w:sz w:val="24"/>
          <w:szCs w:val="24"/>
        </w:rPr>
        <w:t xml:space="preserve">and companions </w:t>
      </w:r>
      <w:r w:rsidR="00DB0075">
        <w:rPr>
          <w:rFonts w:ascii="Times New Roman" w:hAnsi="Times New Roman" w:cs="Times New Roman"/>
          <w:sz w:val="24"/>
          <w:szCs w:val="24"/>
        </w:rPr>
        <w:t xml:space="preserve">in a situation that closely mirrors the </w:t>
      </w:r>
      <w:r w:rsidR="00630CA1">
        <w:rPr>
          <w:rFonts w:ascii="Times New Roman" w:hAnsi="Times New Roman" w:cs="Times New Roman"/>
          <w:sz w:val="24"/>
          <w:szCs w:val="24"/>
        </w:rPr>
        <w:t>conversation between Culhwch and Arthur’s gatekeeper in the early Welsh tale Culhwch and Olwen.</w:t>
      </w:r>
      <w:r w:rsidR="00A63BDB">
        <w:rPr>
          <w:rStyle w:val="FootnoteReference"/>
          <w:rFonts w:ascii="Times New Roman" w:hAnsi="Times New Roman" w:cs="Times New Roman"/>
          <w:sz w:val="24"/>
          <w:szCs w:val="24"/>
        </w:rPr>
        <w:footnoteReference w:id="13"/>
      </w:r>
      <w:r w:rsidR="00630CA1">
        <w:rPr>
          <w:rFonts w:ascii="Times New Roman" w:hAnsi="Times New Roman" w:cs="Times New Roman"/>
          <w:sz w:val="24"/>
          <w:szCs w:val="24"/>
        </w:rPr>
        <w:t xml:space="preserve"> </w:t>
      </w:r>
      <w:r w:rsidR="001F6685">
        <w:rPr>
          <w:rFonts w:ascii="Times New Roman" w:hAnsi="Times New Roman" w:cs="Times New Roman"/>
          <w:sz w:val="24"/>
          <w:szCs w:val="24"/>
        </w:rPr>
        <w:t xml:space="preserve">In each case the catalogue of names is used to </w:t>
      </w:r>
      <w:r w:rsidR="001F6685" w:rsidRPr="001F6685">
        <w:rPr>
          <w:rFonts w:ascii="Times New Roman" w:hAnsi="Times New Roman" w:cs="Times New Roman"/>
          <w:sz w:val="24"/>
          <w:szCs w:val="24"/>
        </w:rPr>
        <w:t xml:space="preserve">show the extent of Arthur’s </w:t>
      </w:r>
      <w:r w:rsidR="001F6685">
        <w:rPr>
          <w:rFonts w:ascii="Times New Roman" w:hAnsi="Times New Roman" w:cs="Times New Roman"/>
          <w:sz w:val="24"/>
          <w:szCs w:val="24"/>
        </w:rPr>
        <w:t>notoriety</w:t>
      </w:r>
      <w:r w:rsidR="001F6685" w:rsidRPr="001F6685">
        <w:rPr>
          <w:rFonts w:ascii="Times New Roman" w:hAnsi="Times New Roman" w:cs="Times New Roman"/>
          <w:sz w:val="24"/>
          <w:szCs w:val="24"/>
        </w:rPr>
        <w:t xml:space="preserve"> and influence</w:t>
      </w:r>
      <w:r w:rsidR="001F6685">
        <w:rPr>
          <w:rFonts w:ascii="Times New Roman" w:hAnsi="Times New Roman" w:cs="Times New Roman"/>
          <w:sz w:val="24"/>
          <w:szCs w:val="24"/>
        </w:rPr>
        <w:t>, and Geoffrey emulates this when describing those in attendance at Arthur’s court</w:t>
      </w:r>
      <w:r w:rsidR="00741C2C">
        <w:rPr>
          <w:rFonts w:ascii="Times New Roman" w:hAnsi="Times New Roman" w:cs="Times New Roman"/>
          <w:sz w:val="24"/>
          <w:szCs w:val="24"/>
        </w:rPr>
        <w:t xml:space="preserve"> to witness his crowning.</w:t>
      </w:r>
    </w:p>
    <w:p w:rsidR="00AF3027" w:rsidRDefault="00AF3027" w:rsidP="007E2138">
      <w:pPr>
        <w:spacing w:line="480" w:lineRule="auto"/>
        <w:rPr>
          <w:rFonts w:ascii="Times New Roman" w:hAnsi="Times New Roman" w:cs="Times New Roman"/>
          <w:sz w:val="24"/>
          <w:szCs w:val="24"/>
        </w:rPr>
      </w:pPr>
      <w:r>
        <w:rPr>
          <w:rFonts w:ascii="Times New Roman" w:hAnsi="Times New Roman" w:cs="Times New Roman"/>
          <w:sz w:val="24"/>
          <w:szCs w:val="24"/>
        </w:rPr>
        <w:t>Culhwch and Olwen is believed to be the oldest of the collection of Welsh tales referred to as the Mabinogion, and just as with the catalogue of names, there are several details found in some of these other texts that appear as elements in Geoffrey’s Historia. Another example is found in his description of Arthur’s coronation ceremony where he describes that each of the most famous knights ‘wore their clothes and arms all of the same colour and fashion’.</w:t>
      </w:r>
      <w:r w:rsidR="00A63BDB">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The </w:t>
      </w:r>
      <w:r>
        <w:rPr>
          <w:rFonts w:ascii="Times New Roman" w:hAnsi="Times New Roman" w:cs="Times New Roman"/>
          <w:sz w:val="24"/>
          <w:szCs w:val="24"/>
        </w:rPr>
        <w:lastRenderedPageBreak/>
        <w:t>idea of colour-coded knights is perhaps most famously observed in the l</w:t>
      </w:r>
      <w:r w:rsidR="00A3676E">
        <w:rPr>
          <w:rFonts w:ascii="Times New Roman" w:hAnsi="Times New Roman" w:cs="Times New Roman"/>
          <w:sz w:val="24"/>
          <w:szCs w:val="24"/>
        </w:rPr>
        <w:t>ater Arthurian tale Gawain and the Green Knight,</w:t>
      </w:r>
      <w:r w:rsidR="00A63BDB">
        <w:rPr>
          <w:rStyle w:val="FootnoteReference"/>
          <w:rFonts w:ascii="Times New Roman" w:hAnsi="Times New Roman" w:cs="Times New Roman"/>
          <w:sz w:val="24"/>
          <w:szCs w:val="24"/>
        </w:rPr>
        <w:footnoteReference w:id="15"/>
      </w:r>
      <w:r w:rsidR="00A3676E">
        <w:rPr>
          <w:rFonts w:ascii="Times New Roman" w:hAnsi="Times New Roman" w:cs="Times New Roman"/>
          <w:sz w:val="24"/>
          <w:szCs w:val="24"/>
        </w:rPr>
        <w:t xml:space="preserve"> but an earlier instance </w:t>
      </w:r>
      <w:r w:rsidR="00CB0C9E">
        <w:rPr>
          <w:rFonts w:ascii="Times New Roman" w:hAnsi="Times New Roman" w:cs="Times New Roman"/>
          <w:sz w:val="24"/>
          <w:szCs w:val="24"/>
        </w:rPr>
        <w:t>appears in the Mabinogion tale The Lady of the Well which along with three golden characters has a black knight in the role of antagonist.</w:t>
      </w:r>
      <w:r w:rsidR="0054227F">
        <w:rPr>
          <w:rFonts w:ascii="Times New Roman" w:hAnsi="Times New Roman" w:cs="Times New Roman"/>
          <w:sz w:val="24"/>
          <w:szCs w:val="24"/>
        </w:rPr>
        <w:t xml:space="preserve"> A more subtle example can be found in the episode where Uther, in the guise of Gorlois, lies with Igerna. There are multiple instance</w:t>
      </w:r>
      <w:r w:rsidR="001A2DD9">
        <w:rPr>
          <w:rFonts w:ascii="Times New Roman" w:hAnsi="Times New Roman" w:cs="Times New Roman"/>
          <w:sz w:val="24"/>
          <w:szCs w:val="24"/>
        </w:rPr>
        <w:t>s</w:t>
      </w:r>
      <w:r w:rsidR="0054227F">
        <w:rPr>
          <w:rFonts w:ascii="Times New Roman" w:hAnsi="Times New Roman" w:cs="Times New Roman"/>
          <w:sz w:val="24"/>
          <w:szCs w:val="24"/>
        </w:rPr>
        <w:t xml:space="preserve"> in the Mabinogion where one character is transformed in some way, and in each case the convention is that they are never referred to by name w</w:t>
      </w:r>
      <w:r w:rsidR="0012457B">
        <w:rPr>
          <w:rFonts w:ascii="Times New Roman" w:hAnsi="Times New Roman" w:cs="Times New Roman"/>
          <w:sz w:val="24"/>
          <w:szCs w:val="24"/>
        </w:rPr>
        <w:t>hile in their transformed state, such as when Pwyll takes on Arawn’s form and is only referred to as ‘the man who was in Arawn’s place’.</w:t>
      </w:r>
      <w:r w:rsidR="00A63BDB">
        <w:rPr>
          <w:rStyle w:val="FootnoteReference"/>
          <w:rFonts w:ascii="Times New Roman" w:hAnsi="Times New Roman" w:cs="Times New Roman"/>
          <w:sz w:val="24"/>
          <w:szCs w:val="24"/>
        </w:rPr>
        <w:footnoteReference w:id="16"/>
      </w:r>
      <w:r w:rsidR="0012457B">
        <w:rPr>
          <w:rFonts w:ascii="Times New Roman" w:hAnsi="Times New Roman" w:cs="Times New Roman"/>
          <w:sz w:val="24"/>
          <w:szCs w:val="24"/>
        </w:rPr>
        <w:t xml:space="preserve"> Geoffrey uses this same convention in his writing, referring to Uther only as ‘the king’ until he is transformed back to his normal state.</w:t>
      </w:r>
    </w:p>
    <w:p w:rsidR="002F1E49" w:rsidRDefault="002F1E49" w:rsidP="007E2138">
      <w:pPr>
        <w:spacing w:line="480" w:lineRule="auto"/>
        <w:rPr>
          <w:rFonts w:ascii="Times New Roman" w:hAnsi="Times New Roman" w:cs="Times New Roman"/>
          <w:sz w:val="24"/>
          <w:szCs w:val="24"/>
        </w:rPr>
      </w:pPr>
      <w:r>
        <w:rPr>
          <w:rFonts w:ascii="Times New Roman" w:hAnsi="Times New Roman" w:cs="Times New Roman"/>
          <w:sz w:val="24"/>
          <w:szCs w:val="24"/>
        </w:rPr>
        <w:t>Geoffrey’s account of Maximianus and his conflicts with Octavius has parallels to The Dream of Maxen, another Mabinogion text concerning the proclaimed Emperor of Britain Magnus Maximus.</w:t>
      </w:r>
      <w:r w:rsidR="00A63BDB">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The Dream of Maxen however does not exist in manuscripts pre-dating Geoffrey’s Historia, and yet the tale seems to draw heavy inspiration from the early Welsh triads which themselves are believed to reflect an even earlier tradition, definitely earlier than Geoffrey. Chadwick for instance has suggested that the legend may date back to Gildas</w:t>
      </w:r>
      <w:r w:rsidR="00EA5DAD">
        <w:rPr>
          <w:rFonts w:ascii="Times New Roman" w:hAnsi="Times New Roman" w:cs="Times New Roman"/>
          <w:sz w:val="24"/>
          <w:szCs w:val="24"/>
        </w:rPr>
        <w:t xml:space="preserve">, who mentions Maximus in his </w:t>
      </w:r>
      <w:r w:rsidR="00EA5DAD" w:rsidRPr="00833CE0">
        <w:rPr>
          <w:rFonts w:ascii="Times New Roman" w:hAnsi="Times New Roman" w:cs="Times New Roman"/>
          <w:sz w:val="24"/>
          <w:szCs w:val="24"/>
        </w:rPr>
        <w:t>De Excidio et Conquestu Britanniae</w:t>
      </w:r>
      <w:r>
        <w:rPr>
          <w:rFonts w:ascii="Times New Roman" w:hAnsi="Times New Roman" w:cs="Times New Roman"/>
          <w:sz w:val="24"/>
          <w:szCs w:val="24"/>
        </w:rPr>
        <w:t>.</w:t>
      </w:r>
      <w:r w:rsidR="00A63BDB">
        <w:rPr>
          <w:rStyle w:val="FootnoteReference"/>
          <w:rFonts w:ascii="Times New Roman" w:hAnsi="Times New Roman" w:cs="Times New Roman"/>
          <w:sz w:val="24"/>
          <w:szCs w:val="24"/>
        </w:rPr>
        <w:footnoteReference w:id="18"/>
      </w:r>
    </w:p>
    <w:p w:rsidR="00E311B0" w:rsidRDefault="00E23D10" w:rsidP="007E2138">
      <w:pPr>
        <w:spacing w:line="480" w:lineRule="auto"/>
        <w:rPr>
          <w:rFonts w:ascii="Times New Roman" w:hAnsi="Times New Roman" w:cs="Times New Roman"/>
          <w:sz w:val="24"/>
          <w:szCs w:val="24"/>
        </w:rPr>
      </w:pPr>
      <w:r>
        <w:rPr>
          <w:rFonts w:ascii="Times New Roman" w:hAnsi="Times New Roman" w:cs="Times New Roman"/>
          <w:sz w:val="24"/>
          <w:szCs w:val="24"/>
        </w:rPr>
        <w:t>Book Nine of Geoffrey’s Historia introduces us to two more of the most famous figures in Arthuriana, Arthur’s wife who Geoffrey calls Guanhumara, and his nephew Modred. The earliest text to mention Modred is</w:t>
      </w:r>
      <w:r w:rsidR="00AA1F35">
        <w:rPr>
          <w:rFonts w:ascii="Times New Roman" w:hAnsi="Times New Roman" w:cs="Times New Roman"/>
          <w:sz w:val="24"/>
          <w:szCs w:val="24"/>
        </w:rPr>
        <w:t xml:space="preserve"> an entry</w:t>
      </w:r>
      <w:r>
        <w:rPr>
          <w:rFonts w:ascii="Times New Roman" w:hAnsi="Times New Roman" w:cs="Times New Roman"/>
          <w:sz w:val="24"/>
          <w:szCs w:val="24"/>
        </w:rPr>
        <w:t xml:space="preserve"> found in the Annales Cambriae, dating from the tenth century, which states </w:t>
      </w:r>
      <w:r w:rsidR="00303D51">
        <w:rPr>
          <w:rFonts w:ascii="Times New Roman" w:hAnsi="Times New Roman" w:cs="Times New Roman"/>
          <w:sz w:val="24"/>
          <w:szCs w:val="24"/>
        </w:rPr>
        <w:t xml:space="preserve">that </w:t>
      </w:r>
      <w:r>
        <w:rPr>
          <w:rFonts w:ascii="Times New Roman" w:hAnsi="Times New Roman" w:cs="Times New Roman"/>
          <w:sz w:val="24"/>
          <w:szCs w:val="24"/>
        </w:rPr>
        <w:t>‘t</w:t>
      </w:r>
      <w:r w:rsidRPr="00E23D10">
        <w:rPr>
          <w:rFonts w:ascii="Times New Roman" w:hAnsi="Times New Roman" w:cs="Times New Roman"/>
          <w:sz w:val="24"/>
          <w:szCs w:val="24"/>
        </w:rPr>
        <w:t>he strife of Camlann, in which Arthur and Medraut fell</w:t>
      </w:r>
      <w:r>
        <w:rPr>
          <w:rFonts w:ascii="Times New Roman" w:hAnsi="Times New Roman" w:cs="Times New Roman"/>
          <w:sz w:val="24"/>
          <w:szCs w:val="24"/>
        </w:rPr>
        <w:t xml:space="preserve">’ </w:t>
      </w:r>
      <w:r>
        <w:rPr>
          <w:rFonts w:ascii="Times New Roman" w:hAnsi="Times New Roman" w:cs="Times New Roman"/>
          <w:sz w:val="24"/>
          <w:szCs w:val="24"/>
        </w:rPr>
        <w:lastRenderedPageBreak/>
        <w:t>occurred in the year 537.</w:t>
      </w:r>
      <w:r w:rsidR="00A63BDB">
        <w:rPr>
          <w:rStyle w:val="FootnoteReference"/>
          <w:rFonts w:ascii="Times New Roman" w:hAnsi="Times New Roman" w:cs="Times New Roman"/>
          <w:sz w:val="24"/>
          <w:szCs w:val="24"/>
        </w:rPr>
        <w:footnoteReference w:id="19"/>
      </w:r>
      <w:r w:rsidR="00AA1F35">
        <w:rPr>
          <w:rFonts w:ascii="Times New Roman" w:hAnsi="Times New Roman" w:cs="Times New Roman"/>
          <w:sz w:val="24"/>
          <w:szCs w:val="24"/>
        </w:rPr>
        <w:t xml:space="preserve"> This single line gives no indication of Modred’s loyalties and character and yet Geoffrey fashions him as a traitor to Arthur, who seduces queen Guanhumara and steals the crown through treachery.</w:t>
      </w:r>
      <w:r w:rsidR="002B386C">
        <w:rPr>
          <w:rFonts w:ascii="Times New Roman" w:hAnsi="Times New Roman" w:cs="Times New Roman"/>
          <w:sz w:val="24"/>
          <w:szCs w:val="24"/>
        </w:rPr>
        <w:t xml:space="preserve"> </w:t>
      </w:r>
    </w:p>
    <w:p w:rsidR="0008263F" w:rsidRDefault="002B386C" w:rsidP="007E2138">
      <w:pPr>
        <w:spacing w:line="480" w:lineRule="auto"/>
        <w:rPr>
          <w:rFonts w:ascii="Times New Roman" w:hAnsi="Times New Roman" w:cs="Times New Roman"/>
          <w:sz w:val="24"/>
          <w:szCs w:val="24"/>
        </w:rPr>
      </w:pPr>
      <w:r>
        <w:rPr>
          <w:rFonts w:ascii="Times New Roman" w:hAnsi="Times New Roman" w:cs="Times New Roman"/>
          <w:sz w:val="24"/>
          <w:szCs w:val="24"/>
        </w:rPr>
        <w:t xml:space="preserve">Two poems dating from roughly the same time as Geoffrey’s Historia, one by Meilyr Brydydd lamenting the death of Grufudd ap Cynan, the other by Gwalchmai ap Meilyr praising </w:t>
      </w:r>
      <w:r w:rsidR="00E10819">
        <w:rPr>
          <w:rFonts w:ascii="Times New Roman" w:hAnsi="Times New Roman" w:cs="Times New Roman"/>
          <w:sz w:val="24"/>
          <w:szCs w:val="24"/>
        </w:rPr>
        <w:t>Madog ap Maredudd,</w:t>
      </w:r>
      <w:r w:rsidR="00A63BDB">
        <w:rPr>
          <w:rStyle w:val="FootnoteReference"/>
          <w:rFonts w:ascii="Times New Roman" w:hAnsi="Times New Roman" w:cs="Times New Roman"/>
          <w:sz w:val="24"/>
          <w:szCs w:val="24"/>
        </w:rPr>
        <w:footnoteReference w:id="20"/>
      </w:r>
      <w:r w:rsidR="00E10819">
        <w:rPr>
          <w:rFonts w:ascii="Times New Roman" w:hAnsi="Times New Roman" w:cs="Times New Roman"/>
          <w:sz w:val="24"/>
          <w:szCs w:val="24"/>
        </w:rPr>
        <w:t xml:space="preserve"> draw positive comparisons between their subjects and what they describe as Modred’s good nature and valour in battle. This suggests that the pre-Galfridian perception of Modred was in contrast fairly positive.</w:t>
      </w:r>
      <w:r w:rsidR="00E311B0">
        <w:rPr>
          <w:rFonts w:ascii="Times New Roman" w:hAnsi="Times New Roman" w:cs="Times New Roman"/>
          <w:sz w:val="24"/>
          <w:szCs w:val="24"/>
        </w:rPr>
        <w:t xml:space="preserve"> </w:t>
      </w:r>
      <w:r w:rsidR="00E10819">
        <w:rPr>
          <w:rFonts w:ascii="Times New Roman" w:hAnsi="Times New Roman" w:cs="Times New Roman"/>
          <w:sz w:val="24"/>
          <w:szCs w:val="24"/>
        </w:rPr>
        <w:t>Geoffrey’s decision therefore to frame Modred as a villain can be considered his own invention, although</w:t>
      </w:r>
      <w:r w:rsidR="00AA1F35">
        <w:rPr>
          <w:rFonts w:ascii="Times New Roman" w:hAnsi="Times New Roman" w:cs="Times New Roman"/>
          <w:sz w:val="24"/>
          <w:szCs w:val="24"/>
        </w:rPr>
        <w:t xml:space="preserve"> Padel has suggested that </w:t>
      </w:r>
      <w:r w:rsidR="00E10819">
        <w:rPr>
          <w:rFonts w:ascii="Times New Roman" w:hAnsi="Times New Roman" w:cs="Times New Roman"/>
          <w:sz w:val="24"/>
          <w:szCs w:val="24"/>
        </w:rPr>
        <w:t>at the very least Modred’s seduction of Guanhumara</w:t>
      </w:r>
      <w:r>
        <w:rPr>
          <w:rFonts w:ascii="Times New Roman" w:hAnsi="Times New Roman" w:cs="Times New Roman"/>
          <w:sz w:val="24"/>
          <w:szCs w:val="24"/>
        </w:rPr>
        <w:t xml:space="preserve"> may be based on an earlier Welsh tale that involves Gwenhwyfar’s abduction by Melwas, with Geoffrey simply substituting the names. </w:t>
      </w:r>
      <w:r w:rsidR="00E311B0">
        <w:rPr>
          <w:rStyle w:val="FootnoteReference"/>
          <w:rFonts w:ascii="Times New Roman" w:hAnsi="Times New Roman" w:cs="Times New Roman"/>
          <w:sz w:val="24"/>
          <w:szCs w:val="24"/>
        </w:rPr>
        <w:footnoteReference w:id="21"/>
      </w:r>
    </w:p>
    <w:p w:rsidR="008958EE" w:rsidRDefault="00E70A50" w:rsidP="007E2138">
      <w:pPr>
        <w:spacing w:line="480" w:lineRule="auto"/>
        <w:rPr>
          <w:rFonts w:ascii="Times New Roman" w:hAnsi="Times New Roman" w:cs="Times New Roman"/>
          <w:sz w:val="24"/>
          <w:szCs w:val="24"/>
        </w:rPr>
      </w:pPr>
      <w:r>
        <w:rPr>
          <w:rFonts w:ascii="Times New Roman" w:hAnsi="Times New Roman" w:cs="Times New Roman"/>
          <w:sz w:val="24"/>
          <w:szCs w:val="24"/>
        </w:rPr>
        <w:t xml:space="preserve">One element of the Historia that is most definitely not Geoffrey’s own invention is </w:t>
      </w:r>
      <w:r w:rsidR="00E81294">
        <w:rPr>
          <w:rFonts w:ascii="Times New Roman" w:hAnsi="Times New Roman" w:cs="Times New Roman"/>
          <w:sz w:val="24"/>
          <w:szCs w:val="24"/>
        </w:rPr>
        <w:t xml:space="preserve">Cadwallader as a figure of prophecy. </w:t>
      </w:r>
      <w:r w:rsidR="001353FC">
        <w:rPr>
          <w:rFonts w:ascii="Times New Roman" w:hAnsi="Times New Roman" w:cs="Times New Roman"/>
          <w:sz w:val="24"/>
          <w:szCs w:val="24"/>
        </w:rPr>
        <w:t>As a historical figure Cadwallader appears in the Annales Cambriae, which dates his death from plague at 682,</w:t>
      </w:r>
      <w:r w:rsidR="00A63BDB">
        <w:rPr>
          <w:rStyle w:val="FootnoteReference"/>
          <w:rFonts w:ascii="Times New Roman" w:hAnsi="Times New Roman" w:cs="Times New Roman"/>
          <w:sz w:val="24"/>
          <w:szCs w:val="24"/>
        </w:rPr>
        <w:footnoteReference w:id="22"/>
      </w:r>
      <w:r w:rsidR="001353FC">
        <w:rPr>
          <w:rFonts w:ascii="Times New Roman" w:hAnsi="Times New Roman" w:cs="Times New Roman"/>
          <w:sz w:val="24"/>
          <w:szCs w:val="24"/>
        </w:rPr>
        <w:t xml:space="preserve"> and the Historia Brittonum where he appears as Catgublaun and is said to have died from a ‘dreadful mortality’.</w:t>
      </w:r>
      <w:r w:rsidR="00A63BDB">
        <w:rPr>
          <w:rStyle w:val="FootnoteReference"/>
          <w:rFonts w:ascii="Times New Roman" w:hAnsi="Times New Roman" w:cs="Times New Roman"/>
          <w:sz w:val="24"/>
          <w:szCs w:val="24"/>
        </w:rPr>
        <w:footnoteReference w:id="23"/>
      </w:r>
      <w:r w:rsidR="002414E2">
        <w:rPr>
          <w:rFonts w:ascii="Times New Roman" w:hAnsi="Times New Roman" w:cs="Times New Roman"/>
          <w:sz w:val="24"/>
          <w:szCs w:val="24"/>
        </w:rPr>
        <w:t xml:space="preserve"> Geoffrey’s Cadwallader however seems to be drawn from the mythical, folk hero figure that appears in some of the ancient We</w:t>
      </w:r>
      <w:r w:rsidR="0058159B">
        <w:rPr>
          <w:rFonts w:ascii="Times New Roman" w:hAnsi="Times New Roman" w:cs="Times New Roman"/>
          <w:sz w:val="24"/>
          <w:szCs w:val="24"/>
        </w:rPr>
        <w:t xml:space="preserve">lsh poems, in particular the prophetic poems generally attributed to either Taliesin or Myrddin. The poem Armes Prydein, attributed to Taliesin but also containing one of the earliest references to Myrddin Wylt, an early archetype of Merlin, </w:t>
      </w:r>
      <w:r w:rsidR="0058159B">
        <w:rPr>
          <w:rFonts w:ascii="Times New Roman" w:hAnsi="Times New Roman" w:cs="Times New Roman"/>
          <w:sz w:val="24"/>
          <w:szCs w:val="24"/>
        </w:rPr>
        <w:lastRenderedPageBreak/>
        <w:t>describes the coming together of all the Britons and Brittonic peoples under the leadership of Cadwallader and Cynan to d</w:t>
      </w:r>
      <w:r w:rsidR="000040B1">
        <w:rPr>
          <w:rFonts w:ascii="Times New Roman" w:hAnsi="Times New Roman" w:cs="Times New Roman"/>
          <w:sz w:val="24"/>
          <w:szCs w:val="24"/>
        </w:rPr>
        <w:t xml:space="preserve">rive out the Anglo </w:t>
      </w:r>
      <w:r w:rsidR="0058159B">
        <w:rPr>
          <w:rFonts w:ascii="Times New Roman" w:hAnsi="Times New Roman" w:cs="Times New Roman"/>
          <w:sz w:val="24"/>
          <w:szCs w:val="24"/>
        </w:rPr>
        <w:t>Saxons.</w:t>
      </w:r>
      <w:r w:rsidR="00A63BDB">
        <w:rPr>
          <w:rStyle w:val="FootnoteReference"/>
          <w:rFonts w:ascii="Times New Roman" w:hAnsi="Times New Roman" w:cs="Times New Roman"/>
          <w:sz w:val="24"/>
          <w:szCs w:val="24"/>
        </w:rPr>
        <w:footnoteReference w:id="24"/>
      </w:r>
      <w:r w:rsidR="000040B1">
        <w:rPr>
          <w:rFonts w:ascii="Times New Roman" w:hAnsi="Times New Roman" w:cs="Times New Roman"/>
          <w:sz w:val="24"/>
          <w:szCs w:val="24"/>
        </w:rPr>
        <w:t xml:space="preserve"> </w:t>
      </w:r>
    </w:p>
    <w:p w:rsidR="00E70A50" w:rsidRDefault="000040B1" w:rsidP="007E2138">
      <w:pPr>
        <w:spacing w:line="480" w:lineRule="auto"/>
        <w:rPr>
          <w:rFonts w:ascii="Times New Roman" w:hAnsi="Times New Roman" w:cs="Times New Roman"/>
          <w:sz w:val="24"/>
          <w:szCs w:val="24"/>
        </w:rPr>
      </w:pPr>
      <w:r>
        <w:rPr>
          <w:rFonts w:ascii="Times New Roman" w:hAnsi="Times New Roman" w:cs="Times New Roman"/>
          <w:sz w:val="24"/>
          <w:szCs w:val="24"/>
        </w:rPr>
        <w:t>The idea of a hero returning to deliver the Welsh to victory was naturally a popular one as it represented hope for the Cymry in their struggle for independence against the Anglo Saxons, and it is an idea that today is better associated with the legend of Arthur.</w:t>
      </w:r>
      <w:r w:rsidR="0099280D">
        <w:rPr>
          <w:rFonts w:ascii="Times New Roman" w:hAnsi="Times New Roman" w:cs="Times New Roman"/>
          <w:sz w:val="24"/>
          <w:szCs w:val="24"/>
        </w:rPr>
        <w:t xml:space="preserve"> Geoffrey acknowledges Cadwallader’s prophesised return in his Historia, but actually circumvents it and instead sends Cadwallader to Rome as a kind of martyr figure, which </w:t>
      </w:r>
      <w:r w:rsidR="00910AE6">
        <w:rPr>
          <w:rFonts w:ascii="Times New Roman" w:hAnsi="Times New Roman" w:cs="Times New Roman"/>
          <w:sz w:val="24"/>
          <w:szCs w:val="24"/>
        </w:rPr>
        <w:t>Griffiths</w:t>
      </w:r>
      <w:r w:rsidR="0099280D">
        <w:rPr>
          <w:rFonts w:ascii="Times New Roman" w:hAnsi="Times New Roman" w:cs="Times New Roman"/>
          <w:sz w:val="24"/>
          <w:szCs w:val="24"/>
        </w:rPr>
        <w:t xml:space="preserve"> argues is due to Geoffrey confusing the character with Ceadwalla, the King of Wessex.</w:t>
      </w:r>
      <w:r w:rsidR="00A63BDB">
        <w:rPr>
          <w:rStyle w:val="FootnoteReference"/>
          <w:rFonts w:ascii="Times New Roman" w:hAnsi="Times New Roman" w:cs="Times New Roman"/>
          <w:sz w:val="24"/>
          <w:szCs w:val="24"/>
        </w:rPr>
        <w:footnoteReference w:id="25"/>
      </w:r>
      <w:r w:rsidR="008958EE">
        <w:rPr>
          <w:rFonts w:ascii="Times New Roman" w:hAnsi="Times New Roman" w:cs="Times New Roman"/>
          <w:sz w:val="24"/>
          <w:szCs w:val="24"/>
        </w:rPr>
        <w:t xml:space="preserve"> </w:t>
      </w:r>
      <w:r w:rsidR="0099280D">
        <w:rPr>
          <w:rFonts w:ascii="Times New Roman" w:hAnsi="Times New Roman" w:cs="Times New Roman"/>
          <w:sz w:val="24"/>
          <w:szCs w:val="24"/>
        </w:rPr>
        <w:t>Cadwallader</w:t>
      </w:r>
      <w:r w:rsidR="00150792">
        <w:rPr>
          <w:rFonts w:ascii="Times New Roman" w:hAnsi="Times New Roman" w:cs="Times New Roman"/>
          <w:sz w:val="24"/>
          <w:szCs w:val="24"/>
        </w:rPr>
        <w:t>’s</w:t>
      </w:r>
      <w:r w:rsidR="0099280D">
        <w:rPr>
          <w:rFonts w:ascii="Times New Roman" w:hAnsi="Times New Roman" w:cs="Times New Roman"/>
          <w:sz w:val="24"/>
          <w:szCs w:val="24"/>
        </w:rPr>
        <w:t xml:space="preserve"> prophesised victory is also referred to in the Myrddin poem</w:t>
      </w:r>
      <w:r w:rsidR="00150792">
        <w:rPr>
          <w:rFonts w:ascii="Times New Roman" w:hAnsi="Times New Roman" w:cs="Times New Roman"/>
          <w:sz w:val="24"/>
          <w:szCs w:val="24"/>
        </w:rPr>
        <w:t>s</w:t>
      </w:r>
      <w:r w:rsidR="0099280D">
        <w:rPr>
          <w:rFonts w:ascii="Times New Roman" w:hAnsi="Times New Roman" w:cs="Times New Roman"/>
          <w:sz w:val="24"/>
          <w:szCs w:val="24"/>
        </w:rPr>
        <w:t xml:space="preserve"> Yr Afallenau</w:t>
      </w:r>
      <w:r w:rsidR="00150792">
        <w:rPr>
          <w:rFonts w:ascii="Times New Roman" w:hAnsi="Times New Roman" w:cs="Times New Roman"/>
          <w:sz w:val="24"/>
          <w:szCs w:val="24"/>
        </w:rPr>
        <w:t xml:space="preserve"> and Yr Oianau. The latter interestingly seems to refer to Cadwallader and Cynan as a bear and a dragon in Stanzas 16 and 18 in a rare instance of animal symbolism generally unheard of in Ancient Welsh poems, and yet used extensively by Geoffrey in his Merlin prophecies.</w:t>
      </w:r>
      <w:r w:rsidR="00A63BDB">
        <w:rPr>
          <w:rStyle w:val="FootnoteReference"/>
          <w:rFonts w:ascii="Times New Roman" w:hAnsi="Times New Roman" w:cs="Times New Roman"/>
          <w:sz w:val="24"/>
          <w:szCs w:val="24"/>
        </w:rPr>
        <w:footnoteReference w:id="26"/>
      </w:r>
    </w:p>
    <w:p w:rsidR="002D3F51" w:rsidRDefault="00E2679D" w:rsidP="007E2138">
      <w:pPr>
        <w:spacing w:line="480" w:lineRule="auto"/>
        <w:rPr>
          <w:rFonts w:ascii="Times New Roman" w:hAnsi="Times New Roman" w:cs="Times New Roman"/>
          <w:sz w:val="24"/>
          <w:szCs w:val="24"/>
        </w:rPr>
      </w:pPr>
      <w:r>
        <w:rPr>
          <w:rFonts w:ascii="Times New Roman" w:hAnsi="Times New Roman" w:cs="Times New Roman"/>
          <w:sz w:val="24"/>
          <w:szCs w:val="24"/>
        </w:rPr>
        <w:t>Clearly there are many parallels between Geoffrey’s work and early literature, with multiple characters and stories having a basis in pre-existing literary tradition. Part of what makes Geoffrey’s Historia so innovative is how he uses these sources and adapts and builds upon them to cre</w:t>
      </w:r>
      <w:r w:rsidR="002D3F51">
        <w:rPr>
          <w:rFonts w:ascii="Times New Roman" w:hAnsi="Times New Roman" w:cs="Times New Roman"/>
          <w:sz w:val="24"/>
          <w:szCs w:val="24"/>
        </w:rPr>
        <w:t xml:space="preserve">ate a truly engaging narrative, while also lending authenticity to his own additions with their inclusion. The Historia has often come under fire for its unreliable sources but it was in fact common practice in the period to </w:t>
      </w:r>
      <w:r w:rsidR="002D3F51" w:rsidRPr="002D3F51">
        <w:rPr>
          <w:rFonts w:ascii="Times New Roman" w:hAnsi="Times New Roman" w:cs="Times New Roman"/>
          <w:sz w:val="24"/>
          <w:szCs w:val="24"/>
        </w:rPr>
        <w:t>forge and inv</w:t>
      </w:r>
      <w:r w:rsidR="002D3F51">
        <w:rPr>
          <w:rFonts w:ascii="Times New Roman" w:hAnsi="Times New Roman" w:cs="Times New Roman"/>
          <w:sz w:val="24"/>
          <w:szCs w:val="24"/>
        </w:rPr>
        <w:t>ent sources to add authority to a piece of work.</w:t>
      </w:r>
      <w:r w:rsidR="00A63BDB">
        <w:rPr>
          <w:rStyle w:val="FootnoteReference"/>
          <w:rFonts w:ascii="Times New Roman" w:hAnsi="Times New Roman" w:cs="Times New Roman"/>
          <w:sz w:val="24"/>
          <w:szCs w:val="24"/>
        </w:rPr>
        <w:footnoteReference w:id="27"/>
      </w:r>
      <w:r w:rsidR="002D3F51">
        <w:rPr>
          <w:rFonts w:ascii="Times New Roman" w:hAnsi="Times New Roman" w:cs="Times New Roman"/>
          <w:sz w:val="24"/>
          <w:szCs w:val="24"/>
        </w:rPr>
        <w:t xml:space="preserve"> What sets Geoffrey apart is the skill with which he </w:t>
      </w:r>
      <w:r w:rsidR="00383F9A">
        <w:rPr>
          <w:rFonts w:ascii="Times New Roman" w:hAnsi="Times New Roman" w:cs="Times New Roman"/>
          <w:sz w:val="24"/>
          <w:szCs w:val="24"/>
        </w:rPr>
        <w:t>inserts his own material into the gaps that existed in already established insular history.</w:t>
      </w:r>
      <w:r w:rsidR="00A63BDB">
        <w:rPr>
          <w:rStyle w:val="FootnoteReference"/>
          <w:rFonts w:ascii="Times New Roman" w:hAnsi="Times New Roman" w:cs="Times New Roman"/>
          <w:sz w:val="24"/>
          <w:szCs w:val="24"/>
        </w:rPr>
        <w:footnoteReference w:id="28"/>
      </w:r>
      <w:r w:rsidR="00383F9A">
        <w:rPr>
          <w:rFonts w:ascii="Times New Roman" w:hAnsi="Times New Roman" w:cs="Times New Roman"/>
          <w:sz w:val="24"/>
          <w:szCs w:val="24"/>
        </w:rPr>
        <w:t xml:space="preserve"> </w:t>
      </w:r>
      <w:r w:rsidR="00383F9A" w:rsidRPr="00383F9A">
        <w:rPr>
          <w:rFonts w:ascii="Times New Roman" w:hAnsi="Times New Roman" w:cs="Times New Roman"/>
          <w:sz w:val="24"/>
          <w:szCs w:val="24"/>
        </w:rPr>
        <w:t xml:space="preserve">In the passage describing Vortigern meeting Hengist’s daughter </w:t>
      </w:r>
      <w:r w:rsidR="00383F9A">
        <w:rPr>
          <w:rFonts w:ascii="Times New Roman" w:hAnsi="Times New Roman" w:cs="Times New Roman"/>
          <w:sz w:val="24"/>
          <w:szCs w:val="24"/>
        </w:rPr>
        <w:t>for instance, Geoffrey includes many details such as</w:t>
      </w:r>
      <w:r w:rsidR="00383F9A" w:rsidRPr="00383F9A">
        <w:rPr>
          <w:rFonts w:ascii="Times New Roman" w:hAnsi="Times New Roman" w:cs="Times New Roman"/>
          <w:sz w:val="24"/>
          <w:szCs w:val="24"/>
        </w:rPr>
        <w:t xml:space="preserve"> </w:t>
      </w:r>
      <w:r w:rsidR="00383F9A" w:rsidRPr="00383F9A">
        <w:rPr>
          <w:rFonts w:ascii="Times New Roman" w:hAnsi="Times New Roman" w:cs="Times New Roman"/>
          <w:sz w:val="24"/>
          <w:szCs w:val="24"/>
        </w:rPr>
        <w:lastRenderedPageBreak/>
        <w:t>the reference to translators and the description of Saxon customs</w:t>
      </w:r>
      <w:r w:rsidR="00383F9A">
        <w:rPr>
          <w:rFonts w:ascii="Times New Roman" w:hAnsi="Times New Roman" w:cs="Times New Roman"/>
          <w:sz w:val="24"/>
          <w:szCs w:val="24"/>
        </w:rPr>
        <w:t>,</w:t>
      </w:r>
      <w:r w:rsidR="00383F9A" w:rsidRPr="00383F9A">
        <w:rPr>
          <w:rFonts w:ascii="Times New Roman" w:hAnsi="Times New Roman" w:cs="Times New Roman"/>
          <w:sz w:val="24"/>
          <w:szCs w:val="24"/>
        </w:rPr>
        <w:t xml:space="preserve"> which lend the scene a genuineness that suggests to the audience that it is historically accurate</w:t>
      </w:r>
      <w:r w:rsidR="00E3623D">
        <w:rPr>
          <w:rFonts w:ascii="Times New Roman" w:hAnsi="Times New Roman" w:cs="Times New Roman"/>
          <w:sz w:val="24"/>
          <w:szCs w:val="24"/>
        </w:rPr>
        <w:t>.</w:t>
      </w:r>
      <w:r w:rsidR="00A63BDB">
        <w:rPr>
          <w:rStyle w:val="FootnoteReference"/>
          <w:rFonts w:ascii="Times New Roman" w:hAnsi="Times New Roman" w:cs="Times New Roman"/>
          <w:sz w:val="24"/>
          <w:szCs w:val="24"/>
        </w:rPr>
        <w:footnoteReference w:id="29"/>
      </w:r>
    </w:p>
    <w:p w:rsidR="00E3623D" w:rsidRDefault="00E3623D" w:rsidP="007E2138">
      <w:pPr>
        <w:spacing w:line="480" w:lineRule="auto"/>
        <w:rPr>
          <w:rFonts w:ascii="Times New Roman" w:hAnsi="Times New Roman" w:cs="Times New Roman"/>
          <w:sz w:val="24"/>
          <w:szCs w:val="24"/>
        </w:rPr>
      </w:pPr>
      <w:r>
        <w:rPr>
          <w:rFonts w:ascii="Times New Roman" w:hAnsi="Times New Roman" w:cs="Times New Roman"/>
          <w:sz w:val="24"/>
          <w:szCs w:val="24"/>
        </w:rPr>
        <w:t>There is also significance to the fact that Geoffrey was writing in Latin. Latin after all was considered the language of authority, thereby lending a legitimacy to any work written in it.</w:t>
      </w:r>
      <w:r w:rsidR="00A63BDB">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Considering Geoffrey presented himself as an academic historian</w:t>
      </w:r>
      <w:r w:rsidR="003D5B54">
        <w:rPr>
          <w:rFonts w:ascii="Times New Roman" w:hAnsi="Times New Roman" w:cs="Times New Roman"/>
          <w:sz w:val="24"/>
          <w:szCs w:val="24"/>
        </w:rPr>
        <w:t xml:space="preserve"> rather than an author of fiction, it seems fair to assume that this was his intention.</w:t>
      </w:r>
      <w:r>
        <w:rPr>
          <w:rFonts w:ascii="Times New Roman" w:hAnsi="Times New Roman" w:cs="Times New Roman"/>
          <w:sz w:val="24"/>
          <w:szCs w:val="24"/>
        </w:rPr>
        <w:t xml:space="preserve"> </w:t>
      </w:r>
      <w:r w:rsidR="00161146">
        <w:rPr>
          <w:rFonts w:ascii="Times New Roman" w:hAnsi="Times New Roman" w:cs="Times New Roman"/>
          <w:sz w:val="24"/>
          <w:szCs w:val="24"/>
        </w:rPr>
        <w:t>This may also be part of the decision to include prophecy as a significant part of the Historia, for just as Latin was the language of authority, the ambiguity inherent in prophetic language</w:t>
      </w:r>
      <w:r w:rsidR="00511A49">
        <w:rPr>
          <w:rFonts w:ascii="Times New Roman" w:hAnsi="Times New Roman" w:cs="Times New Roman"/>
          <w:sz w:val="24"/>
          <w:szCs w:val="24"/>
        </w:rPr>
        <w:t xml:space="preserve"> was frequently taken as evidence of validity of the prophecy itself.</w:t>
      </w:r>
      <w:r w:rsidR="00423C1E">
        <w:rPr>
          <w:rFonts w:ascii="Times New Roman" w:hAnsi="Times New Roman" w:cs="Times New Roman"/>
          <w:sz w:val="24"/>
          <w:szCs w:val="24"/>
        </w:rPr>
        <w:t xml:space="preserve"> Echard argues that Geoffrey’s prophecies of Merlin were indeed genuinely believed by many medieval readers.</w:t>
      </w:r>
      <w:r w:rsidR="00A63BDB">
        <w:rPr>
          <w:rStyle w:val="FootnoteReference"/>
          <w:rFonts w:ascii="Times New Roman" w:hAnsi="Times New Roman" w:cs="Times New Roman"/>
          <w:sz w:val="24"/>
          <w:szCs w:val="24"/>
        </w:rPr>
        <w:footnoteReference w:id="31"/>
      </w:r>
    </w:p>
    <w:p w:rsidR="00423C1E" w:rsidRDefault="00E32301" w:rsidP="007E2138">
      <w:pPr>
        <w:spacing w:line="480" w:lineRule="auto"/>
        <w:rPr>
          <w:rFonts w:ascii="Times New Roman" w:hAnsi="Times New Roman" w:cs="Times New Roman"/>
          <w:sz w:val="24"/>
          <w:szCs w:val="24"/>
        </w:rPr>
      </w:pPr>
      <w:r>
        <w:rPr>
          <w:rFonts w:ascii="Times New Roman" w:hAnsi="Times New Roman" w:cs="Times New Roman"/>
          <w:sz w:val="24"/>
          <w:szCs w:val="24"/>
        </w:rPr>
        <w:t xml:space="preserve">Another argument despite this fact, is that the prophecies are ambiguous due to being part of a parody, with Brooke claiming that the Historia as a whole is actually a parody of other historical writing. The description of Arthur’s court at Caerleon for instance, Brooke claims is a spoof on the </w:t>
      </w:r>
      <w:r w:rsidR="007E4492">
        <w:rPr>
          <w:rFonts w:ascii="Times New Roman" w:hAnsi="Times New Roman" w:cs="Times New Roman"/>
          <w:sz w:val="24"/>
          <w:szCs w:val="24"/>
        </w:rPr>
        <w:t>arguments and debates over episcopal supremacy at the time of writing.</w:t>
      </w:r>
      <w:r w:rsidR="00A63BDB">
        <w:rPr>
          <w:rStyle w:val="FootnoteReference"/>
          <w:rFonts w:ascii="Times New Roman" w:hAnsi="Times New Roman" w:cs="Times New Roman"/>
          <w:sz w:val="24"/>
          <w:szCs w:val="24"/>
        </w:rPr>
        <w:footnoteReference w:id="32"/>
      </w:r>
      <w:r w:rsidR="00141B73">
        <w:rPr>
          <w:rFonts w:ascii="Times New Roman" w:hAnsi="Times New Roman" w:cs="Times New Roman"/>
          <w:sz w:val="24"/>
          <w:szCs w:val="24"/>
        </w:rPr>
        <w:t xml:space="preserve"> The parody interpretation is one of the three main interpretations that have previously been held as to the purpose of Geoffrey’s writing, the alternative two being that he </w:t>
      </w:r>
      <w:r w:rsidR="00141B73" w:rsidRPr="00141B73">
        <w:rPr>
          <w:rFonts w:ascii="Times New Roman" w:hAnsi="Times New Roman" w:cs="Times New Roman"/>
          <w:sz w:val="24"/>
          <w:szCs w:val="24"/>
        </w:rPr>
        <w:t>was writing to appeal to the Anglo-Norman elite in order to further his own career, or that he was writing more for the Bretons than the Welsh.</w:t>
      </w:r>
      <w:r w:rsidR="00A63BDB">
        <w:rPr>
          <w:rStyle w:val="FootnoteReference"/>
          <w:rFonts w:ascii="Times New Roman" w:hAnsi="Times New Roman" w:cs="Times New Roman"/>
          <w:sz w:val="24"/>
          <w:szCs w:val="24"/>
        </w:rPr>
        <w:footnoteReference w:id="33"/>
      </w:r>
    </w:p>
    <w:p w:rsidR="00E32301" w:rsidRDefault="00141B73" w:rsidP="007E2138">
      <w:pPr>
        <w:spacing w:line="480" w:lineRule="auto"/>
        <w:rPr>
          <w:rFonts w:ascii="Times New Roman" w:hAnsi="Times New Roman" w:cs="Times New Roman"/>
          <w:sz w:val="24"/>
          <w:szCs w:val="24"/>
        </w:rPr>
      </w:pPr>
      <w:r>
        <w:rPr>
          <w:rFonts w:ascii="Times New Roman" w:hAnsi="Times New Roman" w:cs="Times New Roman"/>
          <w:sz w:val="24"/>
          <w:szCs w:val="24"/>
        </w:rPr>
        <w:t>Crawford argues against the latter interpretation by claiming that there is linguistic evidence that suggests Geoffrey, while familiar with Welsh, was not so with Breton.</w:t>
      </w:r>
      <w:r w:rsidR="00A63BDB">
        <w:rPr>
          <w:rStyle w:val="FootnoteReference"/>
          <w:rFonts w:ascii="Times New Roman" w:hAnsi="Times New Roman" w:cs="Times New Roman"/>
          <w:sz w:val="24"/>
          <w:szCs w:val="24"/>
        </w:rPr>
        <w:footnoteReference w:id="34"/>
      </w:r>
      <w:r w:rsidR="00526510">
        <w:rPr>
          <w:rFonts w:ascii="Times New Roman" w:hAnsi="Times New Roman" w:cs="Times New Roman"/>
          <w:sz w:val="24"/>
          <w:szCs w:val="24"/>
        </w:rPr>
        <w:t xml:space="preserve"> </w:t>
      </w:r>
      <w:r w:rsidR="00531320">
        <w:rPr>
          <w:rFonts w:ascii="Times New Roman" w:hAnsi="Times New Roman" w:cs="Times New Roman"/>
          <w:sz w:val="24"/>
          <w:szCs w:val="24"/>
        </w:rPr>
        <w:t xml:space="preserve">Roberts </w:t>
      </w:r>
      <w:r w:rsidR="00531320">
        <w:rPr>
          <w:rFonts w:ascii="Times New Roman" w:hAnsi="Times New Roman" w:cs="Times New Roman"/>
          <w:sz w:val="24"/>
          <w:szCs w:val="24"/>
        </w:rPr>
        <w:lastRenderedPageBreak/>
        <w:t>describes Geoffrey as an outsider to British tradition</w:t>
      </w:r>
      <w:r w:rsidR="000148BE">
        <w:rPr>
          <w:rFonts w:ascii="Times New Roman" w:hAnsi="Times New Roman" w:cs="Times New Roman"/>
          <w:sz w:val="24"/>
          <w:szCs w:val="24"/>
        </w:rPr>
        <w:t>, for all that his attitude to British history suggests that it still held meaning for him.</w:t>
      </w:r>
      <w:r w:rsidR="00A63BDB">
        <w:rPr>
          <w:rStyle w:val="FootnoteReference"/>
          <w:rFonts w:ascii="Times New Roman" w:hAnsi="Times New Roman" w:cs="Times New Roman"/>
          <w:sz w:val="24"/>
          <w:szCs w:val="24"/>
        </w:rPr>
        <w:footnoteReference w:id="35"/>
      </w:r>
      <w:r w:rsidR="000148BE">
        <w:rPr>
          <w:rFonts w:ascii="Times New Roman" w:hAnsi="Times New Roman" w:cs="Times New Roman"/>
          <w:sz w:val="24"/>
          <w:szCs w:val="24"/>
        </w:rPr>
        <w:t xml:space="preserve"> In any case, the fact that Geoffrey expanded his work to consider cultures other than the English sets him apart from </w:t>
      </w:r>
      <w:r w:rsidR="00B505E6">
        <w:rPr>
          <w:rFonts w:ascii="Times New Roman" w:hAnsi="Times New Roman" w:cs="Times New Roman"/>
          <w:sz w:val="24"/>
          <w:szCs w:val="24"/>
        </w:rPr>
        <w:t>his contemporaries such as Bede, as does the structure of his work.</w:t>
      </w:r>
      <w:r w:rsidR="008874B6">
        <w:rPr>
          <w:rStyle w:val="FootnoteReference"/>
          <w:rFonts w:ascii="Times New Roman" w:hAnsi="Times New Roman" w:cs="Times New Roman"/>
          <w:sz w:val="24"/>
          <w:szCs w:val="24"/>
        </w:rPr>
        <w:footnoteReference w:id="36"/>
      </w:r>
      <w:r w:rsidR="00B505E6">
        <w:rPr>
          <w:rFonts w:ascii="Times New Roman" w:hAnsi="Times New Roman" w:cs="Times New Roman"/>
          <w:sz w:val="24"/>
          <w:szCs w:val="24"/>
        </w:rPr>
        <w:t xml:space="preserve"> Far from the dry listing of events in the Annales Cambriae, or the strictly formulaic nature of </w:t>
      </w:r>
      <w:r w:rsidR="0046767D">
        <w:rPr>
          <w:rFonts w:ascii="Times New Roman" w:hAnsi="Times New Roman" w:cs="Times New Roman"/>
          <w:sz w:val="24"/>
          <w:szCs w:val="24"/>
        </w:rPr>
        <w:t>Gildas and the Historia Brittonum, Geoffrey peppers his work with carefully chosen anecdotes that resonate beyond their initial context. He maintains careful control of the momentum of the narrative, the radical disruption of Merlin’s prophecies for instance which has no match among other tw</w:t>
      </w:r>
      <w:r w:rsidR="00627699">
        <w:rPr>
          <w:rFonts w:ascii="Times New Roman" w:hAnsi="Times New Roman" w:cs="Times New Roman"/>
          <w:sz w:val="24"/>
          <w:szCs w:val="24"/>
        </w:rPr>
        <w:t>elfth century historical works; helps to emphasise the significance of the passages that immediately follow as well as increase the tension, for their ambiguous yet ominous presence remains with the reader as they continue through the narrative.</w:t>
      </w:r>
      <w:r w:rsidR="008874B6">
        <w:rPr>
          <w:rStyle w:val="FootnoteReference"/>
          <w:rFonts w:ascii="Times New Roman" w:hAnsi="Times New Roman" w:cs="Times New Roman"/>
          <w:sz w:val="24"/>
          <w:szCs w:val="24"/>
        </w:rPr>
        <w:footnoteReference w:id="37"/>
      </w:r>
    </w:p>
    <w:p w:rsidR="00C239DC" w:rsidRDefault="00146925" w:rsidP="007E2138">
      <w:pPr>
        <w:spacing w:line="480" w:lineRule="auto"/>
        <w:rPr>
          <w:rFonts w:ascii="Times New Roman" w:hAnsi="Times New Roman" w:cs="Times New Roman"/>
          <w:sz w:val="24"/>
          <w:szCs w:val="24"/>
        </w:rPr>
      </w:pPr>
      <w:r>
        <w:rPr>
          <w:rFonts w:ascii="Times New Roman" w:hAnsi="Times New Roman" w:cs="Times New Roman"/>
          <w:sz w:val="24"/>
          <w:szCs w:val="24"/>
        </w:rPr>
        <w:t>Furthermore while the</w:t>
      </w:r>
      <w:r w:rsidR="00C239DC">
        <w:rPr>
          <w:rFonts w:ascii="Times New Roman" w:hAnsi="Times New Roman" w:cs="Times New Roman"/>
          <w:sz w:val="24"/>
          <w:szCs w:val="24"/>
        </w:rPr>
        <w:t xml:space="preserve"> Historia</w:t>
      </w:r>
      <w:r>
        <w:rPr>
          <w:rFonts w:ascii="Times New Roman" w:hAnsi="Times New Roman" w:cs="Times New Roman"/>
          <w:sz w:val="24"/>
          <w:szCs w:val="24"/>
        </w:rPr>
        <w:t xml:space="preserve"> Regum Brittaniae</w:t>
      </w:r>
      <w:r w:rsidR="00C239DC">
        <w:rPr>
          <w:rFonts w:ascii="Times New Roman" w:hAnsi="Times New Roman" w:cs="Times New Roman"/>
          <w:sz w:val="24"/>
          <w:szCs w:val="24"/>
        </w:rPr>
        <w:t xml:space="preserve"> </w:t>
      </w:r>
      <w:r>
        <w:rPr>
          <w:rFonts w:ascii="Times New Roman" w:hAnsi="Times New Roman" w:cs="Times New Roman"/>
          <w:sz w:val="24"/>
          <w:szCs w:val="24"/>
        </w:rPr>
        <w:t>by no means stands alone as an example of synthetic history, the Historia Brittonum too includes historical writing projected back into the legendary past, Geoffrey’s inclusion of court writing and the creativity and individuality that is so prominent in his Arthurian chapter give his work an epic, semi-mythical quality that is not found in other works of the period.</w:t>
      </w:r>
      <w:r w:rsidR="008874B6">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The detailed description given to Arthur’s armour and weapons for instance is a convention common to romantic and epic narratives such as Culhwch and Olwen</w:t>
      </w:r>
      <w:r w:rsidR="0018638A">
        <w:rPr>
          <w:rFonts w:ascii="Times New Roman" w:hAnsi="Times New Roman" w:cs="Times New Roman"/>
          <w:sz w:val="24"/>
          <w:szCs w:val="24"/>
        </w:rPr>
        <w:t>,</w:t>
      </w:r>
      <w:r>
        <w:rPr>
          <w:rFonts w:ascii="Times New Roman" w:hAnsi="Times New Roman" w:cs="Times New Roman"/>
          <w:sz w:val="24"/>
          <w:szCs w:val="24"/>
        </w:rPr>
        <w:t xml:space="preserve"> and Beowulf.</w:t>
      </w:r>
      <w:r w:rsidR="008874B6">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w:t>
      </w:r>
    </w:p>
    <w:p w:rsidR="0078750D" w:rsidRDefault="0078750D" w:rsidP="007E2138">
      <w:pPr>
        <w:spacing w:line="480" w:lineRule="auto"/>
        <w:rPr>
          <w:rFonts w:ascii="Times New Roman" w:hAnsi="Times New Roman" w:cs="Times New Roman"/>
          <w:sz w:val="24"/>
          <w:szCs w:val="24"/>
        </w:rPr>
      </w:pPr>
      <w:r>
        <w:rPr>
          <w:rFonts w:ascii="Times New Roman" w:hAnsi="Times New Roman" w:cs="Times New Roman"/>
          <w:sz w:val="24"/>
          <w:szCs w:val="24"/>
        </w:rPr>
        <w:t>One of the most revolutionary elements of Geoffrey’s Historia is his decision to break away from what Echard describes as ‘the traditional message of history’</w:t>
      </w:r>
      <w:r w:rsidR="00B25D12">
        <w:rPr>
          <w:rFonts w:ascii="Times New Roman" w:hAnsi="Times New Roman" w:cs="Times New Roman"/>
          <w:sz w:val="24"/>
          <w:szCs w:val="24"/>
        </w:rPr>
        <w:t xml:space="preserve">, generally manifesting as </w:t>
      </w:r>
      <w:r w:rsidR="00B25D12">
        <w:rPr>
          <w:rFonts w:ascii="Times New Roman" w:hAnsi="Times New Roman" w:cs="Times New Roman"/>
          <w:sz w:val="24"/>
          <w:szCs w:val="24"/>
        </w:rPr>
        <w:lastRenderedPageBreak/>
        <w:t>religious didacticism or morality.</w:t>
      </w:r>
      <w:r w:rsidR="008874B6">
        <w:rPr>
          <w:rStyle w:val="FootnoteReference"/>
          <w:rFonts w:ascii="Times New Roman" w:hAnsi="Times New Roman" w:cs="Times New Roman"/>
          <w:sz w:val="24"/>
          <w:szCs w:val="24"/>
        </w:rPr>
        <w:footnoteReference w:id="40"/>
      </w:r>
      <w:r w:rsidR="00B25D12">
        <w:rPr>
          <w:rFonts w:ascii="Times New Roman" w:hAnsi="Times New Roman" w:cs="Times New Roman"/>
          <w:sz w:val="24"/>
          <w:szCs w:val="24"/>
        </w:rPr>
        <w:t xml:space="preserve"> Religious morality </w:t>
      </w:r>
      <w:r w:rsidR="00951D6F">
        <w:rPr>
          <w:rFonts w:ascii="Times New Roman" w:hAnsi="Times New Roman" w:cs="Times New Roman"/>
          <w:sz w:val="24"/>
          <w:szCs w:val="24"/>
        </w:rPr>
        <w:t xml:space="preserve">and divine judgement </w:t>
      </w:r>
      <w:r w:rsidR="00B25D12">
        <w:rPr>
          <w:rFonts w:ascii="Times New Roman" w:hAnsi="Times New Roman" w:cs="Times New Roman"/>
          <w:sz w:val="24"/>
          <w:szCs w:val="24"/>
        </w:rPr>
        <w:t>was in fact so important that it overshadowed the importance of truth in historical writing, with John of Salisbury arguing that truth was less about reality</w:t>
      </w:r>
      <w:r w:rsidR="00951D6F">
        <w:rPr>
          <w:rFonts w:ascii="Times New Roman" w:hAnsi="Times New Roman" w:cs="Times New Roman"/>
          <w:sz w:val="24"/>
          <w:szCs w:val="24"/>
        </w:rPr>
        <w:t xml:space="preserve"> and more about the ‘moral utility’ of a thing.</w:t>
      </w:r>
      <w:r w:rsidR="008874B6">
        <w:rPr>
          <w:rStyle w:val="FootnoteReference"/>
          <w:rFonts w:ascii="Times New Roman" w:hAnsi="Times New Roman" w:cs="Times New Roman"/>
          <w:sz w:val="24"/>
          <w:szCs w:val="24"/>
        </w:rPr>
        <w:footnoteReference w:id="41"/>
      </w:r>
      <w:r w:rsidR="00951D6F">
        <w:rPr>
          <w:rFonts w:ascii="Times New Roman" w:hAnsi="Times New Roman" w:cs="Times New Roman"/>
          <w:sz w:val="24"/>
          <w:szCs w:val="24"/>
        </w:rPr>
        <w:t xml:space="preserve"> We can witness this in Gildas, who claims that the Saxons were a product of divine providence, sent by God to punish the Britons for their lack of Christian faith.</w:t>
      </w:r>
      <w:r w:rsidR="008874B6">
        <w:rPr>
          <w:rStyle w:val="FootnoteReference"/>
          <w:rFonts w:ascii="Times New Roman" w:hAnsi="Times New Roman" w:cs="Times New Roman"/>
          <w:sz w:val="24"/>
          <w:szCs w:val="24"/>
        </w:rPr>
        <w:footnoteReference w:id="42"/>
      </w:r>
      <w:r w:rsidR="00951D6F">
        <w:rPr>
          <w:rFonts w:ascii="Times New Roman" w:hAnsi="Times New Roman" w:cs="Times New Roman"/>
          <w:sz w:val="24"/>
          <w:szCs w:val="24"/>
        </w:rPr>
        <w:t xml:space="preserve"> </w:t>
      </w:r>
      <w:r w:rsidR="005C61E3">
        <w:rPr>
          <w:rFonts w:ascii="Times New Roman" w:hAnsi="Times New Roman" w:cs="Times New Roman"/>
          <w:sz w:val="24"/>
          <w:szCs w:val="24"/>
        </w:rPr>
        <w:t>It a</w:t>
      </w:r>
      <w:r w:rsidR="00951D6F">
        <w:rPr>
          <w:rFonts w:ascii="Times New Roman" w:hAnsi="Times New Roman" w:cs="Times New Roman"/>
          <w:sz w:val="24"/>
          <w:szCs w:val="24"/>
        </w:rPr>
        <w:t>lso</w:t>
      </w:r>
      <w:r w:rsidR="005C61E3">
        <w:rPr>
          <w:rFonts w:ascii="Times New Roman" w:hAnsi="Times New Roman" w:cs="Times New Roman"/>
          <w:sz w:val="24"/>
          <w:szCs w:val="24"/>
        </w:rPr>
        <w:t xml:space="preserve"> appears</w:t>
      </w:r>
      <w:r w:rsidR="00951D6F">
        <w:rPr>
          <w:rFonts w:ascii="Times New Roman" w:hAnsi="Times New Roman" w:cs="Times New Roman"/>
          <w:sz w:val="24"/>
          <w:szCs w:val="24"/>
        </w:rPr>
        <w:t xml:space="preserve"> in the Historia Brittonum</w:t>
      </w:r>
      <w:r w:rsidR="005C61E3">
        <w:rPr>
          <w:rFonts w:ascii="Times New Roman" w:hAnsi="Times New Roman" w:cs="Times New Roman"/>
          <w:sz w:val="24"/>
          <w:szCs w:val="24"/>
        </w:rPr>
        <w:t>,</w:t>
      </w:r>
      <w:r w:rsidR="00951D6F">
        <w:rPr>
          <w:rFonts w:ascii="Times New Roman" w:hAnsi="Times New Roman" w:cs="Times New Roman"/>
          <w:sz w:val="24"/>
          <w:szCs w:val="24"/>
        </w:rPr>
        <w:t xml:space="preserve"> which Charles-Edwards describes has divine providence as its principal concern rather than human heroism in war.</w:t>
      </w:r>
      <w:r w:rsidR="008874B6">
        <w:rPr>
          <w:rStyle w:val="FootnoteReference"/>
          <w:rFonts w:ascii="Times New Roman" w:hAnsi="Times New Roman" w:cs="Times New Roman"/>
          <w:sz w:val="24"/>
          <w:szCs w:val="24"/>
        </w:rPr>
        <w:footnoteReference w:id="43"/>
      </w:r>
    </w:p>
    <w:p w:rsidR="00951D6F" w:rsidRDefault="00951D6F" w:rsidP="007E2138">
      <w:pPr>
        <w:spacing w:line="480" w:lineRule="auto"/>
        <w:rPr>
          <w:rFonts w:ascii="Times New Roman" w:hAnsi="Times New Roman" w:cs="Times New Roman"/>
          <w:sz w:val="24"/>
          <w:szCs w:val="24"/>
        </w:rPr>
      </w:pPr>
      <w:r>
        <w:rPr>
          <w:rFonts w:ascii="Times New Roman" w:hAnsi="Times New Roman" w:cs="Times New Roman"/>
          <w:sz w:val="24"/>
          <w:szCs w:val="24"/>
        </w:rPr>
        <w:t xml:space="preserve">Geoffrey, being a man of the church, we would expect to </w:t>
      </w:r>
      <w:r w:rsidR="00E766C9">
        <w:rPr>
          <w:rFonts w:ascii="Times New Roman" w:hAnsi="Times New Roman" w:cs="Times New Roman"/>
          <w:sz w:val="24"/>
          <w:szCs w:val="24"/>
        </w:rPr>
        <w:t xml:space="preserve">be no different but in fact his Historia gives the idea of a divine plan guiding the events of history barely more than a mention or two. There are points in the narrative which imply that Geoffrey may even </w:t>
      </w:r>
      <w:r w:rsidR="00E766C9">
        <w:rPr>
          <w:rFonts w:ascii="Times New Roman" w:hAnsi="Times New Roman" w:cs="Times New Roman"/>
          <w:i/>
          <w:sz w:val="24"/>
          <w:szCs w:val="24"/>
        </w:rPr>
        <w:t xml:space="preserve">doubt </w:t>
      </w:r>
      <w:r w:rsidR="00E766C9">
        <w:rPr>
          <w:rFonts w:ascii="Times New Roman" w:hAnsi="Times New Roman" w:cs="Times New Roman"/>
          <w:sz w:val="24"/>
          <w:szCs w:val="24"/>
        </w:rPr>
        <w:t xml:space="preserve">this assumption, foregoing the optimistic twelfth century approach to human nature and destiny that fit so well with Christian teachings in favour of the more pessimistic humanist approach </w:t>
      </w:r>
      <w:r w:rsidR="003A1530">
        <w:rPr>
          <w:rFonts w:ascii="Times New Roman" w:hAnsi="Times New Roman" w:cs="Times New Roman"/>
          <w:sz w:val="24"/>
          <w:szCs w:val="24"/>
        </w:rPr>
        <w:t>like that of John of Salisbury and Peter of Blois, who each viewed the court as a place of corruption.</w:t>
      </w:r>
      <w:r w:rsidR="008874B6">
        <w:rPr>
          <w:rStyle w:val="FootnoteReference"/>
          <w:rFonts w:ascii="Times New Roman" w:hAnsi="Times New Roman" w:cs="Times New Roman"/>
          <w:sz w:val="24"/>
          <w:szCs w:val="24"/>
        </w:rPr>
        <w:footnoteReference w:id="44"/>
      </w:r>
      <w:r w:rsidR="008E5463">
        <w:rPr>
          <w:rFonts w:ascii="Times New Roman" w:hAnsi="Times New Roman" w:cs="Times New Roman"/>
          <w:sz w:val="24"/>
          <w:szCs w:val="24"/>
        </w:rPr>
        <w:t xml:space="preserve"> This pessimism can be seen in Geoffrey’s prophecies of Merlin which </w:t>
      </w:r>
      <w:r w:rsidR="008E5463" w:rsidRPr="008E5463">
        <w:rPr>
          <w:rFonts w:ascii="Times New Roman" w:hAnsi="Times New Roman" w:cs="Times New Roman"/>
          <w:sz w:val="24"/>
          <w:szCs w:val="24"/>
        </w:rPr>
        <w:t xml:space="preserve">expound a hopelessness </w:t>
      </w:r>
      <w:r w:rsidR="008E5463">
        <w:rPr>
          <w:rFonts w:ascii="Times New Roman" w:hAnsi="Times New Roman" w:cs="Times New Roman"/>
          <w:sz w:val="24"/>
          <w:szCs w:val="24"/>
        </w:rPr>
        <w:t xml:space="preserve">at mankind’s inability to understand or learn, </w:t>
      </w:r>
      <w:r w:rsidR="008E5463" w:rsidRPr="008E5463">
        <w:rPr>
          <w:rFonts w:ascii="Times New Roman" w:hAnsi="Times New Roman" w:cs="Times New Roman"/>
          <w:sz w:val="24"/>
          <w:szCs w:val="24"/>
        </w:rPr>
        <w:t>that means history cann</w:t>
      </w:r>
      <w:r w:rsidR="008E5463">
        <w:rPr>
          <w:rFonts w:ascii="Times New Roman" w:hAnsi="Times New Roman" w:cs="Times New Roman"/>
          <w:sz w:val="24"/>
          <w:szCs w:val="24"/>
        </w:rPr>
        <w:t>ot serve its medieval functions; namely to teach good behaviour and illustrate God’s plan.</w:t>
      </w:r>
      <w:r w:rsidR="008874B6">
        <w:rPr>
          <w:rStyle w:val="FootnoteReference"/>
          <w:rFonts w:ascii="Times New Roman" w:hAnsi="Times New Roman" w:cs="Times New Roman"/>
          <w:sz w:val="24"/>
          <w:szCs w:val="24"/>
        </w:rPr>
        <w:footnoteReference w:id="45"/>
      </w:r>
      <w:r w:rsidR="001C1B8D">
        <w:rPr>
          <w:rFonts w:ascii="Times New Roman" w:hAnsi="Times New Roman" w:cs="Times New Roman"/>
          <w:sz w:val="24"/>
          <w:szCs w:val="24"/>
        </w:rPr>
        <w:t xml:space="preserve"> </w:t>
      </w:r>
      <w:r w:rsidR="008E5463">
        <w:rPr>
          <w:rFonts w:ascii="Times New Roman" w:hAnsi="Times New Roman" w:cs="Times New Roman"/>
          <w:sz w:val="24"/>
          <w:szCs w:val="24"/>
        </w:rPr>
        <w:t xml:space="preserve">Hanning takes this </w:t>
      </w:r>
      <w:r w:rsidR="001C1B8D">
        <w:rPr>
          <w:rFonts w:ascii="Times New Roman" w:hAnsi="Times New Roman" w:cs="Times New Roman"/>
          <w:sz w:val="24"/>
          <w:szCs w:val="24"/>
        </w:rPr>
        <w:t xml:space="preserve">even </w:t>
      </w:r>
      <w:r w:rsidR="008E5463">
        <w:rPr>
          <w:rFonts w:ascii="Times New Roman" w:hAnsi="Times New Roman" w:cs="Times New Roman"/>
          <w:sz w:val="24"/>
          <w:szCs w:val="24"/>
        </w:rPr>
        <w:t>further by claiming that Geoffrey deliberately removed Christian elements from his writing in order to produce a narrative ‘in which men have power over history, but history also has power over men.’</w:t>
      </w:r>
      <w:r w:rsidR="008874B6">
        <w:rPr>
          <w:rStyle w:val="FootnoteReference"/>
          <w:rFonts w:ascii="Times New Roman" w:hAnsi="Times New Roman" w:cs="Times New Roman"/>
          <w:sz w:val="24"/>
          <w:szCs w:val="24"/>
        </w:rPr>
        <w:footnoteReference w:id="46"/>
      </w:r>
    </w:p>
    <w:p w:rsidR="005F352F" w:rsidRDefault="005F352F" w:rsidP="007E213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Another instance in which Geoffrey seems to go against Christian teachings is in the Vortigern passage. </w:t>
      </w:r>
      <w:r w:rsidRPr="005F352F">
        <w:rPr>
          <w:rFonts w:ascii="Times New Roman" w:hAnsi="Times New Roman" w:cs="Times New Roman"/>
          <w:sz w:val="24"/>
          <w:szCs w:val="24"/>
        </w:rPr>
        <w:t>Vortigern is the epitome of the bad king archetype and gets more description of his rule then any of the good kings in the Historia. He associates with the Picts who are ‘a notoriously untrustworthy and bloodthirsty people’ and whose rebellion prompts his collusion with Hengist and Horsa.</w:t>
      </w:r>
      <w:r w:rsidR="008874B6">
        <w:rPr>
          <w:rStyle w:val="FootnoteReference"/>
          <w:rFonts w:ascii="Times New Roman" w:hAnsi="Times New Roman" w:cs="Times New Roman"/>
          <w:sz w:val="24"/>
          <w:szCs w:val="24"/>
        </w:rPr>
        <w:footnoteReference w:id="47"/>
      </w:r>
      <w:r w:rsidRPr="005F352F">
        <w:rPr>
          <w:rFonts w:ascii="Times New Roman" w:hAnsi="Times New Roman" w:cs="Times New Roman"/>
          <w:sz w:val="24"/>
          <w:szCs w:val="24"/>
        </w:rPr>
        <w:t xml:space="preserve"> He also a</w:t>
      </w:r>
      <w:r>
        <w:rPr>
          <w:rFonts w:ascii="Times New Roman" w:hAnsi="Times New Roman" w:cs="Times New Roman"/>
          <w:sz w:val="24"/>
          <w:szCs w:val="24"/>
        </w:rPr>
        <w:t>ssociates with the pagan Saxons and it is during his dealings with the Saxons that Vortigern says ‘</w:t>
      </w:r>
      <w:r w:rsidRPr="005F352F">
        <w:rPr>
          <w:rFonts w:ascii="Times New Roman" w:hAnsi="Times New Roman" w:cs="Times New Roman"/>
          <w:sz w:val="24"/>
          <w:szCs w:val="24"/>
        </w:rPr>
        <w:t>I grieve greatly about your belief, which I rather call unbelief, but I rejoice in your arrival, since either God or someone else has provided you in my need at a most opportune time.’</w:t>
      </w:r>
      <w:r w:rsidR="008874B6">
        <w:rPr>
          <w:rStyle w:val="FootnoteReference"/>
          <w:rFonts w:ascii="Times New Roman" w:hAnsi="Times New Roman" w:cs="Times New Roman"/>
          <w:sz w:val="24"/>
          <w:szCs w:val="24"/>
        </w:rPr>
        <w:footnoteReference w:id="48"/>
      </w:r>
      <w:r w:rsidRPr="005F352F">
        <w:rPr>
          <w:rFonts w:ascii="Times New Roman" w:hAnsi="Times New Roman" w:cs="Times New Roman"/>
          <w:sz w:val="24"/>
          <w:szCs w:val="24"/>
        </w:rPr>
        <w:t xml:space="preserve"> This shows Vortigern to be a bad Christian but more significantly it has serious implications for the Christian nature of the Historia as a whole. It implies that God may either not be able to control malignant fates</w:t>
      </w:r>
      <w:r>
        <w:rPr>
          <w:rFonts w:ascii="Times New Roman" w:hAnsi="Times New Roman" w:cs="Times New Roman"/>
          <w:sz w:val="24"/>
          <w:szCs w:val="24"/>
        </w:rPr>
        <w:t xml:space="preserve">, or that these fates are an </w:t>
      </w:r>
      <w:r w:rsidRPr="005F352F">
        <w:rPr>
          <w:rFonts w:ascii="Times New Roman" w:hAnsi="Times New Roman" w:cs="Times New Roman"/>
          <w:sz w:val="24"/>
          <w:szCs w:val="24"/>
        </w:rPr>
        <w:t xml:space="preserve">expression of </w:t>
      </w:r>
      <w:r>
        <w:rPr>
          <w:rFonts w:ascii="Times New Roman" w:hAnsi="Times New Roman" w:cs="Times New Roman"/>
          <w:sz w:val="24"/>
          <w:szCs w:val="24"/>
        </w:rPr>
        <w:t>God’s inconsistent and malignant will</w:t>
      </w:r>
      <w:r w:rsidRPr="005F352F">
        <w:rPr>
          <w:rFonts w:ascii="Times New Roman" w:hAnsi="Times New Roman" w:cs="Times New Roman"/>
          <w:sz w:val="24"/>
          <w:szCs w:val="24"/>
        </w:rPr>
        <w:t>.</w:t>
      </w:r>
      <w:r w:rsidR="008874B6">
        <w:rPr>
          <w:rStyle w:val="FootnoteReference"/>
          <w:rFonts w:ascii="Times New Roman" w:hAnsi="Times New Roman" w:cs="Times New Roman"/>
          <w:sz w:val="24"/>
          <w:szCs w:val="24"/>
        </w:rPr>
        <w:footnoteReference w:id="49"/>
      </w:r>
      <w:r w:rsidRPr="005F352F">
        <w:rPr>
          <w:rFonts w:ascii="Times New Roman" w:hAnsi="Times New Roman" w:cs="Times New Roman"/>
          <w:sz w:val="24"/>
          <w:szCs w:val="24"/>
        </w:rPr>
        <w:t xml:space="preserve"> The latter suggests a fallibility that goes against the teaching of</w:t>
      </w:r>
      <w:r>
        <w:rPr>
          <w:rFonts w:ascii="Times New Roman" w:hAnsi="Times New Roman" w:cs="Times New Roman"/>
          <w:sz w:val="24"/>
          <w:szCs w:val="24"/>
        </w:rPr>
        <w:t xml:space="preserve"> God as an all-powerful, benevolent and</w:t>
      </w:r>
      <w:r w:rsidRPr="005F352F">
        <w:rPr>
          <w:rFonts w:ascii="Times New Roman" w:hAnsi="Times New Roman" w:cs="Times New Roman"/>
          <w:sz w:val="24"/>
          <w:szCs w:val="24"/>
        </w:rPr>
        <w:t xml:space="preserve"> loving being</w:t>
      </w:r>
      <w:r>
        <w:rPr>
          <w:rFonts w:ascii="Times New Roman" w:hAnsi="Times New Roman" w:cs="Times New Roman"/>
          <w:sz w:val="24"/>
          <w:szCs w:val="24"/>
        </w:rPr>
        <w:t>.</w:t>
      </w:r>
    </w:p>
    <w:p w:rsidR="004A397C" w:rsidRDefault="004A397C" w:rsidP="007E2138">
      <w:pPr>
        <w:spacing w:line="480" w:lineRule="auto"/>
        <w:rPr>
          <w:rFonts w:ascii="Times New Roman" w:hAnsi="Times New Roman" w:cs="Times New Roman"/>
          <w:sz w:val="24"/>
          <w:szCs w:val="24"/>
        </w:rPr>
      </w:pPr>
      <w:r>
        <w:rPr>
          <w:rFonts w:ascii="Times New Roman" w:hAnsi="Times New Roman" w:cs="Times New Roman"/>
          <w:sz w:val="24"/>
          <w:szCs w:val="24"/>
        </w:rPr>
        <w:t>Such a radical suggestion would no doubt be met with serious ramifications which Echard suggests may go some way to explaining Geoffrey’s fictional ‘very ancient book’</w:t>
      </w:r>
      <w:r w:rsidR="003A5D8E">
        <w:rPr>
          <w:rFonts w:ascii="Times New Roman" w:hAnsi="Times New Roman" w:cs="Times New Roman"/>
          <w:sz w:val="24"/>
          <w:szCs w:val="24"/>
        </w:rPr>
        <w:t>. By presenting himself as a mere translator, Geoffrey cleverly distances himself from any potentially negative reactions to the ideas contained within the narrative, and excuses himself of the blame for the unhappy ending for instance.</w:t>
      </w:r>
      <w:r w:rsidR="008874B6">
        <w:rPr>
          <w:rStyle w:val="FootnoteReference"/>
          <w:rFonts w:ascii="Times New Roman" w:hAnsi="Times New Roman" w:cs="Times New Roman"/>
          <w:sz w:val="24"/>
          <w:szCs w:val="24"/>
        </w:rPr>
        <w:footnoteReference w:id="50"/>
      </w:r>
    </w:p>
    <w:p w:rsidR="00095007" w:rsidRDefault="009B3BD9" w:rsidP="007E2138">
      <w:pPr>
        <w:spacing w:line="480" w:lineRule="auto"/>
        <w:rPr>
          <w:rFonts w:ascii="Times New Roman" w:hAnsi="Times New Roman" w:cs="Times New Roman"/>
          <w:sz w:val="24"/>
          <w:szCs w:val="24"/>
        </w:rPr>
      </w:pPr>
      <w:r>
        <w:rPr>
          <w:rFonts w:ascii="Times New Roman" w:hAnsi="Times New Roman" w:cs="Times New Roman"/>
          <w:sz w:val="24"/>
          <w:szCs w:val="24"/>
        </w:rPr>
        <w:t>Geoffrey’s ending is not without hope however. Arthur’s end is left ambiguous in an example of what Padel describes as a typical instance of Geoffrey having his cake and eating it too.</w:t>
      </w:r>
      <w:r w:rsidR="008874B6">
        <w:rPr>
          <w:rStyle w:val="FootnoteReference"/>
          <w:rFonts w:ascii="Times New Roman" w:hAnsi="Times New Roman" w:cs="Times New Roman"/>
          <w:sz w:val="24"/>
          <w:szCs w:val="24"/>
        </w:rPr>
        <w:footnoteReference w:id="51"/>
      </w:r>
      <w:r>
        <w:rPr>
          <w:rFonts w:ascii="Times New Roman" w:hAnsi="Times New Roman" w:cs="Times New Roman"/>
          <w:sz w:val="24"/>
          <w:szCs w:val="24"/>
        </w:rPr>
        <w:t xml:space="preserve"> Arthur is described as mortally wounded in accordance with the sober Norman perspective, </w:t>
      </w:r>
      <w:r w:rsidRPr="009B3BD9">
        <w:rPr>
          <w:rFonts w:ascii="Times New Roman" w:hAnsi="Times New Roman" w:cs="Times New Roman"/>
          <w:sz w:val="24"/>
          <w:szCs w:val="24"/>
        </w:rPr>
        <w:t>but by adding the caveat of Arthur being removed to Avalon to hav</w:t>
      </w:r>
      <w:r w:rsidR="00585844">
        <w:rPr>
          <w:rFonts w:ascii="Times New Roman" w:hAnsi="Times New Roman" w:cs="Times New Roman"/>
          <w:sz w:val="24"/>
          <w:szCs w:val="24"/>
        </w:rPr>
        <w:t xml:space="preserve">e his wounds healed, </w:t>
      </w:r>
      <w:r w:rsidR="00585844">
        <w:rPr>
          <w:rFonts w:ascii="Times New Roman" w:hAnsi="Times New Roman" w:cs="Times New Roman"/>
          <w:sz w:val="24"/>
          <w:szCs w:val="24"/>
        </w:rPr>
        <w:lastRenderedPageBreak/>
        <w:t>Geoffrey can be seen to b</w:t>
      </w:r>
      <w:r w:rsidR="00821CE6">
        <w:rPr>
          <w:rFonts w:ascii="Times New Roman" w:hAnsi="Times New Roman" w:cs="Times New Roman"/>
          <w:sz w:val="24"/>
          <w:szCs w:val="24"/>
        </w:rPr>
        <w:t>e catering to those</w:t>
      </w:r>
      <w:r w:rsidR="00585844">
        <w:rPr>
          <w:rFonts w:ascii="Times New Roman" w:hAnsi="Times New Roman" w:cs="Times New Roman"/>
          <w:sz w:val="24"/>
          <w:szCs w:val="24"/>
        </w:rPr>
        <w:t xml:space="preserve"> inclined to take the more romantic, Celtic legendary view. At the end of the Historia entire, Geoffrey </w:t>
      </w:r>
      <w:r w:rsidR="00585844" w:rsidRPr="00585844">
        <w:rPr>
          <w:rFonts w:ascii="Times New Roman" w:hAnsi="Times New Roman" w:cs="Times New Roman"/>
          <w:sz w:val="24"/>
          <w:szCs w:val="24"/>
        </w:rPr>
        <w:t>has an angel announce to the last king of Britain</w:t>
      </w:r>
      <w:r w:rsidR="00585844">
        <w:rPr>
          <w:rFonts w:ascii="Times New Roman" w:hAnsi="Times New Roman" w:cs="Times New Roman"/>
          <w:sz w:val="24"/>
          <w:szCs w:val="24"/>
        </w:rPr>
        <w:t>,</w:t>
      </w:r>
      <w:r w:rsidR="00585844" w:rsidRPr="00585844">
        <w:rPr>
          <w:rFonts w:ascii="Times New Roman" w:hAnsi="Times New Roman" w:cs="Times New Roman"/>
          <w:sz w:val="24"/>
          <w:szCs w:val="24"/>
        </w:rPr>
        <w:t xml:space="preserve"> Cadwaladr that ‘</w:t>
      </w:r>
      <w:r w:rsidR="008F0B3D">
        <w:rPr>
          <w:rFonts w:ascii="Times New Roman" w:hAnsi="Times New Roman" w:cs="Times New Roman"/>
          <w:sz w:val="24"/>
          <w:szCs w:val="24"/>
        </w:rPr>
        <w:t xml:space="preserve">God was not willing </w:t>
      </w:r>
      <w:r w:rsidR="009C117E">
        <w:rPr>
          <w:rFonts w:ascii="Times New Roman" w:hAnsi="Times New Roman" w:cs="Times New Roman"/>
          <w:sz w:val="24"/>
          <w:szCs w:val="24"/>
        </w:rPr>
        <w:t>that the Britons should reign any longer in the island, before the time came of which Merlin prophetically foretold Arthur.</w:t>
      </w:r>
      <w:r w:rsidR="00585844" w:rsidRPr="00585844">
        <w:rPr>
          <w:rFonts w:ascii="Times New Roman" w:hAnsi="Times New Roman" w:cs="Times New Roman"/>
          <w:sz w:val="24"/>
          <w:szCs w:val="24"/>
        </w:rPr>
        <w:t>’</w:t>
      </w:r>
      <w:r w:rsidR="008874B6">
        <w:rPr>
          <w:rStyle w:val="FootnoteReference"/>
          <w:rFonts w:ascii="Times New Roman" w:hAnsi="Times New Roman" w:cs="Times New Roman"/>
          <w:sz w:val="24"/>
          <w:szCs w:val="24"/>
        </w:rPr>
        <w:footnoteReference w:id="52"/>
      </w:r>
      <w:r w:rsidR="00585844" w:rsidRPr="00585844">
        <w:rPr>
          <w:rFonts w:ascii="Times New Roman" w:hAnsi="Times New Roman" w:cs="Times New Roman"/>
          <w:sz w:val="24"/>
          <w:szCs w:val="24"/>
        </w:rPr>
        <w:t xml:space="preserve"> </w:t>
      </w:r>
    </w:p>
    <w:p w:rsidR="009B3BD9" w:rsidRDefault="00585844" w:rsidP="007E2138">
      <w:pPr>
        <w:spacing w:line="480" w:lineRule="auto"/>
        <w:rPr>
          <w:rFonts w:ascii="Times New Roman" w:hAnsi="Times New Roman" w:cs="Times New Roman"/>
          <w:sz w:val="24"/>
          <w:szCs w:val="24"/>
        </w:rPr>
      </w:pPr>
      <w:r>
        <w:rPr>
          <w:rFonts w:ascii="Times New Roman" w:hAnsi="Times New Roman" w:cs="Times New Roman"/>
          <w:sz w:val="24"/>
          <w:szCs w:val="24"/>
        </w:rPr>
        <w:t>This ending seems to lend support for the hopes of Welsh recovery</w:t>
      </w:r>
      <w:r w:rsidR="00095007">
        <w:rPr>
          <w:rFonts w:ascii="Times New Roman" w:hAnsi="Times New Roman" w:cs="Times New Roman"/>
          <w:sz w:val="24"/>
          <w:szCs w:val="24"/>
        </w:rPr>
        <w:t>,</w:t>
      </w:r>
      <w:r>
        <w:rPr>
          <w:rFonts w:ascii="Times New Roman" w:hAnsi="Times New Roman" w:cs="Times New Roman"/>
          <w:sz w:val="24"/>
          <w:szCs w:val="24"/>
        </w:rPr>
        <w:t xml:space="preserve"> which </w:t>
      </w:r>
      <w:r w:rsidR="00095007">
        <w:rPr>
          <w:rFonts w:ascii="Times New Roman" w:hAnsi="Times New Roman" w:cs="Times New Roman"/>
          <w:sz w:val="24"/>
          <w:szCs w:val="24"/>
        </w:rPr>
        <w:t xml:space="preserve">in the contexts of the twelfth century, could be considered a politically volatile, even dangerous sentiment for the Norman elite. There was already a strengthening anti-Norman sentiment building in Celtic-speaking regions like Wales and Brittany, and following the death of Henry I, a tumultuous period in which Geoffrey must have been working, </w:t>
      </w:r>
      <w:r w:rsidR="00095007" w:rsidRPr="00095007">
        <w:rPr>
          <w:rFonts w:ascii="Times New Roman" w:hAnsi="Times New Roman" w:cs="Times New Roman"/>
          <w:sz w:val="24"/>
          <w:szCs w:val="24"/>
        </w:rPr>
        <w:t>the Welsh rose up and rebelled in response to the increas</w:t>
      </w:r>
      <w:r w:rsidR="00095007">
        <w:rPr>
          <w:rFonts w:ascii="Times New Roman" w:hAnsi="Times New Roman" w:cs="Times New Roman"/>
          <w:sz w:val="24"/>
          <w:szCs w:val="24"/>
        </w:rPr>
        <w:t>ing Anglicisation of Wales. T</w:t>
      </w:r>
      <w:r w:rsidR="00095007" w:rsidRPr="00095007">
        <w:rPr>
          <w:rFonts w:ascii="Times New Roman" w:hAnsi="Times New Roman" w:cs="Times New Roman"/>
          <w:sz w:val="24"/>
          <w:szCs w:val="24"/>
        </w:rPr>
        <w:t xml:space="preserve">he three ancient kingdoms of Wales </w:t>
      </w:r>
      <w:r w:rsidR="00095007">
        <w:rPr>
          <w:rFonts w:ascii="Times New Roman" w:hAnsi="Times New Roman" w:cs="Times New Roman"/>
          <w:sz w:val="24"/>
          <w:szCs w:val="24"/>
        </w:rPr>
        <w:t xml:space="preserve">were even </w:t>
      </w:r>
      <w:r w:rsidR="00095007" w:rsidRPr="00095007">
        <w:rPr>
          <w:rFonts w:ascii="Times New Roman" w:hAnsi="Times New Roman" w:cs="Times New Roman"/>
          <w:sz w:val="24"/>
          <w:szCs w:val="24"/>
        </w:rPr>
        <w:t>able to put aside their historical feuds and rivalries and unite against the foreign invaders</w:t>
      </w:r>
      <w:r w:rsidR="00095007">
        <w:rPr>
          <w:rFonts w:ascii="Times New Roman" w:hAnsi="Times New Roman" w:cs="Times New Roman"/>
          <w:sz w:val="24"/>
          <w:szCs w:val="24"/>
        </w:rPr>
        <w:t>,</w:t>
      </w:r>
      <w:r w:rsidR="00095007" w:rsidRPr="00095007">
        <w:rPr>
          <w:rFonts w:ascii="Times New Roman" w:hAnsi="Times New Roman" w:cs="Times New Roman"/>
          <w:sz w:val="24"/>
          <w:szCs w:val="24"/>
        </w:rPr>
        <w:t xml:space="preserve"> with the end result that King Stephen left them to themselves in the hopes that they would go back to fighting each other instead.</w:t>
      </w:r>
      <w:r w:rsidR="008874B6">
        <w:rPr>
          <w:rStyle w:val="FootnoteReference"/>
          <w:rFonts w:ascii="Times New Roman" w:hAnsi="Times New Roman" w:cs="Times New Roman"/>
          <w:sz w:val="24"/>
          <w:szCs w:val="24"/>
        </w:rPr>
        <w:footnoteReference w:id="53"/>
      </w:r>
      <w:r w:rsidR="003E6291">
        <w:rPr>
          <w:rFonts w:ascii="Times New Roman" w:hAnsi="Times New Roman" w:cs="Times New Roman"/>
          <w:sz w:val="24"/>
          <w:szCs w:val="24"/>
        </w:rPr>
        <w:t xml:space="preserve"> It is clear that the opinion of the time was that Geoffrey supported the Welsh cause, or at the very least was anti-English, as shown by the fact that in the revised copies of his Historia, details such as the treachery of the Saxons are downplayed, and the ambiguity of Arthur’s death is removed altogether.</w:t>
      </w:r>
      <w:r w:rsidR="008874B6">
        <w:rPr>
          <w:rStyle w:val="FootnoteReference"/>
          <w:rFonts w:ascii="Times New Roman" w:hAnsi="Times New Roman" w:cs="Times New Roman"/>
          <w:sz w:val="24"/>
          <w:szCs w:val="24"/>
        </w:rPr>
        <w:footnoteReference w:id="54"/>
      </w:r>
    </w:p>
    <w:p w:rsidR="00667D9E" w:rsidRDefault="00667D9E" w:rsidP="007E2138">
      <w:pPr>
        <w:spacing w:line="480" w:lineRule="auto"/>
        <w:rPr>
          <w:rFonts w:ascii="Times New Roman" w:hAnsi="Times New Roman" w:cs="Times New Roman"/>
          <w:sz w:val="24"/>
          <w:szCs w:val="24"/>
        </w:rPr>
      </w:pPr>
      <w:r>
        <w:rPr>
          <w:rFonts w:ascii="Times New Roman" w:hAnsi="Times New Roman" w:cs="Times New Roman"/>
          <w:sz w:val="24"/>
          <w:szCs w:val="24"/>
        </w:rPr>
        <w:t>If we are to take the perspective that Gerald of Wales, a key critic of Geoffrey’s work, framed his own work as advice for the Welsh on resisting the Normans, while in actual fact he sought to discourage Welsh ambition of the unification of Britain under their recovered British lordship, starting by undermining Geoffrey’s hopeful ending.</w:t>
      </w:r>
      <w:r w:rsidR="008874B6">
        <w:rPr>
          <w:rStyle w:val="FootnoteReference"/>
          <w:rFonts w:ascii="Times New Roman" w:hAnsi="Times New Roman" w:cs="Times New Roman"/>
          <w:sz w:val="24"/>
          <w:szCs w:val="24"/>
        </w:rPr>
        <w:footnoteReference w:id="55"/>
      </w:r>
      <w:r>
        <w:rPr>
          <w:rFonts w:ascii="Times New Roman" w:hAnsi="Times New Roman" w:cs="Times New Roman"/>
          <w:sz w:val="24"/>
          <w:szCs w:val="24"/>
        </w:rPr>
        <w:t xml:space="preserve"> Then it is easy to see just how significant and potentially influential Geoffrey’</w:t>
      </w:r>
      <w:r w:rsidR="00292870">
        <w:rPr>
          <w:rFonts w:ascii="Times New Roman" w:hAnsi="Times New Roman" w:cs="Times New Roman"/>
          <w:sz w:val="24"/>
          <w:szCs w:val="24"/>
        </w:rPr>
        <w:t>s Historia was considered to be.</w:t>
      </w:r>
    </w:p>
    <w:p w:rsidR="00292870" w:rsidRDefault="00292870" w:rsidP="007E213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But it is not just Geoffrey’s support of Welsh ambition that sets him apart from his contemporaries, but rather his innovative and favourable treatment of the Welsh in general. Barrow and Gillingham agree that the purpose of the Historia Regum Brittaniae </w:t>
      </w:r>
      <w:r w:rsidRPr="00292870">
        <w:rPr>
          <w:rFonts w:ascii="Times New Roman" w:hAnsi="Times New Roman" w:cs="Times New Roman"/>
          <w:sz w:val="24"/>
          <w:szCs w:val="24"/>
        </w:rPr>
        <w:t>was for Geoffrey to ‘secure cultural respectability’ for his native Wales.</w:t>
      </w:r>
      <w:r w:rsidR="008874B6">
        <w:rPr>
          <w:rStyle w:val="FootnoteReference"/>
          <w:rFonts w:ascii="Times New Roman" w:hAnsi="Times New Roman" w:cs="Times New Roman"/>
          <w:sz w:val="24"/>
          <w:szCs w:val="24"/>
        </w:rPr>
        <w:footnoteReference w:id="56"/>
      </w:r>
      <w:r>
        <w:rPr>
          <w:rFonts w:ascii="Times New Roman" w:hAnsi="Times New Roman" w:cs="Times New Roman"/>
          <w:sz w:val="24"/>
          <w:szCs w:val="24"/>
        </w:rPr>
        <w:t xml:space="preserve"> In </w:t>
      </w:r>
      <w:r w:rsidR="00E1342A">
        <w:rPr>
          <w:rFonts w:ascii="Times New Roman" w:hAnsi="Times New Roman" w:cs="Times New Roman"/>
          <w:sz w:val="24"/>
          <w:szCs w:val="24"/>
        </w:rPr>
        <w:t xml:space="preserve">the </w:t>
      </w:r>
      <w:r w:rsidR="00523D38">
        <w:rPr>
          <w:rFonts w:ascii="Times New Roman" w:hAnsi="Times New Roman" w:cs="Times New Roman"/>
          <w:sz w:val="24"/>
          <w:szCs w:val="24"/>
        </w:rPr>
        <w:t>ninth</w:t>
      </w:r>
      <w:r w:rsidR="00E1342A">
        <w:rPr>
          <w:rFonts w:ascii="Times New Roman" w:hAnsi="Times New Roman" w:cs="Times New Roman"/>
          <w:sz w:val="24"/>
          <w:szCs w:val="24"/>
        </w:rPr>
        <w:t xml:space="preserve">, </w:t>
      </w:r>
      <w:r w:rsidR="00523D38">
        <w:rPr>
          <w:rFonts w:ascii="Times New Roman" w:hAnsi="Times New Roman" w:cs="Times New Roman"/>
          <w:sz w:val="24"/>
          <w:szCs w:val="24"/>
        </w:rPr>
        <w:t>tenth</w:t>
      </w:r>
      <w:r w:rsidR="00E1342A">
        <w:rPr>
          <w:rFonts w:ascii="Times New Roman" w:hAnsi="Times New Roman" w:cs="Times New Roman"/>
          <w:sz w:val="24"/>
          <w:szCs w:val="24"/>
        </w:rPr>
        <w:t xml:space="preserve">, and </w:t>
      </w:r>
      <w:r w:rsidR="00523D38">
        <w:rPr>
          <w:rFonts w:ascii="Times New Roman" w:hAnsi="Times New Roman" w:cs="Times New Roman"/>
          <w:sz w:val="24"/>
          <w:szCs w:val="24"/>
        </w:rPr>
        <w:t>eleventh</w:t>
      </w:r>
      <w:r>
        <w:rPr>
          <w:rFonts w:ascii="Times New Roman" w:hAnsi="Times New Roman" w:cs="Times New Roman"/>
          <w:sz w:val="24"/>
          <w:szCs w:val="24"/>
        </w:rPr>
        <w:t xml:space="preserve"> centuries the Welsh had been presented fairly neutrally, and on</w:t>
      </w:r>
      <w:r w:rsidR="00E1342A">
        <w:rPr>
          <w:rFonts w:ascii="Times New Roman" w:hAnsi="Times New Roman" w:cs="Times New Roman"/>
          <w:sz w:val="24"/>
          <w:szCs w:val="24"/>
        </w:rPr>
        <w:t xml:space="preserve"> occasion even favourably</w:t>
      </w:r>
      <w:r>
        <w:rPr>
          <w:rFonts w:ascii="Times New Roman" w:hAnsi="Times New Roman" w:cs="Times New Roman"/>
          <w:sz w:val="24"/>
          <w:szCs w:val="24"/>
        </w:rPr>
        <w:t xml:space="preserve">. </w:t>
      </w:r>
      <w:r w:rsidR="00E1342A">
        <w:rPr>
          <w:rFonts w:ascii="Times New Roman" w:hAnsi="Times New Roman" w:cs="Times New Roman"/>
          <w:sz w:val="24"/>
          <w:szCs w:val="24"/>
        </w:rPr>
        <w:t>In the learned world however, little was known about the Britons aside from what was found in the earlier works of Gildas and Bede, both who considered the ancient Britons to be barbarians, and it was this attitude that William of Malmesbury emulated in 1125. William was writing from his own racist perception on the side of the Anglo-French, the French being, in his opinion, the height of civi</w:t>
      </w:r>
      <w:r w:rsidR="0036790F">
        <w:rPr>
          <w:rFonts w:ascii="Times New Roman" w:hAnsi="Times New Roman" w:cs="Times New Roman"/>
          <w:sz w:val="24"/>
          <w:szCs w:val="24"/>
        </w:rPr>
        <w:t xml:space="preserve">lised society. It is with this perception in mind that William changed the definition of a barbarian, for while previously it was only equated with pagans such as the Danes and the Norwegians, now William applied it to anyone, including Christians, who lived anywhere that </w:t>
      </w:r>
      <w:r w:rsidR="0036790F" w:rsidRPr="0036790F">
        <w:rPr>
          <w:rFonts w:ascii="Times New Roman" w:hAnsi="Times New Roman" w:cs="Times New Roman"/>
          <w:sz w:val="24"/>
          <w:szCs w:val="24"/>
        </w:rPr>
        <w:t>he didn’t consider to be properly civilised in accordance with the French manner of living.</w:t>
      </w:r>
      <w:r w:rsidR="00523D38">
        <w:rPr>
          <w:rFonts w:ascii="Times New Roman" w:hAnsi="Times New Roman" w:cs="Times New Roman"/>
          <w:sz w:val="24"/>
          <w:szCs w:val="24"/>
        </w:rPr>
        <w:t xml:space="preserve"> Which included the Welsh.</w:t>
      </w:r>
      <w:r w:rsidR="008874B6">
        <w:rPr>
          <w:rStyle w:val="FootnoteReference"/>
          <w:rFonts w:ascii="Times New Roman" w:hAnsi="Times New Roman" w:cs="Times New Roman"/>
          <w:sz w:val="24"/>
          <w:szCs w:val="24"/>
        </w:rPr>
        <w:footnoteReference w:id="57"/>
      </w:r>
    </w:p>
    <w:p w:rsidR="00523D38" w:rsidRDefault="00523D38" w:rsidP="007E2138">
      <w:pPr>
        <w:spacing w:line="480" w:lineRule="auto"/>
        <w:rPr>
          <w:rFonts w:ascii="Times New Roman" w:hAnsi="Times New Roman" w:cs="Times New Roman"/>
          <w:sz w:val="24"/>
          <w:szCs w:val="24"/>
        </w:rPr>
      </w:pPr>
      <w:r>
        <w:rPr>
          <w:rFonts w:ascii="Times New Roman" w:hAnsi="Times New Roman" w:cs="Times New Roman"/>
          <w:sz w:val="24"/>
          <w:szCs w:val="24"/>
        </w:rPr>
        <w:t>This perception grew and was supported by other writers like Henry of Huntingdon, and by the second half of the twelfth century, had become established.</w:t>
      </w:r>
      <w:r w:rsidR="008874B6">
        <w:rPr>
          <w:rStyle w:val="FootnoteReference"/>
          <w:rFonts w:ascii="Times New Roman" w:hAnsi="Times New Roman" w:cs="Times New Roman"/>
          <w:sz w:val="24"/>
          <w:szCs w:val="24"/>
        </w:rPr>
        <w:footnoteReference w:id="58"/>
      </w:r>
      <w:r>
        <w:rPr>
          <w:rFonts w:ascii="Times New Roman" w:hAnsi="Times New Roman" w:cs="Times New Roman"/>
          <w:sz w:val="24"/>
          <w:szCs w:val="24"/>
        </w:rPr>
        <w:t xml:space="preserve"> It was this perception then that</w:t>
      </w:r>
      <w:r w:rsidR="009B7DE0">
        <w:rPr>
          <w:rFonts w:ascii="Times New Roman" w:hAnsi="Times New Roman" w:cs="Times New Roman"/>
          <w:sz w:val="24"/>
          <w:szCs w:val="24"/>
        </w:rPr>
        <w:t xml:space="preserve"> Geoffrey was faced with when he</w:t>
      </w:r>
      <w:r>
        <w:rPr>
          <w:rFonts w:ascii="Times New Roman" w:hAnsi="Times New Roman" w:cs="Times New Roman"/>
          <w:sz w:val="24"/>
          <w:szCs w:val="24"/>
        </w:rPr>
        <w:t xml:space="preserve"> came to write his Historia, and it is part of what makes his work so momentous.</w:t>
      </w:r>
      <w:r w:rsidR="00EE30E5">
        <w:rPr>
          <w:rFonts w:ascii="Times New Roman" w:hAnsi="Times New Roman" w:cs="Times New Roman"/>
          <w:sz w:val="24"/>
          <w:szCs w:val="24"/>
        </w:rPr>
        <w:t xml:space="preserve"> For in a time when Henry and William were </w:t>
      </w:r>
      <w:r w:rsidR="00EE30E5" w:rsidRPr="00EE30E5">
        <w:rPr>
          <w:rFonts w:ascii="Times New Roman" w:hAnsi="Times New Roman" w:cs="Times New Roman"/>
          <w:sz w:val="24"/>
          <w:szCs w:val="24"/>
        </w:rPr>
        <w:t>encouraging people to dismiss the Welsh and Britons as barbarians, he was directly challenging this attitude by describing a rich and highly civilised history for the pre-Roman British kings.</w:t>
      </w:r>
      <w:r w:rsidR="009C03FB">
        <w:rPr>
          <w:rFonts w:ascii="Times New Roman" w:hAnsi="Times New Roman" w:cs="Times New Roman"/>
          <w:sz w:val="24"/>
          <w:szCs w:val="24"/>
        </w:rPr>
        <w:t xml:space="preserve"> There are parallels for instance between Geoffrey’s</w:t>
      </w:r>
      <w:r w:rsidR="009C03FB" w:rsidRPr="009C03FB">
        <w:rPr>
          <w:rFonts w:ascii="Times New Roman" w:hAnsi="Times New Roman" w:cs="Times New Roman"/>
          <w:sz w:val="24"/>
          <w:szCs w:val="24"/>
        </w:rPr>
        <w:t xml:space="preserve"> description of Brutus and his party retreating into the woods and opting for a pastoral life (one that William was so keen to dismiss as </w:t>
      </w:r>
      <w:r w:rsidR="009C03FB" w:rsidRPr="009C03FB">
        <w:rPr>
          <w:rFonts w:ascii="Times New Roman" w:hAnsi="Times New Roman" w:cs="Times New Roman"/>
          <w:sz w:val="24"/>
          <w:szCs w:val="24"/>
        </w:rPr>
        <w:lastRenderedPageBreak/>
        <w:t>uncivilised) rather than put up with Greek slavery, and the situation of the ancestral Welsh.</w:t>
      </w:r>
      <w:r w:rsidR="008874B6">
        <w:rPr>
          <w:rStyle w:val="FootnoteReference"/>
          <w:rFonts w:ascii="Times New Roman" w:hAnsi="Times New Roman" w:cs="Times New Roman"/>
          <w:sz w:val="24"/>
          <w:szCs w:val="24"/>
        </w:rPr>
        <w:footnoteReference w:id="59"/>
      </w:r>
      <w:r w:rsidR="009C03FB">
        <w:rPr>
          <w:rFonts w:ascii="Times New Roman" w:hAnsi="Times New Roman" w:cs="Times New Roman"/>
          <w:sz w:val="24"/>
          <w:szCs w:val="24"/>
        </w:rPr>
        <w:t xml:space="preserve"> While William claimed that towns like Bath and Carlisle could only have been founded by Julius Caesar as hubs of civilisation, Geoffrey who considered the founding of towns, road-building, agriculture and law establishment as proper activities of a good king, attributed the founding of each to the British kings Bladud and Leil respectively, once again asserting the long, heroic and </w:t>
      </w:r>
      <w:r w:rsidR="009C03FB" w:rsidRPr="00F903BC">
        <w:rPr>
          <w:rFonts w:ascii="Times New Roman" w:hAnsi="Times New Roman" w:cs="Times New Roman"/>
          <w:i/>
          <w:sz w:val="24"/>
          <w:szCs w:val="24"/>
        </w:rPr>
        <w:t>civilised</w:t>
      </w:r>
      <w:r w:rsidR="009C03FB">
        <w:rPr>
          <w:rFonts w:ascii="Times New Roman" w:hAnsi="Times New Roman" w:cs="Times New Roman"/>
          <w:sz w:val="24"/>
          <w:szCs w:val="24"/>
        </w:rPr>
        <w:t xml:space="preserve"> history of the Britons</w:t>
      </w:r>
      <w:r w:rsidR="00F903BC">
        <w:rPr>
          <w:rFonts w:ascii="Times New Roman" w:hAnsi="Times New Roman" w:cs="Times New Roman"/>
          <w:sz w:val="24"/>
          <w:szCs w:val="24"/>
        </w:rPr>
        <w:t>.</w:t>
      </w:r>
      <w:r w:rsidR="008874B6">
        <w:rPr>
          <w:rStyle w:val="FootnoteReference"/>
          <w:rFonts w:ascii="Times New Roman" w:hAnsi="Times New Roman" w:cs="Times New Roman"/>
          <w:sz w:val="24"/>
          <w:szCs w:val="24"/>
        </w:rPr>
        <w:footnoteReference w:id="60"/>
      </w:r>
    </w:p>
    <w:p w:rsidR="009C03FB" w:rsidRDefault="00CB7B26" w:rsidP="007E2138">
      <w:pPr>
        <w:spacing w:line="480" w:lineRule="auto"/>
        <w:rPr>
          <w:rFonts w:ascii="Times New Roman" w:hAnsi="Times New Roman" w:cs="Times New Roman"/>
          <w:sz w:val="24"/>
          <w:szCs w:val="24"/>
        </w:rPr>
      </w:pPr>
      <w:r>
        <w:rPr>
          <w:rFonts w:ascii="Times New Roman" w:hAnsi="Times New Roman" w:cs="Times New Roman"/>
          <w:sz w:val="24"/>
          <w:szCs w:val="24"/>
        </w:rPr>
        <w:t>Gillingham suggests that part of this decision may also have been due to Geoffrey’s desire to tease William,</w:t>
      </w:r>
      <w:r w:rsidR="008874B6">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just as </w:t>
      </w:r>
      <w:r w:rsidRPr="00CB7B26">
        <w:rPr>
          <w:rFonts w:ascii="Times New Roman" w:hAnsi="Times New Roman" w:cs="Times New Roman"/>
          <w:sz w:val="24"/>
          <w:szCs w:val="24"/>
        </w:rPr>
        <w:t xml:space="preserve">Christopher Brooke claims that Geoffrey placed the crown-wearing at Caerleon for </w:t>
      </w:r>
      <w:r>
        <w:rPr>
          <w:rFonts w:ascii="Times New Roman" w:hAnsi="Times New Roman" w:cs="Times New Roman"/>
          <w:sz w:val="24"/>
          <w:szCs w:val="24"/>
        </w:rPr>
        <w:t>the sake of humour and mockery.</w:t>
      </w:r>
      <w:r w:rsidR="008874B6">
        <w:rPr>
          <w:rStyle w:val="FootnoteReference"/>
          <w:rFonts w:ascii="Times New Roman" w:hAnsi="Times New Roman" w:cs="Times New Roman"/>
          <w:sz w:val="24"/>
          <w:szCs w:val="24"/>
        </w:rPr>
        <w:footnoteReference w:id="62"/>
      </w:r>
      <w:r>
        <w:rPr>
          <w:rFonts w:ascii="Times New Roman" w:hAnsi="Times New Roman" w:cs="Times New Roman"/>
          <w:sz w:val="24"/>
          <w:szCs w:val="24"/>
        </w:rPr>
        <w:t xml:space="preserve"> Arguing </w:t>
      </w:r>
      <w:r w:rsidRPr="00CB7B26">
        <w:rPr>
          <w:rFonts w:ascii="Times New Roman" w:hAnsi="Times New Roman" w:cs="Times New Roman"/>
          <w:sz w:val="24"/>
          <w:szCs w:val="24"/>
        </w:rPr>
        <w:t>that it was not that Caerleon was significant in itself</w:t>
      </w:r>
      <w:r>
        <w:rPr>
          <w:rFonts w:ascii="Times New Roman" w:hAnsi="Times New Roman" w:cs="Times New Roman"/>
          <w:sz w:val="24"/>
          <w:szCs w:val="24"/>
        </w:rPr>
        <w:t>,</w:t>
      </w:r>
      <w:r w:rsidRPr="00CB7B26">
        <w:rPr>
          <w:rFonts w:ascii="Times New Roman" w:hAnsi="Times New Roman" w:cs="Times New Roman"/>
          <w:sz w:val="24"/>
          <w:szCs w:val="24"/>
        </w:rPr>
        <w:t xml:space="preserve"> as much </w:t>
      </w:r>
      <w:r>
        <w:rPr>
          <w:rFonts w:ascii="Times New Roman" w:hAnsi="Times New Roman" w:cs="Times New Roman"/>
          <w:sz w:val="24"/>
          <w:szCs w:val="24"/>
        </w:rPr>
        <w:t>as the fact that</w:t>
      </w:r>
      <w:r w:rsidRPr="00CB7B26">
        <w:rPr>
          <w:rFonts w:ascii="Times New Roman" w:hAnsi="Times New Roman" w:cs="Times New Roman"/>
          <w:sz w:val="24"/>
          <w:szCs w:val="24"/>
        </w:rPr>
        <w:t xml:space="preserve"> it was not Canterbury, York, London, Winchester, Llandaff, or St Davids</w:t>
      </w:r>
      <w:r>
        <w:rPr>
          <w:rFonts w:ascii="Times New Roman" w:hAnsi="Times New Roman" w:cs="Times New Roman"/>
          <w:sz w:val="24"/>
          <w:szCs w:val="24"/>
        </w:rPr>
        <w:t>. Although Gillingham suggests that the great political intrigue surrounding Caerleon in 1136/7 would have appealed to Geoffrey and thus likely played a part in his choice to include it as such a significant setting, especially when considering that Caerleon is in Glamorgan, the lord of which at the time was Robert of Gloucester, the man who Geoffrey dedicated his</w:t>
      </w:r>
      <w:r w:rsidR="00335FCB">
        <w:rPr>
          <w:rFonts w:ascii="Times New Roman" w:hAnsi="Times New Roman" w:cs="Times New Roman"/>
          <w:sz w:val="24"/>
          <w:szCs w:val="24"/>
        </w:rPr>
        <w:t xml:space="preserve"> Historia</w:t>
      </w:r>
      <w:r>
        <w:rPr>
          <w:rFonts w:ascii="Times New Roman" w:hAnsi="Times New Roman" w:cs="Times New Roman"/>
          <w:sz w:val="24"/>
          <w:szCs w:val="24"/>
        </w:rPr>
        <w:t xml:space="preserve"> to.</w:t>
      </w:r>
      <w:r w:rsidR="008874B6">
        <w:rPr>
          <w:rStyle w:val="FootnoteReference"/>
          <w:rFonts w:ascii="Times New Roman" w:hAnsi="Times New Roman" w:cs="Times New Roman"/>
          <w:sz w:val="24"/>
          <w:szCs w:val="24"/>
        </w:rPr>
        <w:footnoteReference w:id="63"/>
      </w:r>
    </w:p>
    <w:p w:rsidR="00742236" w:rsidRDefault="00BF7CE9" w:rsidP="007E2138">
      <w:pPr>
        <w:spacing w:line="480" w:lineRule="auto"/>
        <w:rPr>
          <w:rFonts w:ascii="Times New Roman" w:hAnsi="Times New Roman" w:cs="Times New Roman"/>
          <w:sz w:val="24"/>
          <w:szCs w:val="24"/>
        </w:rPr>
      </w:pPr>
      <w:r>
        <w:rPr>
          <w:rFonts w:ascii="Times New Roman" w:hAnsi="Times New Roman" w:cs="Times New Roman"/>
          <w:sz w:val="24"/>
          <w:szCs w:val="24"/>
        </w:rPr>
        <w:t>On the subject of Arthur, it would be remiss not to acknowledge the huge impact Geoffrey’s work had on Arthurian myth as we know it. After all, it is arguably only through Geoffrey’s innovation that the myth reached such widespread popularity, and has since become such an integral part of the modern British identity. Part of this is no doubt due to Geoffrey’s skilful weaving of pre-existing fragments of the legends</w:t>
      </w:r>
      <w:r w:rsidR="009507BA">
        <w:rPr>
          <w:rFonts w:ascii="Times New Roman" w:hAnsi="Times New Roman" w:cs="Times New Roman"/>
          <w:sz w:val="24"/>
          <w:szCs w:val="24"/>
        </w:rPr>
        <w:t xml:space="preserve">, sometimes from obscure and little known </w:t>
      </w:r>
      <w:r w:rsidR="009507BA">
        <w:rPr>
          <w:rFonts w:ascii="Times New Roman" w:hAnsi="Times New Roman" w:cs="Times New Roman"/>
          <w:sz w:val="24"/>
          <w:szCs w:val="24"/>
        </w:rPr>
        <w:lastRenderedPageBreak/>
        <w:t>literature such as the ancient Welsh texts, into a single, coherent and engaging narrative placed at the centre of his work.</w:t>
      </w:r>
      <w:r w:rsidR="00742236">
        <w:rPr>
          <w:rFonts w:ascii="Times New Roman" w:hAnsi="Times New Roman" w:cs="Times New Roman"/>
          <w:sz w:val="24"/>
          <w:szCs w:val="24"/>
        </w:rPr>
        <w:t xml:space="preserve"> </w:t>
      </w:r>
    </w:p>
    <w:p w:rsidR="00A0457B" w:rsidRDefault="00742236" w:rsidP="007E2138">
      <w:pPr>
        <w:spacing w:line="480" w:lineRule="auto"/>
        <w:rPr>
          <w:rFonts w:ascii="Times New Roman" w:hAnsi="Times New Roman" w:cs="Times New Roman"/>
          <w:sz w:val="24"/>
          <w:szCs w:val="24"/>
        </w:rPr>
      </w:pPr>
      <w:r>
        <w:rPr>
          <w:rFonts w:ascii="Times New Roman" w:hAnsi="Times New Roman" w:cs="Times New Roman"/>
          <w:sz w:val="24"/>
          <w:szCs w:val="24"/>
        </w:rPr>
        <w:t>A clear example of this can be found in the development of the legend of Merlin, which Jarman theorises has four parts to it.</w:t>
      </w:r>
      <w:r w:rsidR="008874B6">
        <w:rPr>
          <w:rStyle w:val="FootnoteReference"/>
          <w:rFonts w:ascii="Times New Roman" w:hAnsi="Times New Roman" w:cs="Times New Roman"/>
          <w:sz w:val="24"/>
          <w:szCs w:val="24"/>
        </w:rPr>
        <w:footnoteReference w:id="64"/>
      </w:r>
      <w:r>
        <w:rPr>
          <w:rFonts w:ascii="Times New Roman" w:hAnsi="Times New Roman" w:cs="Times New Roman"/>
          <w:sz w:val="24"/>
          <w:szCs w:val="24"/>
        </w:rPr>
        <w:t xml:space="preserve"> First we have the character of Myrddin, which was created to explain the </w:t>
      </w:r>
      <w:r w:rsidR="000A4FBE">
        <w:rPr>
          <w:rFonts w:ascii="Times New Roman" w:hAnsi="Times New Roman" w:cs="Times New Roman"/>
          <w:sz w:val="24"/>
          <w:szCs w:val="24"/>
        </w:rPr>
        <w:t>origins of the town name Caerfyrddin, the mid-sixth century name for modern day Carmarthen. It was common practice to attach the names of legendary or mythical figures to the prefix ‘caer-’ meaning fort, such as Caer Aranrhod or Caer Dathal. This then stood as a precedent for interpreting the name Caerfyrddin as the Fortress of Myrddin.</w:t>
      </w:r>
      <w:r w:rsidR="008874B6">
        <w:rPr>
          <w:rStyle w:val="FootnoteReference"/>
          <w:rFonts w:ascii="Times New Roman" w:hAnsi="Times New Roman" w:cs="Times New Roman"/>
          <w:sz w:val="24"/>
          <w:szCs w:val="24"/>
        </w:rPr>
        <w:footnoteReference w:id="65"/>
      </w:r>
      <w:r w:rsidR="000A4FBE">
        <w:rPr>
          <w:rFonts w:ascii="Times New Roman" w:hAnsi="Times New Roman" w:cs="Times New Roman"/>
          <w:sz w:val="24"/>
          <w:szCs w:val="24"/>
        </w:rPr>
        <w:t xml:space="preserve"> Secondly was the introduction during the sixth or seventh century of the legend of Lailoken, the wild man, fro</w:t>
      </w:r>
      <w:r w:rsidR="00B03884">
        <w:rPr>
          <w:rFonts w:ascii="Times New Roman" w:hAnsi="Times New Roman" w:cs="Times New Roman"/>
          <w:sz w:val="24"/>
          <w:szCs w:val="24"/>
        </w:rPr>
        <w:t xml:space="preserve">m Northern Britain. Lailoken, in the Life of St Kentigern, </w:t>
      </w:r>
      <w:r w:rsidR="001B3AC5">
        <w:rPr>
          <w:rFonts w:ascii="Times New Roman" w:hAnsi="Times New Roman" w:cs="Times New Roman"/>
          <w:sz w:val="24"/>
          <w:szCs w:val="24"/>
        </w:rPr>
        <w:t>was said</w:t>
      </w:r>
      <w:r w:rsidR="00B03884">
        <w:rPr>
          <w:rFonts w:ascii="Times New Roman" w:hAnsi="Times New Roman" w:cs="Times New Roman"/>
          <w:sz w:val="24"/>
          <w:szCs w:val="24"/>
        </w:rPr>
        <w:t xml:space="preserve"> to be a madman with the gift of prophecy, condemned to live with the beasts in the Caledonian forest in punishment for the deaths that occurred in a battle he caused.</w:t>
      </w:r>
      <w:r w:rsidR="008874B6">
        <w:rPr>
          <w:rStyle w:val="FootnoteReference"/>
          <w:rFonts w:ascii="Times New Roman" w:hAnsi="Times New Roman" w:cs="Times New Roman"/>
          <w:sz w:val="24"/>
          <w:szCs w:val="24"/>
        </w:rPr>
        <w:footnoteReference w:id="66"/>
      </w:r>
      <w:r w:rsidR="00B03884">
        <w:rPr>
          <w:rFonts w:ascii="Times New Roman" w:hAnsi="Times New Roman" w:cs="Times New Roman"/>
          <w:sz w:val="24"/>
          <w:szCs w:val="24"/>
        </w:rPr>
        <w:t xml:space="preserve"> This legend was then merged with the legend of Myrddin as seen in the Black Book of Carmarthen poem </w:t>
      </w:r>
      <w:r w:rsidR="00B03884" w:rsidRPr="00B03884">
        <w:rPr>
          <w:rFonts w:ascii="Times New Roman" w:hAnsi="Times New Roman" w:cs="Times New Roman"/>
          <w:sz w:val="24"/>
          <w:szCs w:val="24"/>
        </w:rPr>
        <w:t>Ymddiddan Myrddin a Thaliesin</w:t>
      </w:r>
      <w:r w:rsidR="00B03884">
        <w:rPr>
          <w:rFonts w:ascii="Times New Roman" w:hAnsi="Times New Roman" w:cs="Times New Roman"/>
          <w:sz w:val="24"/>
          <w:szCs w:val="24"/>
        </w:rPr>
        <w:t>.</w:t>
      </w:r>
      <w:r w:rsidR="008874B6">
        <w:rPr>
          <w:rStyle w:val="FootnoteReference"/>
          <w:rFonts w:ascii="Times New Roman" w:hAnsi="Times New Roman" w:cs="Times New Roman"/>
          <w:sz w:val="24"/>
          <w:szCs w:val="24"/>
        </w:rPr>
        <w:footnoteReference w:id="67"/>
      </w:r>
      <w:r w:rsidR="00B03884">
        <w:rPr>
          <w:rFonts w:ascii="Times New Roman" w:hAnsi="Times New Roman" w:cs="Times New Roman"/>
          <w:sz w:val="24"/>
          <w:szCs w:val="24"/>
        </w:rPr>
        <w:t xml:space="preserve"> </w:t>
      </w:r>
    </w:p>
    <w:p w:rsidR="00811B48" w:rsidRDefault="001B3AC5" w:rsidP="007E2138">
      <w:pPr>
        <w:spacing w:line="480" w:lineRule="auto"/>
        <w:rPr>
          <w:rFonts w:ascii="Times New Roman" w:hAnsi="Times New Roman" w:cs="Times New Roman"/>
          <w:sz w:val="24"/>
          <w:szCs w:val="24"/>
        </w:rPr>
      </w:pPr>
      <w:r>
        <w:rPr>
          <w:rFonts w:ascii="Times New Roman" w:hAnsi="Times New Roman" w:cs="Times New Roman"/>
          <w:sz w:val="24"/>
          <w:szCs w:val="24"/>
        </w:rPr>
        <w:t>Next is where we find Geoffrey’s Historia, and it is from this point on that our modern understanding of Merlin really starts to take shape. Geoffrey was responsible for not only latinising the name from the Welsh Myrddin to Merlinus,</w:t>
      </w:r>
      <w:r w:rsidR="008874B6">
        <w:rPr>
          <w:rStyle w:val="FootnoteReference"/>
          <w:rFonts w:ascii="Times New Roman" w:hAnsi="Times New Roman" w:cs="Times New Roman"/>
          <w:sz w:val="24"/>
          <w:szCs w:val="24"/>
        </w:rPr>
        <w:footnoteReference w:id="68"/>
      </w:r>
      <w:r>
        <w:rPr>
          <w:rFonts w:ascii="Times New Roman" w:hAnsi="Times New Roman" w:cs="Times New Roman"/>
          <w:sz w:val="24"/>
          <w:szCs w:val="24"/>
        </w:rPr>
        <w:t xml:space="preserve"> but also attributing to him the legend of Ambrosius and the two dragons</w:t>
      </w:r>
      <w:r w:rsidR="00B03884">
        <w:rPr>
          <w:rFonts w:ascii="Times New Roman" w:hAnsi="Times New Roman" w:cs="Times New Roman"/>
          <w:sz w:val="24"/>
          <w:szCs w:val="24"/>
        </w:rPr>
        <w:t>.</w:t>
      </w:r>
      <w:r w:rsidR="008874B6">
        <w:rPr>
          <w:rStyle w:val="FootnoteReference"/>
          <w:rFonts w:ascii="Times New Roman" w:hAnsi="Times New Roman" w:cs="Times New Roman"/>
          <w:sz w:val="24"/>
          <w:szCs w:val="24"/>
        </w:rPr>
        <w:footnoteReference w:id="69"/>
      </w:r>
      <w:r w:rsidR="00B03884">
        <w:rPr>
          <w:rFonts w:ascii="Times New Roman" w:hAnsi="Times New Roman" w:cs="Times New Roman"/>
          <w:sz w:val="24"/>
          <w:szCs w:val="24"/>
        </w:rPr>
        <w:t xml:space="preserve"> Furthermore Geoffrey writes his own prophecies of Merlin, establishing the tradition</w:t>
      </w:r>
      <w:r w:rsidR="00ED396A">
        <w:rPr>
          <w:rFonts w:ascii="Times New Roman" w:hAnsi="Times New Roman" w:cs="Times New Roman"/>
          <w:sz w:val="24"/>
          <w:szCs w:val="24"/>
        </w:rPr>
        <w:t>al theme of animal imagery in prophecy which is not found in earlier versions such as the Welsh poems.</w:t>
      </w:r>
      <w:r w:rsidR="008874B6">
        <w:rPr>
          <w:rStyle w:val="FootnoteReference"/>
          <w:rFonts w:ascii="Times New Roman" w:hAnsi="Times New Roman" w:cs="Times New Roman"/>
          <w:sz w:val="24"/>
          <w:szCs w:val="24"/>
        </w:rPr>
        <w:footnoteReference w:id="70"/>
      </w:r>
      <w:r w:rsidR="00ED396A">
        <w:rPr>
          <w:rFonts w:ascii="Times New Roman" w:hAnsi="Times New Roman" w:cs="Times New Roman"/>
          <w:sz w:val="24"/>
          <w:szCs w:val="24"/>
        </w:rPr>
        <w:t xml:space="preserve"> </w:t>
      </w:r>
    </w:p>
    <w:p w:rsidR="00F96931" w:rsidRDefault="00F96931" w:rsidP="007E213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It is in Merlin’s prophecies </w:t>
      </w:r>
      <w:r w:rsidR="00E05A9E">
        <w:rPr>
          <w:rFonts w:ascii="Times New Roman" w:hAnsi="Times New Roman" w:cs="Times New Roman"/>
          <w:sz w:val="24"/>
          <w:szCs w:val="24"/>
        </w:rPr>
        <w:t xml:space="preserve">too </w:t>
      </w:r>
      <w:r>
        <w:rPr>
          <w:rFonts w:ascii="Times New Roman" w:hAnsi="Times New Roman" w:cs="Times New Roman"/>
          <w:sz w:val="24"/>
          <w:szCs w:val="24"/>
        </w:rPr>
        <w:t>that Geoffrey first addresses the idea of Welsh recovery or British hope</w:t>
      </w:r>
      <w:r w:rsidR="00E05A9E">
        <w:rPr>
          <w:rFonts w:ascii="Times New Roman" w:hAnsi="Times New Roman" w:cs="Times New Roman"/>
          <w:sz w:val="24"/>
          <w:szCs w:val="24"/>
        </w:rPr>
        <w:t xml:space="preserve">, an idea intrinsically linked to Arthur, and again we see an example of Geoffrey’s innovation as the mood abruptly changes with the effect that it gains a mythic, epic quality upon the introduction of Arthur. After all </w:t>
      </w:r>
      <w:r w:rsidR="00E05A9E" w:rsidRPr="00E05A9E">
        <w:rPr>
          <w:rFonts w:ascii="Times New Roman" w:hAnsi="Times New Roman" w:cs="Times New Roman"/>
          <w:sz w:val="24"/>
          <w:szCs w:val="24"/>
        </w:rPr>
        <w:t xml:space="preserve">Arthur does not align with the previous markers </w:t>
      </w:r>
      <w:r w:rsidR="00E05A9E">
        <w:rPr>
          <w:rFonts w:ascii="Times New Roman" w:hAnsi="Times New Roman" w:cs="Times New Roman"/>
          <w:sz w:val="24"/>
          <w:szCs w:val="24"/>
        </w:rPr>
        <w:t xml:space="preserve">that Geoffrey had established </w:t>
      </w:r>
      <w:r w:rsidR="00E05A9E" w:rsidRPr="00E05A9E">
        <w:rPr>
          <w:rFonts w:ascii="Times New Roman" w:hAnsi="Times New Roman" w:cs="Times New Roman"/>
          <w:sz w:val="24"/>
          <w:szCs w:val="24"/>
        </w:rPr>
        <w:t xml:space="preserve">of a good civil king, founding no towns or laws, and not concerning himself with agriculture. </w:t>
      </w:r>
      <w:r w:rsidR="00E05A9E">
        <w:rPr>
          <w:rFonts w:ascii="Times New Roman" w:hAnsi="Times New Roman" w:cs="Times New Roman"/>
          <w:sz w:val="24"/>
          <w:szCs w:val="24"/>
        </w:rPr>
        <w:t xml:space="preserve">But this is because Arthur is no civil king, he is something different, something elevated. </w:t>
      </w:r>
      <w:r w:rsidR="00E05A9E" w:rsidRPr="00E05A9E">
        <w:rPr>
          <w:rFonts w:ascii="Times New Roman" w:hAnsi="Times New Roman" w:cs="Times New Roman"/>
          <w:sz w:val="24"/>
          <w:szCs w:val="24"/>
        </w:rPr>
        <w:t>He is instead a warrior-king of the heroic age</w:t>
      </w:r>
      <w:r w:rsidR="00811B48">
        <w:rPr>
          <w:rFonts w:ascii="Times New Roman" w:hAnsi="Times New Roman" w:cs="Times New Roman"/>
          <w:sz w:val="24"/>
          <w:szCs w:val="24"/>
        </w:rPr>
        <w:t>, and Geoffrey’s writing style changes to reflect that.</w:t>
      </w:r>
      <w:r w:rsidR="008874B6">
        <w:rPr>
          <w:rStyle w:val="FootnoteReference"/>
          <w:rFonts w:ascii="Times New Roman" w:hAnsi="Times New Roman" w:cs="Times New Roman"/>
          <w:sz w:val="24"/>
          <w:szCs w:val="24"/>
        </w:rPr>
        <w:footnoteReference w:id="71"/>
      </w:r>
    </w:p>
    <w:p w:rsidR="00BF7CE9" w:rsidRDefault="008661C8" w:rsidP="007E2138">
      <w:pPr>
        <w:spacing w:line="480" w:lineRule="auto"/>
        <w:rPr>
          <w:rFonts w:ascii="Times New Roman" w:hAnsi="Times New Roman" w:cs="Times New Roman"/>
          <w:sz w:val="24"/>
          <w:szCs w:val="24"/>
        </w:rPr>
      </w:pPr>
      <w:r>
        <w:rPr>
          <w:rFonts w:ascii="Times New Roman" w:hAnsi="Times New Roman" w:cs="Times New Roman"/>
          <w:sz w:val="24"/>
          <w:szCs w:val="24"/>
        </w:rPr>
        <w:t>The final part of Jarman’s theory of development involves Geoffrey’s later work the Vita Merlini, in which he expands on his own version of the Merlin legend as established in his Historia, this time by including multiple elements from the Lailoken/wild man legends that weren’t included in his earlier work.</w:t>
      </w:r>
      <w:r w:rsidR="008874B6">
        <w:rPr>
          <w:rStyle w:val="FootnoteReference"/>
          <w:rFonts w:ascii="Times New Roman" w:hAnsi="Times New Roman" w:cs="Times New Roman"/>
          <w:sz w:val="24"/>
          <w:szCs w:val="24"/>
        </w:rPr>
        <w:footnoteReference w:id="72"/>
      </w:r>
    </w:p>
    <w:p w:rsidR="000719CE" w:rsidRDefault="000719CE" w:rsidP="007E2138">
      <w:pPr>
        <w:spacing w:line="480" w:lineRule="auto"/>
        <w:rPr>
          <w:rFonts w:ascii="Times New Roman" w:hAnsi="Times New Roman" w:cs="Times New Roman"/>
          <w:sz w:val="24"/>
          <w:szCs w:val="24"/>
        </w:rPr>
      </w:pPr>
      <w:r>
        <w:rPr>
          <w:rFonts w:ascii="Times New Roman" w:hAnsi="Times New Roman" w:cs="Times New Roman"/>
          <w:sz w:val="24"/>
          <w:szCs w:val="24"/>
        </w:rPr>
        <w:t>One final point to consider on the innovation of Geoffrey’s work is his treatment of women. There are frequent appearances of women in Geoffrey’s narrative, and there are many example</w:t>
      </w:r>
      <w:r w:rsidR="00E27E3B">
        <w:rPr>
          <w:rFonts w:ascii="Times New Roman" w:hAnsi="Times New Roman" w:cs="Times New Roman"/>
          <w:sz w:val="24"/>
          <w:szCs w:val="24"/>
        </w:rPr>
        <w:t>s</w:t>
      </w:r>
      <w:r>
        <w:rPr>
          <w:rFonts w:ascii="Times New Roman" w:hAnsi="Times New Roman" w:cs="Times New Roman"/>
          <w:sz w:val="24"/>
          <w:szCs w:val="24"/>
        </w:rPr>
        <w:t xml:space="preserve"> of queens given prominent roles such as Cordelia, Gwendo</w:t>
      </w:r>
      <w:r w:rsidR="000F43D7">
        <w:rPr>
          <w:rFonts w:ascii="Times New Roman" w:hAnsi="Times New Roman" w:cs="Times New Roman"/>
          <w:sz w:val="24"/>
          <w:szCs w:val="24"/>
        </w:rPr>
        <w:t>l</w:t>
      </w:r>
      <w:r>
        <w:rPr>
          <w:rFonts w:ascii="Times New Roman" w:hAnsi="Times New Roman" w:cs="Times New Roman"/>
          <w:sz w:val="24"/>
          <w:szCs w:val="24"/>
        </w:rPr>
        <w:t>en, and Marcia.</w:t>
      </w:r>
      <w:r w:rsidR="008874B6">
        <w:rPr>
          <w:rStyle w:val="FootnoteReference"/>
          <w:rFonts w:ascii="Times New Roman" w:hAnsi="Times New Roman" w:cs="Times New Roman"/>
          <w:sz w:val="24"/>
          <w:szCs w:val="24"/>
        </w:rPr>
        <w:footnoteReference w:id="73"/>
      </w:r>
      <w:r>
        <w:rPr>
          <w:rFonts w:ascii="Times New Roman" w:hAnsi="Times New Roman" w:cs="Times New Roman"/>
          <w:sz w:val="24"/>
          <w:szCs w:val="24"/>
        </w:rPr>
        <w:t xml:space="preserve"> Gillingham suggests that Geoffrey may have been inspired by the actions of Gwenllian, wife of Gruffudd ap Rhys, who rode to war at the head of an army while her husband was away seeking allies in the north,</w:t>
      </w:r>
      <w:r w:rsidR="008874B6">
        <w:rPr>
          <w:rStyle w:val="FootnoteReference"/>
          <w:rFonts w:ascii="Times New Roman" w:hAnsi="Times New Roman" w:cs="Times New Roman"/>
          <w:sz w:val="24"/>
          <w:szCs w:val="24"/>
        </w:rPr>
        <w:footnoteReference w:id="74"/>
      </w:r>
      <w:r>
        <w:rPr>
          <w:rFonts w:ascii="Times New Roman" w:hAnsi="Times New Roman" w:cs="Times New Roman"/>
          <w:sz w:val="24"/>
          <w:szCs w:val="24"/>
        </w:rPr>
        <w:t xml:space="preserve"> but Shictman and Finke suggest a deeper reason. By including so many appearances of women, particularly those </w:t>
      </w:r>
      <w:r w:rsidR="00E27E3B">
        <w:rPr>
          <w:rFonts w:ascii="Times New Roman" w:hAnsi="Times New Roman" w:cs="Times New Roman"/>
          <w:sz w:val="24"/>
          <w:szCs w:val="24"/>
        </w:rPr>
        <w:t>in</w:t>
      </w:r>
      <w:r>
        <w:rPr>
          <w:rFonts w:ascii="Times New Roman" w:hAnsi="Times New Roman" w:cs="Times New Roman"/>
          <w:sz w:val="24"/>
          <w:szCs w:val="24"/>
        </w:rPr>
        <w:t xml:space="preserve"> positions of power like the queens, Shictman and Finke suggest that Geoffrey may have been ‘creating a context for the idea of </w:t>
      </w:r>
      <w:r>
        <w:rPr>
          <w:rFonts w:ascii="Times New Roman" w:hAnsi="Times New Roman" w:cs="Times New Roman"/>
          <w:sz w:val="24"/>
          <w:szCs w:val="24"/>
        </w:rPr>
        <w:lastRenderedPageBreak/>
        <w:t>legitimate female rule’.</w:t>
      </w:r>
      <w:r w:rsidR="008874B6">
        <w:rPr>
          <w:rStyle w:val="FootnoteReference"/>
          <w:rFonts w:ascii="Times New Roman" w:hAnsi="Times New Roman" w:cs="Times New Roman"/>
          <w:sz w:val="24"/>
          <w:szCs w:val="24"/>
        </w:rPr>
        <w:footnoteReference w:id="75"/>
      </w:r>
      <w:r>
        <w:rPr>
          <w:rFonts w:ascii="Times New Roman" w:hAnsi="Times New Roman" w:cs="Times New Roman"/>
          <w:sz w:val="24"/>
          <w:szCs w:val="24"/>
        </w:rPr>
        <w:t xml:space="preserve"> If this is indeed the case </w:t>
      </w:r>
      <w:r w:rsidR="00A71487">
        <w:rPr>
          <w:rFonts w:ascii="Times New Roman" w:hAnsi="Times New Roman" w:cs="Times New Roman"/>
          <w:sz w:val="24"/>
          <w:szCs w:val="24"/>
        </w:rPr>
        <w:t>then this provides us with another, potentially ground-breaking example of what sets Geoffrey apart from his contemporaries.</w:t>
      </w:r>
    </w:p>
    <w:p w:rsidR="008400EB" w:rsidRDefault="008400EB" w:rsidP="007E2138">
      <w:pPr>
        <w:spacing w:line="480" w:lineRule="auto"/>
        <w:rPr>
          <w:rFonts w:ascii="Times New Roman" w:hAnsi="Times New Roman" w:cs="Times New Roman"/>
          <w:sz w:val="24"/>
          <w:szCs w:val="24"/>
        </w:rPr>
      </w:pPr>
      <w:r>
        <w:rPr>
          <w:rFonts w:ascii="Times New Roman" w:hAnsi="Times New Roman" w:cs="Times New Roman"/>
          <w:sz w:val="24"/>
          <w:szCs w:val="24"/>
        </w:rPr>
        <w:t>As is evident, Geoffrey drew inspiration from a wide variety of sources ranging from the Historia Brittonum, and Gildas’</w:t>
      </w:r>
      <w:r w:rsidRPr="008400EB">
        <w:t xml:space="preserve"> </w:t>
      </w:r>
      <w:r w:rsidRPr="008400EB">
        <w:rPr>
          <w:rFonts w:ascii="Times New Roman" w:hAnsi="Times New Roman" w:cs="Times New Roman"/>
          <w:sz w:val="24"/>
          <w:szCs w:val="24"/>
        </w:rPr>
        <w:t>De Excidio et Conquestu Britanniae</w:t>
      </w:r>
      <w:r>
        <w:rPr>
          <w:rFonts w:ascii="Times New Roman" w:hAnsi="Times New Roman" w:cs="Times New Roman"/>
          <w:sz w:val="24"/>
          <w:szCs w:val="24"/>
        </w:rPr>
        <w:t>, to ancient Welsh literature like the poems in the Black Book of Carmarthen and the Mabinogion tales.</w:t>
      </w:r>
      <w:r w:rsidR="001E77EA">
        <w:rPr>
          <w:rFonts w:ascii="Times New Roman" w:hAnsi="Times New Roman" w:cs="Times New Roman"/>
          <w:sz w:val="24"/>
          <w:szCs w:val="24"/>
        </w:rPr>
        <w:t xml:space="preserve"> While many of the basic elements of plot and characters are preserved in the Historia Regum Britanniae, they are typically embellished upon greatly and on occasion slightly altered or reorganised, enough so that they may not at first glance be easily identifiable.</w:t>
      </w:r>
      <w:r w:rsidR="00A570D9">
        <w:rPr>
          <w:rFonts w:ascii="Times New Roman" w:hAnsi="Times New Roman" w:cs="Times New Roman"/>
          <w:sz w:val="24"/>
          <w:szCs w:val="24"/>
        </w:rPr>
        <w:t xml:space="preserve"> This restructuring is however part of what makes Geoffrey’s work so innovative.</w:t>
      </w:r>
      <w:r w:rsidR="00D74304">
        <w:rPr>
          <w:rFonts w:ascii="Times New Roman" w:hAnsi="Times New Roman" w:cs="Times New Roman"/>
          <w:sz w:val="24"/>
          <w:szCs w:val="24"/>
        </w:rPr>
        <w:t xml:space="preserve"> By writing in Latin, the language of authority, and by enclosing his embellishments with factual details he lends his work a feeling of legitimacy. He shows clear control over the pace of the story, placing the Arthurian chapters as the centre piece and heralding it with Merlin’s prophecies in a departure from the style of his contemporaries. He directly challenges the negative attitudes of the time towards his fellow Welshmen and the established perception of the ancient Britons as uncivilised barbarians. Revolutionarily he broke away from the idea that the purpose of history was limited to </w:t>
      </w:r>
      <w:r w:rsidR="002F66D8">
        <w:rPr>
          <w:rFonts w:ascii="Times New Roman" w:hAnsi="Times New Roman" w:cs="Times New Roman"/>
          <w:sz w:val="24"/>
          <w:szCs w:val="24"/>
        </w:rPr>
        <w:t>religious didacticism, sparing little time for divine providence. He potentially put forth the notion of the legitimacy of female rule, and helped to establish Arthur and Merlin as the figures of legend we know today. Clearly the Historia Regum Britanniae is a truly innovative piece of work, and as such its enduring popularity and influence is no surprise.</w:t>
      </w:r>
    </w:p>
    <w:p w:rsidR="000B7E30" w:rsidRDefault="000B7E30">
      <w:pPr>
        <w:rPr>
          <w:rFonts w:ascii="Times New Roman" w:hAnsi="Times New Roman" w:cs="Times New Roman"/>
          <w:sz w:val="24"/>
          <w:szCs w:val="24"/>
        </w:rPr>
      </w:pPr>
      <w:r>
        <w:rPr>
          <w:rFonts w:ascii="Times New Roman" w:hAnsi="Times New Roman" w:cs="Times New Roman"/>
          <w:sz w:val="24"/>
          <w:szCs w:val="24"/>
        </w:rPr>
        <w:br w:type="page"/>
      </w:r>
    </w:p>
    <w:p w:rsidR="000B7E30" w:rsidRDefault="000B7E30" w:rsidP="007E2138">
      <w:pPr>
        <w:spacing w:line="480" w:lineRule="auto"/>
        <w:rPr>
          <w:rFonts w:ascii="Times New Roman" w:hAnsi="Times New Roman" w:cs="Times New Roman"/>
          <w:sz w:val="24"/>
          <w:szCs w:val="24"/>
        </w:rPr>
      </w:pPr>
      <w:r>
        <w:rPr>
          <w:rFonts w:ascii="Times New Roman" w:hAnsi="Times New Roman" w:cs="Times New Roman"/>
          <w:sz w:val="24"/>
          <w:szCs w:val="24"/>
          <w:u w:val="single"/>
        </w:rPr>
        <w:lastRenderedPageBreak/>
        <w:t>Bibliography</w:t>
      </w:r>
    </w:p>
    <w:p w:rsidR="00C338AB" w:rsidRDefault="00C338AB" w:rsidP="00CF3359">
      <w:pPr>
        <w:spacing w:line="240" w:lineRule="auto"/>
        <w:rPr>
          <w:rFonts w:ascii="Times New Roman" w:hAnsi="Times New Roman" w:cs="Times New Roman"/>
          <w:sz w:val="24"/>
          <w:szCs w:val="24"/>
        </w:rPr>
      </w:pPr>
      <w:r w:rsidRPr="00C338AB">
        <w:rPr>
          <w:rFonts w:ascii="Times New Roman" w:hAnsi="Times New Roman" w:cs="Times New Roman"/>
          <w:sz w:val="24"/>
          <w:szCs w:val="24"/>
        </w:rPr>
        <w:t>Armitage</w:t>
      </w:r>
      <w:r>
        <w:rPr>
          <w:rFonts w:ascii="Times New Roman" w:hAnsi="Times New Roman" w:cs="Times New Roman"/>
          <w:sz w:val="24"/>
          <w:szCs w:val="24"/>
        </w:rPr>
        <w:t>, S.</w:t>
      </w:r>
      <w:r w:rsidRPr="00C338AB">
        <w:rPr>
          <w:rFonts w:ascii="Times New Roman" w:hAnsi="Times New Roman" w:cs="Times New Roman"/>
          <w:sz w:val="24"/>
          <w:szCs w:val="24"/>
        </w:rPr>
        <w:t xml:space="preserve">, </w:t>
      </w:r>
      <w:r w:rsidRPr="00C338AB">
        <w:rPr>
          <w:rFonts w:ascii="Times New Roman" w:hAnsi="Times New Roman" w:cs="Times New Roman"/>
          <w:i/>
          <w:sz w:val="24"/>
          <w:szCs w:val="24"/>
        </w:rPr>
        <w:t xml:space="preserve">Sir Gawain and the Green Knight, </w:t>
      </w:r>
      <w:r w:rsidRPr="00C338AB">
        <w:rPr>
          <w:rFonts w:ascii="Times New Roman" w:hAnsi="Times New Roman" w:cs="Times New Roman"/>
          <w:sz w:val="24"/>
          <w:szCs w:val="24"/>
        </w:rPr>
        <w:t>(London: Faber &amp; Faber, 2007).</w:t>
      </w:r>
    </w:p>
    <w:p w:rsidR="00E847F0" w:rsidRDefault="00E847F0" w:rsidP="00CF3359">
      <w:pPr>
        <w:spacing w:line="240" w:lineRule="auto"/>
        <w:rPr>
          <w:rFonts w:ascii="Times New Roman" w:hAnsi="Times New Roman" w:cs="Times New Roman"/>
          <w:sz w:val="24"/>
          <w:szCs w:val="24"/>
        </w:rPr>
      </w:pPr>
      <w:r w:rsidRPr="00E847F0">
        <w:rPr>
          <w:rFonts w:ascii="Times New Roman" w:hAnsi="Times New Roman" w:cs="Times New Roman"/>
          <w:i/>
          <w:sz w:val="24"/>
          <w:szCs w:val="24"/>
        </w:rPr>
        <w:t xml:space="preserve">Beowulf, </w:t>
      </w:r>
      <w:r w:rsidRPr="00E847F0">
        <w:rPr>
          <w:rFonts w:ascii="Times New Roman" w:hAnsi="Times New Roman" w:cs="Times New Roman"/>
          <w:sz w:val="24"/>
          <w:szCs w:val="24"/>
        </w:rPr>
        <w:t>ed. Swanton</w:t>
      </w:r>
      <w:r>
        <w:rPr>
          <w:rFonts w:ascii="Times New Roman" w:hAnsi="Times New Roman" w:cs="Times New Roman"/>
          <w:sz w:val="24"/>
          <w:szCs w:val="24"/>
        </w:rPr>
        <w:t>, M.</w:t>
      </w:r>
      <w:r w:rsidRPr="00E847F0">
        <w:rPr>
          <w:rFonts w:ascii="Times New Roman" w:hAnsi="Times New Roman" w:cs="Times New Roman"/>
          <w:i/>
          <w:sz w:val="24"/>
          <w:szCs w:val="24"/>
        </w:rPr>
        <w:t xml:space="preserve"> </w:t>
      </w:r>
      <w:r w:rsidRPr="00E847F0">
        <w:rPr>
          <w:rFonts w:ascii="Times New Roman" w:hAnsi="Times New Roman" w:cs="Times New Roman"/>
          <w:sz w:val="24"/>
          <w:szCs w:val="24"/>
        </w:rPr>
        <w:t>(Manchester: Manchester University Press, 1997).</w:t>
      </w:r>
    </w:p>
    <w:p w:rsidR="009A173E" w:rsidRDefault="009A173E" w:rsidP="00CF3359">
      <w:pPr>
        <w:spacing w:line="240" w:lineRule="auto"/>
        <w:rPr>
          <w:rFonts w:ascii="Times New Roman" w:hAnsi="Times New Roman" w:cs="Times New Roman"/>
          <w:sz w:val="24"/>
          <w:szCs w:val="24"/>
        </w:rPr>
      </w:pPr>
      <w:r w:rsidRPr="009A173E">
        <w:rPr>
          <w:rFonts w:ascii="Times New Roman" w:hAnsi="Times New Roman" w:cs="Times New Roman"/>
          <w:sz w:val="24"/>
          <w:szCs w:val="24"/>
        </w:rPr>
        <w:t>Charles-Edwards</w:t>
      </w:r>
      <w:r>
        <w:rPr>
          <w:rFonts w:ascii="Times New Roman" w:hAnsi="Times New Roman" w:cs="Times New Roman"/>
          <w:sz w:val="24"/>
          <w:szCs w:val="24"/>
        </w:rPr>
        <w:t>, T.</w:t>
      </w:r>
      <w:r w:rsidRPr="009A173E">
        <w:rPr>
          <w:rFonts w:ascii="Times New Roman" w:hAnsi="Times New Roman" w:cs="Times New Roman"/>
          <w:sz w:val="24"/>
          <w:szCs w:val="24"/>
        </w:rPr>
        <w:t xml:space="preserve">, ‘The Arthur of History’ in </w:t>
      </w:r>
      <w:r w:rsidRPr="009A173E">
        <w:rPr>
          <w:rFonts w:ascii="Times New Roman" w:hAnsi="Times New Roman" w:cs="Times New Roman"/>
          <w:i/>
          <w:sz w:val="24"/>
          <w:szCs w:val="24"/>
        </w:rPr>
        <w:t xml:space="preserve">The Arthur of the Welsh, </w:t>
      </w:r>
      <w:r w:rsidRPr="009A173E">
        <w:rPr>
          <w:rFonts w:ascii="Times New Roman" w:hAnsi="Times New Roman" w:cs="Times New Roman"/>
          <w:sz w:val="24"/>
          <w:szCs w:val="24"/>
        </w:rPr>
        <w:t>(eds) Bromwich</w:t>
      </w:r>
      <w:r>
        <w:rPr>
          <w:rFonts w:ascii="Times New Roman" w:hAnsi="Times New Roman" w:cs="Times New Roman"/>
          <w:sz w:val="24"/>
          <w:szCs w:val="24"/>
        </w:rPr>
        <w:t>, R.</w:t>
      </w:r>
      <w:r w:rsidRPr="009A173E">
        <w:rPr>
          <w:rFonts w:ascii="Times New Roman" w:hAnsi="Times New Roman" w:cs="Times New Roman"/>
          <w:sz w:val="24"/>
          <w:szCs w:val="24"/>
        </w:rPr>
        <w:t xml:space="preserve"> et al., (Cardiff: University of Wales Press, 1991)</w:t>
      </w:r>
      <w:r>
        <w:rPr>
          <w:rFonts w:ascii="Times New Roman" w:hAnsi="Times New Roman" w:cs="Times New Roman"/>
          <w:sz w:val="24"/>
          <w:szCs w:val="24"/>
        </w:rPr>
        <w:t>.</w:t>
      </w:r>
    </w:p>
    <w:p w:rsidR="00EF1FC8" w:rsidRDefault="00EF1FC8" w:rsidP="00CF3359">
      <w:pPr>
        <w:spacing w:line="240" w:lineRule="auto"/>
        <w:rPr>
          <w:rFonts w:ascii="Times New Roman" w:hAnsi="Times New Roman" w:cs="Times New Roman"/>
          <w:sz w:val="24"/>
          <w:szCs w:val="24"/>
        </w:rPr>
      </w:pPr>
      <w:r w:rsidRPr="00EF1FC8">
        <w:rPr>
          <w:rFonts w:ascii="Times New Roman" w:hAnsi="Times New Roman" w:cs="Times New Roman"/>
          <w:sz w:val="24"/>
          <w:szCs w:val="24"/>
        </w:rPr>
        <w:t>Crick</w:t>
      </w:r>
      <w:r>
        <w:rPr>
          <w:rFonts w:ascii="Times New Roman" w:hAnsi="Times New Roman" w:cs="Times New Roman"/>
          <w:sz w:val="24"/>
          <w:szCs w:val="24"/>
        </w:rPr>
        <w:t>, J.</w:t>
      </w:r>
      <w:r w:rsidRPr="00EF1FC8">
        <w:rPr>
          <w:rFonts w:ascii="Times New Roman" w:hAnsi="Times New Roman" w:cs="Times New Roman"/>
          <w:sz w:val="24"/>
          <w:szCs w:val="24"/>
        </w:rPr>
        <w:t xml:space="preserve">, ‘The British Past and the Welsh Future; Gerald of Wales, Geoffrey of Monmouth and Arthur of Britain’, </w:t>
      </w:r>
      <w:r w:rsidRPr="00EF1FC8">
        <w:rPr>
          <w:rFonts w:ascii="Times New Roman" w:hAnsi="Times New Roman" w:cs="Times New Roman"/>
          <w:i/>
          <w:sz w:val="24"/>
          <w:szCs w:val="24"/>
        </w:rPr>
        <w:t xml:space="preserve">Celtica, </w:t>
      </w:r>
      <w:r w:rsidRPr="00EF1FC8">
        <w:rPr>
          <w:rFonts w:ascii="Times New Roman" w:hAnsi="Times New Roman" w:cs="Times New Roman"/>
          <w:sz w:val="24"/>
          <w:szCs w:val="24"/>
        </w:rPr>
        <w:t>23, (1999), 60-75</w:t>
      </w:r>
      <w:r>
        <w:rPr>
          <w:rFonts w:ascii="Times New Roman" w:hAnsi="Times New Roman" w:cs="Times New Roman"/>
          <w:sz w:val="24"/>
          <w:szCs w:val="24"/>
        </w:rPr>
        <w:t>.</w:t>
      </w:r>
    </w:p>
    <w:p w:rsidR="006B4206" w:rsidRDefault="006B4206" w:rsidP="00CF3359">
      <w:pPr>
        <w:spacing w:line="240" w:lineRule="auto"/>
        <w:rPr>
          <w:rFonts w:ascii="Times New Roman" w:hAnsi="Times New Roman" w:cs="Times New Roman"/>
          <w:sz w:val="24"/>
          <w:szCs w:val="24"/>
        </w:rPr>
      </w:pPr>
      <w:r w:rsidRPr="006B4206">
        <w:rPr>
          <w:rFonts w:ascii="Times New Roman" w:hAnsi="Times New Roman" w:cs="Times New Roman"/>
          <w:sz w:val="24"/>
          <w:szCs w:val="24"/>
        </w:rPr>
        <w:t>Davies</w:t>
      </w:r>
      <w:r w:rsidR="00C338AB">
        <w:rPr>
          <w:rFonts w:ascii="Times New Roman" w:hAnsi="Times New Roman" w:cs="Times New Roman"/>
          <w:sz w:val="24"/>
          <w:szCs w:val="24"/>
        </w:rPr>
        <w:t>, S.</w:t>
      </w:r>
      <w:r w:rsidRPr="006B4206">
        <w:rPr>
          <w:rFonts w:ascii="Times New Roman" w:hAnsi="Times New Roman" w:cs="Times New Roman"/>
          <w:sz w:val="24"/>
          <w:szCs w:val="24"/>
        </w:rPr>
        <w:t xml:space="preserve">, </w:t>
      </w:r>
      <w:r w:rsidRPr="006B4206">
        <w:rPr>
          <w:rFonts w:ascii="Times New Roman" w:hAnsi="Times New Roman" w:cs="Times New Roman"/>
          <w:i/>
          <w:sz w:val="24"/>
          <w:szCs w:val="24"/>
        </w:rPr>
        <w:t xml:space="preserve">The Mabinogion, </w:t>
      </w:r>
      <w:r w:rsidRPr="006B4206">
        <w:rPr>
          <w:rFonts w:ascii="Times New Roman" w:hAnsi="Times New Roman" w:cs="Times New Roman"/>
          <w:sz w:val="24"/>
          <w:szCs w:val="24"/>
        </w:rPr>
        <w:t>(Oxford: Ox</w:t>
      </w:r>
      <w:r w:rsidR="00EF1FC8">
        <w:rPr>
          <w:rFonts w:ascii="Times New Roman" w:hAnsi="Times New Roman" w:cs="Times New Roman"/>
          <w:sz w:val="24"/>
          <w:szCs w:val="24"/>
        </w:rPr>
        <w:t>.</w:t>
      </w:r>
      <w:r w:rsidRPr="006B4206">
        <w:rPr>
          <w:rFonts w:ascii="Times New Roman" w:hAnsi="Times New Roman" w:cs="Times New Roman"/>
          <w:sz w:val="24"/>
          <w:szCs w:val="24"/>
        </w:rPr>
        <w:t>ford University Press, 2007).</w:t>
      </w:r>
    </w:p>
    <w:p w:rsidR="008203AC" w:rsidRDefault="008203AC" w:rsidP="00CF3359">
      <w:pPr>
        <w:spacing w:line="240" w:lineRule="auto"/>
        <w:rPr>
          <w:rFonts w:ascii="Times New Roman" w:hAnsi="Times New Roman" w:cs="Times New Roman"/>
          <w:sz w:val="24"/>
          <w:szCs w:val="24"/>
        </w:rPr>
      </w:pPr>
      <w:r w:rsidRPr="008203AC">
        <w:rPr>
          <w:rFonts w:ascii="Times New Roman" w:hAnsi="Times New Roman" w:cs="Times New Roman"/>
          <w:sz w:val="24"/>
          <w:szCs w:val="24"/>
        </w:rPr>
        <w:t>Echard</w:t>
      </w:r>
      <w:r>
        <w:rPr>
          <w:rFonts w:ascii="Times New Roman" w:hAnsi="Times New Roman" w:cs="Times New Roman"/>
          <w:sz w:val="24"/>
          <w:szCs w:val="24"/>
        </w:rPr>
        <w:t>, S.</w:t>
      </w:r>
      <w:r w:rsidRPr="008203AC">
        <w:rPr>
          <w:rFonts w:ascii="Times New Roman" w:hAnsi="Times New Roman" w:cs="Times New Roman"/>
          <w:sz w:val="24"/>
          <w:szCs w:val="24"/>
        </w:rPr>
        <w:t xml:space="preserve">, </w:t>
      </w:r>
      <w:r w:rsidRPr="008203AC">
        <w:rPr>
          <w:rFonts w:ascii="Times New Roman" w:hAnsi="Times New Roman" w:cs="Times New Roman"/>
          <w:i/>
          <w:sz w:val="24"/>
          <w:szCs w:val="24"/>
        </w:rPr>
        <w:t xml:space="preserve">Arthurian Narrative in the Latin Tradition, </w:t>
      </w:r>
      <w:r w:rsidRPr="008203AC">
        <w:rPr>
          <w:rFonts w:ascii="Times New Roman" w:hAnsi="Times New Roman" w:cs="Times New Roman"/>
          <w:sz w:val="24"/>
          <w:szCs w:val="24"/>
        </w:rPr>
        <w:t>(Cambridge: Cambridge University Press, 1998</w:t>
      </w:r>
      <w:r>
        <w:rPr>
          <w:rFonts w:ascii="Times New Roman" w:hAnsi="Times New Roman" w:cs="Times New Roman"/>
          <w:sz w:val="24"/>
          <w:szCs w:val="24"/>
        </w:rPr>
        <w:t>).</w:t>
      </w:r>
    </w:p>
    <w:p w:rsidR="000B7E30" w:rsidRDefault="000B7E30" w:rsidP="00CF3359">
      <w:pPr>
        <w:spacing w:line="240" w:lineRule="auto"/>
        <w:rPr>
          <w:rFonts w:ascii="Times New Roman" w:hAnsi="Times New Roman" w:cs="Times New Roman"/>
          <w:sz w:val="24"/>
          <w:szCs w:val="24"/>
        </w:rPr>
      </w:pPr>
      <w:r w:rsidRPr="000B7E30">
        <w:rPr>
          <w:rFonts w:ascii="Times New Roman" w:hAnsi="Times New Roman" w:cs="Times New Roman"/>
          <w:sz w:val="24"/>
          <w:szCs w:val="24"/>
        </w:rPr>
        <w:t>Giles</w:t>
      </w:r>
      <w:r>
        <w:rPr>
          <w:rFonts w:ascii="Times New Roman" w:hAnsi="Times New Roman" w:cs="Times New Roman"/>
          <w:sz w:val="24"/>
          <w:szCs w:val="24"/>
        </w:rPr>
        <w:t>, J.A.</w:t>
      </w:r>
      <w:r w:rsidRPr="000B7E30">
        <w:rPr>
          <w:rFonts w:ascii="Times New Roman" w:hAnsi="Times New Roman" w:cs="Times New Roman"/>
          <w:sz w:val="24"/>
          <w:szCs w:val="24"/>
        </w:rPr>
        <w:t xml:space="preserve">, </w:t>
      </w:r>
      <w:r w:rsidRPr="000B7E30">
        <w:rPr>
          <w:rFonts w:ascii="Times New Roman" w:hAnsi="Times New Roman" w:cs="Times New Roman"/>
          <w:i/>
          <w:sz w:val="24"/>
          <w:szCs w:val="24"/>
        </w:rPr>
        <w:t xml:space="preserve">History of the Britons (Historia Brittonum), </w:t>
      </w:r>
      <w:r w:rsidRPr="000B7E30">
        <w:rPr>
          <w:rFonts w:ascii="Times New Roman" w:hAnsi="Times New Roman" w:cs="Times New Roman"/>
          <w:sz w:val="24"/>
          <w:szCs w:val="24"/>
        </w:rPr>
        <w:t xml:space="preserve">(Urbana, Illinois: Project Gutenberg, 2006), available at </w:t>
      </w:r>
      <w:hyperlink r:id="rId9" w:history="1">
        <w:r w:rsidRPr="000B7E30">
          <w:rPr>
            <w:rStyle w:val="Hyperlink"/>
            <w:rFonts w:ascii="Times New Roman" w:hAnsi="Times New Roman" w:cs="Times New Roman"/>
            <w:sz w:val="24"/>
            <w:szCs w:val="24"/>
          </w:rPr>
          <w:t>http://www.gutenberg.org/files/1972/1972-h/1972-h.htm</w:t>
        </w:r>
      </w:hyperlink>
      <w:r w:rsidRPr="000B7E30">
        <w:rPr>
          <w:rFonts w:ascii="Times New Roman" w:hAnsi="Times New Roman" w:cs="Times New Roman"/>
          <w:sz w:val="24"/>
          <w:szCs w:val="24"/>
        </w:rPr>
        <w:t xml:space="preserve"> (Accessed 18th December 2018).</w:t>
      </w:r>
    </w:p>
    <w:p w:rsidR="00653C59" w:rsidRDefault="00653C59" w:rsidP="00CF3359">
      <w:pPr>
        <w:spacing w:line="240" w:lineRule="auto"/>
        <w:rPr>
          <w:rFonts w:ascii="Times New Roman" w:hAnsi="Times New Roman" w:cs="Times New Roman"/>
          <w:sz w:val="24"/>
          <w:szCs w:val="24"/>
        </w:rPr>
      </w:pPr>
      <w:r w:rsidRPr="00653C59">
        <w:rPr>
          <w:rFonts w:ascii="Times New Roman" w:hAnsi="Times New Roman" w:cs="Times New Roman"/>
          <w:sz w:val="24"/>
          <w:szCs w:val="24"/>
        </w:rPr>
        <w:t>Giles</w:t>
      </w:r>
      <w:r>
        <w:rPr>
          <w:rFonts w:ascii="Times New Roman" w:hAnsi="Times New Roman" w:cs="Times New Roman"/>
          <w:sz w:val="24"/>
          <w:szCs w:val="24"/>
        </w:rPr>
        <w:t>, J.A.</w:t>
      </w:r>
      <w:r w:rsidRPr="00653C59">
        <w:rPr>
          <w:rFonts w:ascii="Times New Roman" w:hAnsi="Times New Roman" w:cs="Times New Roman"/>
          <w:sz w:val="24"/>
          <w:szCs w:val="24"/>
        </w:rPr>
        <w:t xml:space="preserve">, </w:t>
      </w:r>
      <w:r w:rsidRPr="00653C59">
        <w:rPr>
          <w:rFonts w:ascii="Times New Roman" w:hAnsi="Times New Roman" w:cs="Times New Roman"/>
          <w:i/>
          <w:sz w:val="24"/>
          <w:szCs w:val="24"/>
        </w:rPr>
        <w:t xml:space="preserve">On the Ruin of Britain by Gildas, </w:t>
      </w:r>
      <w:r w:rsidRPr="00653C59">
        <w:rPr>
          <w:rFonts w:ascii="Times New Roman" w:hAnsi="Times New Roman" w:cs="Times New Roman"/>
          <w:sz w:val="24"/>
          <w:szCs w:val="24"/>
        </w:rPr>
        <w:t xml:space="preserve">(Urbana, Illinois: Project Gutenberg, 1999), available at </w:t>
      </w:r>
      <w:hyperlink r:id="rId10" w:history="1">
        <w:r w:rsidRPr="00653C59">
          <w:rPr>
            <w:rStyle w:val="Hyperlink"/>
            <w:rFonts w:ascii="Times New Roman" w:hAnsi="Times New Roman" w:cs="Times New Roman"/>
            <w:sz w:val="24"/>
            <w:szCs w:val="24"/>
          </w:rPr>
          <w:t>http://www.gutenberg.org/cache/epub/1949/pg1949-images.html</w:t>
        </w:r>
      </w:hyperlink>
      <w:r w:rsidRPr="00653C59">
        <w:rPr>
          <w:rFonts w:ascii="Times New Roman" w:hAnsi="Times New Roman" w:cs="Times New Roman"/>
          <w:sz w:val="24"/>
          <w:szCs w:val="24"/>
        </w:rPr>
        <w:t xml:space="preserve"> (Accessed 18th December 2018).</w:t>
      </w:r>
    </w:p>
    <w:p w:rsidR="00704A23" w:rsidRDefault="00704A23" w:rsidP="00CF3359">
      <w:pPr>
        <w:spacing w:line="240" w:lineRule="auto"/>
        <w:rPr>
          <w:rFonts w:ascii="Times New Roman" w:hAnsi="Times New Roman" w:cs="Times New Roman"/>
          <w:sz w:val="24"/>
          <w:szCs w:val="24"/>
        </w:rPr>
      </w:pPr>
      <w:r w:rsidRPr="00704A23">
        <w:rPr>
          <w:rFonts w:ascii="Times New Roman" w:hAnsi="Times New Roman" w:cs="Times New Roman"/>
          <w:sz w:val="24"/>
          <w:szCs w:val="24"/>
        </w:rPr>
        <w:t>Gillingham</w:t>
      </w:r>
      <w:r>
        <w:rPr>
          <w:rFonts w:ascii="Times New Roman" w:hAnsi="Times New Roman" w:cs="Times New Roman"/>
          <w:sz w:val="24"/>
          <w:szCs w:val="24"/>
        </w:rPr>
        <w:t>, J.</w:t>
      </w:r>
      <w:r w:rsidRPr="00704A23">
        <w:rPr>
          <w:rFonts w:ascii="Times New Roman" w:hAnsi="Times New Roman" w:cs="Times New Roman"/>
          <w:sz w:val="24"/>
          <w:szCs w:val="24"/>
        </w:rPr>
        <w:t xml:space="preserve">, ‘The Context and Purpose of Geoffrey of Monmouth’s History of the Kings of Britain’, </w:t>
      </w:r>
      <w:r w:rsidRPr="00704A23">
        <w:rPr>
          <w:rFonts w:ascii="Times New Roman" w:hAnsi="Times New Roman" w:cs="Times New Roman"/>
          <w:i/>
          <w:sz w:val="24"/>
          <w:szCs w:val="24"/>
        </w:rPr>
        <w:t xml:space="preserve">Anglo-Norman Studies, </w:t>
      </w:r>
      <w:r w:rsidRPr="00704A23">
        <w:rPr>
          <w:rFonts w:ascii="Times New Roman" w:hAnsi="Times New Roman" w:cs="Times New Roman"/>
          <w:sz w:val="24"/>
          <w:szCs w:val="24"/>
        </w:rPr>
        <w:t>13, (1990), 99-118</w:t>
      </w:r>
      <w:r>
        <w:rPr>
          <w:rFonts w:ascii="Times New Roman" w:hAnsi="Times New Roman" w:cs="Times New Roman"/>
          <w:sz w:val="24"/>
          <w:szCs w:val="24"/>
        </w:rPr>
        <w:t>.</w:t>
      </w:r>
    </w:p>
    <w:p w:rsidR="009810BB" w:rsidRDefault="009810BB" w:rsidP="00CF3359">
      <w:pPr>
        <w:spacing w:line="240" w:lineRule="auto"/>
        <w:rPr>
          <w:rFonts w:ascii="Times New Roman" w:hAnsi="Times New Roman" w:cs="Times New Roman"/>
          <w:sz w:val="24"/>
          <w:szCs w:val="24"/>
        </w:rPr>
      </w:pPr>
      <w:r w:rsidRPr="009810BB">
        <w:rPr>
          <w:rFonts w:ascii="Times New Roman" w:hAnsi="Times New Roman" w:cs="Times New Roman"/>
          <w:sz w:val="24"/>
          <w:szCs w:val="24"/>
        </w:rPr>
        <w:t>Griffiths</w:t>
      </w:r>
      <w:r>
        <w:rPr>
          <w:rFonts w:ascii="Times New Roman" w:hAnsi="Times New Roman" w:cs="Times New Roman"/>
          <w:sz w:val="24"/>
          <w:szCs w:val="24"/>
        </w:rPr>
        <w:t>, M.E.</w:t>
      </w:r>
      <w:r w:rsidRPr="009810BB">
        <w:rPr>
          <w:rFonts w:ascii="Times New Roman" w:hAnsi="Times New Roman" w:cs="Times New Roman"/>
          <w:sz w:val="24"/>
          <w:szCs w:val="24"/>
        </w:rPr>
        <w:t xml:space="preserve">, </w:t>
      </w:r>
      <w:r w:rsidRPr="009810BB">
        <w:rPr>
          <w:rFonts w:ascii="Times New Roman" w:hAnsi="Times New Roman" w:cs="Times New Roman"/>
          <w:i/>
          <w:sz w:val="24"/>
          <w:szCs w:val="24"/>
        </w:rPr>
        <w:t xml:space="preserve">Early Vaticination in Welsh with English Parallels, </w:t>
      </w:r>
      <w:r w:rsidRPr="009810BB">
        <w:rPr>
          <w:rFonts w:ascii="Times New Roman" w:hAnsi="Times New Roman" w:cs="Times New Roman"/>
          <w:sz w:val="24"/>
          <w:szCs w:val="24"/>
        </w:rPr>
        <w:t>(Cardiff: University of Wales Press, 1937</w:t>
      </w:r>
      <w:r>
        <w:rPr>
          <w:rFonts w:ascii="Times New Roman" w:hAnsi="Times New Roman" w:cs="Times New Roman"/>
          <w:sz w:val="24"/>
          <w:szCs w:val="24"/>
        </w:rPr>
        <w:t>).</w:t>
      </w:r>
    </w:p>
    <w:p w:rsidR="00532F86" w:rsidRDefault="00532F86" w:rsidP="00CF3359">
      <w:pPr>
        <w:spacing w:line="240" w:lineRule="auto"/>
        <w:rPr>
          <w:rFonts w:ascii="Times New Roman" w:hAnsi="Times New Roman" w:cs="Times New Roman"/>
          <w:sz w:val="24"/>
          <w:szCs w:val="24"/>
        </w:rPr>
      </w:pPr>
      <w:r w:rsidRPr="00532F86">
        <w:rPr>
          <w:rFonts w:ascii="Times New Roman" w:hAnsi="Times New Roman" w:cs="Times New Roman"/>
          <w:sz w:val="24"/>
          <w:szCs w:val="24"/>
        </w:rPr>
        <w:t>Jarman</w:t>
      </w:r>
      <w:r>
        <w:rPr>
          <w:rFonts w:ascii="Times New Roman" w:hAnsi="Times New Roman" w:cs="Times New Roman"/>
          <w:sz w:val="24"/>
          <w:szCs w:val="24"/>
        </w:rPr>
        <w:t>, A.O.H.</w:t>
      </w:r>
      <w:r w:rsidRPr="00532F86">
        <w:rPr>
          <w:rFonts w:ascii="Times New Roman" w:hAnsi="Times New Roman" w:cs="Times New Roman"/>
          <w:sz w:val="24"/>
          <w:szCs w:val="24"/>
        </w:rPr>
        <w:t xml:space="preserve">, ‘Early Stages in the Development of the Myrddin Legend’ in </w:t>
      </w:r>
      <w:r w:rsidRPr="00532F86">
        <w:rPr>
          <w:rFonts w:ascii="Times New Roman" w:hAnsi="Times New Roman" w:cs="Times New Roman"/>
          <w:i/>
          <w:sz w:val="24"/>
          <w:szCs w:val="24"/>
        </w:rPr>
        <w:t>Astudiaethau ar yr hengerdd</w:t>
      </w:r>
      <w:r w:rsidRPr="00532F86">
        <w:rPr>
          <w:rFonts w:ascii="Times New Roman" w:hAnsi="Times New Roman" w:cs="Times New Roman"/>
          <w:sz w:val="24"/>
          <w:szCs w:val="24"/>
        </w:rPr>
        <w:t>, (eds.) Bromwich</w:t>
      </w:r>
      <w:r>
        <w:rPr>
          <w:rFonts w:ascii="Times New Roman" w:hAnsi="Times New Roman" w:cs="Times New Roman"/>
          <w:sz w:val="24"/>
          <w:szCs w:val="24"/>
        </w:rPr>
        <w:t>, R.</w:t>
      </w:r>
      <w:r w:rsidRPr="00532F86">
        <w:rPr>
          <w:rFonts w:ascii="Times New Roman" w:hAnsi="Times New Roman" w:cs="Times New Roman"/>
          <w:sz w:val="24"/>
          <w:szCs w:val="24"/>
        </w:rPr>
        <w:t xml:space="preserve"> and Jones</w:t>
      </w:r>
      <w:r>
        <w:rPr>
          <w:rFonts w:ascii="Times New Roman" w:hAnsi="Times New Roman" w:cs="Times New Roman"/>
          <w:sz w:val="24"/>
          <w:szCs w:val="24"/>
        </w:rPr>
        <w:t>, R.B.</w:t>
      </w:r>
      <w:r w:rsidRPr="00532F86">
        <w:rPr>
          <w:rFonts w:ascii="Times New Roman" w:hAnsi="Times New Roman" w:cs="Times New Roman"/>
          <w:sz w:val="24"/>
          <w:szCs w:val="24"/>
        </w:rPr>
        <w:t>, (Cardiff: University of Wales Press, 1978)</w:t>
      </w:r>
      <w:r>
        <w:rPr>
          <w:rFonts w:ascii="Times New Roman" w:hAnsi="Times New Roman" w:cs="Times New Roman"/>
          <w:sz w:val="24"/>
          <w:szCs w:val="24"/>
        </w:rPr>
        <w:t>.</w:t>
      </w:r>
    </w:p>
    <w:p w:rsidR="009E5002" w:rsidRDefault="009E5002" w:rsidP="00CF3359">
      <w:pPr>
        <w:spacing w:line="240" w:lineRule="auto"/>
        <w:rPr>
          <w:rFonts w:ascii="Times New Roman" w:hAnsi="Times New Roman" w:cs="Times New Roman"/>
          <w:sz w:val="24"/>
          <w:szCs w:val="24"/>
        </w:rPr>
      </w:pPr>
      <w:r w:rsidRPr="009E5002">
        <w:rPr>
          <w:rFonts w:ascii="Times New Roman" w:hAnsi="Times New Roman" w:cs="Times New Roman"/>
          <w:sz w:val="24"/>
          <w:szCs w:val="24"/>
        </w:rPr>
        <w:t>Jarman</w:t>
      </w:r>
      <w:r>
        <w:rPr>
          <w:rFonts w:ascii="Times New Roman" w:hAnsi="Times New Roman" w:cs="Times New Roman"/>
          <w:sz w:val="24"/>
          <w:szCs w:val="24"/>
        </w:rPr>
        <w:t>, A.O.H.</w:t>
      </w:r>
      <w:r w:rsidRPr="009E5002">
        <w:rPr>
          <w:rFonts w:ascii="Times New Roman" w:hAnsi="Times New Roman" w:cs="Times New Roman"/>
          <w:sz w:val="24"/>
          <w:szCs w:val="24"/>
        </w:rPr>
        <w:t xml:space="preserve">, ‘The Arthur Allusions in the Black Book of Carmarthen’ in </w:t>
      </w:r>
      <w:r w:rsidRPr="009E5002">
        <w:rPr>
          <w:rFonts w:ascii="Times New Roman" w:hAnsi="Times New Roman" w:cs="Times New Roman"/>
          <w:i/>
          <w:sz w:val="24"/>
          <w:szCs w:val="24"/>
        </w:rPr>
        <w:t xml:space="preserve">The Legend of Arthur in the Middle Ages, </w:t>
      </w:r>
      <w:r w:rsidRPr="009E5002">
        <w:rPr>
          <w:rFonts w:ascii="Times New Roman" w:hAnsi="Times New Roman" w:cs="Times New Roman"/>
          <w:sz w:val="24"/>
          <w:szCs w:val="24"/>
        </w:rPr>
        <w:t>eds. Grout</w:t>
      </w:r>
      <w:r>
        <w:rPr>
          <w:rFonts w:ascii="Times New Roman" w:hAnsi="Times New Roman" w:cs="Times New Roman"/>
          <w:sz w:val="24"/>
          <w:szCs w:val="24"/>
        </w:rPr>
        <w:t>, P.B.</w:t>
      </w:r>
      <w:r w:rsidRPr="009E5002">
        <w:rPr>
          <w:rFonts w:ascii="Times New Roman" w:hAnsi="Times New Roman" w:cs="Times New Roman"/>
          <w:sz w:val="24"/>
          <w:szCs w:val="24"/>
        </w:rPr>
        <w:t xml:space="preserve"> et al. (Suffolk: Boydell, 1983)</w:t>
      </w:r>
      <w:r>
        <w:rPr>
          <w:rFonts w:ascii="Times New Roman" w:hAnsi="Times New Roman" w:cs="Times New Roman"/>
          <w:sz w:val="24"/>
          <w:szCs w:val="24"/>
        </w:rPr>
        <w:t>.</w:t>
      </w:r>
    </w:p>
    <w:p w:rsidR="00063AD9" w:rsidRDefault="00063AD9" w:rsidP="00CF3359">
      <w:pPr>
        <w:spacing w:line="240" w:lineRule="auto"/>
        <w:rPr>
          <w:rFonts w:ascii="Times New Roman" w:hAnsi="Times New Roman" w:cs="Times New Roman"/>
          <w:sz w:val="24"/>
          <w:szCs w:val="24"/>
        </w:rPr>
      </w:pPr>
      <w:r w:rsidRPr="00063AD9">
        <w:rPr>
          <w:rFonts w:ascii="Times New Roman" w:hAnsi="Times New Roman" w:cs="Times New Roman"/>
          <w:sz w:val="24"/>
          <w:szCs w:val="24"/>
        </w:rPr>
        <w:t xml:space="preserve">Mary Jones, ‘Armes Prydein Vawr’, Celtic Literature Collective, [online]. Available: </w:t>
      </w:r>
      <w:hyperlink r:id="rId11" w:history="1">
        <w:r w:rsidRPr="00063AD9">
          <w:rPr>
            <w:rStyle w:val="Hyperlink"/>
            <w:rFonts w:ascii="Times New Roman" w:hAnsi="Times New Roman" w:cs="Times New Roman"/>
            <w:sz w:val="24"/>
            <w:szCs w:val="24"/>
          </w:rPr>
          <w:t>http://www.maryjones.us/ctexts/t06.html</w:t>
        </w:r>
      </w:hyperlink>
      <w:r w:rsidRPr="00063AD9">
        <w:rPr>
          <w:rFonts w:ascii="Times New Roman" w:hAnsi="Times New Roman" w:cs="Times New Roman"/>
          <w:sz w:val="24"/>
          <w:szCs w:val="24"/>
        </w:rPr>
        <w:t xml:space="preserve"> (Accessed 18th December 2018).</w:t>
      </w:r>
    </w:p>
    <w:p w:rsidR="006B4206" w:rsidRDefault="006B4206" w:rsidP="00CF3359">
      <w:pPr>
        <w:spacing w:line="240" w:lineRule="auto"/>
        <w:rPr>
          <w:rFonts w:ascii="Times New Roman" w:hAnsi="Times New Roman" w:cs="Times New Roman"/>
          <w:sz w:val="24"/>
          <w:szCs w:val="24"/>
        </w:rPr>
      </w:pPr>
      <w:r w:rsidRPr="006B4206">
        <w:rPr>
          <w:rFonts w:ascii="Times New Roman" w:hAnsi="Times New Roman" w:cs="Times New Roman"/>
          <w:sz w:val="24"/>
          <w:szCs w:val="24"/>
        </w:rPr>
        <w:t xml:space="preserve">Mary Jones, ‘Arthur and the Porter’, Celtic Literature Collective, [online]. Available: </w:t>
      </w:r>
      <w:hyperlink r:id="rId12" w:history="1">
        <w:r w:rsidRPr="006B4206">
          <w:rPr>
            <w:rStyle w:val="Hyperlink"/>
            <w:rFonts w:ascii="Times New Roman" w:hAnsi="Times New Roman" w:cs="Times New Roman"/>
            <w:sz w:val="24"/>
            <w:szCs w:val="24"/>
          </w:rPr>
          <w:t>http://www.maryjones.us/ctexts/bbc31.html</w:t>
        </w:r>
      </w:hyperlink>
      <w:r w:rsidRPr="006B4206">
        <w:rPr>
          <w:rFonts w:ascii="Times New Roman" w:hAnsi="Times New Roman" w:cs="Times New Roman"/>
          <w:sz w:val="24"/>
          <w:szCs w:val="24"/>
        </w:rPr>
        <w:t xml:space="preserve"> (Accessed 18th December 2018).</w:t>
      </w:r>
    </w:p>
    <w:p w:rsidR="00566B41" w:rsidRDefault="00566B41" w:rsidP="00CF3359">
      <w:pPr>
        <w:spacing w:line="240" w:lineRule="auto"/>
        <w:rPr>
          <w:rFonts w:ascii="Times New Roman" w:hAnsi="Times New Roman" w:cs="Times New Roman"/>
          <w:sz w:val="24"/>
          <w:szCs w:val="24"/>
        </w:rPr>
      </w:pPr>
      <w:r w:rsidRPr="00566B41">
        <w:rPr>
          <w:rFonts w:ascii="Times New Roman" w:hAnsi="Times New Roman" w:cs="Times New Roman"/>
          <w:sz w:val="24"/>
          <w:szCs w:val="24"/>
        </w:rPr>
        <w:t>Padel</w:t>
      </w:r>
      <w:r>
        <w:rPr>
          <w:rFonts w:ascii="Times New Roman" w:hAnsi="Times New Roman" w:cs="Times New Roman"/>
          <w:sz w:val="24"/>
          <w:szCs w:val="24"/>
        </w:rPr>
        <w:t>, O.J.</w:t>
      </w:r>
      <w:r w:rsidRPr="00566B41">
        <w:rPr>
          <w:rFonts w:ascii="Times New Roman" w:hAnsi="Times New Roman" w:cs="Times New Roman"/>
          <w:sz w:val="24"/>
          <w:szCs w:val="24"/>
        </w:rPr>
        <w:t xml:space="preserve">, </w:t>
      </w:r>
      <w:r w:rsidRPr="00566B41">
        <w:rPr>
          <w:rFonts w:ascii="Times New Roman" w:hAnsi="Times New Roman" w:cs="Times New Roman"/>
          <w:i/>
          <w:sz w:val="24"/>
          <w:szCs w:val="24"/>
        </w:rPr>
        <w:t xml:space="preserve">Arthur in Medieval Welsh Literature, </w:t>
      </w:r>
      <w:r w:rsidRPr="00566B41">
        <w:rPr>
          <w:rFonts w:ascii="Times New Roman" w:hAnsi="Times New Roman" w:cs="Times New Roman"/>
          <w:sz w:val="24"/>
          <w:szCs w:val="24"/>
        </w:rPr>
        <w:t>(Cardiff: University of Wales Press, 2013).</w:t>
      </w:r>
    </w:p>
    <w:p w:rsidR="009E5002" w:rsidRDefault="009E5002" w:rsidP="00CF3359">
      <w:pPr>
        <w:spacing w:line="240" w:lineRule="auto"/>
        <w:rPr>
          <w:rFonts w:ascii="Times New Roman" w:hAnsi="Times New Roman" w:cs="Times New Roman"/>
          <w:sz w:val="24"/>
          <w:szCs w:val="24"/>
        </w:rPr>
      </w:pPr>
      <w:r w:rsidRPr="009E5002">
        <w:rPr>
          <w:rFonts w:ascii="Times New Roman" w:hAnsi="Times New Roman" w:cs="Times New Roman"/>
          <w:sz w:val="24"/>
          <w:szCs w:val="24"/>
        </w:rPr>
        <w:t>Padel</w:t>
      </w:r>
      <w:r>
        <w:rPr>
          <w:rFonts w:ascii="Times New Roman" w:hAnsi="Times New Roman" w:cs="Times New Roman"/>
          <w:sz w:val="24"/>
          <w:szCs w:val="24"/>
        </w:rPr>
        <w:t>, O.J.</w:t>
      </w:r>
      <w:r w:rsidRPr="009E5002">
        <w:rPr>
          <w:rFonts w:ascii="Times New Roman" w:hAnsi="Times New Roman" w:cs="Times New Roman"/>
          <w:sz w:val="24"/>
          <w:szCs w:val="24"/>
        </w:rPr>
        <w:t xml:space="preserve">, ‘Geoffrey of Monmouth and the Development of the Merlin Legend’, </w:t>
      </w:r>
      <w:r w:rsidRPr="009E5002">
        <w:rPr>
          <w:rFonts w:ascii="Times New Roman" w:hAnsi="Times New Roman" w:cs="Times New Roman"/>
          <w:i/>
          <w:sz w:val="24"/>
          <w:szCs w:val="24"/>
        </w:rPr>
        <w:t xml:space="preserve">Cambrian Medieval Celtic Studies, </w:t>
      </w:r>
      <w:r w:rsidRPr="009E5002">
        <w:rPr>
          <w:rFonts w:ascii="Times New Roman" w:hAnsi="Times New Roman" w:cs="Times New Roman"/>
          <w:sz w:val="24"/>
          <w:szCs w:val="24"/>
        </w:rPr>
        <w:t>51, (2006), 36-65</w:t>
      </w:r>
      <w:r>
        <w:rPr>
          <w:rFonts w:ascii="Times New Roman" w:hAnsi="Times New Roman" w:cs="Times New Roman"/>
          <w:sz w:val="24"/>
          <w:szCs w:val="24"/>
        </w:rPr>
        <w:t>.</w:t>
      </w:r>
    </w:p>
    <w:p w:rsidR="00DF04B4" w:rsidRDefault="000B7E30" w:rsidP="00CF3359">
      <w:pPr>
        <w:spacing w:line="240" w:lineRule="auto"/>
        <w:rPr>
          <w:rFonts w:ascii="Times New Roman" w:hAnsi="Times New Roman" w:cs="Times New Roman"/>
          <w:sz w:val="24"/>
          <w:szCs w:val="24"/>
        </w:rPr>
      </w:pPr>
      <w:r w:rsidRPr="000B7E30">
        <w:rPr>
          <w:rFonts w:ascii="Times New Roman" w:hAnsi="Times New Roman" w:cs="Times New Roman"/>
          <w:sz w:val="24"/>
          <w:szCs w:val="24"/>
        </w:rPr>
        <w:t>Padel,</w:t>
      </w:r>
      <w:r>
        <w:rPr>
          <w:rFonts w:ascii="Times New Roman" w:hAnsi="Times New Roman" w:cs="Times New Roman"/>
          <w:sz w:val="24"/>
          <w:szCs w:val="24"/>
        </w:rPr>
        <w:t xml:space="preserve"> O.J.,</w:t>
      </w:r>
      <w:r w:rsidRPr="000B7E30">
        <w:rPr>
          <w:rFonts w:ascii="Times New Roman" w:hAnsi="Times New Roman" w:cs="Times New Roman"/>
          <w:sz w:val="24"/>
          <w:szCs w:val="24"/>
        </w:rPr>
        <w:t xml:space="preserve"> ‘The Nature of Arthur’, </w:t>
      </w:r>
      <w:r w:rsidRPr="000B7E30">
        <w:rPr>
          <w:rFonts w:ascii="Times New Roman" w:hAnsi="Times New Roman" w:cs="Times New Roman"/>
          <w:i/>
          <w:sz w:val="24"/>
          <w:szCs w:val="24"/>
        </w:rPr>
        <w:t>Cambrian Medieval Celtic Studies</w:t>
      </w:r>
      <w:r w:rsidRPr="000B7E30">
        <w:rPr>
          <w:rFonts w:ascii="Times New Roman" w:hAnsi="Times New Roman" w:cs="Times New Roman"/>
          <w:sz w:val="24"/>
          <w:szCs w:val="24"/>
        </w:rPr>
        <w:t>, 27, (1994), 1-31</w:t>
      </w:r>
      <w:r>
        <w:rPr>
          <w:rFonts w:ascii="Times New Roman" w:hAnsi="Times New Roman" w:cs="Times New Roman"/>
          <w:sz w:val="24"/>
          <w:szCs w:val="24"/>
        </w:rPr>
        <w:t>.</w:t>
      </w:r>
      <w:r w:rsidRPr="000B7E30">
        <w:rPr>
          <w:rFonts w:ascii="Times New Roman" w:hAnsi="Times New Roman" w:cs="Times New Roman"/>
          <w:sz w:val="24"/>
          <w:szCs w:val="24"/>
        </w:rPr>
        <w:t xml:space="preserve"> </w:t>
      </w:r>
    </w:p>
    <w:p w:rsidR="00C338AB" w:rsidRDefault="00C338AB" w:rsidP="00CF3359">
      <w:pPr>
        <w:spacing w:line="240" w:lineRule="auto"/>
        <w:rPr>
          <w:rFonts w:ascii="Times New Roman" w:hAnsi="Times New Roman" w:cs="Times New Roman"/>
          <w:sz w:val="24"/>
          <w:szCs w:val="24"/>
        </w:rPr>
      </w:pPr>
      <w:r w:rsidRPr="00C338AB">
        <w:rPr>
          <w:rFonts w:ascii="Times New Roman" w:hAnsi="Times New Roman" w:cs="Times New Roman"/>
          <w:sz w:val="24"/>
          <w:szCs w:val="24"/>
        </w:rPr>
        <w:t xml:space="preserve">Paul Halsall, ‘The Annales Cambriae 447-954’, The Medieval Sourcebook, [online]. Available: </w:t>
      </w:r>
      <w:hyperlink r:id="rId13" w:history="1">
        <w:r w:rsidRPr="00C338AB">
          <w:rPr>
            <w:rStyle w:val="Hyperlink"/>
            <w:rFonts w:ascii="Times New Roman" w:hAnsi="Times New Roman" w:cs="Times New Roman"/>
            <w:sz w:val="24"/>
            <w:szCs w:val="24"/>
          </w:rPr>
          <w:t>https://sourcebooks.fordham.edu/source/annalescambriae.asp</w:t>
        </w:r>
      </w:hyperlink>
      <w:r w:rsidRPr="00C338AB">
        <w:rPr>
          <w:rFonts w:ascii="Times New Roman" w:hAnsi="Times New Roman" w:cs="Times New Roman"/>
          <w:sz w:val="24"/>
          <w:szCs w:val="24"/>
        </w:rPr>
        <w:t xml:space="preserve"> (Accessed 18th December 2018).</w:t>
      </w:r>
    </w:p>
    <w:p w:rsidR="00DF04B4" w:rsidRDefault="00DF04B4" w:rsidP="00CF3359">
      <w:pPr>
        <w:spacing w:line="240" w:lineRule="auto"/>
        <w:rPr>
          <w:rFonts w:ascii="Times New Roman" w:hAnsi="Times New Roman" w:cs="Times New Roman"/>
          <w:sz w:val="24"/>
          <w:szCs w:val="24"/>
        </w:rPr>
      </w:pPr>
      <w:r w:rsidRPr="00DF04B4">
        <w:rPr>
          <w:rFonts w:ascii="Times New Roman" w:hAnsi="Times New Roman" w:cs="Times New Roman"/>
          <w:sz w:val="24"/>
          <w:szCs w:val="24"/>
        </w:rPr>
        <w:t>Pennar</w:t>
      </w:r>
      <w:r>
        <w:rPr>
          <w:rFonts w:ascii="Times New Roman" w:hAnsi="Times New Roman" w:cs="Times New Roman"/>
          <w:sz w:val="24"/>
          <w:szCs w:val="24"/>
        </w:rPr>
        <w:t>, M.</w:t>
      </w:r>
      <w:r w:rsidRPr="00DF04B4">
        <w:rPr>
          <w:rFonts w:ascii="Times New Roman" w:hAnsi="Times New Roman" w:cs="Times New Roman"/>
          <w:sz w:val="24"/>
          <w:szCs w:val="24"/>
        </w:rPr>
        <w:t xml:space="preserve">, </w:t>
      </w:r>
      <w:r w:rsidRPr="00DF04B4">
        <w:rPr>
          <w:rFonts w:ascii="Times New Roman" w:hAnsi="Times New Roman" w:cs="Times New Roman"/>
          <w:i/>
          <w:sz w:val="24"/>
          <w:szCs w:val="24"/>
        </w:rPr>
        <w:t xml:space="preserve">The Black Book of Carmarthen, </w:t>
      </w:r>
      <w:r w:rsidRPr="00DF04B4">
        <w:rPr>
          <w:rFonts w:ascii="Times New Roman" w:hAnsi="Times New Roman" w:cs="Times New Roman"/>
          <w:sz w:val="24"/>
          <w:szCs w:val="24"/>
        </w:rPr>
        <w:t>(Somerset: Llanerch Enterprises, 1989)</w:t>
      </w:r>
      <w:r>
        <w:rPr>
          <w:rFonts w:ascii="Times New Roman" w:hAnsi="Times New Roman" w:cs="Times New Roman"/>
          <w:sz w:val="24"/>
          <w:szCs w:val="24"/>
        </w:rPr>
        <w:t>.</w:t>
      </w:r>
    </w:p>
    <w:p w:rsidR="000B7E30" w:rsidRDefault="000B7E30" w:rsidP="00CF3359">
      <w:pPr>
        <w:spacing w:line="240" w:lineRule="auto"/>
        <w:rPr>
          <w:rFonts w:ascii="Times New Roman" w:hAnsi="Times New Roman" w:cs="Times New Roman"/>
          <w:sz w:val="24"/>
          <w:szCs w:val="24"/>
        </w:rPr>
      </w:pPr>
      <w:r w:rsidRPr="000B7E30">
        <w:rPr>
          <w:rFonts w:ascii="Times New Roman" w:hAnsi="Times New Roman" w:cs="Times New Roman"/>
          <w:sz w:val="24"/>
          <w:szCs w:val="24"/>
        </w:rPr>
        <w:lastRenderedPageBreak/>
        <w:t>Roberts</w:t>
      </w:r>
      <w:r>
        <w:rPr>
          <w:rFonts w:ascii="Times New Roman" w:hAnsi="Times New Roman" w:cs="Times New Roman"/>
          <w:sz w:val="24"/>
          <w:szCs w:val="24"/>
        </w:rPr>
        <w:t>, B.F.</w:t>
      </w:r>
      <w:r w:rsidRPr="000B7E30">
        <w:rPr>
          <w:rFonts w:ascii="Times New Roman" w:hAnsi="Times New Roman" w:cs="Times New Roman"/>
          <w:sz w:val="24"/>
          <w:szCs w:val="24"/>
        </w:rPr>
        <w:t xml:space="preserve">, ‘Geoffrey of Monmouth and Welsh Historical Tradition’, </w:t>
      </w:r>
      <w:r w:rsidRPr="000B7E30">
        <w:rPr>
          <w:rFonts w:ascii="Times New Roman" w:hAnsi="Times New Roman" w:cs="Times New Roman"/>
          <w:i/>
          <w:sz w:val="24"/>
          <w:szCs w:val="24"/>
        </w:rPr>
        <w:t xml:space="preserve">Nottingham Medieval Studies, </w:t>
      </w:r>
      <w:r w:rsidRPr="000B7E30">
        <w:rPr>
          <w:rFonts w:ascii="Times New Roman" w:hAnsi="Times New Roman" w:cs="Times New Roman"/>
          <w:sz w:val="24"/>
          <w:szCs w:val="24"/>
        </w:rPr>
        <w:t>20, (1976)</w:t>
      </w:r>
      <w:r>
        <w:rPr>
          <w:rFonts w:ascii="Times New Roman" w:hAnsi="Times New Roman" w:cs="Times New Roman"/>
          <w:sz w:val="24"/>
          <w:szCs w:val="24"/>
        </w:rPr>
        <w:t>,</w:t>
      </w:r>
      <w:r w:rsidRPr="000B7E30">
        <w:t xml:space="preserve"> </w:t>
      </w:r>
      <w:r w:rsidRPr="000B7E30">
        <w:rPr>
          <w:rFonts w:ascii="Times New Roman" w:hAnsi="Times New Roman" w:cs="Times New Roman"/>
          <w:sz w:val="24"/>
          <w:szCs w:val="24"/>
        </w:rPr>
        <w:t>29-40</w:t>
      </w:r>
      <w:r>
        <w:rPr>
          <w:rFonts w:ascii="Times New Roman" w:hAnsi="Times New Roman" w:cs="Times New Roman"/>
          <w:sz w:val="24"/>
          <w:szCs w:val="24"/>
        </w:rPr>
        <w:t>.</w:t>
      </w:r>
    </w:p>
    <w:p w:rsidR="000B7E30" w:rsidRPr="000B7E30" w:rsidRDefault="000B7E30" w:rsidP="00CF3359">
      <w:pPr>
        <w:spacing w:line="240" w:lineRule="auto"/>
        <w:rPr>
          <w:rFonts w:ascii="Times New Roman" w:hAnsi="Times New Roman" w:cs="Times New Roman"/>
          <w:sz w:val="24"/>
          <w:szCs w:val="24"/>
        </w:rPr>
      </w:pPr>
      <w:r w:rsidRPr="000B7E30">
        <w:rPr>
          <w:rFonts w:ascii="Times New Roman" w:hAnsi="Times New Roman" w:cs="Times New Roman"/>
          <w:sz w:val="24"/>
          <w:szCs w:val="24"/>
        </w:rPr>
        <w:t>Seller</w:t>
      </w:r>
      <w:r>
        <w:rPr>
          <w:rFonts w:ascii="Times New Roman" w:hAnsi="Times New Roman" w:cs="Times New Roman"/>
          <w:sz w:val="24"/>
          <w:szCs w:val="24"/>
        </w:rPr>
        <w:t>, A.M.</w:t>
      </w:r>
      <w:r w:rsidRPr="000B7E30">
        <w:rPr>
          <w:rFonts w:ascii="Times New Roman" w:hAnsi="Times New Roman" w:cs="Times New Roman"/>
          <w:sz w:val="24"/>
          <w:szCs w:val="24"/>
        </w:rPr>
        <w:t xml:space="preserve">, </w:t>
      </w:r>
      <w:r w:rsidRPr="000B7E30">
        <w:rPr>
          <w:rFonts w:ascii="Times New Roman" w:hAnsi="Times New Roman" w:cs="Times New Roman"/>
          <w:i/>
          <w:sz w:val="24"/>
          <w:szCs w:val="24"/>
        </w:rPr>
        <w:t xml:space="preserve">Bede’s Ecclesiastical History of England, </w:t>
      </w:r>
      <w:r w:rsidRPr="000B7E30">
        <w:rPr>
          <w:rFonts w:ascii="Times New Roman" w:hAnsi="Times New Roman" w:cs="Times New Roman"/>
          <w:sz w:val="24"/>
          <w:szCs w:val="24"/>
        </w:rPr>
        <w:t xml:space="preserve">(Urbana, Illinois: Project Gutenberg, 2011), available at </w:t>
      </w:r>
      <w:hyperlink r:id="rId14" w:history="1">
        <w:r w:rsidRPr="000B7E30">
          <w:rPr>
            <w:rStyle w:val="Hyperlink"/>
            <w:rFonts w:ascii="Times New Roman" w:hAnsi="Times New Roman" w:cs="Times New Roman"/>
            <w:sz w:val="24"/>
            <w:szCs w:val="24"/>
          </w:rPr>
          <w:t>https://www.gutenberg.org/files/38326/38326-h/38326-h.html</w:t>
        </w:r>
      </w:hyperlink>
      <w:r w:rsidRPr="000B7E30">
        <w:rPr>
          <w:rFonts w:ascii="Times New Roman" w:hAnsi="Times New Roman" w:cs="Times New Roman"/>
          <w:sz w:val="24"/>
          <w:szCs w:val="24"/>
        </w:rPr>
        <w:t xml:space="preserve"> (Accessed 18th December 2018).</w:t>
      </w:r>
    </w:p>
    <w:p w:rsidR="000B7E30" w:rsidRPr="000B7E30" w:rsidRDefault="006B4206" w:rsidP="00CF3359">
      <w:pPr>
        <w:spacing w:line="240" w:lineRule="auto"/>
        <w:rPr>
          <w:rFonts w:ascii="Times New Roman" w:hAnsi="Times New Roman" w:cs="Times New Roman"/>
          <w:sz w:val="24"/>
          <w:szCs w:val="24"/>
        </w:rPr>
      </w:pPr>
      <w:r w:rsidRPr="006B4206">
        <w:rPr>
          <w:rFonts w:ascii="Times New Roman" w:hAnsi="Times New Roman" w:cs="Times New Roman"/>
          <w:sz w:val="24"/>
          <w:szCs w:val="24"/>
        </w:rPr>
        <w:t>Thomas</w:t>
      </w:r>
      <w:r>
        <w:rPr>
          <w:rFonts w:ascii="Times New Roman" w:hAnsi="Times New Roman" w:cs="Times New Roman"/>
          <w:sz w:val="24"/>
          <w:szCs w:val="24"/>
        </w:rPr>
        <w:t>, A.</w:t>
      </w:r>
      <w:r w:rsidRPr="006B4206">
        <w:rPr>
          <w:rFonts w:ascii="Times New Roman" w:hAnsi="Times New Roman" w:cs="Times New Roman"/>
          <w:sz w:val="24"/>
          <w:szCs w:val="24"/>
        </w:rPr>
        <w:t xml:space="preserve">, </w:t>
      </w:r>
      <w:r w:rsidRPr="006B4206">
        <w:rPr>
          <w:rFonts w:ascii="Times New Roman" w:hAnsi="Times New Roman" w:cs="Times New Roman"/>
          <w:i/>
          <w:sz w:val="24"/>
          <w:szCs w:val="24"/>
        </w:rPr>
        <w:t xml:space="preserve">Geoffrey of Monmouth History of the Kings of Britain, </w:t>
      </w:r>
      <w:r w:rsidRPr="006B4206">
        <w:rPr>
          <w:rFonts w:ascii="Times New Roman" w:hAnsi="Times New Roman" w:cs="Times New Roman"/>
          <w:sz w:val="24"/>
          <w:szCs w:val="24"/>
        </w:rPr>
        <w:t>(ed) Giles,</w:t>
      </w:r>
      <w:r>
        <w:rPr>
          <w:rFonts w:ascii="Times New Roman" w:hAnsi="Times New Roman" w:cs="Times New Roman"/>
          <w:sz w:val="24"/>
          <w:szCs w:val="24"/>
        </w:rPr>
        <w:t xml:space="preserve"> J.A.,</w:t>
      </w:r>
      <w:r w:rsidRPr="006B4206">
        <w:rPr>
          <w:rFonts w:ascii="Times New Roman" w:hAnsi="Times New Roman" w:cs="Times New Roman"/>
          <w:sz w:val="24"/>
          <w:szCs w:val="24"/>
        </w:rPr>
        <w:t xml:space="preserve"> (Cambridge, Ontario: In parenthesis Publications, 1999)</w:t>
      </w:r>
      <w:r>
        <w:rPr>
          <w:rFonts w:ascii="Times New Roman" w:hAnsi="Times New Roman" w:cs="Times New Roman"/>
          <w:sz w:val="24"/>
          <w:szCs w:val="24"/>
        </w:rPr>
        <w:t>.</w:t>
      </w:r>
    </w:p>
    <w:sectPr w:rsidR="000B7E30" w:rsidRPr="000B7E3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50BF" w:rsidRDefault="00FB50BF" w:rsidP="00E311B0">
      <w:pPr>
        <w:spacing w:after="0" w:line="240" w:lineRule="auto"/>
      </w:pPr>
      <w:r>
        <w:separator/>
      </w:r>
    </w:p>
  </w:endnote>
  <w:endnote w:type="continuationSeparator" w:id="0">
    <w:p w:rsidR="00FB50BF" w:rsidRDefault="00FB50BF" w:rsidP="00E31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2726754"/>
      <w:docPartObj>
        <w:docPartGallery w:val="Page Numbers (Bottom of Page)"/>
        <w:docPartUnique/>
      </w:docPartObj>
    </w:sdtPr>
    <w:sdtEndPr>
      <w:rPr>
        <w:noProof/>
      </w:rPr>
    </w:sdtEndPr>
    <w:sdtContent>
      <w:p w:rsidR="000B7E30" w:rsidRDefault="000B7E30">
        <w:pPr>
          <w:pStyle w:val="Footer"/>
        </w:pPr>
        <w:r>
          <w:fldChar w:fldCharType="begin"/>
        </w:r>
        <w:r>
          <w:instrText xml:space="preserve"> PAGE   \* MERGEFORMAT </w:instrText>
        </w:r>
        <w:r>
          <w:fldChar w:fldCharType="separate"/>
        </w:r>
        <w:r>
          <w:rPr>
            <w:noProof/>
          </w:rPr>
          <w:t>2</w:t>
        </w:r>
        <w:r>
          <w:rPr>
            <w:noProof/>
          </w:rPr>
          <w:fldChar w:fldCharType="end"/>
        </w:r>
      </w:p>
    </w:sdtContent>
  </w:sdt>
  <w:p w:rsidR="00CF3B64" w:rsidRDefault="00CF3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50BF" w:rsidRDefault="00FB50BF" w:rsidP="00E311B0">
      <w:pPr>
        <w:spacing w:after="0" w:line="240" w:lineRule="auto"/>
      </w:pPr>
      <w:r>
        <w:separator/>
      </w:r>
    </w:p>
  </w:footnote>
  <w:footnote w:type="continuationSeparator" w:id="0">
    <w:p w:rsidR="00FB50BF" w:rsidRDefault="00FB50BF" w:rsidP="00E311B0">
      <w:pPr>
        <w:spacing w:after="0" w:line="240" w:lineRule="auto"/>
      </w:pPr>
      <w:r>
        <w:continuationSeparator/>
      </w:r>
    </w:p>
  </w:footnote>
  <w:footnote w:id="1">
    <w:p w:rsidR="00CF3B64" w:rsidRPr="00146C8F" w:rsidRDefault="00CF3B64">
      <w:pPr>
        <w:pStyle w:val="FootnoteText"/>
      </w:pPr>
      <w:r>
        <w:rPr>
          <w:rStyle w:val="FootnoteReference"/>
        </w:rPr>
        <w:footnoteRef/>
      </w:r>
      <w:r>
        <w:t xml:space="preserve"> </w:t>
      </w:r>
      <w:bookmarkStart w:id="7" w:name="_Hlk534549656"/>
      <w:r>
        <w:t xml:space="preserve">B.F. Roberts, ‘Geoffrey of Monmouth and Welsh Historical Tradition’, </w:t>
      </w:r>
      <w:r>
        <w:rPr>
          <w:i/>
        </w:rPr>
        <w:t xml:space="preserve">Nottingham Medieval Studies, </w:t>
      </w:r>
      <w:r>
        <w:t xml:space="preserve">20, (1976), </w:t>
      </w:r>
      <w:bookmarkEnd w:id="7"/>
      <w:r>
        <w:t>29-40, p. 29.</w:t>
      </w:r>
    </w:p>
  </w:footnote>
  <w:footnote w:id="2">
    <w:p w:rsidR="00CF3B64" w:rsidRPr="00B24A8A" w:rsidRDefault="00CF3B64">
      <w:pPr>
        <w:pStyle w:val="FootnoteText"/>
      </w:pPr>
      <w:r>
        <w:rPr>
          <w:rStyle w:val="FootnoteReference"/>
        </w:rPr>
        <w:footnoteRef/>
      </w:r>
      <w:r>
        <w:t xml:space="preserve"> </w:t>
      </w:r>
      <w:bookmarkStart w:id="8" w:name="_Hlk534549734"/>
      <w:r>
        <w:t xml:space="preserve">O.J. Padel, ‘The Nature of Arthur’, </w:t>
      </w:r>
      <w:r>
        <w:rPr>
          <w:i/>
        </w:rPr>
        <w:t>Cambrian Medieval Celtic Studies</w:t>
      </w:r>
      <w:r>
        <w:t xml:space="preserve">, 27, (1994), 1-31, </w:t>
      </w:r>
      <w:bookmarkEnd w:id="8"/>
      <w:r>
        <w:t>p. 2.</w:t>
      </w:r>
    </w:p>
  </w:footnote>
  <w:footnote w:id="3">
    <w:p w:rsidR="00CF3B64" w:rsidRDefault="00CF3B64">
      <w:pPr>
        <w:pStyle w:val="FootnoteText"/>
      </w:pPr>
      <w:r>
        <w:rPr>
          <w:rStyle w:val="FootnoteReference"/>
        </w:rPr>
        <w:footnoteRef/>
      </w:r>
      <w:r>
        <w:t xml:space="preserve"> Ibid.</w:t>
      </w:r>
    </w:p>
  </w:footnote>
  <w:footnote w:id="4">
    <w:p w:rsidR="00CF3B64" w:rsidRPr="00763790" w:rsidRDefault="00CF3B64">
      <w:pPr>
        <w:pStyle w:val="FootnoteText"/>
      </w:pPr>
      <w:r>
        <w:rPr>
          <w:rStyle w:val="FootnoteReference"/>
        </w:rPr>
        <w:footnoteRef/>
      </w:r>
      <w:r>
        <w:t xml:space="preserve"> </w:t>
      </w:r>
      <w:bookmarkStart w:id="9" w:name="_Hlk534549777"/>
      <w:r>
        <w:t xml:space="preserve">J.A. Giles, </w:t>
      </w:r>
      <w:r>
        <w:rPr>
          <w:i/>
        </w:rPr>
        <w:t xml:space="preserve">History of the Britons (Historia Brittonum), </w:t>
      </w:r>
      <w:r>
        <w:t xml:space="preserve">(Urbana, Illinois: Project Gutenberg, 2006), available at </w:t>
      </w:r>
      <w:hyperlink r:id="rId1" w:history="1">
        <w:r w:rsidRPr="00F832E7">
          <w:rPr>
            <w:rStyle w:val="Hyperlink"/>
          </w:rPr>
          <w:t>http://www.gutenberg.org/files/1972/1972-h/1972-h.htm</w:t>
        </w:r>
      </w:hyperlink>
      <w:r>
        <w:t xml:space="preserve"> (Accessed 18th December 2018).</w:t>
      </w:r>
      <w:bookmarkEnd w:id="9"/>
    </w:p>
  </w:footnote>
  <w:footnote w:id="5">
    <w:p w:rsidR="00CF3B64" w:rsidRDefault="00CF3B64">
      <w:pPr>
        <w:pStyle w:val="FootnoteText"/>
      </w:pPr>
      <w:r>
        <w:rPr>
          <w:rStyle w:val="FootnoteReference"/>
        </w:rPr>
        <w:footnoteRef/>
      </w:r>
      <w:r>
        <w:t xml:space="preserve"> Ibid.</w:t>
      </w:r>
    </w:p>
  </w:footnote>
  <w:footnote w:id="6">
    <w:p w:rsidR="00CF3B64" w:rsidRPr="00A04F0D" w:rsidRDefault="00CF3B64">
      <w:pPr>
        <w:pStyle w:val="FootnoteText"/>
      </w:pPr>
      <w:r>
        <w:rPr>
          <w:rStyle w:val="FootnoteReference"/>
        </w:rPr>
        <w:footnoteRef/>
      </w:r>
      <w:r>
        <w:t xml:space="preserve"> A.M. Seller, </w:t>
      </w:r>
      <w:r>
        <w:rPr>
          <w:i/>
        </w:rPr>
        <w:t xml:space="preserve">Bede’s Ecclesiastical History of England, </w:t>
      </w:r>
      <w:r>
        <w:t xml:space="preserve">(Urbana, Illinois: Project Gutenberg, 2011), available at </w:t>
      </w:r>
      <w:hyperlink r:id="rId2" w:history="1">
        <w:r w:rsidRPr="00F832E7">
          <w:rPr>
            <w:rStyle w:val="Hyperlink"/>
          </w:rPr>
          <w:t>https://www.gutenberg.org/files/38326/38326-h/38326-h.html</w:t>
        </w:r>
      </w:hyperlink>
      <w:r>
        <w:t xml:space="preserve"> (Accessed 18th December 2018).</w:t>
      </w:r>
    </w:p>
  </w:footnote>
  <w:footnote w:id="7">
    <w:p w:rsidR="00CF3B64" w:rsidRPr="00A04F0D" w:rsidRDefault="00CF3B64">
      <w:pPr>
        <w:pStyle w:val="FootnoteText"/>
      </w:pPr>
      <w:r>
        <w:rPr>
          <w:rStyle w:val="FootnoteReference"/>
        </w:rPr>
        <w:footnoteRef/>
      </w:r>
      <w:r>
        <w:t xml:space="preserve"> J.A. Giles, </w:t>
      </w:r>
      <w:r>
        <w:rPr>
          <w:i/>
        </w:rPr>
        <w:t xml:space="preserve">On the Ruin of Britain by Gildas, </w:t>
      </w:r>
      <w:r>
        <w:t xml:space="preserve">(Urbana, Illinois: Project Gutenberg, 1999), available at </w:t>
      </w:r>
      <w:hyperlink r:id="rId3" w:history="1">
        <w:r w:rsidRPr="00F832E7">
          <w:rPr>
            <w:rStyle w:val="Hyperlink"/>
          </w:rPr>
          <w:t>http://www.gutenberg.org/cache/epub/1949/pg1949-images.html</w:t>
        </w:r>
      </w:hyperlink>
      <w:r>
        <w:t xml:space="preserve"> (Accessed 18th December 2018).</w:t>
      </w:r>
    </w:p>
  </w:footnote>
  <w:footnote w:id="8">
    <w:p w:rsidR="00CF3B64" w:rsidRDefault="00CF3B64">
      <w:pPr>
        <w:pStyle w:val="FootnoteText"/>
      </w:pPr>
      <w:r>
        <w:rPr>
          <w:rStyle w:val="FootnoteReference"/>
        </w:rPr>
        <w:footnoteRef/>
      </w:r>
      <w:r>
        <w:t xml:space="preserve">J.A. Giles, </w:t>
      </w:r>
      <w:r>
        <w:rPr>
          <w:i/>
        </w:rPr>
        <w:t xml:space="preserve">History of the Britons, </w:t>
      </w:r>
      <w:r>
        <w:t>(Accessed 18th December 2018).</w:t>
      </w:r>
    </w:p>
  </w:footnote>
  <w:footnote w:id="9">
    <w:p w:rsidR="00CF3B64" w:rsidRPr="008032FC" w:rsidRDefault="00CF3B64">
      <w:pPr>
        <w:pStyle w:val="FootnoteText"/>
      </w:pPr>
      <w:r>
        <w:rPr>
          <w:rStyle w:val="FootnoteReference"/>
        </w:rPr>
        <w:footnoteRef/>
      </w:r>
      <w:r>
        <w:t xml:space="preserve"> A.O.H. Jarman, ‘The Arthur Allusions in the Black Book of Carmarthen’ in </w:t>
      </w:r>
      <w:r>
        <w:rPr>
          <w:i/>
        </w:rPr>
        <w:t xml:space="preserve">The Legend of Arthur in the Middle Ages, </w:t>
      </w:r>
      <w:r>
        <w:t>eds. P.B. Grout et al. (Suffolk: Boydell, 1983), p. 101.</w:t>
      </w:r>
    </w:p>
  </w:footnote>
  <w:footnote w:id="10">
    <w:p w:rsidR="00CF3B64" w:rsidRPr="001A0C79" w:rsidRDefault="00CF3B64">
      <w:pPr>
        <w:pStyle w:val="FootnoteText"/>
      </w:pPr>
      <w:r>
        <w:rPr>
          <w:rStyle w:val="FootnoteReference"/>
        </w:rPr>
        <w:footnoteRef/>
      </w:r>
      <w:r>
        <w:t xml:space="preserve"> </w:t>
      </w:r>
      <w:bookmarkStart w:id="10" w:name="_Hlk534549998"/>
      <w:r>
        <w:t xml:space="preserve">O.J. Padel, ‘Geoffrey of Monmouth and the Development of the Merlin Legend’, </w:t>
      </w:r>
      <w:r>
        <w:rPr>
          <w:i/>
        </w:rPr>
        <w:t xml:space="preserve">Cambrian Medieval Celtic Studies, </w:t>
      </w:r>
      <w:r>
        <w:t>51, (2006), 36-65</w:t>
      </w:r>
      <w:bookmarkEnd w:id="10"/>
      <w:r>
        <w:t>, p. 46.</w:t>
      </w:r>
    </w:p>
  </w:footnote>
  <w:footnote w:id="11">
    <w:p w:rsidR="00CF3B64" w:rsidRPr="001E5200" w:rsidRDefault="00CF3B64">
      <w:pPr>
        <w:pStyle w:val="FootnoteText"/>
      </w:pPr>
      <w:r>
        <w:rPr>
          <w:rStyle w:val="FootnoteReference"/>
        </w:rPr>
        <w:footnoteRef/>
      </w:r>
      <w:r>
        <w:t xml:space="preserve"> </w:t>
      </w:r>
      <w:bookmarkStart w:id="11" w:name="_Hlk534550039"/>
      <w:r>
        <w:t xml:space="preserve">M. Pennar, </w:t>
      </w:r>
      <w:r>
        <w:rPr>
          <w:i/>
        </w:rPr>
        <w:t xml:space="preserve">The Black Book of Carmarthen, </w:t>
      </w:r>
      <w:r>
        <w:t xml:space="preserve">(Somerset: Llanerch Enterprises, 1989), </w:t>
      </w:r>
      <w:bookmarkEnd w:id="11"/>
      <w:r>
        <w:t>p. 104.</w:t>
      </w:r>
    </w:p>
  </w:footnote>
  <w:footnote w:id="12">
    <w:p w:rsidR="00CF3B64" w:rsidRDefault="00CF3B64">
      <w:pPr>
        <w:pStyle w:val="FootnoteText"/>
      </w:pPr>
      <w:r>
        <w:rPr>
          <w:rStyle w:val="FootnoteReference"/>
        </w:rPr>
        <w:footnoteRef/>
      </w:r>
      <w:r>
        <w:t xml:space="preserve"> Mary Jones, ‘Arthur and the Porter’, Celtic Literature Collective, [online]. Available: </w:t>
      </w:r>
      <w:hyperlink r:id="rId4" w:history="1">
        <w:r w:rsidRPr="00CD6C69">
          <w:rPr>
            <w:rStyle w:val="Hyperlink"/>
          </w:rPr>
          <w:t>http://www.maryjones.us/ctexts/bbc31.html</w:t>
        </w:r>
      </w:hyperlink>
      <w:r>
        <w:t xml:space="preserve"> (Accessed 18th December 2018).</w:t>
      </w:r>
    </w:p>
  </w:footnote>
  <w:footnote w:id="13">
    <w:p w:rsidR="00CF3B64" w:rsidRPr="001E5200" w:rsidRDefault="00CF3B64">
      <w:pPr>
        <w:pStyle w:val="FootnoteText"/>
      </w:pPr>
      <w:r>
        <w:rPr>
          <w:rStyle w:val="FootnoteReference"/>
        </w:rPr>
        <w:footnoteRef/>
      </w:r>
      <w:r>
        <w:t xml:space="preserve"> </w:t>
      </w:r>
      <w:bookmarkStart w:id="12" w:name="_Hlk534550111"/>
      <w:r>
        <w:t xml:space="preserve">S. Davies, </w:t>
      </w:r>
      <w:r>
        <w:rPr>
          <w:i/>
        </w:rPr>
        <w:t xml:space="preserve">The Mabinogion, </w:t>
      </w:r>
      <w:r>
        <w:t>(Oxford: Oxford University Press, 2007).</w:t>
      </w:r>
    </w:p>
    <w:bookmarkEnd w:id="12"/>
  </w:footnote>
  <w:footnote w:id="14">
    <w:p w:rsidR="00CF3B64" w:rsidRPr="00622B25" w:rsidRDefault="00CF3B64">
      <w:pPr>
        <w:pStyle w:val="FootnoteText"/>
      </w:pPr>
      <w:r>
        <w:rPr>
          <w:rStyle w:val="FootnoteReference"/>
        </w:rPr>
        <w:footnoteRef/>
      </w:r>
      <w:r>
        <w:t xml:space="preserve"> A. Thomas, </w:t>
      </w:r>
      <w:r>
        <w:rPr>
          <w:i/>
        </w:rPr>
        <w:t xml:space="preserve">Geoffrey of Monmouth History of the Kings of Britain, </w:t>
      </w:r>
      <w:r>
        <w:t xml:space="preserve">(ed) J.A. Giles, (Cambridge, Ontario: In parenthesis Publications, 1999), p. 164. </w:t>
      </w:r>
    </w:p>
  </w:footnote>
  <w:footnote w:id="15">
    <w:p w:rsidR="00CF3B64" w:rsidRPr="00622B25" w:rsidRDefault="00CF3B64">
      <w:pPr>
        <w:pStyle w:val="FootnoteText"/>
      </w:pPr>
      <w:r>
        <w:rPr>
          <w:rStyle w:val="FootnoteReference"/>
        </w:rPr>
        <w:footnoteRef/>
      </w:r>
      <w:r>
        <w:t xml:space="preserve"> </w:t>
      </w:r>
      <w:bookmarkStart w:id="13" w:name="_Hlk534550189"/>
      <w:r>
        <w:t xml:space="preserve">S. Armitage, </w:t>
      </w:r>
      <w:r>
        <w:rPr>
          <w:i/>
        </w:rPr>
        <w:t xml:space="preserve">Sir Gawain and the Green Knight, </w:t>
      </w:r>
      <w:r>
        <w:t>(London: Faber &amp; Faber, 2007).</w:t>
      </w:r>
      <w:bookmarkEnd w:id="13"/>
    </w:p>
  </w:footnote>
  <w:footnote w:id="16">
    <w:p w:rsidR="00CF3B64" w:rsidRPr="00622B25" w:rsidRDefault="00CF3B64">
      <w:pPr>
        <w:pStyle w:val="FootnoteText"/>
      </w:pPr>
      <w:r>
        <w:rPr>
          <w:rStyle w:val="FootnoteReference"/>
        </w:rPr>
        <w:footnoteRef/>
      </w:r>
      <w:r>
        <w:t xml:space="preserve"> S. Davies, </w:t>
      </w:r>
      <w:r>
        <w:rPr>
          <w:i/>
        </w:rPr>
        <w:t xml:space="preserve">The Mabinogion, </w:t>
      </w:r>
      <w:r>
        <w:t>p. 6.</w:t>
      </w:r>
    </w:p>
  </w:footnote>
  <w:footnote w:id="17">
    <w:p w:rsidR="00CF3B64" w:rsidRDefault="00CF3B64">
      <w:pPr>
        <w:pStyle w:val="FootnoteText"/>
      </w:pPr>
      <w:r>
        <w:rPr>
          <w:rStyle w:val="FootnoteReference"/>
        </w:rPr>
        <w:footnoteRef/>
      </w:r>
      <w:r>
        <w:t xml:space="preserve"> Ibid., p. 103-110.</w:t>
      </w:r>
    </w:p>
  </w:footnote>
  <w:footnote w:id="18">
    <w:p w:rsidR="00CF3B64" w:rsidRDefault="00CF3B64">
      <w:pPr>
        <w:pStyle w:val="FootnoteText"/>
      </w:pPr>
      <w:r>
        <w:rPr>
          <w:rStyle w:val="FootnoteReference"/>
        </w:rPr>
        <w:footnoteRef/>
      </w:r>
      <w:r>
        <w:t xml:space="preserve"> B.F. Roberts, </w:t>
      </w:r>
      <w:r>
        <w:rPr>
          <w:i/>
        </w:rPr>
        <w:t>Nottingham Medieval Studies</w:t>
      </w:r>
      <w:r>
        <w:t>, p. 34.</w:t>
      </w:r>
    </w:p>
  </w:footnote>
  <w:footnote w:id="19">
    <w:p w:rsidR="00CF3B64" w:rsidRDefault="00CF3B64">
      <w:pPr>
        <w:pStyle w:val="FootnoteText"/>
      </w:pPr>
      <w:r>
        <w:rPr>
          <w:rStyle w:val="FootnoteReference"/>
        </w:rPr>
        <w:footnoteRef/>
      </w:r>
      <w:r>
        <w:t xml:space="preserve"> </w:t>
      </w:r>
      <w:bookmarkStart w:id="14" w:name="_Hlk534550238"/>
      <w:r>
        <w:t xml:space="preserve">Paul Halsall, ‘The Annales Cambriae 447-954’, The Medieval Sourcebook, [online]. Available: </w:t>
      </w:r>
      <w:hyperlink r:id="rId5" w:history="1">
        <w:r w:rsidRPr="00CD6C69">
          <w:rPr>
            <w:rStyle w:val="Hyperlink"/>
          </w:rPr>
          <w:t>https://sourcebooks.fordham.edu/source/annalescambriae.asp</w:t>
        </w:r>
      </w:hyperlink>
      <w:r>
        <w:t xml:space="preserve"> (Accessed 18th December 2018).</w:t>
      </w:r>
      <w:bookmarkEnd w:id="14"/>
    </w:p>
  </w:footnote>
  <w:footnote w:id="20">
    <w:p w:rsidR="00CF3B64" w:rsidRDefault="00CF3B64">
      <w:pPr>
        <w:pStyle w:val="FootnoteText"/>
      </w:pPr>
      <w:r>
        <w:rPr>
          <w:rStyle w:val="FootnoteReference"/>
        </w:rPr>
        <w:footnoteRef/>
      </w:r>
      <w:r>
        <w:t xml:space="preserve"> </w:t>
      </w:r>
      <w:bookmarkStart w:id="15" w:name="_Hlk534550269"/>
      <w:r>
        <w:t xml:space="preserve">O.J. Padel, </w:t>
      </w:r>
      <w:r>
        <w:rPr>
          <w:i/>
        </w:rPr>
        <w:t xml:space="preserve">Arthur in Medieval Welsh Literature, </w:t>
      </w:r>
      <w:r>
        <w:t>(Cardiff: University of Wales Press, 2013).</w:t>
      </w:r>
      <w:bookmarkEnd w:id="15"/>
    </w:p>
  </w:footnote>
  <w:footnote w:id="21">
    <w:p w:rsidR="00CF3B64" w:rsidRPr="00E07105" w:rsidRDefault="00CF3B64">
      <w:pPr>
        <w:pStyle w:val="FootnoteText"/>
      </w:pPr>
      <w:r>
        <w:rPr>
          <w:rStyle w:val="FootnoteReference"/>
        </w:rPr>
        <w:footnoteRef/>
      </w:r>
      <w:r>
        <w:t xml:space="preserve"> Ibid.</w:t>
      </w:r>
    </w:p>
  </w:footnote>
  <w:footnote w:id="22">
    <w:p w:rsidR="00CF3B64" w:rsidRDefault="00CF3B64">
      <w:pPr>
        <w:pStyle w:val="FootnoteText"/>
      </w:pPr>
      <w:r>
        <w:rPr>
          <w:rStyle w:val="FootnoteReference"/>
        </w:rPr>
        <w:footnoteRef/>
      </w:r>
      <w:r>
        <w:t xml:space="preserve"> Paul Halsall, The Medieval Sourcebook, (Accessed 18</w:t>
      </w:r>
      <w:r w:rsidRPr="005A7D94">
        <w:rPr>
          <w:vertAlign w:val="superscript"/>
        </w:rPr>
        <w:t>th</w:t>
      </w:r>
      <w:r>
        <w:t xml:space="preserve"> December 2018).</w:t>
      </w:r>
    </w:p>
  </w:footnote>
  <w:footnote w:id="23">
    <w:p w:rsidR="00CF3B64" w:rsidRPr="005A7D94" w:rsidRDefault="00CF3B64">
      <w:pPr>
        <w:pStyle w:val="FootnoteText"/>
      </w:pPr>
      <w:r>
        <w:rPr>
          <w:rStyle w:val="FootnoteReference"/>
        </w:rPr>
        <w:footnoteRef/>
      </w:r>
      <w:r>
        <w:t xml:space="preserve"> J.A. Giles, </w:t>
      </w:r>
      <w:r>
        <w:rPr>
          <w:i/>
        </w:rPr>
        <w:t xml:space="preserve">History of the Britons, </w:t>
      </w:r>
      <w:r>
        <w:t>(Accessed 18</w:t>
      </w:r>
      <w:r w:rsidRPr="005A7D94">
        <w:rPr>
          <w:vertAlign w:val="superscript"/>
        </w:rPr>
        <w:t>th</w:t>
      </w:r>
      <w:r>
        <w:t xml:space="preserve"> December 2018).</w:t>
      </w:r>
    </w:p>
  </w:footnote>
  <w:footnote w:id="24">
    <w:p w:rsidR="00CF3B64" w:rsidRDefault="00CF3B64">
      <w:pPr>
        <w:pStyle w:val="FootnoteText"/>
      </w:pPr>
      <w:r>
        <w:rPr>
          <w:rStyle w:val="FootnoteReference"/>
        </w:rPr>
        <w:footnoteRef/>
      </w:r>
      <w:r>
        <w:t xml:space="preserve"> </w:t>
      </w:r>
      <w:bookmarkStart w:id="16" w:name="_Hlk534550341"/>
      <w:r>
        <w:t xml:space="preserve">Mary Jones, ‘Armes Prydein Vawr’, Celtic Literature Collective, [online]. Available: </w:t>
      </w:r>
      <w:hyperlink r:id="rId6" w:history="1">
        <w:r w:rsidRPr="00CD6C69">
          <w:rPr>
            <w:rStyle w:val="Hyperlink"/>
          </w:rPr>
          <w:t>http://www.maryjones.us/ctexts/t06.html</w:t>
        </w:r>
      </w:hyperlink>
      <w:r>
        <w:t xml:space="preserve"> (Accessed 18th December 2018).</w:t>
      </w:r>
    </w:p>
    <w:bookmarkEnd w:id="16"/>
  </w:footnote>
  <w:footnote w:id="25">
    <w:p w:rsidR="00CF3B64" w:rsidRPr="00BF11DE" w:rsidRDefault="00CF3B64">
      <w:pPr>
        <w:pStyle w:val="FootnoteText"/>
      </w:pPr>
      <w:r>
        <w:rPr>
          <w:rStyle w:val="FootnoteReference"/>
        </w:rPr>
        <w:footnoteRef/>
      </w:r>
      <w:r>
        <w:t xml:space="preserve"> </w:t>
      </w:r>
      <w:bookmarkStart w:id="17" w:name="_Hlk534550371"/>
      <w:r>
        <w:t xml:space="preserve">M.E. Griffiths, </w:t>
      </w:r>
      <w:r>
        <w:rPr>
          <w:i/>
        </w:rPr>
        <w:t xml:space="preserve">Early Vaticination in Welsh with English Parallels, </w:t>
      </w:r>
      <w:r>
        <w:t>(Cardiff: University of Wales Press, 1937</w:t>
      </w:r>
      <w:bookmarkEnd w:id="17"/>
      <w:r>
        <w:t>), p. 117.</w:t>
      </w:r>
    </w:p>
  </w:footnote>
  <w:footnote w:id="26">
    <w:p w:rsidR="00CF3B64" w:rsidRDefault="00CF3B64">
      <w:pPr>
        <w:pStyle w:val="FootnoteText"/>
      </w:pPr>
      <w:r>
        <w:rPr>
          <w:rStyle w:val="FootnoteReference"/>
        </w:rPr>
        <w:footnoteRef/>
      </w:r>
      <w:r>
        <w:t xml:space="preserve"> Ibid., p. 106.</w:t>
      </w:r>
    </w:p>
  </w:footnote>
  <w:footnote w:id="27">
    <w:p w:rsidR="00CF3B64" w:rsidRPr="006C4E0E" w:rsidRDefault="00CF3B64">
      <w:pPr>
        <w:pStyle w:val="FootnoteText"/>
      </w:pPr>
      <w:r>
        <w:rPr>
          <w:rStyle w:val="FootnoteReference"/>
        </w:rPr>
        <w:footnoteRef/>
      </w:r>
      <w:r>
        <w:t xml:space="preserve"> </w:t>
      </w:r>
      <w:bookmarkStart w:id="18" w:name="_Hlk534550415"/>
      <w:r>
        <w:t xml:space="preserve">S. Echard, </w:t>
      </w:r>
      <w:r>
        <w:rPr>
          <w:i/>
        </w:rPr>
        <w:t xml:space="preserve">Arthurian Narrative in the Latin Tradition, </w:t>
      </w:r>
      <w:r>
        <w:t>(Cambridge: Cambridge University Press, 1998</w:t>
      </w:r>
      <w:bookmarkEnd w:id="18"/>
      <w:r>
        <w:t>), p. 34.</w:t>
      </w:r>
    </w:p>
  </w:footnote>
  <w:footnote w:id="28">
    <w:p w:rsidR="00CF3B64" w:rsidRDefault="00CF3B64">
      <w:pPr>
        <w:pStyle w:val="FootnoteText"/>
      </w:pPr>
      <w:r>
        <w:rPr>
          <w:rStyle w:val="FootnoteReference"/>
        </w:rPr>
        <w:footnoteRef/>
      </w:r>
      <w:r>
        <w:t xml:space="preserve"> Ibid.</w:t>
      </w:r>
    </w:p>
  </w:footnote>
  <w:footnote w:id="29">
    <w:p w:rsidR="00CF3B64" w:rsidRDefault="00CF3B64">
      <w:pPr>
        <w:pStyle w:val="FootnoteText"/>
      </w:pPr>
      <w:r>
        <w:rPr>
          <w:rStyle w:val="FootnoteReference"/>
        </w:rPr>
        <w:footnoteRef/>
      </w:r>
      <w:r>
        <w:t xml:space="preserve"> Ibid., p. 43.</w:t>
      </w:r>
    </w:p>
  </w:footnote>
  <w:footnote w:id="30">
    <w:p w:rsidR="00CF3B64" w:rsidRDefault="00CF3B64">
      <w:pPr>
        <w:pStyle w:val="FootnoteText"/>
      </w:pPr>
      <w:r>
        <w:rPr>
          <w:rStyle w:val="FootnoteReference"/>
        </w:rPr>
        <w:footnoteRef/>
      </w:r>
      <w:r>
        <w:t xml:space="preserve"> Ibid., p. 32.</w:t>
      </w:r>
    </w:p>
  </w:footnote>
  <w:footnote w:id="31">
    <w:p w:rsidR="00CF3B64" w:rsidRDefault="00CF3B64">
      <w:pPr>
        <w:pStyle w:val="FootnoteText"/>
      </w:pPr>
      <w:r>
        <w:rPr>
          <w:rStyle w:val="FootnoteReference"/>
        </w:rPr>
        <w:footnoteRef/>
      </w:r>
      <w:r>
        <w:t xml:space="preserve"> Ibid., p. 58.</w:t>
      </w:r>
    </w:p>
  </w:footnote>
  <w:footnote w:id="32">
    <w:p w:rsidR="00CF3B64" w:rsidRDefault="00CF3B64">
      <w:pPr>
        <w:pStyle w:val="FootnoteText"/>
      </w:pPr>
      <w:r>
        <w:rPr>
          <w:rStyle w:val="FootnoteReference"/>
        </w:rPr>
        <w:footnoteRef/>
      </w:r>
      <w:r>
        <w:t xml:space="preserve"> Ibid., p. 35.</w:t>
      </w:r>
    </w:p>
  </w:footnote>
  <w:footnote w:id="33">
    <w:p w:rsidR="00CF3B64" w:rsidRPr="00FE5203" w:rsidRDefault="00CF3B64">
      <w:pPr>
        <w:pStyle w:val="FootnoteText"/>
      </w:pPr>
      <w:r>
        <w:rPr>
          <w:rStyle w:val="FootnoteReference"/>
        </w:rPr>
        <w:footnoteRef/>
      </w:r>
      <w:r>
        <w:t xml:space="preserve"> </w:t>
      </w:r>
      <w:bookmarkStart w:id="19" w:name="_Hlk534550460"/>
      <w:r>
        <w:t xml:space="preserve">J. Gillingham, ‘The Context and Purpose of Geoffrey of Monmouth’s History of the Kings of Britain’, </w:t>
      </w:r>
      <w:r>
        <w:rPr>
          <w:i/>
        </w:rPr>
        <w:t xml:space="preserve">Anglo-Norman Studies, </w:t>
      </w:r>
      <w:r>
        <w:t>13, (1990), 99-118</w:t>
      </w:r>
      <w:bookmarkEnd w:id="19"/>
      <w:r>
        <w:t>, p. 103.</w:t>
      </w:r>
    </w:p>
  </w:footnote>
  <w:footnote w:id="34">
    <w:p w:rsidR="00CF3B64" w:rsidRDefault="00CF3B64">
      <w:pPr>
        <w:pStyle w:val="FootnoteText"/>
      </w:pPr>
      <w:r>
        <w:rPr>
          <w:rStyle w:val="FootnoteReference"/>
        </w:rPr>
        <w:footnoteRef/>
      </w:r>
      <w:r>
        <w:t xml:space="preserve"> Ibid., p. 104.</w:t>
      </w:r>
    </w:p>
  </w:footnote>
  <w:footnote w:id="35">
    <w:p w:rsidR="00CF3B64" w:rsidRDefault="00CF3B64">
      <w:pPr>
        <w:pStyle w:val="FootnoteText"/>
      </w:pPr>
      <w:r>
        <w:rPr>
          <w:rStyle w:val="FootnoteReference"/>
        </w:rPr>
        <w:footnoteRef/>
      </w:r>
      <w:r>
        <w:t xml:space="preserve"> B.F. Roberts, </w:t>
      </w:r>
      <w:r>
        <w:rPr>
          <w:i/>
        </w:rPr>
        <w:t>Nottingham Medieval Studies</w:t>
      </w:r>
      <w:r>
        <w:t>, p. 36.</w:t>
      </w:r>
    </w:p>
  </w:footnote>
  <w:footnote w:id="36">
    <w:p w:rsidR="00CF3B64" w:rsidRPr="00CD239D" w:rsidRDefault="00CF3B64">
      <w:pPr>
        <w:pStyle w:val="FootnoteText"/>
      </w:pPr>
      <w:r>
        <w:rPr>
          <w:rStyle w:val="FootnoteReference"/>
        </w:rPr>
        <w:footnoteRef/>
      </w:r>
      <w:r>
        <w:t xml:space="preserve"> </w:t>
      </w:r>
      <w:bookmarkStart w:id="20" w:name="_Hlk534550530"/>
      <w:r>
        <w:t xml:space="preserve">J. Crick, ‘The British Past and the Welsh Future; Gerald of Wales, Geoffrey of Monmouth and Arthur of Britain’, </w:t>
      </w:r>
      <w:r>
        <w:rPr>
          <w:i/>
        </w:rPr>
        <w:t xml:space="preserve">Celtica, </w:t>
      </w:r>
      <w:r>
        <w:t>23, (1999), 60-75</w:t>
      </w:r>
      <w:bookmarkEnd w:id="20"/>
      <w:r>
        <w:t>, p. 62.</w:t>
      </w:r>
    </w:p>
  </w:footnote>
  <w:footnote w:id="37">
    <w:p w:rsidR="00CF3B64" w:rsidRPr="00841129" w:rsidRDefault="00CF3B64">
      <w:pPr>
        <w:pStyle w:val="FootnoteText"/>
      </w:pPr>
      <w:r>
        <w:rPr>
          <w:rStyle w:val="FootnoteReference"/>
        </w:rPr>
        <w:footnoteRef/>
      </w:r>
      <w:r>
        <w:t xml:space="preserve"> S. Echard, </w:t>
      </w:r>
      <w:r>
        <w:rPr>
          <w:i/>
        </w:rPr>
        <w:t xml:space="preserve">Arthurian Narrative in the Latin Tradition, </w:t>
      </w:r>
      <w:r>
        <w:t>p. 48.</w:t>
      </w:r>
    </w:p>
  </w:footnote>
  <w:footnote w:id="38">
    <w:p w:rsidR="00CF3B64" w:rsidRDefault="00CF3B64">
      <w:pPr>
        <w:pStyle w:val="FootnoteText"/>
      </w:pPr>
      <w:r>
        <w:rPr>
          <w:rStyle w:val="FootnoteReference"/>
        </w:rPr>
        <w:footnoteRef/>
      </w:r>
      <w:r>
        <w:t xml:space="preserve"> Ibid., p. 35.</w:t>
      </w:r>
    </w:p>
  </w:footnote>
  <w:footnote w:id="39">
    <w:p w:rsidR="00CF3B64" w:rsidRPr="00397F32" w:rsidRDefault="00CF3B64">
      <w:pPr>
        <w:pStyle w:val="FootnoteText"/>
      </w:pPr>
      <w:r>
        <w:rPr>
          <w:rStyle w:val="FootnoteReference"/>
        </w:rPr>
        <w:footnoteRef/>
      </w:r>
      <w:r>
        <w:t xml:space="preserve"> S. Davies, </w:t>
      </w:r>
      <w:r>
        <w:rPr>
          <w:i/>
        </w:rPr>
        <w:t xml:space="preserve">The Mabinogion, </w:t>
      </w:r>
      <w:r>
        <w:t xml:space="preserve">p. 181; </w:t>
      </w:r>
      <w:bookmarkStart w:id="21" w:name="_Hlk534550575"/>
      <w:r>
        <w:rPr>
          <w:i/>
        </w:rPr>
        <w:t xml:space="preserve">Beowulf, </w:t>
      </w:r>
      <w:r>
        <w:t>ed. M. Swanton</w:t>
      </w:r>
      <w:r>
        <w:rPr>
          <w:i/>
        </w:rPr>
        <w:t xml:space="preserve"> </w:t>
      </w:r>
      <w:r>
        <w:t>(Manchester: Manchester University Press, 1997).</w:t>
      </w:r>
      <w:bookmarkEnd w:id="21"/>
    </w:p>
  </w:footnote>
  <w:footnote w:id="40">
    <w:p w:rsidR="00CF3B64" w:rsidRPr="0071274F" w:rsidRDefault="00CF3B64">
      <w:pPr>
        <w:pStyle w:val="FootnoteText"/>
      </w:pPr>
      <w:r>
        <w:rPr>
          <w:rStyle w:val="FootnoteReference"/>
        </w:rPr>
        <w:footnoteRef/>
      </w:r>
      <w:r>
        <w:t xml:space="preserve"> S. Echard, </w:t>
      </w:r>
      <w:r>
        <w:rPr>
          <w:i/>
        </w:rPr>
        <w:t xml:space="preserve">Arthurian Narrative in the Latin Tradition, </w:t>
      </w:r>
      <w:r>
        <w:t>p. 36.</w:t>
      </w:r>
    </w:p>
  </w:footnote>
  <w:footnote w:id="41">
    <w:p w:rsidR="00CF3B64" w:rsidRDefault="00CF3B64">
      <w:pPr>
        <w:pStyle w:val="FootnoteText"/>
      </w:pPr>
      <w:r>
        <w:rPr>
          <w:rStyle w:val="FootnoteReference"/>
        </w:rPr>
        <w:footnoteRef/>
      </w:r>
      <w:r>
        <w:t xml:space="preserve"> Ibid., p. 32.</w:t>
      </w:r>
    </w:p>
  </w:footnote>
  <w:footnote w:id="42">
    <w:p w:rsidR="00CF3B64" w:rsidRDefault="00CF3B64">
      <w:pPr>
        <w:pStyle w:val="FootnoteText"/>
      </w:pPr>
      <w:r>
        <w:rPr>
          <w:rStyle w:val="FootnoteReference"/>
        </w:rPr>
        <w:footnoteRef/>
      </w:r>
      <w:r>
        <w:t xml:space="preserve"> Ibid., p. 41.</w:t>
      </w:r>
    </w:p>
  </w:footnote>
  <w:footnote w:id="43">
    <w:p w:rsidR="00CF3B64" w:rsidRPr="005970C8" w:rsidRDefault="00CF3B64">
      <w:pPr>
        <w:pStyle w:val="FootnoteText"/>
      </w:pPr>
      <w:r>
        <w:rPr>
          <w:rStyle w:val="FootnoteReference"/>
        </w:rPr>
        <w:footnoteRef/>
      </w:r>
      <w:r>
        <w:t xml:space="preserve"> </w:t>
      </w:r>
      <w:bookmarkStart w:id="22" w:name="_Hlk534550614"/>
      <w:r>
        <w:t xml:space="preserve">T. Charles-Edwards, ‘The Arthur of History’ in </w:t>
      </w:r>
      <w:r>
        <w:rPr>
          <w:i/>
        </w:rPr>
        <w:t xml:space="preserve">The Arthur of the Welsh, </w:t>
      </w:r>
      <w:r>
        <w:t xml:space="preserve">(eds) R. Bromwich et al., (Cardiff: University of Wales Press, 1991), </w:t>
      </w:r>
      <w:bookmarkEnd w:id="22"/>
      <w:r>
        <w:t>p. 28.</w:t>
      </w:r>
    </w:p>
  </w:footnote>
  <w:footnote w:id="44">
    <w:p w:rsidR="00CF3B64" w:rsidRPr="006812D2" w:rsidRDefault="00CF3B64">
      <w:pPr>
        <w:pStyle w:val="FootnoteText"/>
      </w:pPr>
      <w:r>
        <w:rPr>
          <w:rStyle w:val="FootnoteReference"/>
        </w:rPr>
        <w:footnoteRef/>
      </w:r>
      <w:r>
        <w:t xml:space="preserve"> S. Echard, </w:t>
      </w:r>
      <w:r>
        <w:rPr>
          <w:i/>
        </w:rPr>
        <w:t xml:space="preserve">Arthurian Narrative in the Latin Tradition, </w:t>
      </w:r>
      <w:r>
        <w:t>p. 65.</w:t>
      </w:r>
    </w:p>
  </w:footnote>
  <w:footnote w:id="45">
    <w:p w:rsidR="00CF3B64" w:rsidRDefault="00CF3B64">
      <w:pPr>
        <w:pStyle w:val="FootnoteText"/>
      </w:pPr>
      <w:r>
        <w:rPr>
          <w:rStyle w:val="FootnoteReference"/>
        </w:rPr>
        <w:footnoteRef/>
      </w:r>
      <w:r>
        <w:t xml:space="preserve"> Ibid., p. 60.</w:t>
      </w:r>
    </w:p>
  </w:footnote>
  <w:footnote w:id="46">
    <w:p w:rsidR="00CF3B64" w:rsidRDefault="00CF3B64">
      <w:pPr>
        <w:pStyle w:val="FootnoteText"/>
      </w:pPr>
      <w:r>
        <w:rPr>
          <w:rStyle w:val="FootnoteReference"/>
        </w:rPr>
        <w:footnoteRef/>
      </w:r>
      <w:r>
        <w:t xml:space="preserve"> Ibid., p. 64.</w:t>
      </w:r>
    </w:p>
  </w:footnote>
  <w:footnote w:id="47">
    <w:p w:rsidR="00CF3B64" w:rsidRDefault="00CF3B64">
      <w:pPr>
        <w:pStyle w:val="FootnoteText"/>
      </w:pPr>
      <w:r>
        <w:rPr>
          <w:rStyle w:val="FootnoteReference"/>
        </w:rPr>
        <w:footnoteRef/>
      </w:r>
      <w:r>
        <w:t xml:space="preserve"> Ibid., p. 41.</w:t>
      </w:r>
    </w:p>
  </w:footnote>
  <w:footnote w:id="48">
    <w:p w:rsidR="00CF3B64" w:rsidRDefault="00CF3B64">
      <w:pPr>
        <w:pStyle w:val="FootnoteText"/>
      </w:pPr>
      <w:r>
        <w:rPr>
          <w:rStyle w:val="FootnoteReference"/>
        </w:rPr>
        <w:footnoteRef/>
      </w:r>
      <w:r>
        <w:t xml:space="preserve"> Ibid. </w:t>
      </w:r>
    </w:p>
  </w:footnote>
  <w:footnote w:id="49">
    <w:p w:rsidR="00CF3B64" w:rsidRDefault="00CF3B64">
      <w:pPr>
        <w:pStyle w:val="FootnoteText"/>
      </w:pPr>
      <w:r>
        <w:rPr>
          <w:rStyle w:val="FootnoteReference"/>
        </w:rPr>
        <w:footnoteRef/>
      </w:r>
      <w:r>
        <w:t xml:space="preserve"> Ibid.</w:t>
      </w:r>
    </w:p>
  </w:footnote>
  <w:footnote w:id="50">
    <w:p w:rsidR="00CF3B64" w:rsidRDefault="00CF3B64">
      <w:pPr>
        <w:pStyle w:val="FootnoteText"/>
      </w:pPr>
      <w:r>
        <w:rPr>
          <w:rStyle w:val="FootnoteReference"/>
        </w:rPr>
        <w:footnoteRef/>
      </w:r>
      <w:r>
        <w:t xml:space="preserve"> Ibid., p. 63.</w:t>
      </w:r>
    </w:p>
  </w:footnote>
  <w:footnote w:id="51">
    <w:p w:rsidR="00CF3B64" w:rsidRDefault="00CF3B64">
      <w:pPr>
        <w:pStyle w:val="FootnoteText"/>
      </w:pPr>
      <w:r>
        <w:rPr>
          <w:rStyle w:val="FootnoteReference"/>
        </w:rPr>
        <w:footnoteRef/>
      </w:r>
      <w:r>
        <w:t xml:space="preserve"> O.J. Padel, </w:t>
      </w:r>
      <w:r>
        <w:rPr>
          <w:i/>
        </w:rPr>
        <w:t>Cambrian Medieval Celtic Studies</w:t>
      </w:r>
      <w:r>
        <w:t>, p. 12.</w:t>
      </w:r>
    </w:p>
  </w:footnote>
  <w:footnote w:id="52">
    <w:p w:rsidR="00CF3B64" w:rsidRDefault="00CF3B64">
      <w:pPr>
        <w:pStyle w:val="FootnoteText"/>
      </w:pPr>
      <w:r>
        <w:rPr>
          <w:rStyle w:val="FootnoteReference"/>
        </w:rPr>
        <w:footnoteRef/>
      </w:r>
      <w:r>
        <w:t xml:space="preserve"> A. Thomas, </w:t>
      </w:r>
      <w:r>
        <w:rPr>
          <w:i/>
        </w:rPr>
        <w:t xml:space="preserve">History of the Kings of Britain, </w:t>
      </w:r>
      <w:r>
        <w:t>p. 212.</w:t>
      </w:r>
    </w:p>
  </w:footnote>
  <w:footnote w:id="53">
    <w:p w:rsidR="00CF3B64" w:rsidRDefault="00CF3B64">
      <w:pPr>
        <w:pStyle w:val="FootnoteText"/>
      </w:pPr>
      <w:r>
        <w:rPr>
          <w:rStyle w:val="FootnoteReference"/>
        </w:rPr>
        <w:footnoteRef/>
      </w:r>
      <w:r>
        <w:t xml:space="preserve"> J. Gillingham, </w:t>
      </w:r>
      <w:r>
        <w:rPr>
          <w:i/>
        </w:rPr>
        <w:t xml:space="preserve">Anglo-Norman Studies, </w:t>
      </w:r>
      <w:r>
        <w:t>p. 111-112.</w:t>
      </w:r>
    </w:p>
  </w:footnote>
  <w:footnote w:id="54">
    <w:p w:rsidR="00CF3B64" w:rsidRDefault="00CF3B64">
      <w:pPr>
        <w:pStyle w:val="FootnoteText"/>
      </w:pPr>
      <w:r>
        <w:rPr>
          <w:rStyle w:val="FootnoteReference"/>
        </w:rPr>
        <w:footnoteRef/>
      </w:r>
      <w:r>
        <w:t xml:space="preserve"> Ibid., p. 117-118</w:t>
      </w:r>
    </w:p>
  </w:footnote>
  <w:footnote w:id="55">
    <w:p w:rsidR="00CF3B64" w:rsidRPr="009C117E" w:rsidRDefault="00CF3B64">
      <w:pPr>
        <w:pStyle w:val="FootnoteText"/>
      </w:pPr>
      <w:r>
        <w:rPr>
          <w:rStyle w:val="FootnoteReference"/>
        </w:rPr>
        <w:footnoteRef/>
      </w:r>
      <w:r>
        <w:t xml:space="preserve"> J. Crick, </w:t>
      </w:r>
      <w:r>
        <w:rPr>
          <w:i/>
        </w:rPr>
        <w:t xml:space="preserve">Celtica, </w:t>
      </w:r>
      <w:r>
        <w:t>p. 74.</w:t>
      </w:r>
    </w:p>
  </w:footnote>
  <w:footnote w:id="56">
    <w:p w:rsidR="00CF3B64" w:rsidRDefault="00CF3B64">
      <w:pPr>
        <w:pStyle w:val="FootnoteText"/>
      </w:pPr>
      <w:r>
        <w:rPr>
          <w:rStyle w:val="FootnoteReference"/>
        </w:rPr>
        <w:footnoteRef/>
      </w:r>
      <w:r>
        <w:t xml:space="preserve"> J. Gillingham, </w:t>
      </w:r>
      <w:r>
        <w:rPr>
          <w:i/>
        </w:rPr>
        <w:t xml:space="preserve">Anglo-Norman Studies, </w:t>
      </w:r>
      <w:r>
        <w:t>p. 100.</w:t>
      </w:r>
    </w:p>
  </w:footnote>
  <w:footnote w:id="57">
    <w:p w:rsidR="00CF3B64" w:rsidRDefault="00CF3B64">
      <w:pPr>
        <w:pStyle w:val="FootnoteText"/>
      </w:pPr>
      <w:r>
        <w:rPr>
          <w:rStyle w:val="FootnoteReference"/>
        </w:rPr>
        <w:footnoteRef/>
      </w:r>
      <w:r>
        <w:t xml:space="preserve"> Ibid., p. 108.</w:t>
      </w:r>
    </w:p>
  </w:footnote>
  <w:footnote w:id="58">
    <w:p w:rsidR="00CF3B64" w:rsidRDefault="00CF3B64">
      <w:pPr>
        <w:pStyle w:val="FootnoteText"/>
      </w:pPr>
      <w:r>
        <w:rPr>
          <w:rStyle w:val="FootnoteReference"/>
        </w:rPr>
        <w:footnoteRef/>
      </w:r>
      <w:r>
        <w:t xml:space="preserve"> Ibid., p. 106.</w:t>
      </w:r>
    </w:p>
  </w:footnote>
  <w:footnote w:id="59">
    <w:p w:rsidR="00CF3B64" w:rsidRDefault="00CF3B64">
      <w:pPr>
        <w:pStyle w:val="FootnoteText"/>
      </w:pPr>
      <w:r>
        <w:rPr>
          <w:rStyle w:val="FootnoteReference"/>
        </w:rPr>
        <w:footnoteRef/>
      </w:r>
      <w:r>
        <w:t xml:space="preserve"> Ibid., p. 110.</w:t>
      </w:r>
    </w:p>
  </w:footnote>
  <w:footnote w:id="60">
    <w:p w:rsidR="00CF3B64" w:rsidRDefault="00CF3B64">
      <w:pPr>
        <w:pStyle w:val="FootnoteText"/>
      </w:pPr>
      <w:r>
        <w:rPr>
          <w:rStyle w:val="FootnoteReference"/>
        </w:rPr>
        <w:footnoteRef/>
      </w:r>
      <w:r>
        <w:t xml:space="preserve"> Ibid., p. 109.</w:t>
      </w:r>
    </w:p>
  </w:footnote>
  <w:footnote w:id="61">
    <w:p w:rsidR="00CF3B64" w:rsidRDefault="00CF3B64">
      <w:pPr>
        <w:pStyle w:val="FootnoteText"/>
      </w:pPr>
      <w:r>
        <w:rPr>
          <w:rStyle w:val="FootnoteReference"/>
        </w:rPr>
        <w:footnoteRef/>
      </w:r>
      <w:r>
        <w:t xml:space="preserve"> Ibid.</w:t>
      </w:r>
    </w:p>
  </w:footnote>
  <w:footnote w:id="62">
    <w:p w:rsidR="00CF3B64" w:rsidRDefault="00CF3B64">
      <w:pPr>
        <w:pStyle w:val="FootnoteText"/>
      </w:pPr>
      <w:r>
        <w:rPr>
          <w:rStyle w:val="FootnoteReference"/>
        </w:rPr>
        <w:footnoteRef/>
      </w:r>
      <w:r>
        <w:t xml:space="preserve"> Ibid., p. 113.</w:t>
      </w:r>
    </w:p>
  </w:footnote>
  <w:footnote w:id="63">
    <w:p w:rsidR="00CF3B64" w:rsidRDefault="00CF3B64">
      <w:pPr>
        <w:pStyle w:val="FootnoteText"/>
      </w:pPr>
      <w:r>
        <w:rPr>
          <w:rStyle w:val="FootnoteReference"/>
        </w:rPr>
        <w:footnoteRef/>
      </w:r>
      <w:r>
        <w:t xml:space="preserve"> Ibid., p. 115.</w:t>
      </w:r>
    </w:p>
  </w:footnote>
  <w:footnote w:id="64">
    <w:p w:rsidR="00CF3B64" w:rsidRDefault="00CF3B64">
      <w:pPr>
        <w:pStyle w:val="FootnoteText"/>
      </w:pPr>
      <w:r>
        <w:rPr>
          <w:rStyle w:val="FootnoteReference"/>
        </w:rPr>
        <w:footnoteRef/>
      </w:r>
      <w:r>
        <w:t xml:space="preserve"> O.J. Padel, </w:t>
      </w:r>
      <w:r>
        <w:rPr>
          <w:i/>
        </w:rPr>
        <w:t xml:space="preserve">Medieval Celtic Studies, </w:t>
      </w:r>
      <w:r>
        <w:t>p. 37-38</w:t>
      </w:r>
    </w:p>
  </w:footnote>
  <w:footnote w:id="65">
    <w:p w:rsidR="00CF3B64" w:rsidRPr="00A90B17" w:rsidRDefault="00CF3B64">
      <w:pPr>
        <w:pStyle w:val="FootnoteText"/>
      </w:pPr>
      <w:r>
        <w:rPr>
          <w:rStyle w:val="FootnoteReference"/>
        </w:rPr>
        <w:footnoteRef/>
      </w:r>
      <w:r>
        <w:t xml:space="preserve"> </w:t>
      </w:r>
      <w:bookmarkStart w:id="23" w:name="_Hlk534550713"/>
      <w:r>
        <w:t xml:space="preserve">A.O.H. Jarman, ‘Early Stages in the Development of the Myrddin Legend’ in </w:t>
      </w:r>
      <w:r>
        <w:rPr>
          <w:i/>
        </w:rPr>
        <w:t>Astudiaethau ar yr hengerdd</w:t>
      </w:r>
      <w:r>
        <w:t xml:space="preserve">, (eds.) R. Bromwich and R.B. Jones, (Cardiff: University of Wales Press, 1978), </w:t>
      </w:r>
      <w:bookmarkEnd w:id="23"/>
      <w:r>
        <w:t>p. 347.</w:t>
      </w:r>
    </w:p>
  </w:footnote>
  <w:footnote w:id="66">
    <w:p w:rsidR="00CF3B64" w:rsidRPr="00A90B17" w:rsidRDefault="00CF3B64">
      <w:pPr>
        <w:pStyle w:val="FootnoteText"/>
      </w:pPr>
      <w:r>
        <w:rPr>
          <w:rStyle w:val="FootnoteReference"/>
        </w:rPr>
        <w:footnoteRef/>
      </w:r>
      <w:r>
        <w:t xml:space="preserve"> O.J. Padel, </w:t>
      </w:r>
      <w:r>
        <w:rPr>
          <w:i/>
        </w:rPr>
        <w:t xml:space="preserve">Medieval Celtic Studies, </w:t>
      </w:r>
      <w:r>
        <w:t>p. 37.</w:t>
      </w:r>
    </w:p>
  </w:footnote>
  <w:footnote w:id="67">
    <w:p w:rsidR="00CF3B64" w:rsidRPr="00CF3B64" w:rsidRDefault="00CF3B64">
      <w:pPr>
        <w:pStyle w:val="FootnoteText"/>
      </w:pPr>
      <w:r>
        <w:rPr>
          <w:rStyle w:val="FootnoteReference"/>
        </w:rPr>
        <w:footnoteRef/>
      </w:r>
      <w:r>
        <w:t xml:space="preserve"> M. Pennar, </w:t>
      </w:r>
      <w:r>
        <w:rPr>
          <w:i/>
        </w:rPr>
        <w:t xml:space="preserve">The Black Book of Carmarthen, </w:t>
      </w:r>
      <w:r>
        <w:t>p. 40-42</w:t>
      </w:r>
    </w:p>
  </w:footnote>
  <w:footnote w:id="68">
    <w:p w:rsidR="00CF3B64" w:rsidRPr="00CF3B64" w:rsidRDefault="00CF3B64">
      <w:pPr>
        <w:pStyle w:val="FootnoteText"/>
      </w:pPr>
      <w:r>
        <w:rPr>
          <w:rStyle w:val="FootnoteReference"/>
        </w:rPr>
        <w:footnoteRef/>
      </w:r>
      <w:r>
        <w:t xml:space="preserve"> O.J. Padel, </w:t>
      </w:r>
      <w:r>
        <w:rPr>
          <w:i/>
        </w:rPr>
        <w:t xml:space="preserve">Medieval Celtic Studies, </w:t>
      </w:r>
      <w:r>
        <w:t>p. 38.</w:t>
      </w:r>
    </w:p>
  </w:footnote>
  <w:footnote w:id="69">
    <w:p w:rsidR="00CF3B64" w:rsidRDefault="00CF3B64">
      <w:pPr>
        <w:pStyle w:val="FootnoteText"/>
      </w:pPr>
      <w:r>
        <w:rPr>
          <w:rStyle w:val="FootnoteReference"/>
        </w:rPr>
        <w:footnoteRef/>
      </w:r>
      <w:r>
        <w:t xml:space="preserve"> Ibid.</w:t>
      </w:r>
    </w:p>
  </w:footnote>
  <w:footnote w:id="70">
    <w:p w:rsidR="00CF3B64" w:rsidRDefault="00CF3B64">
      <w:pPr>
        <w:pStyle w:val="FootnoteText"/>
      </w:pPr>
      <w:r>
        <w:rPr>
          <w:rStyle w:val="FootnoteReference"/>
        </w:rPr>
        <w:footnoteRef/>
      </w:r>
      <w:r>
        <w:t xml:space="preserve"> M.E. Griffiths, </w:t>
      </w:r>
      <w:r>
        <w:rPr>
          <w:i/>
        </w:rPr>
        <w:t xml:space="preserve">Early Vaticination in Welsh with English Parallels, </w:t>
      </w:r>
      <w:r>
        <w:t>p. 106.</w:t>
      </w:r>
    </w:p>
  </w:footnote>
  <w:footnote w:id="71">
    <w:p w:rsidR="00CF3B64" w:rsidRDefault="00CF3B64">
      <w:pPr>
        <w:pStyle w:val="FootnoteText"/>
      </w:pPr>
      <w:r>
        <w:rPr>
          <w:rStyle w:val="FootnoteReference"/>
        </w:rPr>
        <w:footnoteRef/>
      </w:r>
      <w:r>
        <w:t xml:space="preserve"> J. Gillingham, </w:t>
      </w:r>
      <w:r>
        <w:rPr>
          <w:i/>
        </w:rPr>
        <w:t xml:space="preserve">Anglo-Norman Studies, </w:t>
      </w:r>
      <w:r>
        <w:t>p. 116.</w:t>
      </w:r>
    </w:p>
  </w:footnote>
  <w:footnote w:id="72">
    <w:p w:rsidR="00CF3B64" w:rsidRDefault="00CF3B64">
      <w:pPr>
        <w:pStyle w:val="FootnoteText"/>
      </w:pPr>
      <w:r>
        <w:rPr>
          <w:rStyle w:val="FootnoteReference"/>
        </w:rPr>
        <w:footnoteRef/>
      </w:r>
      <w:r>
        <w:t xml:space="preserve"> O.J. Padel, </w:t>
      </w:r>
      <w:r>
        <w:rPr>
          <w:i/>
        </w:rPr>
        <w:t xml:space="preserve">Medieval Celtic Studies, </w:t>
      </w:r>
      <w:r>
        <w:t>p. 38.</w:t>
      </w:r>
    </w:p>
  </w:footnote>
  <w:footnote w:id="73">
    <w:p w:rsidR="00CF3B64" w:rsidRPr="000C039A" w:rsidRDefault="00CF3B64">
      <w:pPr>
        <w:pStyle w:val="FootnoteText"/>
      </w:pPr>
      <w:r>
        <w:rPr>
          <w:rStyle w:val="FootnoteReference"/>
        </w:rPr>
        <w:footnoteRef/>
      </w:r>
      <w:r>
        <w:t xml:space="preserve"> </w:t>
      </w:r>
      <w:r w:rsidR="000C039A">
        <w:t xml:space="preserve">J. Gillingham, </w:t>
      </w:r>
      <w:r w:rsidR="000C039A">
        <w:rPr>
          <w:i/>
        </w:rPr>
        <w:t xml:space="preserve">Anglo-Norman Studies, </w:t>
      </w:r>
      <w:r w:rsidR="000C039A">
        <w:t>p. 113.</w:t>
      </w:r>
    </w:p>
  </w:footnote>
  <w:footnote w:id="74">
    <w:p w:rsidR="00CF3B64" w:rsidRDefault="00CF3B64">
      <w:pPr>
        <w:pStyle w:val="FootnoteText"/>
      </w:pPr>
      <w:r>
        <w:rPr>
          <w:rStyle w:val="FootnoteReference"/>
        </w:rPr>
        <w:footnoteRef/>
      </w:r>
      <w:r>
        <w:t xml:space="preserve"> </w:t>
      </w:r>
      <w:r w:rsidR="000C039A">
        <w:t>Ibid.</w:t>
      </w:r>
    </w:p>
  </w:footnote>
  <w:footnote w:id="75">
    <w:p w:rsidR="00CF3B64" w:rsidRPr="000C039A" w:rsidRDefault="00CF3B64">
      <w:pPr>
        <w:pStyle w:val="FootnoteText"/>
        <w:rPr>
          <w:i/>
        </w:rPr>
      </w:pPr>
      <w:r>
        <w:rPr>
          <w:rStyle w:val="FootnoteReference"/>
        </w:rPr>
        <w:footnoteRef/>
      </w:r>
      <w:r>
        <w:t xml:space="preserve"> </w:t>
      </w:r>
      <w:r w:rsidR="000C039A">
        <w:t xml:space="preserve">S. Echard, </w:t>
      </w:r>
      <w:r w:rsidR="000C039A">
        <w:rPr>
          <w:i/>
        </w:rPr>
        <w:t xml:space="preserve">Arthurian Narrative in the Latin Tradition, </w:t>
      </w:r>
      <w:r w:rsidR="000C039A">
        <w:t>p. 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3035D"/>
    <w:multiLevelType w:val="multilevel"/>
    <w:tmpl w:val="690A3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D164DC"/>
    <w:multiLevelType w:val="hybridMultilevel"/>
    <w:tmpl w:val="53C075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1311C7"/>
    <w:multiLevelType w:val="hybridMultilevel"/>
    <w:tmpl w:val="7ECCC7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7B105D6"/>
    <w:multiLevelType w:val="hybridMultilevel"/>
    <w:tmpl w:val="3180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162FB"/>
    <w:multiLevelType w:val="hybridMultilevel"/>
    <w:tmpl w:val="FB2A3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C644C7"/>
    <w:multiLevelType w:val="multilevel"/>
    <w:tmpl w:val="7A30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3546F2"/>
    <w:multiLevelType w:val="hybridMultilevel"/>
    <w:tmpl w:val="0BA29A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4FF7DDE"/>
    <w:multiLevelType w:val="hybridMultilevel"/>
    <w:tmpl w:val="27C65F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B546ACC"/>
    <w:multiLevelType w:val="multilevel"/>
    <w:tmpl w:val="DA8603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2B320E"/>
    <w:multiLevelType w:val="multilevel"/>
    <w:tmpl w:val="1BE8D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122C6B"/>
    <w:multiLevelType w:val="multilevel"/>
    <w:tmpl w:val="62549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F07110"/>
    <w:multiLevelType w:val="multilevel"/>
    <w:tmpl w:val="696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610DDE"/>
    <w:multiLevelType w:val="hybridMultilevel"/>
    <w:tmpl w:val="3F4829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3B01AF0"/>
    <w:multiLevelType w:val="multilevel"/>
    <w:tmpl w:val="3D069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B72732"/>
    <w:multiLevelType w:val="hybridMultilevel"/>
    <w:tmpl w:val="B8B6B3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6BB3E7A"/>
    <w:multiLevelType w:val="hybridMultilevel"/>
    <w:tmpl w:val="4314D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EE570A"/>
    <w:multiLevelType w:val="hybridMultilevel"/>
    <w:tmpl w:val="BEF8D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B412507"/>
    <w:multiLevelType w:val="multilevel"/>
    <w:tmpl w:val="812A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A72A64"/>
    <w:multiLevelType w:val="hybridMultilevel"/>
    <w:tmpl w:val="D0AE3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4501AF1"/>
    <w:multiLevelType w:val="multilevel"/>
    <w:tmpl w:val="6FF2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3D542C"/>
    <w:multiLevelType w:val="multilevel"/>
    <w:tmpl w:val="DF28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8B6C95"/>
    <w:multiLevelType w:val="hybridMultilevel"/>
    <w:tmpl w:val="B41C27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9"/>
  </w:num>
  <w:num w:numId="4">
    <w:abstractNumId w:val="17"/>
  </w:num>
  <w:num w:numId="5">
    <w:abstractNumId w:val="5"/>
  </w:num>
  <w:num w:numId="6">
    <w:abstractNumId w:val="0"/>
  </w:num>
  <w:num w:numId="7">
    <w:abstractNumId w:val="19"/>
  </w:num>
  <w:num w:numId="8">
    <w:abstractNumId w:val="8"/>
  </w:num>
  <w:num w:numId="9">
    <w:abstractNumId w:val="20"/>
  </w:num>
  <w:num w:numId="10">
    <w:abstractNumId w:val="11"/>
  </w:num>
  <w:num w:numId="11">
    <w:abstractNumId w:val="14"/>
  </w:num>
  <w:num w:numId="12">
    <w:abstractNumId w:val="7"/>
  </w:num>
  <w:num w:numId="13">
    <w:abstractNumId w:val="1"/>
  </w:num>
  <w:num w:numId="14">
    <w:abstractNumId w:val="12"/>
  </w:num>
  <w:num w:numId="15">
    <w:abstractNumId w:val="6"/>
  </w:num>
  <w:num w:numId="16">
    <w:abstractNumId w:val="4"/>
  </w:num>
  <w:num w:numId="17">
    <w:abstractNumId w:val="18"/>
  </w:num>
  <w:num w:numId="18">
    <w:abstractNumId w:val="2"/>
  </w:num>
  <w:num w:numId="19">
    <w:abstractNumId w:val="16"/>
  </w:num>
  <w:num w:numId="20">
    <w:abstractNumId w:val="21"/>
  </w:num>
  <w:num w:numId="21">
    <w:abstractNumId w:val="3"/>
  </w:num>
  <w:num w:numId="22">
    <w:abstractNumId w:val="1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74B"/>
    <w:rsid w:val="000040B1"/>
    <w:rsid w:val="000148BE"/>
    <w:rsid w:val="00017A09"/>
    <w:rsid w:val="0002677A"/>
    <w:rsid w:val="00035C57"/>
    <w:rsid w:val="00050DBA"/>
    <w:rsid w:val="00063AD9"/>
    <w:rsid w:val="000719CE"/>
    <w:rsid w:val="000825CD"/>
    <w:rsid w:val="0008263F"/>
    <w:rsid w:val="00095007"/>
    <w:rsid w:val="00096FB7"/>
    <w:rsid w:val="000A4FBE"/>
    <w:rsid w:val="000B7E30"/>
    <w:rsid w:val="000C039A"/>
    <w:rsid w:val="000C7D49"/>
    <w:rsid w:val="000E278B"/>
    <w:rsid w:val="000F43D7"/>
    <w:rsid w:val="001052A5"/>
    <w:rsid w:val="00112C07"/>
    <w:rsid w:val="00122B2F"/>
    <w:rsid w:val="0012457B"/>
    <w:rsid w:val="00125E3C"/>
    <w:rsid w:val="00130249"/>
    <w:rsid w:val="001353FC"/>
    <w:rsid w:val="00141B73"/>
    <w:rsid w:val="00146925"/>
    <w:rsid w:val="00146963"/>
    <w:rsid w:val="00146C8F"/>
    <w:rsid w:val="00150792"/>
    <w:rsid w:val="00161146"/>
    <w:rsid w:val="0018638A"/>
    <w:rsid w:val="00191AC0"/>
    <w:rsid w:val="00194DE5"/>
    <w:rsid w:val="001A0C79"/>
    <w:rsid w:val="001A2DD9"/>
    <w:rsid w:val="001B3AC5"/>
    <w:rsid w:val="001C1B8D"/>
    <w:rsid w:val="001C72F1"/>
    <w:rsid w:val="001E5200"/>
    <w:rsid w:val="001E77EA"/>
    <w:rsid w:val="001F6685"/>
    <w:rsid w:val="0020154C"/>
    <w:rsid w:val="00216B83"/>
    <w:rsid w:val="002414E2"/>
    <w:rsid w:val="00242520"/>
    <w:rsid w:val="00252DAB"/>
    <w:rsid w:val="002539BC"/>
    <w:rsid w:val="00267B69"/>
    <w:rsid w:val="00280295"/>
    <w:rsid w:val="002866DF"/>
    <w:rsid w:val="00292870"/>
    <w:rsid w:val="002A3B48"/>
    <w:rsid w:val="002B386C"/>
    <w:rsid w:val="002B7CE6"/>
    <w:rsid w:val="002D3F51"/>
    <w:rsid w:val="002F1E49"/>
    <w:rsid w:val="002F66D8"/>
    <w:rsid w:val="00303D51"/>
    <w:rsid w:val="0030742F"/>
    <w:rsid w:val="00313D9A"/>
    <w:rsid w:val="00335FCB"/>
    <w:rsid w:val="0034657C"/>
    <w:rsid w:val="0035468E"/>
    <w:rsid w:val="0036790F"/>
    <w:rsid w:val="00372AD5"/>
    <w:rsid w:val="00383F9A"/>
    <w:rsid w:val="00397F32"/>
    <w:rsid w:val="003A1530"/>
    <w:rsid w:val="003A5D8E"/>
    <w:rsid w:val="003B144F"/>
    <w:rsid w:val="003B54B6"/>
    <w:rsid w:val="003B74B1"/>
    <w:rsid w:val="003D5B54"/>
    <w:rsid w:val="003E6291"/>
    <w:rsid w:val="00423C1E"/>
    <w:rsid w:val="0046767D"/>
    <w:rsid w:val="00477502"/>
    <w:rsid w:val="0049574B"/>
    <w:rsid w:val="004A397C"/>
    <w:rsid w:val="004B7540"/>
    <w:rsid w:val="004D10CC"/>
    <w:rsid w:val="004D23D4"/>
    <w:rsid w:val="004E0643"/>
    <w:rsid w:val="005035D2"/>
    <w:rsid w:val="00511A49"/>
    <w:rsid w:val="00523D38"/>
    <w:rsid w:val="0052535A"/>
    <w:rsid w:val="00526510"/>
    <w:rsid w:val="00531320"/>
    <w:rsid w:val="00532F86"/>
    <w:rsid w:val="0054227F"/>
    <w:rsid w:val="00552124"/>
    <w:rsid w:val="005536D8"/>
    <w:rsid w:val="0056138B"/>
    <w:rsid w:val="00566B41"/>
    <w:rsid w:val="0058159B"/>
    <w:rsid w:val="00582E65"/>
    <w:rsid w:val="00585844"/>
    <w:rsid w:val="005970C8"/>
    <w:rsid w:val="005A7D94"/>
    <w:rsid w:val="005B0F5D"/>
    <w:rsid w:val="005B49FC"/>
    <w:rsid w:val="005C61E3"/>
    <w:rsid w:val="005F352F"/>
    <w:rsid w:val="006023D2"/>
    <w:rsid w:val="00622B25"/>
    <w:rsid w:val="00627699"/>
    <w:rsid w:val="00630CA1"/>
    <w:rsid w:val="00651877"/>
    <w:rsid w:val="00653C59"/>
    <w:rsid w:val="00667D9E"/>
    <w:rsid w:val="006812D2"/>
    <w:rsid w:val="00693AC6"/>
    <w:rsid w:val="006B4206"/>
    <w:rsid w:val="006C4E0E"/>
    <w:rsid w:val="006C5149"/>
    <w:rsid w:val="007003D4"/>
    <w:rsid w:val="00704A23"/>
    <w:rsid w:val="0071274F"/>
    <w:rsid w:val="00715C85"/>
    <w:rsid w:val="00725D87"/>
    <w:rsid w:val="00741C2C"/>
    <w:rsid w:val="00742236"/>
    <w:rsid w:val="00763790"/>
    <w:rsid w:val="00776923"/>
    <w:rsid w:val="00785B82"/>
    <w:rsid w:val="0078750D"/>
    <w:rsid w:val="007A30B4"/>
    <w:rsid w:val="007C7310"/>
    <w:rsid w:val="007E2138"/>
    <w:rsid w:val="007E4492"/>
    <w:rsid w:val="007F12D0"/>
    <w:rsid w:val="007F30D7"/>
    <w:rsid w:val="00802D22"/>
    <w:rsid w:val="008032FC"/>
    <w:rsid w:val="00806CBD"/>
    <w:rsid w:val="00811B48"/>
    <w:rsid w:val="00812892"/>
    <w:rsid w:val="008203AC"/>
    <w:rsid w:val="00821CE6"/>
    <w:rsid w:val="00823F45"/>
    <w:rsid w:val="00833CE0"/>
    <w:rsid w:val="00837CAB"/>
    <w:rsid w:val="008400EB"/>
    <w:rsid w:val="00841129"/>
    <w:rsid w:val="008661C8"/>
    <w:rsid w:val="00875EE7"/>
    <w:rsid w:val="008842D4"/>
    <w:rsid w:val="008874B6"/>
    <w:rsid w:val="008901C8"/>
    <w:rsid w:val="008958EE"/>
    <w:rsid w:val="008E5463"/>
    <w:rsid w:val="008F0B3D"/>
    <w:rsid w:val="008F5929"/>
    <w:rsid w:val="00910AE6"/>
    <w:rsid w:val="00925E8E"/>
    <w:rsid w:val="009329DF"/>
    <w:rsid w:val="009507BA"/>
    <w:rsid w:val="00951D6F"/>
    <w:rsid w:val="009631E2"/>
    <w:rsid w:val="009810BB"/>
    <w:rsid w:val="009810DD"/>
    <w:rsid w:val="00983D41"/>
    <w:rsid w:val="0099280D"/>
    <w:rsid w:val="009962CD"/>
    <w:rsid w:val="009A173E"/>
    <w:rsid w:val="009B3BD9"/>
    <w:rsid w:val="009B7DE0"/>
    <w:rsid w:val="009C03FB"/>
    <w:rsid w:val="009C117E"/>
    <w:rsid w:val="009E5002"/>
    <w:rsid w:val="00A0236F"/>
    <w:rsid w:val="00A0457B"/>
    <w:rsid w:val="00A04F0D"/>
    <w:rsid w:val="00A25916"/>
    <w:rsid w:val="00A30ED1"/>
    <w:rsid w:val="00A3676E"/>
    <w:rsid w:val="00A570D9"/>
    <w:rsid w:val="00A6149D"/>
    <w:rsid w:val="00A617FD"/>
    <w:rsid w:val="00A63BDB"/>
    <w:rsid w:val="00A64214"/>
    <w:rsid w:val="00A71487"/>
    <w:rsid w:val="00A75113"/>
    <w:rsid w:val="00A90B17"/>
    <w:rsid w:val="00AA1F35"/>
    <w:rsid w:val="00AC1436"/>
    <w:rsid w:val="00AD48B4"/>
    <w:rsid w:val="00AF3027"/>
    <w:rsid w:val="00B03884"/>
    <w:rsid w:val="00B115E4"/>
    <w:rsid w:val="00B24A8A"/>
    <w:rsid w:val="00B25D12"/>
    <w:rsid w:val="00B501AC"/>
    <w:rsid w:val="00B505E6"/>
    <w:rsid w:val="00BD75D3"/>
    <w:rsid w:val="00BE79B2"/>
    <w:rsid w:val="00BF11DE"/>
    <w:rsid w:val="00BF41B1"/>
    <w:rsid w:val="00BF7CE9"/>
    <w:rsid w:val="00C07135"/>
    <w:rsid w:val="00C17FA4"/>
    <w:rsid w:val="00C239DC"/>
    <w:rsid w:val="00C26433"/>
    <w:rsid w:val="00C32226"/>
    <w:rsid w:val="00C338AB"/>
    <w:rsid w:val="00C40432"/>
    <w:rsid w:val="00C5391B"/>
    <w:rsid w:val="00C5461B"/>
    <w:rsid w:val="00C829CF"/>
    <w:rsid w:val="00CA706E"/>
    <w:rsid w:val="00CB0C9E"/>
    <w:rsid w:val="00CB10D9"/>
    <w:rsid w:val="00CB7B26"/>
    <w:rsid w:val="00CC7C56"/>
    <w:rsid w:val="00CD239D"/>
    <w:rsid w:val="00CF3359"/>
    <w:rsid w:val="00CF3B64"/>
    <w:rsid w:val="00D1339A"/>
    <w:rsid w:val="00D74304"/>
    <w:rsid w:val="00D831D6"/>
    <w:rsid w:val="00D8678D"/>
    <w:rsid w:val="00D86C73"/>
    <w:rsid w:val="00DB0075"/>
    <w:rsid w:val="00DC3D2E"/>
    <w:rsid w:val="00DF04B4"/>
    <w:rsid w:val="00DF3845"/>
    <w:rsid w:val="00DF4F31"/>
    <w:rsid w:val="00DF6C52"/>
    <w:rsid w:val="00E05A9E"/>
    <w:rsid w:val="00E07105"/>
    <w:rsid w:val="00E10819"/>
    <w:rsid w:val="00E1342A"/>
    <w:rsid w:val="00E23D10"/>
    <w:rsid w:val="00E260B0"/>
    <w:rsid w:val="00E2679D"/>
    <w:rsid w:val="00E27E3B"/>
    <w:rsid w:val="00E311B0"/>
    <w:rsid w:val="00E32301"/>
    <w:rsid w:val="00E332F5"/>
    <w:rsid w:val="00E3623D"/>
    <w:rsid w:val="00E45347"/>
    <w:rsid w:val="00E70A50"/>
    <w:rsid w:val="00E766C9"/>
    <w:rsid w:val="00E81294"/>
    <w:rsid w:val="00E847F0"/>
    <w:rsid w:val="00E92857"/>
    <w:rsid w:val="00EA5DAD"/>
    <w:rsid w:val="00EC2A4F"/>
    <w:rsid w:val="00ED396A"/>
    <w:rsid w:val="00ED62ED"/>
    <w:rsid w:val="00EE30E5"/>
    <w:rsid w:val="00EF1FC8"/>
    <w:rsid w:val="00EF203D"/>
    <w:rsid w:val="00EF2AEF"/>
    <w:rsid w:val="00EF7318"/>
    <w:rsid w:val="00F46224"/>
    <w:rsid w:val="00F53B88"/>
    <w:rsid w:val="00F577DC"/>
    <w:rsid w:val="00F6054C"/>
    <w:rsid w:val="00F903BC"/>
    <w:rsid w:val="00F96931"/>
    <w:rsid w:val="00FA00B9"/>
    <w:rsid w:val="00FB1193"/>
    <w:rsid w:val="00FB50BF"/>
    <w:rsid w:val="00FC1349"/>
    <w:rsid w:val="00FE5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D2019"/>
  <w15:chartTrackingRefBased/>
  <w15:docId w15:val="{BCE1E607-3986-4693-BCD0-DC94B9757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5EE7"/>
    <w:rPr>
      <w:color w:val="0563C1" w:themeColor="hyperlink"/>
      <w:u w:val="single"/>
    </w:rPr>
  </w:style>
  <w:style w:type="paragraph" w:styleId="NormalWeb">
    <w:name w:val="Normal (Web)"/>
    <w:basedOn w:val="Normal"/>
    <w:uiPriority w:val="99"/>
    <w:semiHidden/>
    <w:unhideWhenUsed/>
    <w:rsid w:val="004775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16B83"/>
    <w:pPr>
      <w:spacing w:line="256" w:lineRule="auto"/>
      <w:ind w:left="720"/>
      <w:contextualSpacing/>
    </w:pPr>
  </w:style>
  <w:style w:type="paragraph" w:styleId="FootnoteText">
    <w:name w:val="footnote text"/>
    <w:basedOn w:val="Normal"/>
    <w:link w:val="FootnoteTextChar"/>
    <w:uiPriority w:val="99"/>
    <w:semiHidden/>
    <w:unhideWhenUsed/>
    <w:rsid w:val="00E311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1B0"/>
    <w:rPr>
      <w:sz w:val="20"/>
      <w:szCs w:val="20"/>
    </w:rPr>
  </w:style>
  <w:style w:type="character" w:styleId="FootnoteReference">
    <w:name w:val="footnote reference"/>
    <w:basedOn w:val="DefaultParagraphFont"/>
    <w:uiPriority w:val="99"/>
    <w:semiHidden/>
    <w:unhideWhenUsed/>
    <w:rsid w:val="00E311B0"/>
    <w:rPr>
      <w:vertAlign w:val="superscript"/>
    </w:rPr>
  </w:style>
  <w:style w:type="paragraph" w:styleId="Header">
    <w:name w:val="header"/>
    <w:basedOn w:val="Normal"/>
    <w:link w:val="HeaderChar"/>
    <w:uiPriority w:val="99"/>
    <w:unhideWhenUsed/>
    <w:rsid w:val="00A63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BDB"/>
  </w:style>
  <w:style w:type="paragraph" w:styleId="Footer">
    <w:name w:val="footer"/>
    <w:basedOn w:val="Normal"/>
    <w:link w:val="FooterChar"/>
    <w:uiPriority w:val="99"/>
    <w:unhideWhenUsed/>
    <w:rsid w:val="00A63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BDB"/>
  </w:style>
  <w:style w:type="character" w:styleId="UnresolvedMention">
    <w:name w:val="Unresolved Mention"/>
    <w:basedOn w:val="DefaultParagraphFont"/>
    <w:uiPriority w:val="99"/>
    <w:semiHidden/>
    <w:unhideWhenUsed/>
    <w:rsid w:val="00725D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4315">
      <w:bodyDiv w:val="1"/>
      <w:marLeft w:val="0"/>
      <w:marRight w:val="0"/>
      <w:marTop w:val="0"/>
      <w:marBottom w:val="0"/>
      <w:divBdr>
        <w:top w:val="none" w:sz="0" w:space="0" w:color="auto"/>
        <w:left w:val="none" w:sz="0" w:space="0" w:color="auto"/>
        <w:bottom w:val="none" w:sz="0" w:space="0" w:color="auto"/>
        <w:right w:val="none" w:sz="0" w:space="0" w:color="auto"/>
      </w:divBdr>
    </w:div>
    <w:div w:id="62456107">
      <w:bodyDiv w:val="1"/>
      <w:marLeft w:val="0"/>
      <w:marRight w:val="0"/>
      <w:marTop w:val="0"/>
      <w:marBottom w:val="0"/>
      <w:divBdr>
        <w:top w:val="none" w:sz="0" w:space="0" w:color="auto"/>
        <w:left w:val="none" w:sz="0" w:space="0" w:color="auto"/>
        <w:bottom w:val="none" w:sz="0" w:space="0" w:color="auto"/>
        <w:right w:val="none" w:sz="0" w:space="0" w:color="auto"/>
      </w:divBdr>
    </w:div>
    <w:div w:id="259678640">
      <w:bodyDiv w:val="1"/>
      <w:marLeft w:val="0"/>
      <w:marRight w:val="0"/>
      <w:marTop w:val="0"/>
      <w:marBottom w:val="0"/>
      <w:divBdr>
        <w:top w:val="none" w:sz="0" w:space="0" w:color="auto"/>
        <w:left w:val="none" w:sz="0" w:space="0" w:color="auto"/>
        <w:bottom w:val="none" w:sz="0" w:space="0" w:color="auto"/>
        <w:right w:val="none" w:sz="0" w:space="0" w:color="auto"/>
      </w:divBdr>
    </w:div>
    <w:div w:id="287703916">
      <w:bodyDiv w:val="1"/>
      <w:marLeft w:val="0"/>
      <w:marRight w:val="0"/>
      <w:marTop w:val="0"/>
      <w:marBottom w:val="0"/>
      <w:divBdr>
        <w:top w:val="none" w:sz="0" w:space="0" w:color="auto"/>
        <w:left w:val="none" w:sz="0" w:space="0" w:color="auto"/>
        <w:bottom w:val="none" w:sz="0" w:space="0" w:color="auto"/>
        <w:right w:val="none" w:sz="0" w:space="0" w:color="auto"/>
      </w:divBdr>
    </w:div>
    <w:div w:id="307898723">
      <w:bodyDiv w:val="1"/>
      <w:marLeft w:val="0"/>
      <w:marRight w:val="0"/>
      <w:marTop w:val="0"/>
      <w:marBottom w:val="0"/>
      <w:divBdr>
        <w:top w:val="none" w:sz="0" w:space="0" w:color="auto"/>
        <w:left w:val="none" w:sz="0" w:space="0" w:color="auto"/>
        <w:bottom w:val="none" w:sz="0" w:space="0" w:color="auto"/>
        <w:right w:val="none" w:sz="0" w:space="0" w:color="auto"/>
      </w:divBdr>
    </w:div>
    <w:div w:id="487550887">
      <w:bodyDiv w:val="1"/>
      <w:marLeft w:val="0"/>
      <w:marRight w:val="0"/>
      <w:marTop w:val="0"/>
      <w:marBottom w:val="0"/>
      <w:divBdr>
        <w:top w:val="none" w:sz="0" w:space="0" w:color="auto"/>
        <w:left w:val="none" w:sz="0" w:space="0" w:color="auto"/>
        <w:bottom w:val="none" w:sz="0" w:space="0" w:color="auto"/>
        <w:right w:val="none" w:sz="0" w:space="0" w:color="auto"/>
      </w:divBdr>
    </w:div>
    <w:div w:id="495537043">
      <w:bodyDiv w:val="1"/>
      <w:marLeft w:val="0"/>
      <w:marRight w:val="0"/>
      <w:marTop w:val="0"/>
      <w:marBottom w:val="0"/>
      <w:divBdr>
        <w:top w:val="none" w:sz="0" w:space="0" w:color="auto"/>
        <w:left w:val="none" w:sz="0" w:space="0" w:color="auto"/>
        <w:bottom w:val="none" w:sz="0" w:space="0" w:color="auto"/>
        <w:right w:val="none" w:sz="0" w:space="0" w:color="auto"/>
      </w:divBdr>
    </w:div>
    <w:div w:id="566039439">
      <w:bodyDiv w:val="1"/>
      <w:marLeft w:val="0"/>
      <w:marRight w:val="0"/>
      <w:marTop w:val="0"/>
      <w:marBottom w:val="0"/>
      <w:divBdr>
        <w:top w:val="none" w:sz="0" w:space="0" w:color="auto"/>
        <w:left w:val="none" w:sz="0" w:space="0" w:color="auto"/>
        <w:bottom w:val="none" w:sz="0" w:space="0" w:color="auto"/>
        <w:right w:val="none" w:sz="0" w:space="0" w:color="auto"/>
      </w:divBdr>
    </w:div>
    <w:div w:id="593828469">
      <w:bodyDiv w:val="1"/>
      <w:marLeft w:val="0"/>
      <w:marRight w:val="0"/>
      <w:marTop w:val="0"/>
      <w:marBottom w:val="0"/>
      <w:divBdr>
        <w:top w:val="none" w:sz="0" w:space="0" w:color="auto"/>
        <w:left w:val="none" w:sz="0" w:space="0" w:color="auto"/>
        <w:bottom w:val="none" w:sz="0" w:space="0" w:color="auto"/>
        <w:right w:val="none" w:sz="0" w:space="0" w:color="auto"/>
      </w:divBdr>
    </w:div>
    <w:div w:id="670252317">
      <w:bodyDiv w:val="1"/>
      <w:marLeft w:val="0"/>
      <w:marRight w:val="0"/>
      <w:marTop w:val="0"/>
      <w:marBottom w:val="0"/>
      <w:divBdr>
        <w:top w:val="none" w:sz="0" w:space="0" w:color="auto"/>
        <w:left w:val="none" w:sz="0" w:space="0" w:color="auto"/>
        <w:bottom w:val="none" w:sz="0" w:space="0" w:color="auto"/>
        <w:right w:val="none" w:sz="0" w:space="0" w:color="auto"/>
      </w:divBdr>
    </w:div>
    <w:div w:id="696927332">
      <w:bodyDiv w:val="1"/>
      <w:marLeft w:val="0"/>
      <w:marRight w:val="0"/>
      <w:marTop w:val="0"/>
      <w:marBottom w:val="0"/>
      <w:divBdr>
        <w:top w:val="none" w:sz="0" w:space="0" w:color="auto"/>
        <w:left w:val="none" w:sz="0" w:space="0" w:color="auto"/>
        <w:bottom w:val="none" w:sz="0" w:space="0" w:color="auto"/>
        <w:right w:val="none" w:sz="0" w:space="0" w:color="auto"/>
      </w:divBdr>
    </w:div>
    <w:div w:id="800616233">
      <w:bodyDiv w:val="1"/>
      <w:marLeft w:val="0"/>
      <w:marRight w:val="0"/>
      <w:marTop w:val="0"/>
      <w:marBottom w:val="0"/>
      <w:divBdr>
        <w:top w:val="none" w:sz="0" w:space="0" w:color="auto"/>
        <w:left w:val="none" w:sz="0" w:space="0" w:color="auto"/>
        <w:bottom w:val="none" w:sz="0" w:space="0" w:color="auto"/>
        <w:right w:val="none" w:sz="0" w:space="0" w:color="auto"/>
      </w:divBdr>
    </w:div>
    <w:div w:id="811291218">
      <w:bodyDiv w:val="1"/>
      <w:marLeft w:val="0"/>
      <w:marRight w:val="0"/>
      <w:marTop w:val="0"/>
      <w:marBottom w:val="0"/>
      <w:divBdr>
        <w:top w:val="none" w:sz="0" w:space="0" w:color="auto"/>
        <w:left w:val="none" w:sz="0" w:space="0" w:color="auto"/>
        <w:bottom w:val="none" w:sz="0" w:space="0" w:color="auto"/>
        <w:right w:val="none" w:sz="0" w:space="0" w:color="auto"/>
      </w:divBdr>
    </w:div>
    <w:div w:id="837188532">
      <w:bodyDiv w:val="1"/>
      <w:marLeft w:val="0"/>
      <w:marRight w:val="0"/>
      <w:marTop w:val="0"/>
      <w:marBottom w:val="0"/>
      <w:divBdr>
        <w:top w:val="none" w:sz="0" w:space="0" w:color="auto"/>
        <w:left w:val="none" w:sz="0" w:space="0" w:color="auto"/>
        <w:bottom w:val="none" w:sz="0" w:space="0" w:color="auto"/>
        <w:right w:val="none" w:sz="0" w:space="0" w:color="auto"/>
      </w:divBdr>
    </w:div>
    <w:div w:id="886913151">
      <w:bodyDiv w:val="1"/>
      <w:marLeft w:val="0"/>
      <w:marRight w:val="0"/>
      <w:marTop w:val="0"/>
      <w:marBottom w:val="0"/>
      <w:divBdr>
        <w:top w:val="none" w:sz="0" w:space="0" w:color="auto"/>
        <w:left w:val="none" w:sz="0" w:space="0" w:color="auto"/>
        <w:bottom w:val="none" w:sz="0" w:space="0" w:color="auto"/>
        <w:right w:val="none" w:sz="0" w:space="0" w:color="auto"/>
      </w:divBdr>
    </w:div>
    <w:div w:id="897714229">
      <w:bodyDiv w:val="1"/>
      <w:marLeft w:val="0"/>
      <w:marRight w:val="0"/>
      <w:marTop w:val="0"/>
      <w:marBottom w:val="0"/>
      <w:divBdr>
        <w:top w:val="none" w:sz="0" w:space="0" w:color="auto"/>
        <w:left w:val="none" w:sz="0" w:space="0" w:color="auto"/>
        <w:bottom w:val="none" w:sz="0" w:space="0" w:color="auto"/>
        <w:right w:val="none" w:sz="0" w:space="0" w:color="auto"/>
      </w:divBdr>
    </w:div>
    <w:div w:id="921645144">
      <w:bodyDiv w:val="1"/>
      <w:marLeft w:val="0"/>
      <w:marRight w:val="0"/>
      <w:marTop w:val="0"/>
      <w:marBottom w:val="0"/>
      <w:divBdr>
        <w:top w:val="none" w:sz="0" w:space="0" w:color="auto"/>
        <w:left w:val="none" w:sz="0" w:space="0" w:color="auto"/>
        <w:bottom w:val="none" w:sz="0" w:space="0" w:color="auto"/>
        <w:right w:val="none" w:sz="0" w:space="0" w:color="auto"/>
      </w:divBdr>
    </w:div>
    <w:div w:id="953244654">
      <w:bodyDiv w:val="1"/>
      <w:marLeft w:val="0"/>
      <w:marRight w:val="0"/>
      <w:marTop w:val="0"/>
      <w:marBottom w:val="0"/>
      <w:divBdr>
        <w:top w:val="none" w:sz="0" w:space="0" w:color="auto"/>
        <w:left w:val="none" w:sz="0" w:space="0" w:color="auto"/>
        <w:bottom w:val="none" w:sz="0" w:space="0" w:color="auto"/>
        <w:right w:val="none" w:sz="0" w:space="0" w:color="auto"/>
      </w:divBdr>
    </w:div>
    <w:div w:id="1056316118">
      <w:bodyDiv w:val="1"/>
      <w:marLeft w:val="0"/>
      <w:marRight w:val="0"/>
      <w:marTop w:val="0"/>
      <w:marBottom w:val="0"/>
      <w:divBdr>
        <w:top w:val="none" w:sz="0" w:space="0" w:color="auto"/>
        <w:left w:val="none" w:sz="0" w:space="0" w:color="auto"/>
        <w:bottom w:val="none" w:sz="0" w:space="0" w:color="auto"/>
        <w:right w:val="none" w:sz="0" w:space="0" w:color="auto"/>
      </w:divBdr>
    </w:div>
    <w:div w:id="1115714628">
      <w:bodyDiv w:val="1"/>
      <w:marLeft w:val="0"/>
      <w:marRight w:val="0"/>
      <w:marTop w:val="0"/>
      <w:marBottom w:val="0"/>
      <w:divBdr>
        <w:top w:val="none" w:sz="0" w:space="0" w:color="auto"/>
        <w:left w:val="none" w:sz="0" w:space="0" w:color="auto"/>
        <w:bottom w:val="none" w:sz="0" w:space="0" w:color="auto"/>
        <w:right w:val="none" w:sz="0" w:space="0" w:color="auto"/>
      </w:divBdr>
    </w:div>
    <w:div w:id="1116026900">
      <w:bodyDiv w:val="1"/>
      <w:marLeft w:val="0"/>
      <w:marRight w:val="0"/>
      <w:marTop w:val="0"/>
      <w:marBottom w:val="0"/>
      <w:divBdr>
        <w:top w:val="none" w:sz="0" w:space="0" w:color="auto"/>
        <w:left w:val="none" w:sz="0" w:space="0" w:color="auto"/>
        <w:bottom w:val="none" w:sz="0" w:space="0" w:color="auto"/>
        <w:right w:val="none" w:sz="0" w:space="0" w:color="auto"/>
      </w:divBdr>
    </w:div>
    <w:div w:id="1129276624">
      <w:bodyDiv w:val="1"/>
      <w:marLeft w:val="0"/>
      <w:marRight w:val="0"/>
      <w:marTop w:val="0"/>
      <w:marBottom w:val="0"/>
      <w:divBdr>
        <w:top w:val="none" w:sz="0" w:space="0" w:color="auto"/>
        <w:left w:val="none" w:sz="0" w:space="0" w:color="auto"/>
        <w:bottom w:val="none" w:sz="0" w:space="0" w:color="auto"/>
        <w:right w:val="none" w:sz="0" w:space="0" w:color="auto"/>
      </w:divBdr>
    </w:div>
    <w:div w:id="1159425178">
      <w:bodyDiv w:val="1"/>
      <w:marLeft w:val="0"/>
      <w:marRight w:val="0"/>
      <w:marTop w:val="0"/>
      <w:marBottom w:val="0"/>
      <w:divBdr>
        <w:top w:val="none" w:sz="0" w:space="0" w:color="auto"/>
        <w:left w:val="none" w:sz="0" w:space="0" w:color="auto"/>
        <w:bottom w:val="none" w:sz="0" w:space="0" w:color="auto"/>
        <w:right w:val="none" w:sz="0" w:space="0" w:color="auto"/>
      </w:divBdr>
    </w:div>
    <w:div w:id="1171333634">
      <w:bodyDiv w:val="1"/>
      <w:marLeft w:val="0"/>
      <w:marRight w:val="0"/>
      <w:marTop w:val="0"/>
      <w:marBottom w:val="0"/>
      <w:divBdr>
        <w:top w:val="none" w:sz="0" w:space="0" w:color="auto"/>
        <w:left w:val="none" w:sz="0" w:space="0" w:color="auto"/>
        <w:bottom w:val="none" w:sz="0" w:space="0" w:color="auto"/>
        <w:right w:val="none" w:sz="0" w:space="0" w:color="auto"/>
      </w:divBdr>
    </w:div>
    <w:div w:id="1213420112">
      <w:bodyDiv w:val="1"/>
      <w:marLeft w:val="0"/>
      <w:marRight w:val="0"/>
      <w:marTop w:val="0"/>
      <w:marBottom w:val="0"/>
      <w:divBdr>
        <w:top w:val="none" w:sz="0" w:space="0" w:color="auto"/>
        <w:left w:val="none" w:sz="0" w:space="0" w:color="auto"/>
        <w:bottom w:val="none" w:sz="0" w:space="0" w:color="auto"/>
        <w:right w:val="none" w:sz="0" w:space="0" w:color="auto"/>
      </w:divBdr>
    </w:div>
    <w:div w:id="1221330975">
      <w:bodyDiv w:val="1"/>
      <w:marLeft w:val="0"/>
      <w:marRight w:val="0"/>
      <w:marTop w:val="0"/>
      <w:marBottom w:val="0"/>
      <w:divBdr>
        <w:top w:val="none" w:sz="0" w:space="0" w:color="auto"/>
        <w:left w:val="none" w:sz="0" w:space="0" w:color="auto"/>
        <w:bottom w:val="none" w:sz="0" w:space="0" w:color="auto"/>
        <w:right w:val="none" w:sz="0" w:space="0" w:color="auto"/>
      </w:divBdr>
    </w:div>
    <w:div w:id="1224872831">
      <w:bodyDiv w:val="1"/>
      <w:marLeft w:val="0"/>
      <w:marRight w:val="0"/>
      <w:marTop w:val="0"/>
      <w:marBottom w:val="0"/>
      <w:divBdr>
        <w:top w:val="none" w:sz="0" w:space="0" w:color="auto"/>
        <w:left w:val="none" w:sz="0" w:space="0" w:color="auto"/>
        <w:bottom w:val="none" w:sz="0" w:space="0" w:color="auto"/>
        <w:right w:val="none" w:sz="0" w:space="0" w:color="auto"/>
      </w:divBdr>
    </w:div>
    <w:div w:id="1226988027">
      <w:bodyDiv w:val="1"/>
      <w:marLeft w:val="0"/>
      <w:marRight w:val="0"/>
      <w:marTop w:val="0"/>
      <w:marBottom w:val="0"/>
      <w:divBdr>
        <w:top w:val="none" w:sz="0" w:space="0" w:color="auto"/>
        <w:left w:val="none" w:sz="0" w:space="0" w:color="auto"/>
        <w:bottom w:val="none" w:sz="0" w:space="0" w:color="auto"/>
        <w:right w:val="none" w:sz="0" w:space="0" w:color="auto"/>
      </w:divBdr>
    </w:div>
    <w:div w:id="1272930689">
      <w:bodyDiv w:val="1"/>
      <w:marLeft w:val="0"/>
      <w:marRight w:val="0"/>
      <w:marTop w:val="0"/>
      <w:marBottom w:val="0"/>
      <w:divBdr>
        <w:top w:val="none" w:sz="0" w:space="0" w:color="auto"/>
        <w:left w:val="none" w:sz="0" w:space="0" w:color="auto"/>
        <w:bottom w:val="none" w:sz="0" w:space="0" w:color="auto"/>
        <w:right w:val="none" w:sz="0" w:space="0" w:color="auto"/>
      </w:divBdr>
    </w:div>
    <w:div w:id="1326127894">
      <w:bodyDiv w:val="1"/>
      <w:marLeft w:val="0"/>
      <w:marRight w:val="0"/>
      <w:marTop w:val="0"/>
      <w:marBottom w:val="0"/>
      <w:divBdr>
        <w:top w:val="none" w:sz="0" w:space="0" w:color="auto"/>
        <w:left w:val="none" w:sz="0" w:space="0" w:color="auto"/>
        <w:bottom w:val="none" w:sz="0" w:space="0" w:color="auto"/>
        <w:right w:val="none" w:sz="0" w:space="0" w:color="auto"/>
      </w:divBdr>
    </w:div>
    <w:div w:id="1330669073">
      <w:bodyDiv w:val="1"/>
      <w:marLeft w:val="0"/>
      <w:marRight w:val="0"/>
      <w:marTop w:val="0"/>
      <w:marBottom w:val="0"/>
      <w:divBdr>
        <w:top w:val="none" w:sz="0" w:space="0" w:color="auto"/>
        <w:left w:val="none" w:sz="0" w:space="0" w:color="auto"/>
        <w:bottom w:val="none" w:sz="0" w:space="0" w:color="auto"/>
        <w:right w:val="none" w:sz="0" w:space="0" w:color="auto"/>
      </w:divBdr>
    </w:div>
    <w:div w:id="1353072438">
      <w:bodyDiv w:val="1"/>
      <w:marLeft w:val="0"/>
      <w:marRight w:val="0"/>
      <w:marTop w:val="0"/>
      <w:marBottom w:val="0"/>
      <w:divBdr>
        <w:top w:val="none" w:sz="0" w:space="0" w:color="auto"/>
        <w:left w:val="none" w:sz="0" w:space="0" w:color="auto"/>
        <w:bottom w:val="none" w:sz="0" w:space="0" w:color="auto"/>
        <w:right w:val="none" w:sz="0" w:space="0" w:color="auto"/>
      </w:divBdr>
    </w:div>
    <w:div w:id="1407806189">
      <w:bodyDiv w:val="1"/>
      <w:marLeft w:val="0"/>
      <w:marRight w:val="0"/>
      <w:marTop w:val="0"/>
      <w:marBottom w:val="0"/>
      <w:divBdr>
        <w:top w:val="none" w:sz="0" w:space="0" w:color="auto"/>
        <w:left w:val="none" w:sz="0" w:space="0" w:color="auto"/>
        <w:bottom w:val="none" w:sz="0" w:space="0" w:color="auto"/>
        <w:right w:val="none" w:sz="0" w:space="0" w:color="auto"/>
      </w:divBdr>
    </w:div>
    <w:div w:id="1524586288">
      <w:bodyDiv w:val="1"/>
      <w:marLeft w:val="0"/>
      <w:marRight w:val="0"/>
      <w:marTop w:val="0"/>
      <w:marBottom w:val="0"/>
      <w:divBdr>
        <w:top w:val="none" w:sz="0" w:space="0" w:color="auto"/>
        <w:left w:val="none" w:sz="0" w:space="0" w:color="auto"/>
        <w:bottom w:val="none" w:sz="0" w:space="0" w:color="auto"/>
        <w:right w:val="none" w:sz="0" w:space="0" w:color="auto"/>
      </w:divBdr>
    </w:div>
    <w:div w:id="1546795438">
      <w:bodyDiv w:val="1"/>
      <w:marLeft w:val="0"/>
      <w:marRight w:val="0"/>
      <w:marTop w:val="0"/>
      <w:marBottom w:val="0"/>
      <w:divBdr>
        <w:top w:val="none" w:sz="0" w:space="0" w:color="auto"/>
        <w:left w:val="none" w:sz="0" w:space="0" w:color="auto"/>
        <w:bottom w:val="none" w:sz="0" w:space="0" w:color="auto"/>
        <w:right w:val="none" w:sz="0" w:space="0" w:color="auto"/>
      </w:divBdr>
    </w:div>
    <w:div w:id="1625428737">
      <w:bodyDiv w:val="1"/>
      <w:marLeft w:val="0"/>
      <w:marRight w:val="0"/>
      <w:marTop w:val="0"/>
      <w:marBottom w:val="0"/>
      <w:divBdr>
        <w:top w:val="none" w:sz="0" w:space="0" w:color="auto"/>
        <w:left w:val="none" w:sz="0" w:space="0" w:color="auto"/>
        <w:bottom w:val="none" w:sz="0" w:space="0" w:color="auto"/>
        <w:right w:val="none" w:sz="0" w:space="0" w:color="auto"/>
      </w:divBdr>
    </w:div>
    <w:div w:id="1727485712">
      <w:bodyDiv w:val="1"/>
      <w:marLeft w:val="0"/>
      <w:marRight w:val="0"/>
      <w:marTop w:val="0"/>
      <w:marBottom w:val="0"/>
      <w:divBdr>
        <w:top w:val="none" w:sz="0" w:space="0" w:color="auto"/>
        <w:left w:val="none" w:sz="0" w:space="0" w:color="auto"/>
        <w:bottom w:val="none" w:sz="0" w:space="0" w:color="auto"/>
        <w:right w:val="none" w:sz="0" w:space="0" w:color="auto"/>
      </w:divBdr>
    </w:div>
    <w:div w:id="1914122249">
      <w:bodyDiv w:val="1"/>
      <w:marLeft w:val="0"/>
      <w:marRight w:val="0"/>
      <w:marTop w:val="0"/>
      <w:marBottom w:val="0"/>
      <w:divBdr>
        <w:top w:val="none" w:sz="0" w:space="0" w:color="auto"/>
        <w:left w:val="none" w:sz="0" w:space="0" w:color="auto"/>
        <w:bottom w:val="none" w:sz="0" w:space="0" w:color="auto"/>
        <w:right w:val="none" w:sz="0" w:space="0" w:color="auto"/>
      </w:divBdr>
    </w:div>
    <w:div w:id="1920600116">
      <w:bodyDiv w:val="1"/>
      <w:marLeft w:val="0"/>
      <w:marRight w:val="0"/>
      <w:marTop w:val="0"/>
      <w:marBottom w:val="0"/>
      <w:divBdr>
        <w:top w:val="none" w:sz="0" w:space="0" w:color="auto"/>
        <w:left w:val="none" w:sz="0" w:space="0" w:color="auto"/>
        <w:bottom w:val="none" w:sz="0" w:space="0" w:color="auto"/>
        <w:right w:val="none" w:sz="0" w:space="0" w:color="auto"/>
      </w:divBdr>
    </w:div>
    <w:div w:id="1924803380">
      <w:bodyDiv w:val="1"/>
      <w:marLeft w:val="0"/>
      <w:marRight w:val="0"/>
      <w:marTop w:val="0"/>
      <w:marBottom w:val="0"/>
      <w:divBdr>
        <w:top w:val="none" w:sz="0" w:space="0" w:color="auto"/>
        <w:left w:val="none" w:sz="0" w:space="0" w:color="auto"/>
        <w:bottom w:val="none" w:sz="0" w:space="0" w:color="auto"/>
        <w:right w:val="none" w:sz="0" w:space="0" w:color="auto"/>
      </w:divBdr>
    </w:div>
    <w:div w:id="2060128917">
      <w:bodyDiv w:val="1"/>
      <w:marLeft w:val="0"/>
      <w:marRight w:val="0"/>
      <w:marTop w:val="0"/>
      <w:marBottom w:val="0"/>
      <w:divBdr>
        <w:top w:val="none" w:sz="0" w:space="0" w:color="auto"/>
        <w:left w:val="none" w:sz="0" w:space="0" w:color="auto"/>
        <w:bottom w:val="none" w:sz="0" w:space="0" w:color="auto"/>
        <w:right w:val="none" w:sz="0" w:space="0" w:color="auto"/>
      </w:divBdr>
    </w:div>
    <w:div w:id="2065566292">
      <w:bodyDiv w:val="1"/>
      <w:marLeft w:val="0"/>
      <w:marRight w:val="0"/>
      <w:marTop w:val="0"/>
      <w:marBottom w:val="0"/>
      <w:divBdr>
        <w:top w:val="none" w:sz="0" w:space="0" w:color="auto"/>
        <w:left w:val="none" w:sz="0" w:space="0" w:color="auto"/>
        <w:bottom w:val="none" w:sz="0" w:space="0" w:color="auto"/>
        <w:right w:val="none" w:sz="0" w:space="0" w:color="auto"/>
      </w:divBdr>
    </w:div>
    <w:div w:id="212862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ourcebooks.fordham.edu/source/annalescambriae.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ryjones.us/ctexts/bbc31.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yjones.us/ctexts/t06.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utenberg.org/cache/epub/1949/pg1949-images.html" TargetMode="External"/><Relationship Id="rId4" Type="http://schemas.openxmlformats.org/officeDocument/2006/relationships/settings" Target="settings.xml"/><Relationship Id="rId9" Type="http://schemas.openxmlformats.org/officeDocument/2006/relationships/hyperlink" Target="http://www.gutenberg.org/files/1972/1972-h/1972-h.htm" TargetMode="External"/><Relationship Id="rId14" Type="http://schemas.openxmlformats.org/officeDocument/2006/relationships/hyperlink" Target="https://www.gutenberg.org/files/38326/38326-h/38326-h.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gutenberg.org/cache/epub/1949/pg1949-images.html" TargetMode="External"/><Relationship Id="rId2" Type="http://schemas.openxmlformats.org/officeDocument/2006/relationships/hyperlink" Target="https://www.gutenberg.org/files/38326/38326-h/38326-h.html" TargetMode="External"/><Relationship Id="rId1" Type="http://schemas.openxmlformats.org/officeDocument/2006/relationships/hyperlink" Target="http://www.gutenberg.org/files/1972/1972-h/1972-h.htm" TargetMode="External"/><Relationship Id="rId6" Type="http://schemas.openxmlformats.org/officeDocument/2006/relationships/hyperlink" Target="http://www.maryjones.us/ctexts/t06.html" TargetMode="External"/><Relationship Id="rId5" Type="http://schemas.openxmlformats.org/officeDocument/2006/relationships/hyperlink" Target="https://sourcebooks.fordham.edu/source/annalescambriae.asp" TargetMode="External"/><Relationship Id="rId4" Type="http://schemas.openxmlformats.org/officeDocument/2006/relationships/hyperlink" Target="http://www.maryjones.us/ctexts/bbc3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91D51-2AAC-4C74-96BD-24A21F414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20</Pages>
  <Words>4953</Words>
  <Characters>28233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Caisey</dc:creator>
  <cp:keywords/>
  <dc:description/>
  <cp:lastModifiedBy>Suzie</cp:lastModifiedBy>
  <cp:revision>143</cp:revision>
  <dcterms:created xsi:type="dcterms:W3CDTF">2018-09-10T13:57:00Z</dcterms:created>
  <dcterms:modified xsi:type="dcterms:W3CDTF">2019-01-07T14:51:00Z</dcterms:modified>
</cp:coreProperties>
</file>