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551B8" w14:textId="77777777" w:rsidR="00672BDB" w:rsidRDefault="00672BDB" w:rsidP="00B114AF">
      <w:pPr>
        <w:jc w:val="center"/>
        <w:rPr>
          <w:b/>
          <w:sz w:val="28"/>
          <w:szCs w:val="30"/>
        </w:rPr>
      </w:pPr>
    </w:p>
    <w:p w14:paraId="1E55BEA8" w14:textId="77777777" w:rsidR="00672BDB" w:rsidRPr="00DE5D5D" w:rsidRDefault="00672BDB" w:rsidP="00DE5D5D">
      <w:pPr>
        <w:jc w:val="center"/>
        <w:rPr>
          <w:rFonts w:cs="Arial"/>
          <w:b/>
          <w:sz w:val="28"/>
          <w:szCs w:val="30"/>
        </w:rPr>
      </w:pPr>
    </w:p>
    <w:p w14:paraId="17F456D7" w14:textId="6D515535" w:rsidR="00FB2EF3" w:rsidRPr="00DE5D5D" w:rsidRDefault="00B114AF" w:rsidP="00DE5D5D">
      <w:pPr>
        <w:jc w:val="center"/>
        <w:rPr>
          <w:rFonts w:cs="Arial"/>
          <w:b/>
          <w:sz w:val="28"/>
          <w:szCs w:val="30"/>
        </w:rPr>
      </w:pPr>
      <w:r w:rsidRPr="00DE5D5D">
        <w:rPr>
          <w:rFonts w:cs="Arial"/>
          <w:b/>
          <w:sz w:val="28"/>
          <w:szCs w:val="30"/>
        </w:rPr>
        <w:t>The Importance of Effectively Monitoring Guest Service Approaches in the Hospitality</w:t>
      </w:r>
    </w:p>
    <w:p w14:paraId="5448738C" w14:textId="77777777" w:rsidR="00DE5D5D" w:rsidRPr="00DE5D5D" w:rsidRDefault="00DE5D5D" w:rsidP="00DE5D5D">
      <w:pPr>
        <w:jc w:val="center"/>
        <w:rPr>
          <w:rFonts w:cs="Arial"/>
          <w:b/>
          <w:sz w:val="28"/>
          <w:szCs w:val="30"/>
        </w:rPr>
      </w:pPr>
    </w:p>
    <w:p w14:paraId="546845E7" w14:textId="3B9167D0" w:rsidR="00DE5D5D" w:rsidRPr="00DE5D5D" w:rsidRDefault="00DE5D5D" w:rsidP="00DE5D5D">
      <w:pPr>
        <w:jc w:val="center"/>
        <w:rPr>
          <w:rFonts w:cs="Arial"/>
          <w:b/>
          <w:sz w:val="28"/>
          <w:szCs w:val="30"/>
        </w:rPr>
      </w:pPr>
      <w:r w:rsidRPr="00DE5D5D">
        <w:rPr>
          <w:rFonts w:cs="Arial"/>
          <w:b/>
          <w:sz w:val="28"/>
          <w:szCs w:val="30"/>
        </w:rPr>
        <w:t>BMIH4003</w:t>
      </w:r>
    </w:p>
    <w:p w14:paraId="1F747C61" w14:textId="71502024" w:rsidR="00DE5D5D" w:rsidRPr="00DE5D5D" w:rsidRDefault="00DE5D5D" w:rsidP="00DE5D5D">
      <w:pPr>
        <w:jc w:val="center"/>
        <w:rPr>
          <w:rFonts w:cs="Arial"/>
          <w:b/>
          <w:sz w:val="28"/>
          <w:szCs w:val="30"/>
        </w:rPr>
      </w:pPr>
      <w:r w:rsidRPr="00DE5D5D">
        <w:rPr>
          <w:rFonts w:cs="Arial"/>
          <w:b/>
          <w:sz w:val="28"/>
          <w:szCs w:val="30"/>
        </w:rPr>
        <w:t>Hospitality and Guest Services</w:t>
      </w:r>
    </w:p>
    <w:p w14:paraId="75173826" w14:textId="19A86F6C" w:rsidR="00DE5D5D" w:rsidRPr="00DE5D5D" w:rsidRDefault="00DE5D5D" w:rsidP="00DE5D5D">
      <w:pPr>
        <w:jc w:val="center"/>
        <w:rPr>
          <w:rFonts w:cs="Arial"/>
          <w:b/>
          <w:sz w:val="28"/>
          <w:szCs w:val="30"/>
        </w:rPr>
      </w:pPr>
      <w:r w:rsidRPr="00DE5D5D">
        <w:rPr>
          <w:rFonts w:cs="Arial"/>
          <w:b/>
          <w:sz w:val="28"/>
          <w:szCs w:val="30"/>
        </w:rPr>
        <w:t>Student Name: Marin Marius Enache</w:t>
      </w:r>
    </w:p>
    <w:p w14:paraId="0E479A16" w14:textId="36BC58DA" w:rsidR="00DE5D5D" w:rsidRPr="00DE5D5D" w:rsidRDefault="00DE5D5D" w:rsidP="00DE5D5D">
      <w:pPr>
        <w:jc w:val="center"/>
        <w:rPr>
          <w:rFonts w:cs="Arial"/>
          <w:b/>
          <w:sz w:val="28"/>
          <w:szCs w:val="30"/>
        </w:rPr>
      </w:pPr>
      <w:r w:rsidRPr="00DE5D5D">
        <w:rPr>
          <w:rFonts w:cs="Arial"/>
          <w:b/>
          <w:sz w:val="28"/>
          <w:szCs w:val="30"/>
        </w:rPr>
        <w:t>ID: 2241513</w:t>
      </w:r>
    </w:p>
    <w:p w14:paraId="3CFCF42A" w14:textId="77777777" w:rsidR="00DE5D5D" w:rsidRPr="00DE5D5D" w:rsidRDefault="00DE5D5D" w:rsidP="00DE5D5D">
      <w:pPr>
        <w:jc w:val="center"/>
        <w:rPr>
          <w:rFonts w:cs="Arial"/>
          <w:b/>
          <w:sz w:val="28"/>
          <w:szCs w:val="30"/>
        </w:rPr>
      </w:pPr>
      <w:r w:rsidRPr="00DE5D5D">
        <w:rPr>
          <w:rFonts w:cs="Arial"/>
          <w:b/>
          <w:sz w:val="28"/>
          <w:szCs w:val="30"/>
        </w:rPr>
        <w:t>Lecturer: Charlotte Joyner Daniel Payne Dale Clarke</w:t>
      </w:r>
    </w:p>
    <w:p w14:paraId="6B81F030" w14:textId="4F2FC354" w:rsidR="00DE5D5D" w:rsidRPr="00DE5D5D" w:rsidRDefault="00DE5D5D" w:rsidP="00DE5D5D">
      <w:pPr>
        <w:jc w:val="center"/>
        <w:rPr>
          <w:rFonts w:cs="Arial"/>
          <w:b/>
          <w:sz w:val="28"/>
          <w:szCs w:val="30"/>
        </w:rPr>
      </w:pPr>
      <w:r w:rsidRPr="00DE5D5D">
        <w:rPr>
          <w:rFonts w:cs="Arial"/>
          <w:b/>
          <w:sz w:val="28"/>
          <w:szCs w:val="30"/>
        </w:rPr>
        <w:t>Deb Lloyd</w:t>
      </w:r>
    </w:p>
    <w:p w14:paraId="42B62E17" w14:textId="77777777" w:rsidR="00DE5D5D" w:rsidRPr="00DE5D5D" w:rsidRDefault="00DE5D5D" w:rsidP="00DE5D5D">
      <w:pPr>
        <w:jc w:val="center"/>
        <w:rPr>
          <w:rFonts w:cs="Arial"/>
          <w:b/>
          <w:sz w:val="28"/>
          <w:szCs w:val="30"/>
        </w:rPr>
      </w:pPr>
    </w:p>
    <w:p w14:paraId="606DDDF4" w14:textId="142C110A" w:rsidR="00FB2EF3" w:rsidRPr="00DE5D5D" w:rsidRDefault="00FB2EF3" w:rsidP="00DE5D5D">
      <w:pPr>
        <w:jc w:val="left"/>
        <w:rPr>
          <w:rFonts w:cs="Arial"/>
          <w:sz w:val="32"/>
          <w:szCs w:val="30"/>
        </w:rPr>
      </w:pPr>
      <w:r w:rsidRPr="00DE5D5D">
        <w:rPr>
          <w:rFonts w:cs="Arial"/>
          <w:sz w:val="32"/>
          <w:szCs w:val="30"/>
        </w:rPr>
        <w:br w:type="page"/>
      </w:r>
    </w:p>
    <w:p w14:paraId="4911DF47" w14:textId="0D37C9AC" w:rsidR="0044301B" w:rsidRPr="00DE5D5D" w:rsidRDefault="00FB2EF3" w:rsidP="00DE5D5D">
      <w:pPr>
        <w:pStyle w:val="Heading1"/>
        <w:rPr>
          <w:rFonts w:ascii="Arial" w:hAnsi="Arial" w:cs="Arial"/>
        </w:rPr>
      </w:pPr>
      <w:bookmarkStart w:id="0" w:name="_Toc150433605"/>
      <w:r w:rsidRPr="00DE5D5D">
        <w:rPr>
          <w:rFonts w:ascii="Arial" w:hAnsi="Arial" w:cs="Arial"/>
        </w:rPr>
        <w:lastRenderedPageBreak/>
        <w:t>Executive Summary</w:t>
      </w:r>
      <w:bookmarkEnd w:id="0"/>
    </w:p>
    <w:p w14:paraId="3CC72243" w14:textId="657F3399" w:rsidR="0044301B" w:rsidRPr="00DE5D5D" w:rsidRDefault="00F77EAC" w:rsidP="00DE5D5D">
      <w:pPr>
        <w:rPr>
          <w:rFonts w:cs="Arial"/>
        </w:rPr>
      </w:pPr>
      <w:r w:rsidRPr="00DE5D5D">
        <w:rPr>
          <w:rFonts w:cs="Arial"/>
        </w:rPr>
        <w:t>Guest service must be carefully considered in the competitive hotel sector. This extensive research covers reputation management, service culture, brand consistency, technology implications, and service failures. It shows how proactive reputation management, personalised service cultures, consistent branding, and breakthrough technology can change lives via in-depth study and examples. Real rehabilitation is stressed in The Dorchester and The Plaza Hotel case studies. The research advocates investing in staff training, new technologies, and a strong service culture to keep up with the industry's changes. These tactics improve visitor happiness, loyalty, and business success.</w:t>
      </w:r>
    </w:p>
    <w:p w14:paraId="57E2CD9E" w14:textId="3B2959D1" w:rsidR="001834FC" w:rsidRPr="00DE5D5D" w:rsidRDefault="001834FC" w:rsidP="00DE5D5D">
      <w:pPr>
        <w:rPr>
          <w:rFonts w:cs="Arial"/>
          <w:sz w:val="32"/>
          <w:szCs w:val="30"/>
        </w:rPr>
      </w:pPr>
    </w:p>
    <w:p w14:paraId="3C67747A" w14:textId="77777777" w:rsidR="001834FC" w:rsidRPr="00DE5D5D" w:rsidRDefault="001834FC" w:rsidP="00DE5D5D">
      <w:pPr>
        <w:rPr>
          <w:rFonts w:cs="Arial"/>
        </w:rPr>
      </w:pPr>
      <w:r w:rsidRPr="00DE5D5D">
        <w:rPr>
          <w:rFonts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DE5D5D" w:rsidRDefault="001834FC" w:rsidP="00DE5D5D">
          <w:pPr>
            <w:pStyle w:val="TOCHeading"/>
            <w:spacing w:line="360" w:lineRule="auto"/>
            <w:rPr>
              <w:rFonts w:ascii="Arial" w:hAnsi="Arial" w:cs="Arial"/>
            </w:rPr>
          </w:pPr>
          <w:r w:rsidRPr="00DE5D5D">
            <w:rPr>
              <w:rFonts w:ascii="Arial" w:hAnsi="Arial" w:cs="Arial"/>
            </w:rPr>
            <w:t>Table of Contents</w:t>
          </w:r>
        </w:p>
        <w:p w14:paraId="706F00F3" w14:textId="3E915B7A" w:rsidR="001E15BA" w:rsidRPr="00DE5D5D" w:rsidRDefault="001834FC" w:rsidP="00DE5D5D">
          <w:pPr>
            <w:pStyle w:val="TOC1"/>
            <w:tabs>
              <w:tab w:val="right" w:leader="dot" w:pos="9016"/>
            </w:tabs>
            <w:rPr>
              <w:rFonts w:eastAsiaTheme="minorEastAsia" w:cs="Arial"/>
              <w:noProof/>
              <w:color w:val="auto"/>
              <w:sz w:val="22"/>
              <w:lang w:val="en-US"/>
            </w:rPr>
          </w:pPr>
          <w:r w:rsidRPr="00DE5D5D">
            <w:rPr>
              <w:rFonts w:cs="Arial"/>
              <w:b/>
              <w:bCs/>
              <w:noProof/>
            </w:rPr>
            <w:fldChar w:fldCharType="begin"/>
          </w:r>
          <w:r w:rsidRPr="00DE5D5D">
            <w:rPr>
              <w:rFonts w:cs="Arial"/>
              <w:b/>
              <w:bCs/>
              <w:noProof/>
            </w:rPr>
            <w:instrText xml:space="preserve"> TOC \o "1-3" \h \z \u </w:instrText>
          </w:r>
          <w:r w:rsidRPr="00DE5D5D">
            <w:rPr>
              <w:rFonts w:cs="Arial"/>
              <w:b/>
              <w:bCs/>
              <w:noProof/>
            </w:rPr>
            <w:fldChar w:fldCharType="separate"/>
          </w:r>
          <w:hyperlink w:anchor="_Toc150433605" w:history="1">
            <w:r w:rsidR="001E15BA" w:rsidRPr="00DE5D5D">
              <w:rPr>
                <w:rStyle w:val="Hyperlink"/>
                <w:rFonts w:cs="Arial"/>
                <w:noProof/>
              </w:rPr>
              <w:t>Executive Summary</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_Toc150433605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ii</w:t>
            </w:r>
            <w:r w:rsidR="001E15BA" w:rsidRPr="00DE5D5D">
              <w:rPr>
                <w:rFonts w:cs="Arial"/>
                <w:noProof/>
                <w:webHidden/>
              </w:rPr>
              <w:fldChar w:fldCharType="end"/>
            </w:r>
          </w:hyperlink>
        </w:p>
        <w:p w14:paraId="6D845738" w14:textId="4518303E" w:rsidR="001E15BA" w:rsidRPr="00DE5D5D" w:rsidRDefault="00000000" w:rsidP="00DE5D5D">
          <w:pPr>
            <w:pStyle w:val="TOC1"/>
            <w:tabs>
              <w:tab w:val="right" w:leader="dot" w:pos="9016"/>
            </w:tabs>
            <w:rPr>
              <w:rFonts w:eastAsiaTheme="minorEastAsia" w:cs="Arial"/>
              <w:noProof/>
              <w:color w:val="auto"/>
              <w:sz w:val="22"/>
              <w:lang w:val="en-US"/>
            </w:rPr>
          </w:pPr>
          <w:hyperlink w:anchor="_Toc150433606" w:history="1">
            <w:r w:rsidR="001E15BA" w:rsidRPr="00DE5D5D">
              <w:rPr>
                <w:rStyle w:val="Hyperlink"/>
                <w:rFonts w:cs="Arial"/>
                <w:noProof/>
              </w:rPr>
              <w:t>Introduction</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_Toc150433606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w:t>
            </w:r>
            <w:r w:rsidR="001E15BA" w:rsidRPr="00DE5D5D">
              <w:rPr>
                <w:rFonts w:cs="Arial"/>
                <w:noProof/>
                <w:webHidden/>
              </w:rPr>
              <w:fldChar w:fldCharType="end"/>
            </w:r>
          </w:hyperlink>
        </w:p>
        <w:p w14:paraId="091303BF" w14:textId="09312F20" w:rsidR="001E15BA" w:rsidRPr="00DE5D5D" w:rsidRDefault="00000000" w:rsidP="00DE5D5D">
          <w:pPr>
            <w:pStyle w:val="TOC1"/>
            <w:tabs>
              <w:tab w:val="right" w:leader="dot" w:pos="9016"/>
            </w:tabs>
            <w:rPr>
              <w:rFonts w:eastAsiaTheme="minorEastAsia" w:cs="Arial"/>
              <w:noProof/>
              <w:color w:val="auto"/>
              <w:sz w:val="22"/>
              <w:lang w:val="en-US"/>
            </w:rPr>
          </w:pPr>
          <w:hyperlink w:anchor="_Toc150433607" w:history="1">
            <w:r w:rsidR="001E15BA" w:rsidRPr="00DE5D5D">
              <w:rPr>
                <w:rStyle w:val="Hyperlink"/>
                <w:rFonts w:cs="Arial"/>
                <w:noProof/>
              </w:rPr>
              <w:t>1. Reputation Management</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_Toc150433607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2</w:t>
            </w:r>
            <w:r w:rsidR="001E15BA" w:rsidRPr="00DE5D5D">
              <w:rPr>
                <w:rFonts w:cs="Arial"/>
                <w:noProof/>
                <w:webHidden/>
              </w:rPr>
              <w:fldChar w:fldCharType="end"/>
            </w:r>
          </w:hyperlink>
        </w:p>
        <w:p w14:paraId="3983685D" w14:textId="46CF8A0E" w:rsidR="001E15BA" w:rsidRPr="00DE5D5D" w:rsidRDefault="00000000" w:rsidP="00DE5D5D">
          <w:pPr>
            <w:pStyle w:val="TOC2"/>
            <w:tabs>
              <w:tab w:val="right" w:leader="dot" w:pos="9016"/>
            </w:tabs>
            <w:rPr>
              <w:rFonts w:eastAsiaTheme="minorEastAsia" w:cs="Arial"/>
              <w:noProof/>
              <w:color w:val="auto"/>
              <w:sz w:val="22"/>
              <w:lang w:val="en-US"/>
            </w:rPr>
          </w:pPr>
          <w:hyperlink w:anchor="_Toc150433608" w:history="1">
            <w:r w:rsidR="001E15BA" w:rsidRPr="00DE5D5D">
              <w:rPr>
                <w:rStyle w:val="Hyperlink"/>
                <w:rFonts w:cs="Arial"/>
                <w:noProof/>
              </w:rPr>
              <w:t>1.1 Importance of Reputation Management in the Hospitality Industry</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_Toc150433608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2</w:t>
            </w:r>
            <w:r w:rsidR="001E15BA" w:rsidRPr="00DE5D5D">
              <w:rPr>
                <w:rFonts w:cs="Arial"/>
                <w:noProof/>
                <w:webHidden/>
              </w:rPr>
              <w:fldChar w:fldCharType="end"/>
            </w:r>
          </w:hyperlink>
        </w:p>
        <w:p w14:paraId="0147978C" w14:textId="77BEBABB" w:rsidR="001E15BA" w:rsidRPr="00DE5D5D" w:rsidRDefault="00000000" w:rsidP="00DE5D5D">
          <w:pPr>
            <w:pStyle w:val="TOC2"/>
            <w:tabs>
              <w:tab w:val="right" w:leader="dot" w:pos="9016"/>
            </w:tabs>
            <w:rPr>
              <w:rFonts w:eastAsiaTheme="minorEastAsia" w:cs="Arial"/>
              <w:noProof/>
              <w:color w:val="auto"/>
              <w:sz w:val="22"/>
              <w:lang w:val="en-US"/>
            </w:rPr>
          </w:pPr>
          <w:hyperlink w:anchor="_Toc150433609" w:history="1">
            <w:r w:rsidR="001E15BA" w:rsidRPr="00DE5D5D">
              <w:rPr>
                <w:rStyle w:val="Hyperlink"/>
                <w:rFonts w:cs="Arial"/>
                <w:noProof/>
              </w:rPr>
              <w:t>1.2 Analysis of Case Studies and Examples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_Toc150433609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2</w:t>
            </w:r>
            <w:r w:rsidR="001E15BA" w:rsidRPr="00DE5D5D">
              <w:rPr>
                <w:rFonts w:cs="Arial"/>
                <w:noProof/>
                <w:webHidden/>
              </w:rPr>
              <w:fldChar w:fldCharType="end"/>
            </w:r>
          </w:hyperlink>
        </w:p>
        <w:p w14:paraId="328D8E95" w14:textId="1F133178" w:rsidR="001E15BA" w:rsidRPr="00DE5D5D" w:rsidRDefault="00000000" w:rsidP="00DE5D5D">
          <w:pPr>
            <w:pStyle w:val="TOC1"/>
            <w:tabs>
              <w:tab w:val="right" w:leader="dot" w:pos="9016"/>
            </w:tabs>
            <w:rPr>
              <w:rFonts w:eastAsiaTheme="minorEastAsia" w:cs="Arial"/>
              <w:noProof/>
              <w:color w:val="auto"/>
              <w:sz w:val="22"/>
              <w:lang w:val="en-US"/>
            </w:rPr>
          </w:pPr>
          <w:hyperlink w:anchor="_Toc150433610" w:history="1">
            <w:r w:rsidR="001E15BA" w:rsidRPr="00DE5D5D">
              <w:rPr>
                <w:rStyle w:val="Hyperlink"/>
                <w:rFonts w:cs="Arial"/>
                <w:noProof/>
              </w:rPr>
              <w:t>2. Service Culture</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_Toc150433610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4</w:t>
            </w:r>
            <w:r w:rsidR="001E15BA" w:rsidRPr="00DE5D5D">
              <w:rPr>
                <w:rFonts w:cs="Arial"/>
                <w:noProof/>
                <w:webHidden/>
              </w:rPr>
              <w:fldChar w:fldCharType="end"/>
            </w:r>
          </w:hyperlink>
        </w:p>
        <w:p w14:paraId="7BA3B0DC" w14:textId="604A6504"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1" w:history="1">
            <w:r w:rsidR="001E15BA" w:rsidRPr="00DE5D5D">
              <w:rPr>
                <w:rStyle w:val="Hyperlink"/>
                <w:rFonts w:cs="Arial"/>
                <w:noProof/>
              </w:rPr>
              <w:t>2.1 Service Culture and Its Impact on Guest Satisfaction</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_Toc150433611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4</w:t>
            </w:r>
            <w:r w:rsidR="001E15BA" w:rsidRPr="00DE5D5D">
              <w:rPr>
                <w:rFonts w:cs="Arial"/>
                <w:noProof/>
                <w:webHidden/>
              </w:rPr>
              <w:fldChar w:fldCharType="end"/>
            </w:r>
          </w:hyperlink>
        </w:p>
        <w:p w14:paraId="51C4DF3F" w14:textId="3990A706"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2" w:history="1">
            <w:r w:rsidR="001E15BA" w:rsidRPr="00DE5D5D">
              <w:rPr>
                <w:rStyle w:val="Hyperlink"/>
                <w:rFonts w:cs="Arial"/>
                <w:noProof/>
              </w:rPr>
              <w:t>2.2 Comparing and Contrasting Service Cultures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_Toc150433612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4</w:t>
            </w:r>
            <w:r w:rsidR="001E15BA" w:rsidRPr="00DE5D5D">
              <w:rPr>
                <w:rFonts w:cs="Arial"/>
                <w:noProof/>
                <w:webHidden/>
              </w:rPr>
              <w:fldChar w:fldCharType="end"/>
            </w:r>
          </w:hyperlink>
        </w:p>
        <w:p w14:paraId="08B544BD" w14:textId="44893795"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3" w:history="1">
            <w:r w:rsidR="001E15BA" w:rsidRPr="00DE5D5D">
              <w:rPr>
                <w:rStyle w:val="Hyperlink"/>
                <w:rFonts w:cs="Arial"/>
                <w:noProof/>
              </w:rPr>
              <w:t>2.3 Real-life Examples of Hotels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_Toc150433613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4</w:t>
            </w:r>
            <w:r w:rsidR="001E15BA" w:rsidRPr="00DE5D5D">
              <w:rPr>
                <w:rFonts w:cs="Arial"/>
                <w:noProof/>
                <w:webHidden/>
              </w:rPr>
              <w:fldChar w:fldCharType="end"/>
            </w:r>
          </w:hyperlink>
        </w:p>
        <w:p w14:paraId="2D1AB9C3" w14:textId="77E4479C" w:rsidR="001E15BA" w:rsidRPr="00DE5D5D" w:rsidRDefault="00000000" w:rsidP="00DE5D5D">
          <w:pPr>
            <w:pStyle w:val="TOC1"/>
            <w:tabs>
              <w:tab w:val="right" w:leader="dot" w:pos="9016"/>
            </w:tabs>
            <w:rPr>
              <w:rFonts w:eastAsiaTheme="minorEastAsia" w:cs="Arial"/>
              <w:noProof/>
              <w:color w:val="auto"/>
              <w:sz w:val="22"/>
              <w:lang w:val="en-US"/>
            </w:rPr>
          </w:pPr>
          <w:hyperlink w:anchor="_Toc150433614" w:history="1">
            <w:r w:rsidR="001E15BA" w:rsidRPr="00DE5D5D">
              <w:rPr>
                <w:rStyle w:val="Hyperlink"/>
                <w:rFonts w:cs="Arial"/>
                <w:noProof/>
              </w:rPr>
              <w:t>3. Brand Consistency</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_Toc150433614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6</w:t>
            </w:r>
            <w:r w:rsidR="001E15BA" w:rsidRPr="00DE5D5D">
              <w:rPr>
                <w:rFonts w:cs="Arial"/>
                <w:noProof/>
                <w:webHidden/>
              </w:rPr>
              <w:fldChar w:fldCharType="end"/>
            </w:r>
          </w:hyperlink>
        </w:p>
        <w:p w14:paraId="75554308" w14:textId="53678FD8"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5" w:history="1">
            <w:r w:rsidR="001E15BA" w:rsidRPr="00DE5D5D">
              <w:rPr>
                <w:rStyle w:val="Hyperlink"/>
                <w:rFonts w:cs="Arial"/>
                <w:noProof/>
              </w:rPr>
              <w:t>3.1 Significance of Brand Consistency in Enhancing Guest Experience</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_Toc150433615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6</w:t>
            </w:r>
            <w:r w:rsidR="001E15BA" w:rsidRPr="00DE5D5D">
              <w:rPr>
                <w:rFonts w:cs="Arial"/>
                <w:noProof/>
                <w:webHidden/>
              </w:rPr>
              <w:fldChar w:fldCharType="end"/>
            </w:r>
          </w:hyperlink>
        </w:p>
        <w:p w14:paraId="62F977E6" w14:textId="20ECF153"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6" w:history="1">
            <w:r w:rsidR="001E15BA" w:rsidRPr="00DE5D5D">
              <w:rPr>
                <w:rStyle w:val="Hyperlink"/>
                <w:rFonts w:cs="Arial"/>
                <w:noProof/>
              </w:rPr>
              <w:t>3.2 Examples of Hotels Maintaining Brand Consistency</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_Toc150433616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6</w:t>
            </w:r>
            <w:r w:rsidR="001E15BA" w:rsidRPr="00DE5D5D">
              <w:rPr>
                <w:rFonts w:cs="Arial"/>
                <w:noProof/>
                <w:webHidden/>
              </w:rPr>
              <w:fldChar w:fldCharType="end"/>
            </w:r>
          </w:hyperlink>
        </w:p>
        <w:p w14:paraId="1779A546" w14:textId="32B121BE" w:rsidR="001E15BA" w:rsidRPr="00DE5D5D" w:rsidRDefault="00000000" w:rsidP="00DE5D5D">
          <w:pPr>
            <w:pStyle w:val="TOC1"/>
            <w:tabs>
              <w:tab w:val="right" w:leader="dot" w:pos="9016"/>
            </w:tabs>
            <w:rPr>
              <w:rFonts w:eastAsiaTheme="minorEastAsia" w:cs="Arial"/>
              <w:noProof/>
              <w:color w:val="auto"/>
              <w:sz w:val="22"/>
              <w:lang w:val="en-US"/>
            </w:rPr>
          </w:pPr>
          <w:hyperlink w:anchor="_Toc150433617" w:history="1">
            <w:r w:rsidR="001E15BA" w:rsidRPr="00DE5D5D">
              <w:rPr>
                <w:rStyle w:val="Hyperlink"/>
                <w:rFonts w:cs="Arial"/>
                <w:noProof/>
              </w:rPr>
              <w:t>4. Future Technological Impacts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_Toc150433617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8</w:t>
            </w:r>
            <w:r w:rsidR="001E15BA" w:rsidRPr="00DE5D5D">
              <w:rPr>
                <w:rFonts w:cs="Arial"/>
                <w:noProof/>
                <w:webHidden/>
              </w:rPr>
              <w:fldChar w:fldCharType="end"/>
            </w:r>
          </w:hyperlink>
        </w:p>
        <w:p w14:paraId="30C6256E" w14:textId="35799198"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8" w:history="1">
            <w:r w:rsidR="001E15BA" w:rsidRPr="00DE5D5D">
              <w:rPr>
                <w:rStyle w:val="Hyperlink"/>
                <w:rFonts w:cs="Arial"/>
                <w:noProof/>
              </w:rPr>
              <w:t>4.1 Emerging Technologies and Their Potential Impact</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_Toc150433618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8</w:t>
            </w:r>
            <w:r w:rsidR="001E15BA" w:rsidRPr="00DE5D5D">
              <w:rPr>
                <w:rFonts w:cs="Arial"/>
                <w:noProof/>
                <w:webHidden/>
              </w:rPr>
              <w:fldChar w:fldCharType="end"/>
            </w:r>
          </w:hyperlink>
        </w:p>
        <w:p w14:paraId="3C96ACE0" w14:textId="5D16CC1F" w:rsidR="001E15BA" w:rsidRPr="00DE5D5D" w:rsidRDefault="00000000" w:rsidP="00DE5D5D">
          <w:pPr>
            <w:pStyle w:val="TOC2"/>
            <w:tabs>
              <w:tab w:val="right" w:leader="dot" w:pos="9016"/>
            </w:tabs>
            <w:rPr>
              <w:rFonts w:eastAsiaTheme="minorEastAsia" w:cs="Arial"/>
              <w:noProof/>
              <w:color w:val="auto"/>
              <w:sz w:val="22"/>
              <w:lang w:val="en-US"/>
            </w:rPr>
          </w:pPr>
          <w:hyperlink w:anchor="_Toc150433619" w:history="1">
            <w:r w:rsidR="001E15BA" w:rsidRPr="00DE5D5D">
              <w:rPr>
                <w:rStyle w:val="Hyperlink"/>
                <w:rFonts w:cs="Arial"/>
                <w:noProof/>
              </w:rPr>
              <w:t>4.2 Examples of Hotels Implementing Innovative Technologies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_Toc150433619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8</w:t>
            </w:r>
            <w:r w:rsidR="001E15BA" w:rsidRPr="00DE5D5D">
              <w:rPr>
                <w:rFonts w:cs="Arial"/>
                <w:noProof/>
                <w:webHidden/>
              </w:rPr>
              <w:fldChar w:fldCharType="end"/>
            </w:r>
          </w:hyperlink>
        </w:p>
        <w:p w14:paraId="7B72E4E3" w14:textId="6BC3B2B0" w:rsidR="001E15BA" w:rsidRPr="00DE5D5D" w:rsidRDefault="00000000" w:rsidP="00DE5D5D">
          <w:pPr>
            <w:pStyle w:val="TOC1"/>
            <w:tabs>
              <w:tab w:val="right" w:leader="dot" w:pos="9016"/>
            </w:tabs>
            <w:rPr>
              <w:rFonts w:eastAsiaTheme="minorEastAsia" w:cs="Arial"/>
              <w:noProof/>
              <w:color w:val="auto"/>
              <w:sz w:val="22"/>
              <w:lang w:val="en-US"/>
            </w:rPr>
          </w:pPr>
          <w:hyperlink w:anchor="_Toc150433620" w:history="1">
            <w:r w:rsidR="001E15BA" w:rsidRPr="00DE5D5D">
              <w:rPr>
                <w:rStyle w:val="Hyperlink"/>
                <w:rFonts w:cs="Arial"/>
                <w:noProof/>
              </w:rPr>
              <w:t>5. Service Failure</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_Toc150433620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10</w:t>
            </w:r>
            <w:r w:rsidR="001E15BA" w:rsidRPr="00DE5D5D">
              <w:rPr>
                <w:rFonts w:cs="Arial"/>
                <w:noProof/>
                <w:webHidden/>
              </w:rPr>
              <w:fldChar w:fldCharType="end"/>
            </w:r>
          </w:hyperlink>
        </w:p>
        <w:p w14:paraId="01C3DEAA" w14:textId="59D0088E" w:rsidR="001E15BA" w:rsidRPr="00DE5D5D" w:rsidRDefault="00000000" w:rsidP="00DE5D5D">
          <w:pPr>
            <w:pStyle w:val="TOC2"/>
            <w:tabs>
              <w:tab w:val="right" w:leader="dot" w:pos="9016"/>
            </w:tabs>
            <w:rPr>
              <w:rFonts w:eastAsiaTheme="minorEastAsia" w:cs="Arial"/>
              <w:noProof/>
              <w:color w:val="auto"/>
              <w:sz w:val="22"/>
              <w:lang w:val="en-US"/>
            </w:rPr>
          </w:pPr>
          <w:hyperlink w:anchor="_Toc150433621" w:history="1">
            <w:r w:rsidR="001E15BA" w:rsidRPr="00DE5D5D">
              <w:rPr>
                <w:rStyle w:val="Hyperlink"/>
                <w:rFonts w:cs="Arial"/>
                <w:noProof/>
              </w:rPr>
              <w:t>5.1 Consequences of Service Failures in the Hospitality Industry</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_Toc150433621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10</w:t>
            </w:r>
            <w:r w:rsidR="001E15BA" w:rsidRPr="00DE5D5D">
              <w:rPr>
                <w:rFonts w:cs="Arial"/>
                <w:noProof/>
                <w:webHidden/>
              </w:rPr>
              <w:fldChar w:fldCharType="end"/>
            </w:r>
          </w:hyperlink>
        </w:p>
        <w:p w14:paraId="5241DF85" w14:textId="43B9DD2B" w:rsidR="001E15BA" w:rsidRPr="00DE5D5D" w:rsidRDefault="00000000" w:rsidP="00DE5D5D">
          <w:pPr>
            <w:pStyle w:val="TOC2"/>
            <w:tabs>
              <w:tab w:val="right" w:leader="dot" w:pos="9016"/>
            </w:tabs>
            <w:rPr>
              <w:rFonts w:eastAsiaTheme="minorEastAsia" w:cs="Arial"/>
              <w:noProof/>
              <w:color w:val="auto"/>
              <w:sz w:val="22"/>
              <w:lang w:val="en-US"/>
            </w:rPr>
          </w:pPr>
          <w:hyperlink w:anchor="_Toc150433622" w:history="1">
            <w:r w:rsidR="001E15BA" w:rsidRPr="00DE5D5D">
              <w:rPr>
                <w:rStyle w:val="Hyperlink"/>
                <w:rFonts w:cs="Arial"/>
                <w:noProof/>
              </w:rPr>
              <w:t>5.2 Examples of Recovery and Rebuilding Guest Trust</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_Toc150433622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10</w:t>
            </w:r>
            <w:r w:rsidR="001E15BA" w:rsidRPr="00DE5D5D">
              <w:rPr>
                <w:rFonts w:cs="Arial"/>
                <w:noProof/>
                <w:webHidden/>
              </w:rPr>
              <w:fldChar w:fldCharType="end"/>
            </w:r>
          </w:hyperlink>
        </w:p>
        <w:p w14:paraId="4428E143" w14:textId="7887929A" w:rsidR="001E15BA" w:rsidRPr="00DE5D5D" w:rsidRDefault="00000000" w:rsidP="00DE5D5D">
          <w:pPr>
            <w:pStyle w:val="TOC1"/>
            <w:tabs>
              <w:tab w:val="right" w:leader="dot" w:pos="9016"/>
            </w:tabs>
            <w:rPr>
              <w:rFonts w:eastAsiaTheme="minorEastAsia" w:cs="Arial"/>
              <w:noProof/>
              <w:color w:val="auto"/>
              <w:sz w:val="22"/>
              <w:lang w:val="en-US"/>
            </w:rPr>
          </w:pPr>
          <w:hyperlink w:anchor="_Toc150433623" w:history="1">
            <w:r w:rsidR="001E15BA" w:rsidRPr="00DE5D5D">
              <w:rPr>
                <w:rStyle w:val="Hyperlink"/>
                <w:rFonts w:cs="Arial"/>
                <w:noProof/>
              </w:rPr>
              <w:t>6. Recommendations</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_Toc150433623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11</w:t>
            </w:r>
            <w:r w:rsidR="001E15BA" w:rsidRPr="00DE5D5D">
              <w:rPr>
                <w:rFonts w:cs="Arial"/>
                <w:noProof/>
                <w:webHidden/>
              </w:rPr>
              <w:fldChar w:fldCharType="end"/>
            </w:r>
          </w:hyperlink>
        </w:p>
        <w:p w14:paraId="6F56A00D" w14:textId="0762FFA2" w:rsidR="001E15BA" w:rsidRPr="00DE5D5D" w:rsidRDefault="00000000" w:rsidP="00DE5D5D">
          <w:pPr>
            <w:pStyle w:val="TOC1"/>
            <w:tabs>
              <w:tab w:val="right" w:leader="dot" w:pos="9016"/>
            </w:tabs>
            <w:rPr>
              <w:rFonts w:eastAsiaTheme="minorEastAsia" w:cs="Arial"/>
              <w:noProof/>
              <w:color w:val="auto"/>
              <w:sz w:val="22"/>
              <w:lang w:val="en-US"/>
            </w:rPr>
          </w:pPr>
          <w:hyperlink w:anchor="_Toc150433624" w:history="1">
            <w:r w:rsidR="001E15BA" w:rsidRPr="00DE5D5D">
              <w:rPr>
                <w:rStyle w:val="Hyperlink"/>
                <w:rFonts w:cs="Arial"/>
                <w:noProof/>
              </w:rPr>
              <w:t>Conclusion</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_Toc150433624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12</w:t>
            </w:r>
            <w:r w:rsidR="001E15BA" w:rsidRPr="00DE5D5D">
              <w:rPr>
                <w:rFonts w:cs="Arial"/>
                <w:noProof/>
                <w:webHidden/>
              </w:rPr>
              <w:fldChar w:fldCharType="end"/>
            </w:r>
          </w:hyperlink>
        </w:p>
        <w:p w14:paraId="69471552" w14:textId="64DBA1DB" w:rsidR="001E15BA" w:rsidRPr="00DE5D5D" w:rsidRDefault="00000000" w:rsidP="00DE5D5D">
          <w:pPr>
            <w:pStyle w:val="TOC1"/>
            <w:tabs>
              <w:tab w:val="right" w:leader="dot" w:pos="9016"/>
            </w:tabs>
            <w:rPr>
              <w:rFonts w:eastAsiaTheme="minorEastAsia" w:cs="Arial"/>
              <w:noProof/>
              <w:color w:val="auto"/>
              <w:sz w:val="22"/>
              <w:lang w:val="en-US"/>
            </w:rPr>
          </w:pPr>
          <w:hyperlink w:anchor="_Toc150433625" w:history="1">
            <w:r w:rsidR="001E15BA" w:rsidRPr="00DE5D5D">
              <w:rPr>
                <w:rStyle w:val="Hyperlink"/>
                <w:rFonts w:cs="Arial"/>
                <w:noProof/>
              </w:rPr>
              <w:t>Reference</w:t>
            </w:r>
            <w:r w:rsidR="001E15BA" w:rsidRPr="00DE5D5D">
              <w:rPr>
                <w:rFonts w:cs="Arial"/>
                <w:noProof/>
                <w:webHidden/>
              </w:rPr>
              <w:tab/>
            </w:r>
            <w:r w:rsidR="001E15BA" w:rsidRPr="00DE5D5D">
              <w:rPr>
                <w:rFonts w:cs="Arial"/>
                <w:noProof/>
                <w:webHidden/>
              </w:rPr>
              <w:fldChar w:fldCharType="begin"/>
            </w:r>
            <w:r w:rsidR="001E15BA" w:rsidRPr="00DE5D5D">
              <w:rPr>
                <w:rFonts w:cs="Arial"/>
                <w:noProof/>
                <w:webHidden/>
              </w:rPr>
              <w:instrText xml:space="preserve"> PAGEREF _Toc150433625 \h </w:instrText>
            </w:r>
            <w:r w:rsidR="001E15BA" w:rsidRPr="00DE5D5D">
              <w:rPr>
                <w:rFonts w:cs="Arial"/>
                <w:noProof/>
                <w:webHidden/>
              </w:rPr>
            </w:r>
            <w:r w:rsidR="001E15BA" w:rsidRPr="00DE5D5D">
              <w:rPr>
                <w:rFonts w:cs="Arial"/>
                <w:noProof/>
                <w:webHidden/>
              </w:rPr>
              <w:fldChar w:fldCharType="separate"/>
            </w:r>
            <w:r w:rsidR="001E15BA" w:rsidRPr="00DE5D5D">
              <w:rPr>
                <w:rFonts w:cs="Arial"/>
                <w:noProof/>
                <w:webHidden/>
              </w:rPr>
              <w:t>13</w:t>
            </w:r>
            <w:r w:rsidR="001E15BA" w:rsidRPr="00DE5D5D">
              <w:rPr>
                <w:rFonts w:cs="Arial"/>
                <w:noProof/>
                <w:webHidden/>
              </w:rPr>
              <w:fldChar w:fldCharType="end"/>
            </w:r>
          </w:hyperlink>
        </w:p>
        <w:p w14:paraId="11FB9FCD" w14:textId="65F12D98" w:rsidR="001834FC" w:rsidRPr="00DE5D5D" w:rsidRDefault="001834FC" w:rsidP="00DE5D5D">
          <w:pPr>
            <w:rPr>
              <w:rFonts w:cs="Arial"/>
            </w:rPr>
          </w:pPr>
          <w:r w:rsidRPr="00DE5D5D">
            <w:rPr>
              <w:rFonts w:cs="Arial"/>
              <w:b/>
              <w:bCs/>
              <w:noProof/>
            </w:rPr>
            <w:fldChar w:fldCharType="end"/>
          </w:r>
        </w:p>
      </w:sdtContent>
    </w:sdt>
    <w:p w14:paraId="0E64312A" w14:textId="73F329D3" w:rsidR="001834FC" w:rsidRPr="00DE5D5D" w:rsidRDefault="001834FC" w:rsidP="00DE5D5D">
      <w:pPr>
        <w:rPr>
          <w:rFonts w:cs="Arial"/>
        </w:rPr>
      </w:pPr>
    </w:p>
    <w:p w14:paraId="52988457" w14:textId="77777777" w:rsidR="001834FC" w:rsidRPr="00DE5D5D" w:rsidRDefault="001834FC" w:rsidP="00DE5D5D">
      <w:pPr>
        <w:rPr>
          <w:rFonts w:cs="Arial"/>
        </w:rPr>
      </w:pPr>
      <w:r w:rsidRPr="00DE5D5D">
        <w:rPr>
          <w:rFonts w:cs="Arial"/>
        </w:rPr>
        <w:br w:type="page"/>
      </w:r>
    </w:p>
    <w:p w14:paraId="0BEB37EE" w14:textId="77777777" w:rsidR="001834FC" w:rsidRPr="00DE5D5D" w:rsidRDefault="001834FC" w:rsidP="00DE5D5D">
      <w:pPr>
        <w:pStyle w:val="Heading1"/>
        <w:rPr>
          <w:rFonts w:ascii="Arial" w:hAnsi="Arial" w:cs="Arial"/>
        </w:rPr>
        <w:sectPr w:rsidR="001834FC" w:rsidRPr="00DE5D5D" w:rsidSect="00731705">
          <w:footerReference w:type="default" r:id="rId7"/>
          <w:pgSz w:w="11906" w:h="16838" w:code="9"/>
          <w:pgMar w:top="1440" w:right="1440" w:bottom="1440" w:left="1440" w:header="720" w:footer="720" w:gutter="0"/>
          <w:pgNumType w:fmt="lowerRoman"/>
          <w:cols w:space="720"/>
          <w:docGrid w:linePitch="360"/>
        </w:sectPr>
      </w:pPr>
    </w:p>
    <w:p w14:paraId="194129F4" w14:textId="11FF3E33" w:rsidR="001834FC" w:rsidRPr="00DE5D5D" w:rsidRDefault="001834FC" w:rsidP="00DE5D5D">
      <w:pPr>
        <w:pStyle w:val="Heading1"/>
        <w:rPr>
          <w:rFonts w:ascii="Arial" w:hAnsi="Arial" w:cs="Arial"/>
        </w:rPr>
      </w:pPr>
      <w:bookmarkStart w:id="1" w:name="_Toc150433606"/>
      <w:r w:rsidRPr="00DE5D5D">
        <w:rPr>
          <w:rFonts w:ascii="Arial" w:hAnsi="Arial" w:cs="Arial"/>
        </w:rPr>
        <w:lastRenderedPageBreak/>
        <w:t>Introduction</w:t>
      </w:r>
      <w:bookmarkEnd w:id="1"/>
      <w:r w:rsidRPr="00DE5D5D">
        <w:rPr>
          <w:rFonts w:ascii="Arial" w:hAnsi="Arial" w:cs="Arial"/>
        </w:rPr>
        <w:t xml:space="preserve"> </w:t>
      </w:r>
    </w:p>
    <w:p w14:paraId="0801E86C" w14:textId="65847EF4" w:rsidR="00707035" w:rsidRPr="00DE5D5D" w:rsidRDefault="007272CD" w:rsidP="00DE5D5D">
      <w:pPr>
        <w:rPr>
          <w:rFonts w:cs="Arial"/>
        </w:rPr>
      </w:pPr>
      <w:r w:rsidRPr="00DE5D5D">
        <w:rPr>
          <w:rFonts w:cs="Arial"/>
        </w:rPr>
        <w:t>In the highly competitive hospitality industry, the quality of service provided to guests may make or break a company. In the hospitality sector, giving excellent service to guests and making them feel welcome is of the utmost importance (</w:t>
      </w:r>
      <w:proofErr w:type="spellStart"/>
      <w:r w:rsidRPr="00DE5D5D">
        <w:rPr>
          <w:rFonts w:cs="Arial"/>
        </w:rPr>
        <w:t>Kinzey</w:t>
      </w:r>
      <w:proofErr w:type="spellEnd"/>
      <w:r w:rsidRPr="00DE5D5D">
        <w:rPr>
          <w:rFonts w:cs="Arial"/>
        </w:rPr>
        <w:t>, 2018).</w:t>
      </w:r>
      <w:r w:rsidR="00F77EAC" w:rsidRPr="00DE5D5D">
        <w:rPr>
          <w:rFonts w:cs="Arial"/>
        </w:rPr>
        <w:t xml:space="preserve"> This research examines the necessity of guest service strategy monitoring. The paper explores the industry's changing landscape by addressing reputation management, service culture, brand consistency, future technology consequences, and service failure. The research offers insights into industry trends and problems through case studies and industry examples, delivering ideas to improve visitor experiences and sustain hospitality business development.</w:t>
      </w:r>
    </w:p>
    <w:p w14:paraId="1133F87D" w14:textId="018DE8FB" w:rsidR="001834FC" w:rsidRPr="00DE5D5D" w:rsidRDefault="001834FC" w:rsidP="00DE5D5D">
      <w:pPr>
        <w:rPr>
          <w:rFonts w:cs="Arial"/>
        </w:rPr>
      </w:pPr>
      <w:r w:rsidRPr="00DE5D5D">
        <w:rPr>
          <w:rFonts w:cs="Arial"/>
        </w:rPr>
        <w:br w:type="page"/>
      </w:r>
    </w:p>
    <w:p w14:paraId="764F8651" w14:textId="2FBEBC57" w:rsidR="00FB2EF3" w:rsidRPr="00DE5D5D" w:rsidRDefault="00707035" w:rsidP="00DE5D5D">
      <w:pPr>
        <w:pStyle w:val="Heading1"/>
        <w:rPr>
          <w:rFonts w:ascii="Arial" w:hAnsi="Arial" w:cs="Arial"/>
        </w:rPr>
      </w:pPr>
      <w:bookmarkStart w:id="2" w:name="_Toc150433607"/>
      <w:r w:rsidRPr="00DE5D5D">
        <w:rPr>
          <w:rFonts w:ascii="Arial" w:hAnsi="Arial" w:cs="Arial"/>
        </w:rPr>
        <w:lastRenderedPageBreak/>
        <w:t xml:space="preserve">1. </w:t>
      </w:r>
      <w:r w:rsidR="00FB2EF3" w:rsidRPr="00DE5D5D">
        <w:rPr>
          <w:rFonts w:ascii="Arial" w:hAnsi="Arial" w:cs="Arial"/>
        </w:rPr>
        <w:t>Reputation Management</w:t>
      </w:r>
      <w:bookmarkEnd w:id="2"/>
    </w:p>
    <w:p w14:paraId="434C1478" w14:textId="05698ABC" w:rsidR="00707035" w:rsidRPr="00DE5D5D" w:rsidRDefault="00707035" w:rsidP="00DE5D5D">
      <w:pPr>
        <w:rPr>
          <w:rFonts w:cs="Arial"/>
        </w:rPr>
      </w:pPr>
      <w:r w:rsidRPr="00DE5D5D">
        <w:rPr>
          <w:rFonts w:cs="Arial"/>
        </w:rPr>
        <w:t>Reputation management in hospitality is paramount, shaping guest decisions and business outcomes. In today's digital era, proactive strategies ensure trust, loyalty, and sustained growth.</w:t>
      </w:r>
    </w:p>
    <w:p w14:paraId="149323EE" w14:textId="2A195172" w:rsidR="00707035" w:rsidRPr="00DE5D5D" w:rsidRDefault="00074997" w:rsidP="00DE5D5D">
      <w:pPr>
        <w:pStyle w:val="Heading2"/>
        <w:rPr>
          <w:rFonts w:ascii="Arial" w:hAnsi="Arial" w:cs="Arial"/>
        </w:rPr>
      </w:pPr>
      <w:bookmarkStart w:id="3" w:name="_Toc150433608"/>
      <w:r w:rsidRPr="00DE5D5D">
        <w:rPr>
          <w:rFonts w:ascii="Arial" w:hAnsi="Arial" w:cs="Arial"/>
        </w:rPr>
        <w:t xml:space="preserve">1.1 </w:t>
      </w:r>
      <w:r w:rsidR="00707035" w:rsidRPr="00DE5D5D">
        <w:rPr>
          <w:rFonts w:ascii="Arial" w:hAnsi="Arial" w:cs="Arial"/>
        </w:rPr>
        <w:t>Importance of Reputation Management in the Hospitality Industry</w:t>
      </w:r>
      <w:bookmarkEnd w:id="3"/>
    </w:p>
    <w:p w14:paraId="114F7172" w14:textId="0A10B7B5" w:rsidR="00707035" w:rsidRPr="00DE5D5D" w:rsidRDefault="00557BEC" w:rsidP="00DE5D5D">
      <w:pPr>
        <w:rPr>
          <w:rFonts w:cs="Arial"/>
        </w:rPr>
      </w:pPr>
      <w:r w:rsidRPr="00DE5D5D">
        <w:rPr>
          <w:rFonts w:cs="Arial"/>
        </w:rPr>
        <w:t>In the tourism sector, reputation management is crucial to guest decisions and corporate success. Positive reputations build trust, attract new clients, and retain old ones (Griffin, 2022). In the digital era, internet reviews and social media underscore the importance of reputation for hotels and hospitality enterprises. Effective reputation management protects a brand from unfavourable comments. It increases market credibility and competitiveness, fostering sustainable growth (</w:t>
      </w:r>
      <w:proofErr w:type="spellStart"/>
      <w:r w:rsidRPr="00DE5D5D">
        <w:rPr>
          <w:rFonts w:cs="Arial"/>
        </w:rPr>
        <w:t>Kinzey</w:t>
      </w:r>
      <w:proofErr w:type="spellEnd"/>
      <w:r w:rsidRPr="00DE5D5D">
        <w:rPr>
          <w:rFonts w:cs="Arial"/>
        </w:rPr>
        <w:t>, 2018).</w:t>
      </w:r>
    </w:p>
    <w:p w14:paraId="3E645EA4" w14:textId="491FFBE4" w:rsidR="00265D6B" w:rsidRPr="00DE5D5D" w:rsidRDefault="00265D6B" w:rsidP="00DE5D5D">
      <w:pPr>
        <w:jc w:val="center"/>
        <w:rPr>
          <w:rFonts w:cs="Arial"/>
        </w:rPr>
      </w:pPr>
      <w:r w:rsidRPr="00DE5D5D">
        <w:rPr>
          <w:rFonts w:cs="Arial"/>
          <w:noProof/>
          <w:lang w:val="en-US"/>
        </w:rPr>
        <w:drawing>
          <wp:inline distT="0" distB="0" distL="0" distR="0" wp14:anchorId="4FCBB9EC" wp14:editId="21C7DF41">
            <wp:extent cx="2597150" cy="2279650"/>
            <wp:effectExtent l="0" t="25400" r="0" b="317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B0F4892" w14:textId="0D51A027" w:rsidR="001B0BCC" w:rsidRPr="00DE5D5D" w:rsidRDefault="001B0BCC" w:rsidP="00DE5D5D">
      <w:pPr>
        <w:pStyle w:val="Caption"/>
        <w:rPr>
          <w:rFonts w:cs="Arial"/>
        </w:rPr>
      </w:pPr>
      <w:r w:rsidRPr="00DE5D5D">
        <w:rPr>
          <w:rFonts w:cs="Arial"/>
        </w:rPr>
        <w:t>Figure</w:t>
      </w:r>
      <w:r w:rsidR="00A92C3F" w:rsidRPr="00DE5D5D">
        <w:rPr>
          <w:rFonts w:cs="Arial"/>
        </w:rPr>
        <w:t xml:space="preserve"> 1</w:t>
      </w:r>
      <w:r w:rsidRPr="00DE5D5D">
        <w:rPr>
          <w:rFonts w:cs="Arial"/>
        </w:rPr>
        <w:t>: Way to Build Good Reputation</w:t>
      </w:r>
      <w:r w:rsidRPr="00DE5D5D">
        <w:rPr>
          <w:rFonts w:cs="Arial"/>
        </w:rPr>
        <w:br/>
        <w:t>Source: (Bridges, 2021)</w:t>
      </w:r>
    </w:p>
    <w:p w14:paraId="6EBF4F03" w14:textId="0BF26A9A" w:rsidR="00707035" w:rsidRPr="00DE5D5D" w:rsidRDefault="00074997" w:rsidP="00DE5D5D">
      <w:pPr>
        <w:pStyle w:val="Heading2"/>
        <w:rPr>
          <w:rFonts w:ascii="Arial" w:hAnsi="Arial" w:cs="Arial"/>
        </w:rPr>
      </w:pPr>
      <w:bookmarkStart w:id="4" w:name="_Toc150433609"/>
      <w:r w:rsidRPr="00DE5D5D">
        <w:rPr>
          <w:rFonts w:ascii="Arial" w:hAnsi="Arial" w:cs="Arial"/>
        </w:rPr>
        <w:t xml:space="preserve">1.2 </w:t>
      </w:r>
      <w:r w:rsidR="00707035" w:rsidRPr="00DE5D5D">
        <w:rPr>
          <w:rFonts w:ascii="Arial" w:hAnsi="Arial" w:cs="Arial"/>
        </w:rPr>
        <w:t>Analysis of Case Studies and Examples</w:t>
      </w:r>
      <w:bookmarkEnd w:id="4"/>
    </w:p>
    <w:p w14:paraId="76816A0B" w14:textId="77777777" w:rsidR="00557BEC" w:rsidRPr="00DE5D5D" w:rsidRDefault="00557BEC" w:rsidP="00DE5D5D">
      <w:pPr>
        <w:rPr>
          <w:rFonts w:cs="Arial"/>
        </w:rPr>
      </w:pPr>
      <w:r w:rsidRPr="00DE5D5D">
        <w:rPr>
          <w:rFonts w:cs="Arial"/>
        </w:rPr>
        <w:t>The Ritz-Carlton and Marriott International demonstrate efficient reputation management. To maintain its outstanding service, the Ritz-Carlton uses personalised guest encounters and quick issue resolution. Marriott International, however, addresses consumer issues quickly through social media and proactive communication. These stories show how proactive reputation management can turn obstacles into opportunities and boost a brand's industry status.</w:t>
      </w:r>
    </w:p>
    <w:p w14:paraId="3CFBFE2D" w14:textId="5F500537" w:rsidR="00707035" w:rsidRPr="00DE5D5D" w:rsidRDefault="00557BEC" w:rsidP="00DE5D5D">
      <w:pPr>
        <w:rPr>
          <w:rFonts w:cs="Arial"/>
        </w:rPr>
      </w:pPr>
      <w:r w:rsidRPr="00DE5D5D">
        <w:rPr>
          <w:rFonts w:cs="Arial"/>
        </w:rPr>
        <w:t xml:space="preserve">Proactive reputation management improves visitor happiness and loyalty, as shown by Ritz-Carlton's personalised guest interactions and quick issue resolution. Strategic </w:t>
      </w:r>
      <w:r w:rsidRPr="00DE5D5D">
        <w:rPr>
          <w:rFonts w:cs="Arial"/>
        </w:rPr>
        <w:lastRenderedPageBreak/>
        <w:t>reputation management allows Marriott International to quickly handle customer problems and maintain a favourable online presence through social media and rapid communication.</w:t>
      </w:r>
    </w:p>
    <w:p w14:paraId="1802A670" w14:textId="5379C50A" w:rsidR="00707035" w:rsidRPr="00DE5D5D" w:rsidRDefault="00707035" w:rsidP="00DE5D5D">
      <w:pPr>
        <w:rPr>
          <w:rFonts w:cs="Arial"/>
        </w:rPr>
      </w:pPr>
      <w:r w:rsidRPr="00DE5D5D">
        <w:rPr>
          <w:rFonts w:cs="Arial"/>
        </w:rPr>
        <w:t>Strategic reputation management, as seen in cases like The Ritz-Carlton and Marriott International, proves transformative. Proactive approaches fortify brand standing, fostering trust and ensuring long-term success</w:t>
      </w:r>
      <w:r w:rsidR="002A4E4A" w:rsidRPr="00DE5D5D">
        <w:rPr>
          <w:rFonts w:cs="Arial"/>
        </w:rPr>
        <w:t xml:space="preserve"> (Jones, 2020)</w:t>
      </w:r>
      <w:r w:rsidRPr="00DE5D5D">
        <w:rPr>
          <w:rFonts w:cs="Arial"/>
        </w:rPr>
        <w:t>.</w:t>
      </w:r>
    </w:p>
    <w:p w14:paraId="7EE3FF67" w14:textId="77777777" w:rsidR="00FB2EF3" w:rsidRPr="00DE5D5D" w:rsidRDefault="00FB2EF3" w:rsidP="00DE5D5D">
      <w:pPr>
        <w:jc w:val="left"/>
        <w:rPr>
          <w:rFonts w:eastAsiaTheme="majorEastAsia" w:cs="Arial"/>
          <w:b/>
          <w:sz w:val="32"/>
          <w:szCs w:val="32"/>
        </w:rPr>
      </w:pPr>
      <w:r w:rsidRPr="00DE5D5D">
        <w:rPr>
          <w:rFonts w:cs="Arial"/>
        </w:rPr>
        <w:br w:type="page"/>
      </w:r>
    </w:p>
    <w:p w14:paraId="41D9EA9E" w14:textId="5D227CC3" w:rsidR="00FB2EF3" w:rsidRPr="00DE5D5D" w:rsidRDefault="00A77683" w:rsidP="00DE5D5D">
      <w:pPr>
        <w:pStyle w:val="Heading1"/>
        <w:rPr>
          <w:rFonts w:ascii="Arial" w:hAnsi="Arial" w:cs="Arial"/>
        </w:rPr>
      </w:pPr>
      <w:bookmarkStart w:id="5" w:name="_Toc150433610"/>
      <w:r w:rsidRPr="00DE5D5D">
        <w:rPr>
          <w:rFonts w:ascii="Arial" w:hAnsi="Arial" w:cs="Arial"/>
        </w:rPr>
        <w:lastRenderedPageBreak/>
        <w:t xml:space="preserve">2. </w:t>
      </w:r>
      <w:r w:rsidR="00FB2EF3" w:rsidRPr="00DE5D5D">
        <w:rPr>
          <w:rFonts w:ascii="Arial" w:hAnsi="Arial" w:cs="Arial"/>
        </w:rPr>
        <w:t>Service Culture</w:t>
      </w:r>
      <w:bookmarkEnd w:id="5"/>
    </w:p>
    <w:p w14:paraId="61663868" w14:textId="5AD938D8" w:rsidR="00A77683" w:rsidRPr="00DE5D5D" w:rsidRDefault="00A77683" w:rsidP="00DE5D5D">
      <w:pPr>
        <w:rPr>
          <w:rFonts w:cs="Arial"/>
        </w:rPr>
      </w:pPr>
      <w:r w:rsidRPr="00DE5D5D">
        <w:rPr>
          <w:rFonts w:cs="Arial"/>
        </w:rPr>
        <w:t>Service culture, fundamental in hospitality, shapes guest satisfaction. From tailored experiences at Four Seasons to anticipatory service at The Peninsula, it's pivotal for exceptional guest interactions.</w:t>
      </w:r>
    </w:p>
    <w:p w14:paraId="3F67CD59" w14:textId="70202BE3" w:rsidR="00074997" w:rsidRPr="00DE5D5D" w:rsidRDefault="00A77683" w:rsidP="00DE5D5D">
      <w:pPr>
        <w:pStyle w:val="Heading2"/>
        <w:rPr>
          <w:rFonts w:ascii="Arial" w:hAnsi="Arial" w:cs="Arial"/>
        </w:rPr>
      </w:pPr>
      <w:bookmarkStart w:id="6" w:name="_Toc150433611"/>
      <w:r w:rsidRPr="00DE5D5D">
        <w:rPr>
          <w:rFonts w:ascii="Arial" w:hAnsi="Arial" w:cs="Arial"/>
        </w:rPr>
        <w:t xml:space="preserve">2.1 </w:t>
      </w:r>
      <w:r w:rsidR="00074997" w:rsidRPr="00DE5D5D">
        <w:rPr>
          <w:rFonts w:ascii="Arial" w:hAnsi="Arial" w:cs="Arial"/>
        </w:rPr>
        <w:t>Service Culture and Its Impact on Guest Satisfaction</w:t>
      </w:r>
      <w:bookmarkEnd w:id="6"/>
    </w:p>
    <w:p w14:paraId="357E63EC" w14:textId="6697BA47" w:rsidR="00074997" w:rsidRPr="00DE5D5D" w:rsidRDefault="00557BEC" w:rsidP="00DE5D5D">
      <w:pPr>
        <w:rPr>
          <w:rFonts w:cs="Arial"/>
        </w:rPr>
      </w:pPr>
      <w:r w:rsidRPr="00DE5D5D">
        <w:rPr>
          <w:rFonts w:cs="Arial"/>
        </w:rPr>
        <w:t>In the hotel sector, "service culture" refers to the norms of treating customers well and putting their needs first. A strong service culture promotes consistent, great visitor experiences</w:t>
      </w:r>
      <w:r w:rsidR="002A4E4A" w:rsidRPr="00DE5D5D">
        <w:rPr>
          <w:rFonts w:cs="Arial"/>
        </w:rPr>
        <w:t xml:space="preserve"> (Smith, 2019)</w:t>
      </w:r>
      <w:r w:rsidRPr="00DE5D5D">
        <w:rPr>
          <w:rFonts w:cs="Arial"/>
        </w:rPr>
        <w:t>. It encourages a culture where workers feel they have the freedom to go above and beyond for guests, which in turn increases customer retention and satisfaction. Putting so much stock on service culture may have a dramatic effect on visitor satisfaction, which in turn affects a hotel's popularity and bottom line</w:t>
      </w:r>
      <w:r w:rsidR="007272CD" w:rsidRPr="00DE5D5D">
        <w:rPr>
          <w:rFonts w:cs="Arial"/>
        </w:rPr>
        <w:t xml:space="preserve"> (Chan, 2021)</w:t>
      </w:r>
      <w:r w:rsidRPr="00DE5D5D">
        <w:rPr>
          <w:rFonts w:cs="Arial"/>
        </w:rPr>
        <w:t>.</w:t>
      </w:r>
    </w:p>
    <w:p w14:paraId="508DEA4A" w14:textId="25FAE666" w:rsidR="00074997" w:rsidRPr="00DE5D5D" w:rsidRDefault="00A77683" w:rsidP="00DE5D5D">
      <w:pPr>
        <w:pStyle w:val="Heading2"/>
        <w:rPr>
          <w:rFonts w:ascii="Arial" w:hAnsi="Arial" w:cs="Arial"/>
        </w:rPr>
      </w:pPr>
      <w:bookmarkStart w:id="7" w:name="_Toc150433612"/>
      <w:r w:rsidRPr="00DE5D5D">
        <w:rPr>
          <w:rFonts w:ascii="Arial" w:hAnsi="Arial" w:cs="Arial"/>
        </w:rPr>
        <w:t xml:space="preserve">2.2 </w:t>
      </w:r>
      <w:r w:rsidR="00074997" w:rsidRPr="00DE5D5D">
        <w:rPr>
          <w:rFonts w:ascii="Arial" w:hAnsi="Arial" w:cs="Arial"/>
        </w:rPr>
        <w:t>Comparing and Contrasting Service Cultures</w:t>
      </w:r>
      <w:bookmarkEnd w:id="7"/>
    </w:p>
    <w:p w14:paraId="1BBD93FA" w14:textId="1C92DA1C" w:rsidR="00074997" w:rsidRPr="00DE5D5D" w:rsidRDefault="00557BEC" w:rsidP="00DE5D5D">
      <w:pPr>
        <w:rPr>
          <w:rFonts w:cs="Arial"/>
        </w:rPr>
      </w:pPr>
      <w:r w:rsidRPr="00DE5D5D">
        <w:rPr>
          <w:rFonts w:cs="Arial"/>
        </w:rPr>
        <w:t xml:space="preserve">Global hotel chains Hilton and Four Seasons have different service cultures. Hilton emphasises standardised service because </w:t>
      </w:r>
      <w:r w:rsidR="00F941B5">
        <w:rPr>
          <w:rFonts w:cs="Arial"/>
        </w:rPr>
        <w:t>of</w:t>
      </w:r>
      <w:r w:rsidRPr="00DE5D5D">
        <w:rPr>
          <w:rFonts w:cs="Arial"/>
        </w:rPr>
        <w:t xml:space="preserve"> its efficiency and scalability. Four Seasons emphasises personalised, opulent experiences, adjusting services to guest preferences. Both types meet varied visitor demands and provide excellent service.</w:t>
      </w:r>
    </w:p>
    <w:p w14:paraId="5A4B9281" w14:textId="6462B09F" w:rsidR="00074997" w:rsidRPr="00DE5D5D" w:rsidRDefault="00A77683" w:rsidP="00DE5D5D">
      <w:pPr>
        <w:pStyle w:val="Heading2"/>
        <w:rPr>
          <w:rFonts w:ascii="Arial" w:hAnsi="Arial" w:cs="Arial"/>
        </w:rPr>
      </w:pPr>
      <w:bookmarkStart w:id="8" w:name="_Toc150433613"/>
      <w:r w:rsidRPr="00DE5D5D">
        <w:rPr>
          <w:rFonts w:ascii="Arial" w:hAnsi="Arial" w:cs="Arial"/>
        </w:rPr>
        <w:t xml:space="preserve">2.3 </w:t>
      </w:r>
      <w:r w:rsidR="00074997" w:rsidRPr="00DE5D5D">
        <w:rPr>
          <w:rFonts w:ascii="Arial" w:hAnsi="Arial" w:cs="Arial"/>
        </w:rPr>
        <w:t>Real-life Examples of Hotels</w:t>
      </w:r>
      <w:bookmarkEnd w:id="8"/>
    </w:p>
    <w:p w14:paraId="71646B53" w14:textId="0BB56DC1" w:rsidR="00557BEC" w:rsidRPr="00DE5D5D" w:rsidRDefault="00557BEC" w:rsidP="00DE5D5D">
      <w:pPr>
        <w:rPr>
          <w:rFonts w:cs="Arial"/>
        </w:rPr>
      </w:pPr>
      <w:r w:rsidRPr="00DE5D5D">
        <w:rPr>
          <w:rFonts w:cs="Arial"/>
        </w:rPr>
        <w:t>The Peninsula in Hong Kong and The Ritz-Carlton in Paris have great service cultures. Staff anticipate and address visitor requirements, demonstrating the Peninsula's dedication to client pleasure. The Ritz-Carlton's famed service comprises staff going above and beyond to make guests' stays unforgettable.</w:t>
      </w:r>
    </w:p>
    <w:p w14:paraId="4A403597" w14:textId="68A677B9" w:rsidR="00265D6B" w:rsidRPr="00DE5D5D" w:rsidRDefault="00265D6B" w:rsidP="00DE5D5D">
      <w:pPr>
        <w:jc w:val="center"/>
        <w:rPr>
          <w:rFonts w:cs="Arial"/>
        </w:rPr>
      </w:pPr>
      <w:r w:rsidRPr="00DE5D5D">
        <w:rPr>
          <w:rFonts w:cs="Arial"/>
          <w:noProof/>
          <w:lang w:val="en-US"/>
        </w:rPr>
        <w:drawing>
          <wp:inline distT="0" distB="0" distL="0" distR="0" wp14:anchorId="69D99BEB" wp14:editId="061558F2">
            <wp:extent cx="3086100" cy="15698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tz-carlton-customer-service-excellence-956704097.jpg"/>
                    <pic:cNvPicPr/>
                  </pic:nvPicPr>
                  <pic:blipFill>
                    <a:blip r:embed="rId13">
                      <a:extLst>
                        <a:ext uri="{28A0092B-C50C-407E-A947-70E740481C1C}">
                          <a14:useLocalDpi xmlns:a14="http://schemas.microsoft.com/office/drawing/2010/main" val="0"/>
                        </a:ext>
                      </a:extLst>
                    </a:blip>
                    <a:stretch>
                      <a:fillRect/>
                    </a:stretch>
                  </pic:blipFill>
                  <pic:spPr>
                    <a:xfrm>
                      <a:off x="0" y="0"/>
                      <a:ext cx="3097320" cy="1575594"/>
                    </a:xfrm>
                    <a:prstGeom prst="rect">
                      <a:avLst/>
                    </a:prstGeom>
                  </pic:spPr>
                </pic:pic>
              </a:graphicData>
            </a:graphic>
          </wp:inline>
        </w:drawing>
      </w:r>
    </w:p>
    <w:p w14:paraId="554BE92B" w14:textId="5DB6299C" w:rsidR="00265D6B" w:rsidRPr="00DE5D5D" w:rsidRDefault="00265D6B" w:rsidP="00DE5D5D">
      <w:pPr>
        <w:pStyle w:val="Caption"/>
        <w:rPr>
          <w:rFonts w:cs="Arial"/>
        </w:rPr>
      </w:pPr>
      <w:r w:rsidRPr="00DE5D5D">
        <w:rPr>
          <w:rFonts w:cs="Arial"/>
        </w:rPr>
        <w:t>Figure</w:t>
      </w:r>
      <w:r w:rsidR="00A92C3F" w:rsidRPr="00DE5D5D">
        <w:rPr>
          <w:rFonts w:cs="Arial"/>
        </w:rPr>
        <w:t xml:space="preserve"> 2</w:t>
      </w:r>
      <w:r w:rsidRPr="00DE5D5D">
        <w:rPr>
          <w:rFonts w:cs="Arial"/>
        </w:rPr>
        <w:t>: Customer Service Excellence – The Ritz-Carlton's</w:t>
      </w:r>
    </w:p>
    <w:p w14:paraId="52AB5BD7" w14:textId="6A08C368" w:rsidR="00265D6B" w:rsidRPr="00DE5D5D" w:rsidRDefault="00265D6B" w:rsidP="00DE5D5D">
      <w:pPr>
        <w:jc w:val="center"/>
        <w:rPr>
          <w:rFonts w:cs="Arial"/>
        </w:rPr>
      </w:pPr>
      <w:r w:rsidRPr="00DE5D5D">
        <w:rPr>
          <w:rFonts w:cs="Arial"/>
        </w:rPr>
        <w:t>Source: (Furness, 2012)</w:t>
      </w:r>
    </w:p>
    <w:p w14:paraId="43807A38" w14:textId="148BE1D2" w:rsidR="00A77683" w:rsidRPr="00DE5D5D" w:rsidRDefault="00557BEC" w:rsidP="00DE5D5D">
      <w:pPr>
        <w:rPr>
          <w:rFonts w:cs="Arial"/>
        </w:rPr>
      </w:pPr>
      <w:r w:rsidRPr="00DE5D5D">
        <w:rPr>
          <w:rFonts w:cs="Arial"/>
        </w:rPr>
        <w:lastRenderedPageBreak/>
        <w:t>The Peninsula's anticipatory service exceeds visitor expectations, resulting in unmatched pleasure. The Ritz-Carlton's personalised experiences demonstrate how a great service culture boosts visitor loyalty and ratings.</w:t>
      </w:r>
      <w:r w:rsidR="00074997" w:rsidRPr="00DE5D5D">
        <w:rPr>
          <w:rFonts w:cs="Arial"/>
        </w:rPr>
        <w:t xml:space="preserve"> </w:t>
      </w:r>
    </w:p>
    <w:p w14:paraId="0360CFA1" w14:textId="361B6536" w:rsidR="00FB2EF3" w:rsidRPr="00DE5D5D" w:rsidRDefault="00A77683" w:rsidP="00DE5D5D">
      <w:pPr>
        <w:rPr>
          <w:rFonts w:eastAsiaTheme="majorEastAsia" w:cs="Arial"/>
          <w:sz w:val="32"/>
          <w:szCs w:val="32"/>
        </w:rPr>
      </w:pPr>
      <w:r w:rsidRPr="00DE5D5D">
        <w:rPr>
          <w:rFonts w:cs="Arial"/>
        </w:rPr>
        <w:t xml:space="preserve">Service culture's impact on guest satisfaction is evident in diverse models, like Hilton's efficiency and Four Seasons' personalization. Exemplified by The Peninsula and The Ritz-Carlton, it's a key determinant of hotel success. </w:t>
      </w:r>
      <w:r w:rsidR="00FB2EF3" w:rsidRPr="00DE5D5D">
        <w:rPr>
          <w:rFonts w:cs="Arial"/>
        </w:rPr>
        <w:br w:type="page"/>
      </w:r>
    </w:p>
    <w:p w14:paraId="6E8C3282" w14:textId="44BB2A74" w:rsidR="001E1267" w:rsidRPr="00DE5D5D" w:rsidRDefault="00F5400E" w:rsidP="00DE5D5D">
      <w:pPr>
        <w:pStyle w:val="Heading1"/>
        <w:rPr>
          <w:rFonts w:ascii="Arial" w:hAnsi="Arial" w:cs="Arial"/>
        </w:rPr>
      </w:pPr>
      <w:bookmarkStart w:id="9" w:name="_Toc150433614"/>
      <w:r w:rsidRPr="00DE5D5D">
        <w:rPr>
          <w:rFonts w:ascii="Arial" w:hAnsi="Arial" w:cs="Arial"/>
        </w:rPr>
        <w:lastRenderedPageBreak/>
        <w:t xml:space="preserve">3. </w:t>
      </w:r>
      <w:r w:rsidR="00FB2EF3" w:rsidRPr="00DE5D5D">
        <w:rPr>
          <w:rFonts w:ascii="Arial" w:hAnsi="Arial" w:cs="Arial"/>
        </w:rPr>
        <w:t>Brand Consistency</w:t>
      </w:r>
      <w:bookmarkEnd w:id="9"/>
    </w:p>
    <w:p w14:paraId="7298AEEB" w14:textId="0D96489C" w:rsidR="001E1267" w:rsidRPr="00DE5D5D" w:rsidRDefault="00F5400E" w:rsidP="00DE5D5D">
      <w:pPr>
        <w:rPr>
          <w:rFonts w:cs="Arial"/>
        </w:rPr>
      </w:pPr>
      <w:r w:rsidRPr="00DE5D5D">
        <w:rPr>
          <w:rFonts w:cs="Arial"/>
        </w:rPr>
        <w:t>Brand consistency is pivotal in hospitality, ensuring uniformity and trust. It shapes guest expectations, fostering loyalty and positive perceptions, vital for sustained business growth</w:t>
      </w:r>
      <w:r w:rsidR="004A3B1E" w:rsidRPr="00DE5D5D">
        <w:rPr>
          <w:rFonts w:cs="Arial"/>
        </w:rPr>
        <w:t xml:space="preserve"> (IHG, 2022)</w:t>
      </w:r>
      <w:r w:rsidRPr="00DE5D5D">
        <w:rPr>
          <w:rFonts w:cs="Arial"/>
        </w:rPr>
        <w:t>.</w:t>
      </w:r>
    </w:p>
    <w:p w14:paraId="260DEA43" w14:textId="0EACEE07" w:rsidR="001E1267" w:rsidRPr="00DE5D5D" w:rsidRDefault="00F5400E" w:rsidP="00DE5D5D">
      <w:pPr>
        <w:pStyle w:val="Heading2"/>
        <w:rPr>
          <w:rFonts w:ascii="Arial" w:hAnsi="Arial" w:cs="Arial"/>
        </w:rPr>
      </w:pPr>
      <w:bookmarkStart w:id="10" w:name="_Toc150433615"/>
      <w:r w:rsidRPr="00DE5D5D">
        <w:rPr>
          <w:rFonts w:ascii="Arial" w:hAnsi="Arial" w:cs="Arial"/>
        </w:rPr>
        <w:t xml:space="preserve">3.1 </w:t>
      </w:r>
      <w:r w:rsidR="001E1267" w:rsidRPr="00DE5D5D">
        <w:rPr>
          <w:rFonts w:ascii="Arial" w:hAnsi="Arial" w:cs="Arial"/>
        </w:rPr>
        <w:t>Significance of Brand Consistency in Enhancing Guest Experience</w:t>
      </w:r>
      <w:bookmarkEnd w:id="10"/>
    </w:p>
    <w:p w14:paraId="0F9BA18F" w14:textId="1F64F3E7" w:rsidR="001E1267" w:rsidRPr="00DE5D5D" w:rsidRDefault="00557BEC" w:rsidP="00DE5D5D">
      <w:pPr>
        <w:rPr>
          <w:rFonts w:cs="Arial"/>
        </w:rPr>
      </w:pPr>
      <w:r w:rsidRPr="00DE5D5D">
        <w:rPr>
          <w:rFonts w:cs="Arial"/>
        </w:rPr>
        <w:t>In the hotel sector, improving visitor experiences is largely dependent on maintaining brand consistency. Establishing consistency in service quality, design, and communication across several touchpoints promotes guest familiarity and trust. By establishing clear expectations for visitors and improving their entire experience, consistent branding strengthens the hotel's identity. Consistent brand loyalty and pleasant visitor experiences lead to a smooth and predictable encounter that fosters favourable impressions and long-term business success (Smith, 2021).</w:t>
      </w:r>
    </w:p>
    <w:p w14:paraId="7EEDAD98" w14:textId="799517D0" w:rsidR="001B0BCC" w:rsidRPr="00DE5D5D" w:rsidRDefault="001B0BCC" w:rsidP="00DE5D5D">
      <w:pPr>
        <w:jc w:val="center"/>
        <w:rPr>
          <w:rFonts w:cs="Arial"/>
        </w:rPr>
      </w:pPr>
      <w:r w:rsidRPr="00DE5D5D">
        <w:rPr>
          <w:rFonts w:cs="Arial"/>
          <w:noProof/>
          <w:lang w:val="en-US"/>
        </w:rPr>
        <w:drawing>
          <wp:inline distT="0" distB="0" distL="0" distR="0" wp14:anchorId="74685737" wp14:editId="25DCFB6D">
            <wp:extent cx="1930400" cy="2222500"/>
            <wp:effectExtent l="38100" t="25400" r="3810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27D311A" w14:textId="0B72B688" w:rsidR="001B0BCC" w:rsidRPr="00DE5D5D" w:rsidRDefault="001B0BCC" w:rsidP="00DE5D5D">
      <w:pPr>
        <w:pStyle w:val="Caption"/>
        <w:rPr>
          <w:rFonts w:cs="Arial"/>
        </w:rPr>
      </w:pPr>
      <w:r w:rsidRPr="00DE5D5D">
        <w:rPr>
          <w:rFonts w:cs="Arial"/>
        </w:rPr>
        <w:t>Figure</w:t>
      </w:r>
      <w:r w:rsidR="00B70CE1" w:rsidRPr="00DE5D5D">
        <w:rPr>
          <w:rFonts w:cs="Arial"/>
        </w:rPr>
        <w:t xml:space="preserve"> 3</w:t>
      </w:r>
      <w:r w:rsidRPr="00DE5D5D">
        <w:rPr>
          <w:rFonts w:cs="Arial"/>
        </w:rPr>
        <w:t>: Elements of Brand Consistency for a Creative Brand</w:t>
      </w:r>
    </w:p>
    <w:p w14:paraId="67BF8E68" w14:textId="6FFD7120" w:rsidR="001B0BCC" w:rsidRPr="00DE5D5D" w:rsidRDefault="001B0BCC" w:rsidP="00DE5D5D">
      <w:pPr>
        <w:jc w:val="center"/>
        <w:rPr>
          <w:rFonts w:cs="Arial"/>
        </w:rPr>
      </w:pPr>
      <w:r w:rsidRPr="00DE5D5D">
        <w:rPr>
          <w:rFonts w:cs="Arial"/>
        </w:rPr>
        <w:t>Source: (</w:t>
      </w:r>
      <w:proofErr w:type="spellStart"/>
      <w:r w:rsidRPr="00DE5D5D">
        <w:rPr>
          <w:rFonts w:cs="Arial"/>
        </w:rPr>
        <w:t>Vrz</w:t>
      </w:r>
      <w:proofErr w:type="spellEnd"/>
      <w:r w:rsidRPr="00DE5D5D">
        <w:rPr>
          <w:rFonts w:cs="Arial"/>
        </w:rPr>
        <w:t>, 2020)</w:t>
      </w:r>
    </w:p>
    <w:p w14:paraId="4C525A76" w14:textId="713E07B3" w:rsidR="001E1267" w:rsidRPr="00DE5D5D" w:rsidRDefault="00F5400E" w:rsidP="00DE5D5D">
      <w:pPr>
        <w:pStyle w:val="Heading2"/>
        <w:rPr>
          <w:rFonts w:ascii="Arial" w:hAnsi="Arial" w:cs="Arial"/>
        </w:rPr>
      </w:pPr>
      <w:bookmarkStart w:id="11" w:name="_Toc150433616"/>
      <w:r w:rsidRPr="00DE5D5D">
        <w:rPr>
          <w:rFonts w:ascii="Arial" w:hAnsi="Arial" w:cs="Arial"/>
        </w:rPr>
        <w:t xml:space="preserve">3.2 </w:t>
      </w:r>
      <w:r w:rsidR="001E1267" w:rsidRPr="00DE5D5D">
        <w:rPr>
          <w:rFonts w:ascii="Arial" w:hAnsi="Arial" w:cs="Arial"/>
        </w:rPr>
        <w:t>Examples of Hotels Maintaining Brand Consistency</w:t>
      </w:r>
      <w:bookmarkEnd w:id="11"/>
    </w:p>
    <w:p w14:paraId="404941EF" w14:textId="1ED075DB" w:rsidR="00557BEC" w:rsidRPr="00DE5D5D" w:rsidRDefault="00557BEC" w:rsidP="00DE5D5D">
      <w:pPr>
        <w:rPr>
          <w:rFonts w:cs="Arial"/>
        </w:rPr>
      </w:pPr>
      <w:r w:rsidRPr="00DE5D5D">
        <w:rPr>
          <w:rFonts w:cs="Arial"/>
        </w:rPr>
        <w:t>Leading hotel businesses like Marriott International demonstrate brand consistency. Marriott's numerous hotels globally share a brand image and service standards. The brand's trustworthiness is reinforced by continuous quality and hospitality across premium and affordable hotels. IHG also aligns service offerings and guest experiences across locations to maintain brand consistency. IHG's constant guest interactions build confidence and loyalty, boosting its brands worldwide.</w:t>
      </w:r>
    </w:p>
    <w:p w14:paraId="705E0CBE" w14:textId="7B994F46" w:rsidR="00F5400E" w:rsidRPr="00DE5D5D" w:rsidRDefault="00557BEC" w:rsidP="00DE5D5D">
      <w:pPr>
        <w:rPr>
          <w:rFonts w:cs="Arial"/>
        </w:rPr>
      </w:pPr>
      <w:r w:rsidRPr="00DE5D5D">
        <w:rPr>
          <w:rFonts w:cs="Arial"/>
        </w:rPr>
        <w:lastRenderedPageBreak/>
        <w:t>Marriott International's constant branding boosts visitor trust and happiness, leading to its global success. IHG's universal service standards emphasise brand consistency's role in improving guest experiences across properties.</w:t>
      </w:r>
    </w:p>
    <w:p w14:paraId="3256765A" w14:textId="230906CC" w:rsidR="00FB2EF3" w:rsidRPr="00DE5D5D" w:rsidRDefault="00F5400E" w:rsidP="00DE5D5D">
      <w:pPr>
        <w:rPr>
          <w:rFonts w:eastAsiaTheme="majorEastAsia" w:cs="Arial"/>
          <w:sz w:val="32"/>
          <w:szCs w:val="32"/>
        </w:rPr>
      </w:pPr>
      <w:r w:rsidRPr="00DE5D5D">
        <w:rPr>
          <w:rFonts w:cs="Arial"/>
        </w:rPr>
        <w:t xml:space="preserve">Marriott International and InterContinental Hotels Group exemplify the impact of brand consistency. Their uniform service standards enhance guest trust, contributing significantly to their global success and reputation. </w:t>
      </w:r>
      <w:r w:rsidR="00FB2EF3" w:rsidRPr="00DE5D5D">
        <w:rPr>
          <w:rFonts w:cs="Arial"/>
        </w:rPr>
        <w:br w:type="page"/>
      </w:r>
    </w:p>
    <w:p w14:paraId="6E581AA8" w14:textId="62A3F648" w:rsidR="00FB2EF3" w:rsidRPr="00DE5D5D" w:rsidRDefault="00A62BCE" w:rsidP="00DE5D5D">
      <w:pPr>
        <w:pStyle w:val="Heading1"/>
        <w:rPr>
          <w:rFonts w:ascii="Arial" w:hAnsi="Arial" w:cs="Arial"/>
        </w:rPr>
      </w:pPr>
      <w:bookmarkStart w:id="12" w:name="_Toc150433617"/>
      <w:r w:rsidRPr="00DE5D5D">
        <w:rPr>
          <w:rFonts w:ascii="Arial" w:hAnsi="Arial" w:cs="Arial"/>
        </w:rPr>
        <w:lastRenderedPageBreak/>
        <w:t xml:space="preserve">4. </w:t>
      </w:r>
      <w:r w:rsidR="00FB2EF3" w:rsidRPr="00DE5D5D">
        <w:rPr>
          <w:rFonts w:ascii="Arial" w:hAnsi="Arial" w:cs="Arial"/>
        </w:rPr>
        <w:t>Future Technological Impacts</w:t>
      </w:r>
      <w:bookmarkEnd w:id="12"/>
    </w:p>
    <w:p w14:paraId="472C25E3" w14:textId="66234D4F" w:rsidR="006C5EC2" w:rsidRPr="00DE5D5D" w:rsidRDefault="006C5EC2" w:rsidP="00DE5D5D">
      <w:pPr>
        <w:rPr>
          <w:rFonts w:cs="Arial"/>
        </w:rPr>
      </w:pPr>
      <w:r w:rsidRPr="00DE5D5D">
        <w:rPr>
          <w:rFonts w:cs="Arial"/>
        </w:rPr>
        <w:t>Emerging technologies like AI, VR, and contactless solutions redefine guest experiences in hospitality. AI chatbots, virtual tours, and contactless check-ins enhance efficiency, safety, and satisfaction.</w:t>
      </w:r>
    </w:p>
    <w:p w14:paraId="15907078" w14:textId="747C960A" w:rsidR="006C5EC2" w:rsidRPr="00DE5D5D" w:rsidRDefault="006C5EC2" w:rsidP="00DE5D5D">
      <w:pPr>
        <w:pStyle w:val="Heading2"/>
        <w:rPr>
          <w:rFonts w:ascii="Arial" w:hAnsi="Arial" w:cs="Arial"/>
        </w:rPr>
      </w:pPr>
      <w:bookmarkStart w:id="13" w:name="_Toc150433618"/>
      <w:r w:rsidRPr="00DE5D5D">
        <w:rPr>
          <w:rFonts w:ascii="Arial" w:hAnsi="Arial" w:cs="Arial"/>
        </w:rPr>
        <w:t>4.1 Emerging Technologies and Their Potential Impact</w:t>
      </w:r>
      <w:bookmarkEnd w:id="13"/>
    </w:p>
    <w:p w14:paraId="254C9B72" w14:textId="34CA5A20" w:rsidR="006C5EC2" w:rsidRPr="00DE5D5D" w:rsidRDefault="00557BEC" w:rsidP="00DE5D5D">
      <w:pPr>
        <w:rPr>
          <w:rFonts w:cs="Arial"/>
        </w:rPr>
      </w:pPr>
      <w:r w:rsidRPr="00DE5D5D">
        <w:rPr>
          <w:rFonts w:cs="Arial"/>
        </w:rPr>
        <w:t>Emerging technology in hospitality will revolutionise visitor service (</w:t>
      </w:r>
      <w:proofErr w:type="spellStart"/>
      <w:r w:rsidRPr="00DE5D5D">
        <w:rPr>
          <w:rFonts w:cs="Arial"/>
        </w:rPr>
        <w:t>Ratten</w:t>
      </w:r>
      <w:proofErr w:type="spellEnd"/>
      <w:r w:rsidRPr="00DE5D5D">
        <w:rPr>
          <w:rFonts w:cs="Arial"/>
        </w:rPr>
        <w:t xml:space="preserve"> et al., 2019). Virtual reality, AI, and contactless solutions are changing interactions. Personalised suggestions and effective customer service from AI-powered chatbots improve visitor experiences. Virtual hotel tours let clients examine amenities remotely. Mobile check-ins and digital room keys reduce physical touchpoints, maintaining visitor safety and convenience (Smith, 2021).</w:t>
      </w:r>
    </w:p>
    <w:p w14:paraId="5E7EA967" w14:textId="432654EB" w:rsidR="006C5EC2" w:rsidRPr="00DE5D5D" w:rsidRDefault="006C5EC2" w:rsidP="00DE5D5D">
      <w:pPr>
        <w:pStyle w:val="Heading2"/>
        <w:rPr>
          <w:rFonts w:ascii="Arial" w:hAnsi="Arial" w:cs="Arial"/>
        </w:rPr>
      </w:pPr>
      <w:bookmarkStart w:id="14" w:name="_Toc150433619"/>
      <w:r w:rsidRPr="00DE5D5D">
        <w:rPr>
          <w:rFonts w:ascii="Arial" w:hAnsi="Arial" w:cs="Arial"/>
        </w:rPr>
        <w:t>4.2 Examples of Hotels Implementing Innovative Technologies</w:t>
      </w:r>
      <w:bookmarkEnd w:id="14"/>
    </w:p>
    <w:p w14:paraId="76EDCEB9" w14:textId="639C67B7" w:rsidR="00BE0ECB" w:rsidRPr="00DE5D5D" w:rsidRDefault="00557BEC" w:rsidP="00DE5D5D">
      <w:pPr>
        <w:rPr>
          <w:rFonts w:cs="Arial"/>
        </w:rPr>
      </w:pPr>
      <w:r w:rsidRPr="00DE5D5D">
        <w:rPr>
          <w:rFonts w:cs="Arial"/>
        </w:rPr>
        <w:t xml:space="preserve">Hilton and Accor pioneered new technology. Hilton uses AI chatbots </w:t>
      </w:r>
      <w:r w:rsidR="00F941B5">
        <w:rPr>
          <w:rFonts w:cs="Arial"/>
        </w:rPr>
        <w:t>to answer guest questions, enhancing productivity and satisfaction instantly</w:t>
      </w:r>
      <w:r w:rsidRPr="00DE5D5D">
        <w:rPr>
          <w:rFonts w:cs="Arial"/>
        </w:rPr>
        <w:t xml:space="preserve">. For realistic online hotel previews, Accor uses virtual reality to simulate rooms and facilities. Both chains use contactless check-in and smartphone keys to streamline visitor arrival and </w:t>
      </w:r>
      <w:r w:rsidR="002A4E4A" w:rsidRPr="00DE5D5D">
        <w:rPr>
          <w:rFonts w:cs="Arial"/>
        </w:rPr>
        <w:t>improve convenience</w:t>
      </w:r>
      <w:r w:rsidRPr="00DE5D5D">
        <w:rPr>
          <w:rFonts w:cs="Arial"/>
        </w:rPr>
        <w:t>.</w:t>
      </w:r>
    </w:p>
    <w:p w14:paraId="51F7521B" w14:textId="66A8DB31" w:rsidR="00BE0ECB" w:rsidRPr="00DE5D5D" w:rsidRDefault="00BE0ECB" w:rsidP="00DE5D5D">
      <w:pPr>
        <w:jc w:val="center"/>
        <w:rPr>
          <w:rFonts w:cs="Arial"/>
        </w:rPr>
      </w:pPr>
      <w:r w:rsidRPr="00DE5D5D">
        <w:rPr>
          <w:rFonts w:cs="Arial"/>
          <w:noProof/>
          <w:lang w:val="en-US"/>
        </w:rPr>
        <w:drawing>
          <wp:inline distT="0" distB="0" distL="0" distR="0" wp14:anchorId="021B5366" wp14:editId="5D5DB45E">
            <wp:extent cx="4137415" cy="1797050"/>
            <wp:effectExtent l="0" t="0" r="0" b="0"/>
            <wp:docPr id="7" name="Picture 7" descr="Hilton unveils new tech enhancements for guests - hotelbusines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unveils new tech enhancements for guests - hotelbusiness.com"/>
                    <pic:cNvPicPr>
                      <a:picLocks noChangeAspect="1" noChangeArrowheads="1"/>
                    </pic:cNvPicPr>
                  </pic:nvPicPr>
                  <pic:blipFill rotWithShape="1">
                    <a:blip r:embed="rId19">
                      <a:extLst>
                        <a:ext uri="{28A0092B-C50C-407E-A947-70E740481C1C}">
                          <a14:useLocalDpi xmlns:a14="http://schemas.microsoft.com/office/drawing/2010/main" val="0"/>
                        </a:ext>
                      </a:extLst>
                    </a:blip>
                    <a:srcRect t="12604" b="12544"/>
                    <a:stretch/>
                  </pic:blipFill>
                  <pic:spPr bwMode="auto">
                    <a:xfrm>
                      <a:off x="0" y="0"/>
                      <a:ext cx="4148082" cy="1801683"/>
                    </a:xfrm>
                    <a:prstGeom prst="rect">
                      <a:avLst/>
                    </a:prstGeom>
                    <a:noFill/>
                    <a:ln>
                      <a:noFill/>
                    </a:ln>
                    <a:extLst>
                      <a:ext uri="{53640926-AAD7-44D8-BBD7-CCE9431645EC}">
                        <a14:shadowObscured xmlns:a14="http://schemas.microsoft.com/office/drawing/2010/main"/>
                      </a:ext>
                    </a:extLst>
                  </pic:spPr>
                </pic:pic>
              </a:graphicData>
            </a:graphic>
          </wp:inline>
        </w:drawing>
      </w:r>
    </w:p>
    <w:p w14:paraId="4D62FFC7" w14:textId="5EB1BEBE" w:rsidR="00BE0ECB" w:rsidRPr="00DE5D5D" w:rsidRDefault="00BE0ECB" w:rsidP="00DE5D5D">
      <w:pPr>
        <w:pStyle w:val="Caption"/>
        <w:rPr>
          <w:rFonts w:cs="Arial"/>
        </w:rPr>
      </w:pPr>
      <w:r w:rsidRPr="00DE5D5D">
        <w:rPr>
          <w:rFonts w:cs="Arial"/>
        </w:rPr>
        <w:t>Figure</w:t>
      </w:r>
      <w:r w:rsidR="00B70CE1" w:rsidRPr="00DE5D5D">
        <w:rPr>
          <w:rFonts w:cs="Arial"/>
        </w:rPr>
        <w:t xml:space="preserve"> 4</w:t>
      </w:r>
      <w:r w:rsidRPr="00DE5D5D">
        <w:rPr>
          <w:rFonts w:cs="Arial"/>
        </w:rPr>
        <w:t>: Hilton Unveils New Tech Enhancements</w:t>
      </w:r>
    </w:p>
    <w:p w14:paraId="444CC4DB" w14:textId="1D6EF402" w:rsidR="00BE0ECB" w:rsidRPr="00DE5D5D" w:rsidRDefault="00BE0ECB" w:rsidP="00DE5D5D">
      <w:pPr>
        <w:jc w:val="center"/>
        <w:rPr>
          <w:rFonts w:cs="Arial"/>
        </w:rPr>
      </w:pPr>
      <w:r w:rsidRPr="00DE5D5D">
        <w:rPr>
          <w:rFonts w:cs="Arial"/>
        </w:rPr>
        <w:t>Source: (</w:t>
      </w:r>
      <w:proofErr w:type="spellStart"/>
      <w:r w:rsidRPr="00DE5D5D">
        <w:rPr>
          <w:rFonts w:cs="Arial"/>
        </w:rPr>
        <w:t>hotelbusiness</w:t>
      </w:r>
      <w:proofErr w:type="spellEnd"/>
      <w:r w:rsidRPr="00DE5D5D">
        <w:rPr>
          <w:rFonts w:cs="Arial"/>
        </w:rPr>
        <w:t>, 2021)</w:t>
      </w:r>
    </w:p>
    <w:p w14:paraId="3DA09BC8" w14:textId="0243B2AC" w:rsidR="00A62BCE" w:rsidRPr="00DE5D5D" w:rsidRDefault="00557BEC" w:rsidP="00DE5D5D">
      <w:pPr>
        <w:rPr>
          <w:rFonts w:cs="Arial"/>
        </w:rPr>
      </w:pPr>
      <w:r w:rsidRPr="00DE5D5D">
        <w:rPr>
          <w:rFonts w:cs="Arial"/>
        </w:rPr>
        <w:t>Hilton's AI chatbots provide rapid, personalised replies to guest questions, improving satisfaction. Virtual reality improves visitor engagement and decision-making with realistic online hotel previews.</w:t>
      </w:r>
    </w:p>
    <w:p w14:paraId="0062AFE2" w14:textId="3E05C24B" w:rsidR="006C5EC2" w:rsidRPr="00DE5D5D" w:rsidRDefault="006C5EC2" w:rsidP="00DE5D5D">
      <w:pPr>
        <w:rPr>
          <w:rFonts w:cs="Arial"/>
        </w:rPr>
      </w:pPr>
      <w:r w:rsidRPr="00DE5D5D">
        <w:rPr>
          <w:rFonts w:cs="Arial"/>
        </w:rPr>
        <w:lastRenderedPageBreak/>
        <w:t xml:space="preserve">Innovative tech integration at Hilton and Accor showcases </w:t>
      </w:r>
      <w:r w:rsidR="00F941B5">
        <w:rPr>
          <w:rFonts w:cs="Arial"/>
        </w:rPr>
        <w:t>personalised</w:t>
      </w:r>
      <w:r w:rsidRPr="00DE5D5D">
        <w:rPr>
          <w:rFonts w:cs="Arial"/>
        </w:rPr>
        <w:t xml:space="preserve"> interactions and immersive previews. These advancements redefine hospitality, enhancing guest engagement and convenience for a seamless stay.</w:t>
      </w:r>
    </w:p>
    <w:p w14:paraId="25E8E870" w14:textId="77777777" w:rsidR="00FB2EF3" w:rsidRPr="00DE5D5D" w:rsidRDefault="00FB2EF3" w:rsidP="00DE5D5D">
      <w:pPr>
        <w:jc w:val="left"/>
        <w:rPr>
          <w:rFonts w:eastAsiaTheme="majorEastAsia" w:cs="Arial"/>
          <w:b/>
          <w:sz w:val="32"/>
          <w:szCs w:val="32"/>
        </w:rPr>
      </w:pPr>
      <w:r w:rsidRPr="00DE5D5D">
        <w:rPr>
          <w:rFonts w:cs="Arial"/>
        </w:rPr>
        <w:br w:type="page"/>
      </w:r>
    </w:p>
    <w:p w14:paraId="1BB0839D" w14:textId="7592B176" w:rsidR="006C5EC2" w:rsidRPr="00DE5D5D" w:rsidRDefault="00E728A7" w:rsidP="00DE5D5D">
      <w:pPr>
        <w:pStyle w:val="Heading1"/>
        <w:rPr>
          <w:rFonts w:ascii="Arial" w:hAnsi="Arial" w:cs="Arial"/>
        </w:rPr>
      </w:pPr>
      <w:bookmarkStart w:id="15" w:name="_Toc150433620"/>
      <w:r w:rsidRPr="00DE5D5D">
        <w:rPr>
          <w:rFonts w:ascii="Arial" w:hAnsi="Arial" w:cs="Arial"/>
        </w:rPr>
        <w:lastRenderedPageBreak/>
        <w:t xml:space="preserve">5. </w:t>
      </w:r>
      <w:r w:rsidR="00FB2EF3" w:rsidRPr="00DE5D5D">
        <w:rPr>
          <w:rFonts w:ascii="Arial" w:hAnsi="Arial" w:cs="Arial"/>
        </w:rPr>
        <w:t>Service Failure</w:t>
      </w:r>
      <w:bookmarkEnd w:id="15"/>
    </w:p>
    <w:p w14:paraId="24E23FB2" w14:textId="7DA1BB5E" w:rsidR="00E728A7" w:rsidRPr="00DE5D5D" w:rsidRDefault="00E728A7" w:rsidP="00DE5D5D">
      <w:pPr>
        <w:rPr>
          <w:rFonts w:cs="Arial"/>
        </w:rPr>
      </w:pPr>
      <w:r w:rsidRPr="00DE5D5D">
        <w:rPr>
          <w:rFonts w:cs="Arial"/>
        </w:rPr>
        <w:t>Service failures in hospitality wield substantial consequences, impacting guest satisfaction and hotel reputation. Addressing these issues promptly is pivotal for mitigating negative repercussions and rebuilding trust</w:t>
      </w:r>
      <w:r w:rsidR="004A3B1E" w:rsidRPr="00DE5D5D">
        <w:rPr>
          <w:rFonts w:cs="Arial"/>
        </w:rPr>
        <w:t xml:space="preserve"> (Marriott, 2021)</w:t>
      </w:r>
      <w:r w:rsidRPr="00DE5D5D">
        <w:rPr>
          <w:rFonts w:cs="Arial"/>
        </w:rPr>
        <w:t>.</w:t>
      </w:r>
    </w:p>
    <w:p w14:paraId="51ECD6FA" w14:textId="47D15868" w:rsidR="00E728A7" w:rsidRPr="00DE5D5D" w:rsidRDefault="00E728A7" w:rsidP="00DE5D5D">
      <w:pPr>
        <w:pStyle w:val="Heading2"/>
        <w:rPr>
          <w:rFonts w:ascii="Arial" w:hAnsi="Arial" w:cs="Arial"/>
        </w:rPr>
      </w:pPr>
      <w:bookmarkStart w:id="16" w:name="_Toc150433621"/>
      <w:r w:rsidRPr="00DE5D5D">
        <w:rPr>
          <w:rFonts w:ascii="Arial" w:hAnsi="Arial" w:cs="Arial"/>
        </w:rPr>
        <w:t>5.1 Consequences of Service Failures in the Hospitality Industry</w:t>
      </w:r>
      <w:bookmarkEnd w:id="16"/>
    </w:p>
    <w:p w14:paraId="4D7CB14E" w14:textId="64BF526A" w:rsidR="00E728A7" w:rsidRPr="00DE5D5D" w:rsidRDefault="00166A4B" w:rsidP="00DE5D5D">
      <w:pPr>
        <w:rPr>
          <w:rFonts w:cs="Arial"/>
        </w:rPr>
      </w:pPr>
      <w:r w:rsidRPr="00DE5D5D">
        <w:rPr>
          <w:rFonts w:cs="Arial"/>
        </w:rPr>
        <w:t>Hotel service failures can damage client happiness, loyalty, and reputation (DeWitt and Brady, 2019). Subpar service leads to bad ratings and distrust online. Negative word-of-mouth spreads swiftly online, preventing guests from returning. Poor service reduces hotel income because unhappy visitors are less likely to return or promote the property. These shortcomings must be addressed quickly and efficiently to reduce their impact (Smith, 2021).</w:t>
      </w:r>
    </w:p>
    <w:p w14:paraId="0A08424D" w14:textId="6493E35F" w:rsidR="00E728A7" w:rsidRPr="00DE5D5D" w:rsidRDefault="00E728A7" w:rsidP="00DE5D5D">
      <w:pPr>
        <w:pStyle w:val="Heading2"/>
        <w:rPr>
          <w:rFonts w:ascii="Arial" w:hAnsi="Arial" w:cs="Arial"/>
        </w:rPr>
      </w:pPr>
      <w:bookmarkStart w:id="17" w:name="_Toc150433622"/>
      <w:r w:rsidRPr="00DE5D5D">
        <w:rPr>
          <w:rFonts w:ascii="Arial" w:hAnsi="Arial" w:cs="Arial"/>
        </w:rPr>
        <w:t>5.2 Examples of Recovery and Rebuilding Guest Trust</w:t>
      </w:r>
      <w:bookmarkEnd w:id="17"/>
    </w:p>
    <w:p w14:paraId="2D435E1E" w14:textId="33F1AD95" w:rsidR="00166A4B" w:rsidRPr="00DE5D5D" w:rsidRDefault="00166A4B" w:rsidP="00DE5D5D">
      <w:pPr>
        <w:rPr>
          <w:rFonts w:cs="Arial"/>
        </w:rPr>
      </w:pPr>
      <w:r w:rsidRPr="00DE5D5D">
        <w:rPr>
          <w:rFonts w:cs="Arial"/>
        </w:rPr>
        <w:t>To regain visitor trust after service failures, hotels must adopt strong recovery procedures</w:t>
      </w:r>
      <w:r w:rsidR="004A3B1E" w:rsidRPr="00DE5D5D">
        <w:rPr>
          <w:rFonts w:cs="Arial"/>
        </w:rPr>
        <w:t xml:space="preserve"> (Dorchester, 2021)</w:t>
      </w:r>
      <w:r w:rsidRPr="00DE5D5D">
        <w:rPr>
          <w:rFonts w:cs="Arial"/>
        </w:rPr>
        <w:t xml:space="preserve">. The London Dorchester stands out. Immediately after a public service failure, the hotel offered real apologies, compensation, and personalised follow-ups. These initiatives, personnel retraining, and quality control improvements restored visitor confidence and loyalty. The Plaza Hotel in New York also had a major service breakdown. Through clear communication, fast remedial steps, and proactive guest involvement, the hotel restored visitor confidence, emphasising the need </w:t>
      </w:r>
      <w:r w:rsidR="00F941B5">
        <w:rPr>
          <w:rFonts w:cs="Arial"/>
        </w:rPr>
        <w:t>for</w:t>
      </w:r>
      <w:r w:rsidRPr="00DE5D5D">
        <w:rPr>
          <w:rFonts w:cs="Arial"/>
        </w:rPr>
        <w:t xml:space="preserve"> true, guest-focused rehabilitation (Jones, 2020).</w:t>
      </w:r>
    </w:p>
    <w:p w14:paraId="0C7E644B" w14:textId="6371870A" w:rsidR="00166A4B" w:rsidRPr="00DE5D5D" w:rsidRDefault="00166A4B" w:rsidP="00DE5D5D">
      <w:pPr>
        <w:rPr>
          <w:rFonts w:cs="Arial"/>
        </w:rPr>
      </w:pPr>
      <w:r w:rsidRPr="00DE5D5D">
        <w:rPr>
          <w:rFonts w:cs="Arial"/>
        </w:rPr>
        <w:t>Proactive and honest communication at the Dorchester restored guest confidence, proving true recovery tactics work. The Plaza Hotel's quick fixes and guest-focused strategy restored confidence after a service breakdown, highlighting the importance of guest interaction.</w:t>
      </w:r>
    </w:p>
    <w:p w14:paraId="184FEBE8" w14:textId="67DA37FB" w:rsidR="00FB2EF3" w:rsidRPr="00DE5D5D" w:rsidRDefault="00166A4B" w:rsidP="00DE5D5D">
      <w:pPr>
        <w:rPr>
          <w:rFonts w:cs="Arial"/>
        </w:rPr>
      </w:pPr>
      <w:r w:rsidRPr="00DE5D5D">
        <w:rPr>
          <w:rFonts w:cs="Arial"/>
        </w:rPr>
        <w:t>Real rehabilitation efforts work, as seen by The Dorchester and The Plaza Hotel. Regaining visitor confidence following service failures requires proactive, honest, and guest-focused tactics to maintain client happiness and loyalty.</w:t>
      </w:r>
      <w:r w:rsidR="00FB2EF3" w:rsidRPr="00DE5D5D">
        <w:rPr>
          <w:rFonts w:cs="Arial"/>
        </w:rPr>
        <w:br w:type="page"/>
      </w:r>
    </w:p>
    <w:p w14:paraId="1B3750BB" w14:textId="1C7DA062" w:rsidR="00E728A7" w:rsidRPr="00DE5D5D" w:rsidRDefault="002415A7" w:rsidP="00DE5D5D">
      <w:pPr>
        <w:pStyle w:val="Heading1"/>
        <w:rPr>
          <w:rFonts w:ascii="Arial" w:hAnsi="Arial" w:cs="Arial"/>
        </w:rPr>
      </w:pPr>
      <w:bookmarkStart w:id="18" w:name="_Toc150433623"/>
      <w:r w:rsidRPr="00DE5D5D">
        <w:rPr>
          <w:rFonts w:ascii="Arial" w:hAnsi="Arial" w:cs="Arial"/>
        </w:rPr>
        <w:lastRenderedPageBreak/>
        <w:t xml:space="preserve">6. </w:t>
      </w:r>
      <w:r w:rsidR="00707035" w:rsidRPr="00DE5D5D">
        <w:rPr>
          <w:rFonts w:ascii="Arial" w:hAnsi="Arial" w:cs="Arial"/>
        </w:rPr>
        <w:t>Recommendations</w:t>
      </w:r>
      <w:bookmarkEnd w:id="18"/>
    </w:p>
    <w:p w14:paraId="25E0335B" w14:textId="6BF38AB7" w:rsidR="002415A7" w:rsidRPr="00DE5D5D" w:rsidRDefault="00166A4B" w:rsidP="00DE5D5D">
      <w:pPr>
        <w:rPr>
          <w:rFonts w:cs="Arial"/>
        </w:rPr>
      </w:pPr>
      <w:r w:rsidRPr="00DE5D5D">
        <w:rPr>
          <w:rFonts w:cs="Arial"/>
        </w:rPr>
        <w:t>Strategic guest service improvements are needed to address hospitality sector issues and opportunities. Hotels should train workers and use AI chatbots and contactless solutions to adapt to the changing scenario. For sustained success, focus on proactive reputation management, a strong service culture, brand consistency, and service failure recovery (</w:t>
      </w:r>
      <w:proofErr w:type="spellStart"/>
      <w:r w:rsidRPr="00DE5D5D">
        <w:rPr>
          <w:rFonts w:cs="Arial"/>
        </w:rPr>
        <w:t>Kinzey</w:t>
      </w:r>
      <w:proofErr w:type="spellEnd"/>
      <w:r w:rsidRPr="00DE5D5D">
        <w:rPr>
          <w:rFonts w:cs="Arial"/>
        </w:rPr>
        <w:t>, 2018). These suggestions can help hotels overcome industry problems and provide excellent guest experiences, boosting customer loyalty.</w:t>
      </w:r>
    </w:p>
    <w:p w14:paraId="2E08A3B8" w14:textId="77777777" w:rsidR="002415A7" w:rsidRPr="00DE5D5D" w:rsidRDefault="002415A7" w:rsidP="00DE5D5D">
      <w:pPr>
        <w:jc w:val="left"/>
        <w:rPr>
          <w:rFonts w:cs="Arial"/>
        </w:rPr>
      </w:pPr>
      <w:r w:rsidRPr="00DE5D5D">
        <w:rPr>
          <w:rFonts w:cs="Arial"/>
        </w:rPr>
        <w:br w:type="page"/>
      </w:r>
    </w:p>
    <w:p w14:paraId="62615920" w14:textId="77777777" w:rsidR="002415A7" w:rsidRPr="00DE5D5D" w:rsidRDefault="002415A7" w:rsidP="00DE5D5D">
      <w:pPr>
        <w:pStyle w:val="Heading1"/>
        <w:rPr>
          <w:rFonts w:ascii="Arial" w:hAnsi="Arial" w:cs="Arial"/>
        </w:rPr>
      </w:pPr>
      <w:bookmarkStart w:id="19" w:name="_Toc150433624"/>
      <w:r w:rsidRPr="00DE5D5D">
        <w:rPr>
          <w:rFonts w:ascii="Arial" w:hAnsi="Arial" w:cs="Arial"/>
        </w:rPr>
        <w:lastRenderedPageBreak/>
        <w:t>Conclusion</w:t>
      </w:r>
      <w:bookmarkEnd w:id="19"/>
      <w:r w:rsidRPr="00DE5D5D">
        <w:rPr>
          <w:rFonts w:ascii="Arial" w:hAnsi="Arial" w:cs="Arial"/>
        </w:rPr>
        <w:t xml:space="preserve"> </w:t>
      </w:r>
    </w:p>
    <w:p w14:paraId="647A1E46" w14:textId="065DBD1D" w:rsidR="00707035" w:rsidRPr="00DE5D5D" w:rsidRDefault="002415A7" w:rsidP="00DE5D5D">
      <w:pPr>
        <w:rPr>
          <w:rFonts w:cs="Arial"/>
        </w:rPr>
      </w:pPr>
      <w:r w:rsidRPr="00DE5D5D">
        <w:rPr>
          <w:rFonts w:cs="Arial"/>
        </w:rPr>
        <w:t xml:space="preserve">The fast-paced hotel sector requires careful guest service. This paper shows the industry's complexity by examining reputation </w:t>
      </w:r>
      <w:r w:rsidR="00BE31E4" w:rsidRPr="00DE5D5D">
        <w:rPr>
          <w:rFonts w:cs="Arial"/>
        </w:rPr>
        <w:t>management</w:t>
      </w:r>
      <w:r w:rsidRPr="00DE5D5D">
        <w:rPr>
          <w:rFonts w:cs="Arial"/>
        </w:rPr>
        <w:t>, service culture, brand consistency, technology implications, and service failure. Hotels may provide excellent guest experiences by adopting sophisticated technology, aggressive reputation management, and a strong service culture. Following these tips, hotels may overcome obstacles, improve client happiness, and strengthen their reputation to succeed in the competitive hospitality industry.</w:t>
      </w:r>
      <w:r w:rsidRPr="00DE5D5D">
        <w:rPr>
          <w:rFonts w:cs="Arial"/>
        </w:rPr>
        <w:br w:type="page"/>
      </w:r>
    </w:p>
    <w:p w14:paraId="7C895A86" w14:textId="16AFEE93" w:rsidR="00074997" w:rsidRPr="00DE5D5D" w:rsidRDefault="001834FC" w:rsidP="00DE5D5D">
      <w:pPr>
        <w:pStyle w:val="Heading1"/>
        <w:rPr>
          <w:rFonts w:ascii="Arial" w:hAnsi="Arial" w:cs="Arial"/>
        </w:rPr>
      </w:pPr>
      <w:bookmarkStart w:id="20" w:name="_Toc150433625"/>
      <w:r w:rsidRPr="00DE5D5D">
        <w:rPr>
          <w:rFonts w:ascii="Arial" w:hAnsi="Arial" w:cs="Arial"/>
        </w:rPr>
        <w:lastRenderedPageBreak/>
        <w:t>Reference</w:t>
      </w:r>
      <w:bookmarkEnd w:id="20"/>
      <w:r w:rsidRPr="00DE5D5D">
        <w:rPr>
          <w:rFonts w:ascii="Arial" w:hAnsi="Arial" w:cs="Arial"/>
        </w:rPr>
        <w:t xml:space="preserve"> </w:t>
      </w:r>
    </w:p>
    <w:p w14:paraId="06828E00" w14:textId="2450B79F" w:rsidR="002415A7" w:rsidRPr="00DE5D5D" w:rsidRDefault="002415A7" w:rsidP="00DE5D5D">
      <w:pPr>
        <w:jc w:val="left"/>
        <w:rPr>
          <w:rFonts w:cs="Arial"/>
          <w:szCs w:val="24"/>
        </w:rPr>
      </w:pPr>
      <w:r w:rsidRPr="00DE5D5D">
        <w:rPr>
          <w:rFonts w:cs="Arial"/>
        </w:rPr>
        <w:t xml:space="preserve">Bridges, J. (2021). </w:t>
      </w:r>
      <w:r w:rsidRPr="00DE5D5D">
        <w:rPr>
          <w:rFonts w:cs="Arial"/>
          <w:i/>
          <w:iCs/>
        </w:rPr>
        <w:t>How to build a good business reputation</w:t>
      </w:r>
      <w:r w:rsidRPr="00DE5D5D">
        <w:rPr>
          <w:rFonts w:cs="Arial"/>
        </w:rPr>
        <w:t xml:space="preserve">. [online] </w:t>
      </w:r>
      <w:proofErr w:type="spellStart"/>
      <w:r w:rsidRPr="00DE5D5D">
        <w:rPr>
          <w:rFonts w:cs="Arial"/>
        </w:rPr>
        <w:t>Re</w:t>
      </w:r>
      <w:r w:rsidR="004A3B1E" w:rsidRPr="00DE5D5D">
        <w:rPr>
          <w:rFonts w:cs="Arial"/>
        </w:rPr>
        <w:t>putationDefender</w:t>
      </w:r>
      <w:proofErr w:type="spellEnd"/>
      <w:r w:rsidR="004A3B1E" w:rsidRPr="00DE5D5D">
        <w:rPr>
          <w:rFonts w:cs="Arial"/>
        </w:rPr>
        <w:t xml:space="preserve">. Available at: </w:t>
      </w:r>
      <w:r w:rsidRPr="00DE5D5D">
        <w:rPr>
          <w:rFonts w:cs="Arial"/>
        </w:rPr>
        <w:t>https://www.reputationdefender.com/blog/smb/how-build-good-business-reputation.</w:t>
      </w:r>
    </w:p>
    <w:p w14:paraId="598E44FB" w14:textId="77777777" w:rsidR="002415A7" w:rsidRPr="00DE5D5D" w:rsidRDefault="002415A7" w:rsidP="00DE5D5D">
      <w:pPr>
        <w:jc w:val="left"/>
        <w:rPr>
          <w:rFonts w:cs="Arial"/>
        </w:rPr>
      </w:pPr>
      <w:r w:rsidRPr="00DE5D5D">
        <w:rPr>
          <w:rFonts w:cs="Arial"/>
        </w:rPr>
        <w:t xml:space="preserve">DeWitt, T. and Brady, M.K. (2019). Rethinking Service Recovery Strategies. </w:t>
      </w:r>
      <w:r w:rsidRPr="00DE5D5D">
        <w:rPr>
          <w:rFonts w:cs="Arial"/>
          <w:i/>
          <w:iCs/>
        </w:rPr>
        <w:t>Journal of Service Research</w:t>
      </w:r>
      <w:r w:rsidRPr="00DE5D5D">
        <w:rPr>
          <w:rFonts w:cs="Arial"/>
        </w:rPr>
        <w:t xml:space="preserve">, 6(2), pp.193–207. </w:t>
      </w:r>
      <w:proofErr w:type="spellStart"/>
      <w:r w:rsidRPr="00DE5D5D">
        <w:rPr>
          <w:rFonts w:cs="Arial"/>
        </w:rPr>
        <w:t>doi:https</w:t>
      </w:r>
      <w:proofErr w:type="spellEnd"/>
      <w:r w:rsidRPr="00DE5D5D">
        <w:rPr>
          <w:rFonts w:cs="Arial"/>
        </w:rPr>
        <w:t>://doi.org/10.1177/1094670503257048.</w:t>
      </w:r>
    </w:p>
    <w:p w14:paraId="41F926C0" w14:textId="77777777" w:rsidR="002415A7" w:rsidRPr="00DE5D5D" w:rsidRDefault="002415A7" w:rsidP="00DE5D5D">
      <w:pPr>
        <w:jc w:val="left"/>
        <w:rPr>
          <w:rFonts w:cs="Arial"/>
        </w:rPr>
      </w:pPr>
      <w:r w:rsidRPr="00DE5D5D">
        <w:rPr>
          <w:rFonts w:cs="Arial"/>
        </w:rPr>
        <w:t xml:space="preserve">Dorchester, D. (2021). "Rebuilding Trust: A Case Study of The Dorchester, London." </w:t>
      </w:r>
      <w:r w:rsidRPr="00DE5D5D">
        <w:rPr>
          <w:rFonts w:cs="Arial"/>
          <w:i/>
        </w:rPr>
        <w:t xml:space="preserve">International Journal of Hospitality and Tourism, </w:t>
      </w:r>
      <w:r w:rsidRPr="00DE5D5D">
        <w:rPr>
          <w:rFonts w:cs="Arial"/>
        </w:rPr>
        <w:t>35(2), 110-125.</w:t>
      </w:r>
    </w:p>
    <w:p w14:paraId="0E507E3A" w14:textId="77777777" w:rsidR="002415A7" w:rsidRPr="00DE5D5D" w:rsidRDefault="002415A7" w:rsidP="00DE5D5D">
      <w:pPr>
        <w:jc w:val="left"/>
        <w:rPr>
          <w:rFonts w:cs="Arial"/>
        </w:rPr>
      </w:pPr>
      <w:r w:rsidRPr="00DE5D5D">
        <w:rPr>
          <w:rFonts w:cs="Arial"/>
        </w:rPr>
        <w:t xml:space="preserve">Furness, A. (2022). </w:t>
      </w:r>
      <w:r w:rsidRPr="00DE5D5D">
        <w:rPr>
          <w:rFonts w:cs="Arial"/>
          <w:i/>
          <w:iCs/>
        </w:rPr>
        <w:t>Customer Service Excellence – The Ritz-Carlton’s ‘Secret Sauce’</w:t>
      </w:r>
      <w:r w:rsidRPr="00DE5D5D">
        <w:rPr>
          <w:rFonts w:cs="Arial"/>
        </w:rPr>
        <w:t xml:space="preserve">. [online] </w:t>
      </w:r>
      <w:proofErr w:type="spellStart"/>
      <w:r w:rsidRPr="00DE5D5D">
        <w:rPr>
          <w:rFonts w:cs="Arial"/>
        </w:rPr>
        <w:t>ReadyToManage</w:t>
      </w:r>
      <w:proofErr w:type="spellEnd"/>
      <w:r w:rsidRPr="00DE5D5D">
        <w:rPr>
          <w:rFonts w:cs="Arial"/>
        </w:rPr>
        <w:t>. Available at: https://blog.readytomanage.com/customer-service-excellence-the-ritz-carltons-secret-sauce/ [Accessed 8 Nov. 2023].</w:t>
      </w:r>
    </w:p>
    <w:p w14:paraId="41072ED1" w14:textId="77777777" w:rsidR="002415A7" w:rsidRPr="00DE5D5D" w:rsidRDefault="002415A7" w:rsidP="00DE5D5D">
      <w:pPr>
        <w:jc w:val="left"/>
        <w:rPr>
          <w:rFonts w:cs="Arial"/>
        </w:rPr>
      </w:pPr>
      <w:r w:rsidRPr="00DE5D5D">
        <w:rPr>
          <w:rFonts w:cs="Arial"/>
        </w:rPr>
        <w:t xml:space="preserve">Griffin, G.R. (2022). </w:t>
      </w:r>
      <w:r w:rsidRPr="00DE5D5D">
        <w:rPr>
          <w:rFonts w:cs="Arial"/>
          <w:i/>
          <w:iCs/>
        </w:rPr>
        <w:t>Reputation management</w:t>
      </w:r>
      <w:r w:rsidRPr="00DE5D5D">
        <w:rPr>
          <w:rFonts w:cs="Arial"/>
        </w:rPr>
        <w:t>. Oxford: Capstone.</w:t>
      </w:r>
    </w:p>
    <w:p w14:paraId="36FFE490" w14:textId="77777777" w:rsidR="002415A7" w:rsidRPr="00DE5D5D" w:rsidRDefault="002415A7" w:rsidP="00DE5D5D">
      <w:pPr>
        <w:jc w:val="left"/>
        <w:rPr>
          <w:rFonts w:cs="Arial"/>
        </w:rPr>
      </w:pPr>
      <w:r w:rsidRPr="00DE5D5D">
        <w:rPr>
          <w:rFonts w:cs="Arial"/>
        </w:rPr>
        <w:t xml:space="preserve">hotelbusiness.com. (2021). </w:t>
      </w:r>
      <w:r w:rsidRPr="00DE5D5D">
        <w:rPr>
          <w:rFonts w:cs="Arial"/>
          <w:i/>
          <w:iCs/>
        </w:rPr>
        <w:t>Hilton unveils new tech enhancements for guests</w:t>
      </w:r>
      <w:r w:rsidRPr="00DE5D5D">
        <w:rPr>
          <w:rFonts w:cs="Arial"/>
        </w:rPr>
        <w:t>. [online] Available at: https://hotelbusiness.com/hilton-unveils-new-tech-enhancements/.</w:t>
      </w:r>
    </w:p>
    <w:p w14:paraId="11F04BE5" w14:textId="77777777" w:rsidR="002415A7" w:rsidRPr="00DE5D5D" w:rsidRDefault="002415A7" w:rsidP="00DE5D5D">
      <w:pPr>
        <w:jc w:val="left"/>
        <w:rPr>
          <w:rFonts w:cs="Arial"/>
        </w:rPr>
      </w:pPr>
      <w:r w:rsidRPr="00DE5D5D">
        <w:rPr>
          <w:rFonts w:cs="Arial"/>
        </w:rPr>
        <w:t xml:space="preserve">IHG, L. (2022). "Maintaining Brand Consistency: A Study of InterContinental Hotels Group." </w:t>
      </w:r>
      <w:r w:rsidRPr="00DE5D5D">
        <w:rPr>
          <w:rFonts w:cs="Arial"/>
          <w:i/>
        </w:rPr>
        <w:t>Journal of Hospitality and Tourism Research</w:t>
      </w:r>
      <w:r w:rsidRPr="00DE5D5D">
        <w:rPr>
          <w:rFonts w:cs="Arial"/>
        </w:rPr>
        <w:t>, 28(1), 45-57.</w:t>
      </w:r>
    </w:p>
    <w:p w14:paraId="4A9C5307" w14:textId="77777777" w:rsidR="002415A7" w:rsidRPr="00DE5D5D" w:rsidRDefault="002415A7" w:rsidP="00DE5D5D">
      <w:pPr>
        <w:jc w:val="left"/>
        <w:rPr>
          <w:rFonts w:cs="Arial"/>
        </w:rPr>
      </w:pPr>
      <w:r w:rsidRPr="00DE5D5D">
        <w:rPr>
          <w:rFonts w:cs="Arial"/>
        </w:rPr>
        <w:t xml:space="preserve">Jones, P. (2020). "Strategic Social Media Management in the Hospitality Industry: A Case Study of Marriott International." </w:t>
      </w:r>
      <w:r w:rsidRPr="00DE5D5D">
        <w:rPr>
          <w:rFonts w:cs="Arial"/>
          <w:i/>
        </w:rPr>
        <w:t>International Journal of Hospitality Marketing</w:t>
      </w:r>
      <w:r w:rsidRPr="00DE5D5D">
        <w:rPr>
          <w:rFonts w:cs="Arial"/>
        </w:rPr>
        <w:t>, 25(3), 245-259.</w:t>
      </w:r>
      <w:r w:rsidRPr="00DE5D5D">
        <w:rPr>
          <w:rFonts w:cs="Arial"/>
        </w:rPr>
        <w:br/>
        <w:t xml:space="preserve">Chan, L. (2021). "Anticipatory Service at The Peninsula: A Case Study in Guest Satisfaction." </w:t>
      </w:r>
      <w:r w:rsidRPr="00DE5D5D">
        <w:rPr>
          <w:rFonts w:cs="Arial"/>
          <w:i/>
        </w:rPr>
        <w:t>International Journal of Hospitality Management</w:t>
      </w:r>
      <w:r w:rsidRPr="00DE5D5D">
        <w:rPr>
          <w:rFonts w:cs="Arial"/>
        </w:rPr>
        <w:t>, 40(2), 145-156.</w:t>
      </w:r>
    </w:p>
    <w:p w14:paraId="6A2A0E47" w14:textId="77777777" w:rsidR="002415A7" w:rsidRPr="00DE5D5D" w:rsidRDefault="002415A7" w:rsidP="00DE5D5D">
      <w:pPr>
        <w:jc w:val="left"/>
        <w:rPr>
          <w:rFonts w:cs="Arial"/>
        </w:rPr>
      </w:pPr>
      <w:r w:rsidRPr="00DE5D5D">
        <w:rPr>
          <w:rFonts w:cs="Arial"/>
        </w:rPr>
        <w:t xml:space="preserve">Marriott, J. (2021). "Marriott International: Delivering Consistent Guest Experiences Across Diverse Properties." </w:t>
      </w:r>
      <w:r w:rsidRPr="00DE5D5D">
        <w:rPr>
          <w:rFonts w:cs="Arial"/>
          <w:i/>
        </w:rPr>
        <w:t>International Journal of Hospitality Management</w:t>
      </w:r>
      <w:r w:rsidRPr="00DE5D5D">
        <w:rPr>
          <w:rFonts w:cs="Arial"/>
        </w:rPr>
        <w:t>, 45(2), 165-178.</w:t>
      </w:r>
    </w:p>
    <w:p w14:paraId="0ACDD0F3" w14:textId="77777777" w:rsidR="002415A7" w:rsidRPr="00DE5D5D" w:rsidRDefault="002415A7" w:rsidP="00DE5D5D">
      <w:pPr>
        <w:jc w:val="left"/>
        <w:rPr>
          <w:rFonts w:cs="Arial"/>
        </w:rPr>
      </w:pPr>
      <w:proofErr w:type="spellStart"/>
      <w:r w:rsidRPr="00DE5D5D">
        <w:rPr>
          <w:rFonts w:cs="Arial"/>
        </w:rPr>
        <w:t>Ratten</w:t>
      </w:r>
      <w:proofErr w:type="spellEnd"/>
      <w:r w:rsidRPr="00DE5D5D">
        <w:rPr>
          <w:rFonts w:cs="Arial"/>
        </w:rPr>
        <w:t xml:space="preserve">, V., Braga, V., Álvarez-García, J. and Maria (2019). </w:t>
      </w:r>
      <w:r w:rsidRPr="00DE5D5D">
        <w:rPr>
          <w:rFonts w:cs="Arial"/>
          <w:i/>
          <w:iCs/>
        </w:rPr>
        <w:t>Tourism Innovation</w:t>
      </w:r>
      <w:r w:rsidRPr="00DE5D5D">
        <w:rPr>
          <w:rFonts w:cs="Arial"/>
        </w:rPr>
        <w:t>. Routledge.</w:t>
      </w:r>
    </w:p>
    <w:p w14:paraId="14D5C223" w14:textId="7815AA48" w:rsidR="002415A7" w:rsidRPr="00DE5D5D" w:rsidRDefault="002415A7" w:rsidP="00DE5D5D">
      <w:pPr>
        <w:jc w:val="left"/>
        <w:rPr>
          <w:rFonts w:cs="Arial"/>
        </w:rPr>
      </w:pPr>
      <w:r w:rsidRPr="00DE5D5D">
        <w:rPr>
          <w:rFonts w:cs="Arial"/>
        </w:rPr>
        <w:lastRenderedPageBreak/>
        <w:t xml:space="preserve">Ruth Ellen </w:t>
      </w:r>
      <w:proofErr w:type="spellStart"/>
      <w:r w:rsidRPr="00DE5D5D">
        <w:rPr>
          <w:rFonts w:cs="Arial"/>
        </w:rPr>
        <w:t>Kinzey</w:t>
      </w:r>
      <w:proofErr w:type="spellEnd"/>
      <w:r w:rsidRPr="00DE5D5D">
        <w:rPr>
          <w:rFonts w:cs="Arial"/>
        </w:rPr>
        <w:t xml:space="preserve"> (2018). </w:t>
      </w:r>
      <w:r w:rsidRPr="00DE5D5D">
        <w:rPr>
          <w:rFonts w:cs="Arial"/>
          <w:i/>
          <w:iCs/>
        </w:rPr>
        <w:t xml:space="preserve">Promoting </w:t>
      </w:r>
      <w:proofErr w:type="spellStart"/>
      <w:r w:rsidRPr="00DE5D5D">
        <w:rPr>
          <w:rFonts w:cs="Arial"/>
          <w:i/>
          <w:iCs/>
        </w:rPr>
        <w:t>nonprofit</w:t>
      </w:r>
      <w:proofErr w:type="spellEnd"/>
      <w:r w:rsidRPr="00DE5D5D">
        <w:rPr>
          <w:rFonts w:cs="Arial"/>
          <w:i/>
          <w:iCs/>
        </w:rPr>
        <w:t xml:space="preserve"> </w:t>
      </w:r>
      <w:r w:rsidR="00F941B5">
        <w:rPr>
          <w:rFonts w:cs="Arial"/>
          <w:i/>
          <w:iCs/>
        </w:rPr>
        <w:t>organisations</w:t>
      </w:r>
      <w:r w:rsidRPr="00DE5D5D">
        <w:rPr>
          <w:rFonts w:cs="Arial"/>
          <w:i/>
          <w:iCs/>
        </w:rPr>
        <w:t>: a reputation management approach</w:t>
      </w:r>
      <w:r w:rsidRPr="00DE5D5D">
        <w:rPr>
          <w:rFonts w:cs="Arial"/>
        </w:rPr>
        <w:t>. New York: Routledge.</w:t>
      </w:r>
    </w:p>
    <w:p w14:paraId="6785739B" w14:textId="77777777" w:rsidR="002415A7" w:rsidRPr="00DE5D5D" w:rsidRDefault="002415A7" w:rsidP="00DE5D5D">
      <w:pPr>
        <w:jc w:val="left"/>
        <w:rPr>
          <w:rFonts w:cs="Arial"/>
        </w:rPr>
      </w:pPr>
      <w:r w:rsidRPr="00DE5D5D">
        <w:rPr>
          <w:rFonts w:cs="Arial"/>
        </w:rPr>
        <w:t xml:space="preserve">Smith, A. (2019). "Delivering Legendary Service: A Case Study of The Ritz-Carlton." </w:t>
      </w:r>
      <w:r w:rsidRPr="00DE5D5D">
        <w:rPr>
          <w:rFonts w:cs="Arial"/>
          <w:i/>
        </w:rPr>
        <w:t>Journal of Hospitality Management</w:t>
      </w:r>
      <w:r w:rsidRPr="00DE5D5D">
        <w:rPr>
          <w:rFonts w:cs="Arial"/>
        </w:rPr>
        <w:t>, 36(2), 87-95.</w:t>
      </w:r>
    </w:p>
    <w:p w14:paraId="05B0F8AC" w14:textId="77777777" w:rsidR="002415A7" w:rsidRPr="00DE5D5D" w:rsidRDefault="002415A7" w:rsidP="00DE5D5D">
      <w:pPr>
        <w:jc w:val="left"/>
        <w:rPr>
          <w:rFonts w:cs="Arial"/>
        </w:rPr>
      </w:pPr>
      <w:r w:rsidRPr="00DE5D5D">
        <w:rPr>
          <w:rFonts w:cs="Arial"/>
        </w:rPr>
        <w:t xml:space="preserve">Smith, A. (2021). "The Impact of Brand Consistency on Guest Satisfaction: A Case Study in the Hospitality Industry." </w:t>
      </w:r>
      <w:r w:rsidRPr="00DE5D5D">
        <w:rPr>
          <w:rFonts w:cs="Arial"/>
          <w:i/>
        </w:rPr>
        <w:t>Journal of Marketing in Hospitality</w:t>
      </w:r>
      <w:r w:rsidRPr="00DE5D5D">
        <w:rPr>
          <w:rFonts w:cs="Arial"/>
        </w:rPr>
        <w:t>, 40(3), 215-228.</w:t>
      </w:r>
    </w:p>
    <w:p w14:paraId="33E62611" w14:textId="30691AFE" w:rsidR="00E728A7" w:rsidRPr="000F02BF" w:rsidRDefault="002415A7" w:rsidP="00DE5D5D">
      <w:pPr>
        <w:jc w:val="left"/>
      </w:pPr>
      <w:proofErr w:type="spellStart"/>
      <w:r w:rsidRPr="00DE5D5D">
        <w:rPr>
          <w:rFonts w:cs="Arial"/>
        </w:rPr>
        <w:t>Vrz</w:t>
      </w:r>
      <w:proofErr w:type="spellEnd"/>
      <w:r w:rsidRPr="00DE5D5D">
        <w:rPr>
          <w:rFonts w:cs="Arial"/>
        </w:rPr>
        <w:t xml:space="preserve">, L. (2020). </w:t>
      </w:r>
      <w:r w:rsidRPr="00DE5D5D">
        <w:rPr>
          <w:rFonts w:cs="Arial"/>
          <w:i/>
          <w:iCs/>
        </w:rPr>
        <w:t>Role of Indirect Marketing in Capturing Customer</w:t>
      </w:r>
      <w:r w:rsidRPr="00DE5D5D">
        <w:rPr>
          <w:rFonts w:cs="Arial"/>
        </w:rPr>
        <w:t>. [online] Along the Boards. Available at: https://alongtheboards.com/2020/04/20/role-of-indirect-marketing-in-capturing-customer/ [Accessed 8 Nov. 20</w:t>
      </w:r>
      <w:r>
        <w:t>23].</w:t>
      </w:r>
    </w:p>
    <w:sectPr w:rsidR="00E728A7"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5BBA5" w14:textId="77777777" w:rsidR="00A763AC" w:rsidRDefault="00A763AC" w:rsidP="001834FC">
      <w:pPr>
        <w:spacing w:after="0" w:line="240" w:lineRule="auto"/>
      </w:pPr>
      <w:r>
        <w:separator/>
      </w:r>
    </w:p>
  </w:endnote>
  <w:endnote w:type="continuationSeparator" w:id="0">
    <w:p w14:paraId="56D3C221" w14:textId="77777777" w:rsidR="00A763AC" w:rsidRDefault="00A763A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456FE89D" w:rsidR="001834FC" w:rsidRDefault="001834FC">
        <w:pPr>
          <w:pStyle w:val="Footer"/>
          <w:jc w:val="right"/>
        </w:pPr>
        <w:r>
          <w:fldChar w:fldCharType="begin"/>
        </w:r>
        <w:r>
          <w:instrText xml:space="preserve"> PAGE   \* MERGEFORMAT </w:instrText>
        </w:r>
        <w:r>
          <w:fldChar w:fldCharType="separate"/>
        </w:r>
        <w:r w:rsidR="001E15BA">
          <w:rPr>
            <w:noProof/>
          </w:rPr>
          <w:t>iii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A2D96" w14:textId="77777777" w:rsidR="00A763AC" w:rsidRDefault="00A763AC" w:rsidP="001834FC">
      <w:pPr>
        <w:spacing w:after="0" w:line="240" w:lineRule="auto"/>
      </w:pPr>
      <w:r>
        <w:separator/>
      </w:r>
    </w:p>
  </w:footnote>
  <w:footnote w:type="continuationSeparator" w:id="0">
    <w:p w14:paraId="44FB9725" w14:textId="77777777" w:rsidR="00A763AC" w:rsidRDefault="00A763AC"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3176C"/>
    <w:rsid w:val="00074997"/>
    <w:rsid w:val="000B50B0"/>
    <w:rsid w:val="000C7412"/>
    <w:rsid w:val="000E047C"/>
    <w:rsid w:val="000F02BF"/>
    <w:rsid w:val="00166A4B"/>
    <w:rsid w:val="001834FC"/>
    <w:rsid w:val="001B0BCC"/>
    <w:rsid w:val="001D16F6"/>
    <w:rsid w:val="001E1267"/>
    <w:rsid w:val="001E15BA"/>
    <w:rsid w:val="0022399E"/>
    <w:rsid w:val="002415A7"/>
    <w:rsid w:val="00252195"/>
    <w:rsid w:val="0025494B"/>
    <w:rsid w:val="00265D6B"/>
    <w:rsid w:val="00265DB1"/>
    <w:rsid w:val="002A4E4A"/>
    <w:rsid w:val="003C6690"/>
    <w:rsid w:val="003E63AA"/>
    <w:rsid w:val="00400800"/>
    <w:rsid w:val="0044301B"/>
    <w:rsid w:val="004830AE"/>
    <w:rsid w:val="004A3B1E"/>
    <w:rsid w:val="00557BEC"/>
    <w:rsid w:val="00575D6F"/>
    <w:rsid w:val="0067093B"/>
    <w:rsid w:val="00672BDB"/>
    <w:rsid w:val="006C5EC2"/>
    <w:rsid w:val="006F3E7B"/>
    <w:rsid w:val="00707035"/>
    <w:rsid w:val="007272CD"/>
    <w:rsid w:val="00731705"/>
    <w:rsid w:val="00857E3A"/>
    <w:rsid w:val="00893965"/>
    <w:rsid w:val="008A3FE8"/>
    <w:rsid w:val="00913C8F"/>
    <w:rsid w:val="00942810"/>
    <w:rsid w:val="00966C7F"/>
    <w:rsid w:val="00975554"/>
    <w:rsid w:val="009B7967"/>
    <w:rsid w:val="00A560BF"/>
    <w:rsid w:val="00A60069"/>
    <w:rsid w:val="00A62BCE"/>
    <w:rsid w:val="00A763AC"/>
    <w:rsid w:val="00A77683"/>
    <w:rsid w:val="00A92C3F"/>
    <w:rsid w:val="00B114AF"/>
    <w:rsid w:val="00B70CE1"/>
    <w:rsid w:val="00BA5A40"/>
    <w:rsid w:val="00BB6D54"/>
    <w:rsid w:val="00BC08C0"/>
    <w:rsid w:val="00BE0ECB"/>
    <w:rsid w:val="00BE31E4"/>
    <w:rsid w:val="00C8321D"/>
    <w:rsid w:val="00CE4A4B"/>
    <w:rsid w:val="00D211EF"/>
    <w:rsid w:val="00D55897"/>
    <w:rsid w:val="00D952C5"/>
    <w:rsid w:val="00DE5D5D"/>
    <w:rsid w:val="00E3158E"/>
    <w:rsid w:val="00E728A7"/>
    <w:rsid w:val="00EB7A2D"/>
    <w:rsid w:val="00EC16C3"/>
    <w:rsid w:val="00F5400E"/>
    <w:rsid w:val="00F77EAC"/>
    <w:rsid w:val="00F941B5"/>
    <w:rsid w:val="00FB2EF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412"/>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B70CE1"/>
    <w:pPr>
      <w:spacing w:after="200"/>
      <w:jc w:val="center"/>
    </w:pPr>
    <w:rPr>
      <w:i/>
      <w:iCs/>
      <w:szCs w:val="18"/>
    </w:rPr>
  </w:style>
  <w:style w:type="paragraph" w:customStyle="1" w:styleId="TableParagraph">
    <w:name w:val="Table Paragraph"/>
    <w:basedOn w:val="Normal"/>
    <w:uiPriority w:val="1"/>
    <w:qFormat/>
    <w:rsid w:val="00707035"/>
    <w:pPr>
      <w:widowControl w:val="0"/>
      <w:autoSpaceDE w:val="0"/>
      <w:autoSpaceDN w:val="0"/>
      <w:spacing w:after="0" w:line="240" w:lineRule="auto"/>
      <w:jc w:val="left"/>
    </w:pPr>
    <w:rPr>
      <w:rFonts w:ascii="Microsoft Sans Serif" w:eastAsia="Microsoft Sans Serif" w:hAnsi="Microsoft Sans Serif" w:cs="Microsoft Sans Serif"/>
      <w:color w:val="auto"/>
      <w:sz w:val="22"/>
      <w:lang w:val="en-US"/>
    </w:rPr>
  </w:style>
  <w:style w:type="paragraph" w:styleId="NormalWeb">
    <w:name w:val="Normal (Web)"/>
    <w:basedOn w:val="Normal"/>
    <w:uiPriority w:val="99"/>
    <w:unhideWhenUsed/>
    <w:rsid w:val="000C7412"/>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0C74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97">
      <w:bodyDiv w:val="1"/>
      <w:marLeft w:val="0"/>
      <w:marRight w:val="0"/>
      <w:marTop w:val="0"/>
      <w:marBottom w:val="0"/>
      <w:divBdr>
        <w:top w:val="none" w:sz="0" w:space="0" w:color="auto"/>
        <w:left w:val="none" w:sz="0" w:space="0" w:color="auto"/>
        <w:bottom w:val="none" w:sz="0" w:space="0" w:color="auto"/>
        <w:right w:val="none" w:sz="0" w:space="0" w:color="auto"/>
      </w:divBdr>
      <w:divsChild>
        <w:div w:id="820077061">
          <w:marLeft w:val="0"/>
          <w:marRight w:val="0"/>
          <w:marTop w:val="0"/>
          <w:marBottom w:val="0"/>
          <w:divBdr>
            <w:top w:val="single" w:sz="2" w:space="0" w:color="auto"/>
            <w:left w:val="single" w:sz="2" w:space="0" w:color="auto"/>
            <w:bottom w:val="single" w:sz="6" w:space="0" w:color="auto"/>
            <w:right w:val="single" w:sz="2" w:space="0" w:color="auto"/>
          </w:divBdr>
          <w:divsChild>
            <w:div w:id="1948803407">
              <w:marLeft w:val="0"/>
              <w:marRight w:val="0"/>
              <w:marTop w:val="100"/>
              <w:marBottom w:val="100"/>
              <w:divBdr>
                <w:top w:val="single" w:sz="2" w:space="0" w:color="D9D9E3"/>
                <w:left w:val="single" w:sz="2" w:space="0" w:color="D9D9E3"/>
                <w:bottom w:val="single" w:sz="2" w:space="0" w:color="D9D9E3"/>
                <w:right w:val="single" w:sz="2" w:space="0" w:color="D9D9E3"/>
              </w:divBdr>
              <w:divsChild>
                <w:div w:id="648480698">
                  <w:marLeft w:val="0"/>
                  <w:marRight w:val="0"/>
                  <w:marTop w:val="0"/>
                  <w:marBottom w:val="0"/>
                  <w:divBdr>
                    <w:top w:val="single" w:sz="2" w:space="0" w:color="D9D9E3"/>
                    <w:left w:val="single" w:sz="2" w:space="0" w:color="D9D9E3"/>
                    <w:bottom w:val="single" w:sz="2" w:space="0" w:color="D9D9E3"/>
                    <w:right w:val="single" w:sz="2" w:space="0" w:color="D9D9E3"/>
                  </w:divBdr>
                  <w:divsChild>
                    <w:div w:id="122240716">
                      <w:marLeft w:val="0"/>
                      <w:marRight w:val="0"/>
                      <w:marTop w:val="0"/>
                      <w:marBottom w:val="0"/>
                      <w:divBdr>
                        <w:top w:val="single" w:sz="2" w:space="0" w:color="D9D9E3"/>
                        <w:left w:val="single" w:sz="2" w:space="0" w:color="D9D9E3"/>
                        <w:bottom w:val="single" w:sz="2" w:space="0" w:color="D9D9E3"/>
                        <w:right w:val="single" w:sz="2" w:space="0" w:color="D9D9E3"/>
                      </w:divBdr>
                      <w:divsChild>
                        <w:div w:id="563688025">
                          <w:marLeft w:val="0"/>
                          <w:marRight w:val="0"/>
                          <w:marTop w:val="0"/>
                          <w:marBottom w:val="0"/>
                          <w:divBdr>
                            <w:top w:val="single" w:sz="2" w:space="0" w:color="D9D9E3"/>
                            <w:left w:val="single" w:sz="2" w:space="0" w:color="D9D9E3"/>
                            <w:bottom w:val="single" w:sz="2" w:space="0" w:color="D9D9E3"/>
                            <w:right w:val="single" w:sz="2" w:space="0" w:color="D9D9E3"/>
                          </w:divBdr>
                          <w:divsChild>
                            <w:div w:id="670836109">
                              <w:marLeft w:val="0"/>
                              <w:marRight w:val="0"/>
                              <w:marTop w:val="0"/>
                              <w:marBottom w:val="0"/>
                              <w:divBdr>
                                <w:top w:val="single" w:sz="2" w:space="0" w:color="D9D9E3"/>
                                <w:left w:val="single" w:sz="2" w:space="0" w:color="D9D9E3"/>
                                <w:bottom w:val="single" w:sz="2" w:space="0" w:color="D9D9E3"/>
                                <w:right w:val="single" w:sz="2" w:space="0" w:color="D9D9E3"/>
                              </w:divBdr>
                              <w:divsChild>
                                <w:div w:id="1228960126">
                                  <w:marLeft w:val="0"/>
                                  <w:marRight w:val="0"/>
                                  <w:marTop w:val="0"/>
                                  <w:marBottom w:val="0"/>
                                  <w:divBdr>
                                    <w:top w:val="single" w:sz="2" w:space="0" w:color="D9D9E3"/>
                                    <w:left w:val="single" w:sz="2" w:space="0" w:color="D9D9E3"/>
                                    <w:bottom w:val="single" w:sz="2" w:space="0" w:color="D9D9E3"/>
                                    <w:right w:val="single" w:sz="2" w:space="0" w:color="D9D9E3"/>
                                  </w:divBdr>
                                  <w:divsChild>
                                    <w:div w:id="1684933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52076990">
      <w:bodyDiv w:val="1"/>
      <w:marLeft w:val="0"/>
      <w:marRight w:val="0"/>
      <w:marTop w:val="0"/>
      <w:marBottom w:val="0"/>
      <w:divBdr>
        <w:top w:val="none" w:sz="0" w:space="0" w:color="auto"/>
        <w:left w:val="none" w:sz="0" w:space="0" w:color="auto"/>
        <w:bottom w:val="none" w:sz="0" w:space="0" w:color="auto"/>
        <w:right w:val="none" w:sz="0" w:space="0" w:color="auto"/>
      </w:divBdr>
      <w:divsChild>
        <w:div w:id="1794398588">
          <w:marLeft w:val="0"/>
          <w:marRight w:val="0"/>
          <w:marTop w:val="0"/>
          <w:marBottom w:val="0"/>
          <w:divBdr>
            <w:top w:val="none" w:sz="0" w:space="0" w:color="auto"/>
            <w:left w:val="none" w:sz="0" w:space="0" w:color="auto"/>
            <w:bottom w:val="none" w:sz="0" w:space="0" w:color="auto"/>
            <w:right w:val="none" w:sz="0" w:space="0" w:color="auto"/>
          </w:divBdr>
        </w:div>
      </w:divsChild>
    </w:div>
    <w:div w:id="452291038">
      <w:bodyDiv w:val="1"/>
      <w:marLeft w:val="0"/>
      <w:marRight w:val="0"/>
      <w:marTop w:val="0"/>
      <w:marBottom w:val="0"/>
      <w:divBdr>
        <w:top w:val="none" w:sz="0" w:space="0" w:color="auto"/>
        <w:left w:val="none" w:sz="0" w:space="0" w:color="auto"/>
        <w:bottom w:val="none" w:sz="0" w:space="0" w:color="auto"/>
        <w:right w:val="none" w:sz="0" w:space="0" w:color="auto"/>
      </w:divBdr>
      <w:divsChild>
        <w:div w:id="1258712933">
          <w:marLeft w:val="0"/>
          <w:marRight w:val="0"/>
          <w:marTop w:val="0"/>
          <w:marBottom w:val="0"/>
          <w:divBdr>
            <w:top w:val="none" w:sz="0" w:space="0" w:color="auto"/>
            <w:left w:val="none" w:sz="0" w:space="0" w:color="auto"/>
            <w:bottom w:val="none" w:sz="0" w:space="0" w:color="auto"/>
            <w:right w:val="none" w:sz="0" w:space="0" w:color="auto"/>
          </w:divBdr>
          <w:divsChild>
            <w:div w:id="310523322">
              <w:marLeft w:val="0"/>
              <w:marRight w:val="0"/>
              <w:marTop w:val="0"/>
              <w:marBottom w:val="0"/>
              <w:divBdr>
                <w:top w:val="none" w:sz="0" w:space="0" w:color="auto"/>
                <w:left w:val="none" w:sz="0" w:space="0" w:color="auto"/>
                <w:bottom w:val="none" w:sz="0" w:space="0" w:color="auto"/>
                <w:right w:val="none" w:sz="0" w:space="0" w:color="auto"/>
              </w:divBdr>
              <w:divsChild>
                <w:div w:id="90703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127167">
      <w:bodyDiv w:val="1"/>
      <w:marLeft w:val="0"/>
      <w:marRight w:val="0"/>
      <w:marTop w:val="0"/>
      <w:marBottom w:val="0"/>
      <w:divBdr>
        <w:top w:val="none" w:sz="0" w:space="0" w:color="auto"/>
        <w:left w:val="none" w:sz="0" w:space="0" w:color="auto"/>
        <w:bottom w:val="none" w:sz="0" w:space="0" w:color="auto"/>
        <w:right w:val="none" w:sz="0" w:space="0" w:color="auto"/>
      </w:divBdr>
      <w:divsChild>
        <w:div w:id="1287390566">
          <w:marLeft w:val="0"/>
          <w:marRight w:val="0"/>
          <w:marTop w:val="0"/>
          <w:marBottom w:val="0"/>
          <w:divBdr>
            <w:top w:val="none" w:sz="0" w:space="0" w:color="auto"/>
            <w:left w:val="none" w:sz="0" w:space="0" w:color="auto"/>
            <w:bottom w:val="none" w:sz="0" w:space="0" w:color="auto"/>
            <w:right w:val="none" w:sz="0" w:space="0" w:color="auto"/>
          </w:divBdr>
          <w:divsChild>
            <w:div w:id="179393103">
              <w:marLeft w:val="0"/>
              <w:marRight w:val="0"/>
              <w:marTop w:val="0"/>
              <w:marBottom w:val="0"/>
              <w:divBdr>
                <w:top w:val="none" w:sz="0" w:space="0" w:color="auto"/>
                <w:left w:val="none" w:sz="0" w:space="0" w:color="auto"/>
                <w:bottom w:val="none" w:sz="0" w:space="0" w:color="auto"/>
                <w:right w:val="none" w:sz="0" w:space="0" w:color="auto"/>
              </w:divBdr>
              <w:divsChild>
                <w:div w:id="1916159495">
                  <w:marLeft w:val="0"/>
                  <w:marRight w:val="0"/>
                  <w:marTop w:val="0"/>
                  <w:marBottom w:val="0"/>
                  <w:divBdr>
                    <w:top w:val="none" w:sz="0" w:space="0" w:color="auto"/>
                    <w:left w:val="none" w:sz="0" w:space="0" w:color="auto"/>
                    <w:bottom w:val="none" w:sz="0" w:space="0" w:color="auto"/>
                    <w:right w:val="none" w:sz="0" w:space="0" w:color="auto"/>
                  </w:divBdr>
                  <w:divsChild>
                    <w:div w:id="8101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537880">
      <w:bodyDiv w:val="1"/>
      <w:marLeft w:val="0"/>
      <w:marRight w:val="0"/>
      <w:marTop w:val="0"/>
      <w:marBottom w:val="0"/>
      <w:divBdr>
        <w:top w:val="none" w:sz="0" w:space="0" w:color="auto"/>
        <w:left w:val="none" w:sz="0" w:space="0" w:color="auto"/>
        <w:bottom w:val="none" w:sz="0" w:space="0" w:color="auto"/>
        <w:right w:val="none" w:sz="0" w:space="0" w:color="auto"/>
      </w:divBdr>
    </w:div>
    <w:div w:id="1226144410">
      <w:bodyDiv w:val="1"/>
      <w:marLeft w:val="0"/>
      <w:marRight w:val="0"/>
      <w:marTop w:val="0"/>
      <w:marBottom w:val="0"/>
      <w:divBdr>
        <w:top w:val="none" w:sz="0" w:space="0" w:color="auto"/>
        <w:left w:val="none" w:sz="0" w:space="0" w:color="auto"/>
        <w:bottom w:val="none" w:sz="0" w:space="0" w:color="auto"/>
        <w:right w:val="none" w:sz="0" w:space="0" w:color="auto"/>
      </w:divBdr>
      <w:divsChild>
        <w:div w:id="1960182616">
          <w:marLeft w:val="0"/>
          <w:marRight w:val="0"/>
          <w:marTop w:val="0"/>
          <w:marBottom w:val="0"/>
          <w:divBdr>
            <w:top w:val="none" w:sz="0" w:space="0" w:color="auto"/>
            <w:left w:val="none" w:sz="0" w:space="0" w:color="auto"/>
            <w:bottom w:val="none" w:sz="0" w:space="0" w:color="auto"/>
            <w:right w:val="none" w:sz="0" w:space="0" w:color="auto"/>
          </w:divBdr>
          <w:divsChild>
            <w:div w:id="500318879">
              <w:marLeft w:val="0"/>
              <w:marRight w:val="0"/>
              <w:marTop w:val="0"/>
              <w:marBottom w:val="0"/>
              <w:divBdr>
                <w:top w:val="none" w:sz="0" w:space="0" w:color="auto"/>
                <w:left w:val="none" w:sz="0" w:space="0" w:color="auto"/>
                <w:bottom w:val="none" w:sz="0" w:space="0" w:color="auto"/>
                <w:right w:val="none" w:sz="0" w:space="0" w:color="auto"/>
              </w:divBdr>
              <w:divsChild>
                <w:div w:id="405689514">
                  <w:marLeft w:val="0"/>
                  <w:marRight w:val="0"/>
                  <w:marTop w:val="0"/>
                  <w:marBottom w:val="0"/>
                  <w:divBdr>
                    <w:top w:val="none" w:sz="0" w:space="0" w:color="auto"/>
                    <w:left w:val="none" w:sz="0" w:space="0" w:color="auto"/>
                    <w:bottom w:val="none" w:sz="0" w:space="0" w:color="auto"/>
                    <w:right w:val="none" w:sz="0" w:space="0" w:color="auto"/>
                  </w:divBdr>
                  <w:divsChild>
                    <w:div w:id="77667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609949">
      <w:bodyDiv w:val="1"/>
      <w:marLeft w:val="0"/>
      <w:marRight w:val="0"/>
      <w:marTop w:val="0"/>
      <w:marBottom w:val="0"/>
      <w:divBdr>
        <w:top w:val="none" w:sz="0" w:space="0" w:color="auto"/>
        <w:left w:val="none" w:sz="0" w:space="0" w:color="auto"/>
        <w:bottom w:val="none" w:sz="0" w:space="0" w:color="auto"/>
        <w:right w:val="none" w:sz="0" w:space="0" w:color="auto"/>
      </w:divBdr>
    </w:div>
    <w:div w:id="1526945111">
      <w:bodyDiv w:val="1"/>
      <w:marLeft w:val="0"/>
      <w:marRight w:val="0"/>
      <w:marTop w:val="0"/>
      <w:marBottom w:val="0"/>
      <w:divBdr>
        <w:top w:val="none" w:sz="0" w:space="0" w:color="auto"/>
        <w:left w:val="none" w:sz="0" w:space="0" w:color="auto"/>
        <w:bottom w:val="none" w:sz="0" w:space="0" w:color="auto"/>
        <w:right w:val="none" w:sz="0" w:space="0" w:color="auto"/>
      </w:divBdr>
    </w:div>
    <w:div w:id="1767119817">
      <w:bodyDiv w:val="1"/>
      <w:marLeft w:val="0"/>
      <w:marRight w:val="0"/>
      <w:marTop w:val="0"/>
      <w:marBottom w:val="0"/>
      <w:divBdr>
        <w:top w:val="none" w:sz="0" w:space="0" w:color="auto"/>
        <w:left w:val="none" w:sz="0" w:space="0" w:color="auto"/>
        <w:bottom w:val="none" w:sz="0" w:space="0" w:color="auto"/>
        <w:right w:val="none" w:sz="0" w:space="0" w:color="auto"/>
      </w:divBdr>
    </w:div>
    <w:div w:id="1776975548">
      <w:bodyDiv w:val="1"/>
      <w:marLeft w:val="0"/>
      <w:marRight w:val="0"/>
      <w:marTop w:val="0"/>
      <w:marBottom w:val="0"/>
      <w:divBdr>
        <w:top w:val="none" w:sz="0" w:space="0" w:color="auto"/>
        <w:left w:val="none" w:sz="0" w:space="0" w:color="auto"/>
        <w:bottom w:val="none" w:sz="0" w:space="0" w:color="auto"/>
        <w:right w:val="none" w:sz="0" w:space="0" w:color="auto"/>
      </w:divBdr>
    </w:div>
    <w:div w:id="1901479062">
      <w:bodyDiv w:val="1"/>
      <w:marLeft w:val="0"/>
      <w:marRight w:val="0"/>
      <w:marTop w:val="0"/>
      <w:marBottom w:val="0"/>
      <w:divBdr>
        <w:top w:val="none" w:sz="0" w:space="0" w:color="auto"/>
        <w:left w:val="none" w:sz="0" w:space="0" w:color="auto"/>
        <w:bottom w:val="none" w:sz="0" w:space="0" w:color="auto"/>
        <w:right w:val="none" w:sz="0" w:space="0" w:color="auto"/>
      </w:divBdr>
      <w:divsChild>
        <w:div w:id="1531412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57E850-E893-4751-B5A4-45C892A814EC}" type="doc">
      <dgm:prSet loTypeId="urn:microsoft.com/office/officeart/2005/8/layout/radial5" loCatId="cycle" qsTypeId="urn:microsoft.com/office/officeart/2005/8/quickstyle/3d2" qsCatId="3D" csTypeId="urn:microsoft.com/office/officeart/2005/8/colors/colorful4" csCatId="colorful" phldr="1"/>
      <dgm:spPr/>
      <dgm:t>
        <a:bodyPr/>
        <a:lstStyle/>
        <a:p>
          <a:endParaRPr lang="en-US"/>
        </a:p>
      </dgm:t>
    </dgm:pt>
    <dgm:pt modelId="{492B46D5-3265-4422-8687-BAE75E07EA03}">
      <dgm:prSet phldrT="[Text]"/>
      <dgm:spPr/>
      <dgm:t>
        <a:bodyPr/>
        <a:lstStyle/>
        <a:p>
          <a:r>
            <a:rPr lang="en-US"/>
            <a:t>Reputation</a:t>
          </a:r>
        </a:p>
      </dgm:t>
    </dgm:pt>
    <dgm:pt modelId="{DFF8A311-3E5B-4FDD-B384-ED8C1FB26158}" type="parTrans" cxnId="{43C0EA3B-7CDA-4840-BCC1-B13E87AAD475}">
      <dgm:prSet/>
      <dgm:spPr/>
      <dgm:t>
        <a:bodyPr/>
        <a:lstStyle/>
        <a:p>
          <a:endParaRPr lang="en-US"/>
        </a:p>
      </dgm:t>
    </dgm:pt>
    <dgm:pt modelId="{33B26444-0804-45EC-BD78-024348BC287B}" type="sibTrans" cxnId="{43C0EA3B-7CDA-4840-BCC1-B13E87AAD475}">
      <dgm:prSet/>
      <dgm:spPr/>
      <dgm:t>
        <a:bodyPr/>
        <a:lstStyle/>
        <a:p>
          <a:endParaRPr lang="en-US"/>
        </a:p>
      </dgm:t>
    </dgm:pt>
    <dgm:pt modelId="{FC5E1CFA-AE68-4D4F-BBFD-02F01C165338}">
      <dgm:prSet phldrT="[Text]"/>
      <dgm:spPr/>
      <dgm:t>
        <a:bodyPr/>
        <a:lstStyle/>
        <a:p>
          <a:r>
            <a:rPr lang="en-US"/>
            <a:t>Integrity</a:t>
          </a:r>
        </a:p>
      </dgm:t>
    </dgm:pt>
    <dgm:pt modelId="{4D89CDED-BB77-419B-8568-CF40E7021FC1}" type="parTrans" cxnId="{06B4538D-E962-45EE-8843-7DCB849E821C}">
      <dgm:prSet/>
      <dgm:spPr/>
      <dgm:t>
        <a:bodyPr/>
        <a:lstStyle/>
        <a:p>
          <a:endParaRPr lang="en-US"/>
        </a:p>
      </dgm:t>
    </dgm:pt>
    <dgm:pt modelId="{9C75B36F-4462-4818-8565-ADD6C517C26F}" type="sibTrans" cxnId="{06B4538D-E962-45EE-8843-7DCB849E821C}">
      <dgm:prSet/>
      <dgm:spPr/>
      <dgm:t>
        <a:bodyPr/>
        <a:lstStyle/>
        <a:p>
          <a:endParaRPr lang="en-US"/>
        </a:p>
      </dgm:t>
    </dgm:pt>
    <dgm:pt modelId="{EC610D2D-0009-4829-89C7-E02F28C86B45}">
      <dgm:prSet/>
      <dgm:spPr/>
      <dgm:t>
        <a:bodyPr/>
        <a:lstStyle/>
        <a:p>
          <a:r>
            <a:rPr lang="en-US"/>
            <a:t>Honor</a:t>
          </a:r>
        </a:p>
      </dgm:t>
    </dgm:pt>
    <dgm:pt modelId="{7E3CF0AB-A528-4004-8E2F-F9CC4869B329}" type="parTrans" cxnId="{CBF6DD93-73F1-4CE8-B113-48C8801F0ADB}">
      <dgm:prSet/>
      <dgm:spPr/>
      <dgm:t>
        <a:bodyPr/>
        <a:lstStyle/>
        <a:p>
          <a:endParaRPr lang="en-US"/>
        </a:p>
      </dgm:t>
    </dgm:pt>
    <dgm:pt modelId="{33885E7C-2FD1-410B-B7A2-5C2A46E09DBE}" type="sibTrans" cxnId="{CBF6DD93-73F1-4CE8-B113-48C8801F0ADB}">
      <dgm:prSet/>
      <dgm:spPr/>
      <dgm:t>
        <a:bodyPr/>
        <a:lstStyle/>
        <a:p>
          <a:endParaRPr lang="en-US"/>
        </a:p>
      </dgm:t>
    </dgm:pt>
    <dgm:pt modelId="{FCA01C5B-6AB8-4184-BD6F-A32731C871E4}">
      <dgm:prSet/>
      <dgm:spPr/>
      <dgm:t>
        <a:bodyPr/>
        <a:lstStyle/>
        <a:p>
          <a:r>
            <a:rPr lang="en-US"/>
            <a:t>Trust</a:t>
          </a:r>
        </a:p>
      </dgm:t>
    </dgm:pt>
    <dgm:pt modelId="{C169CE2B-5857-4C0A-80A7-3498A9242C57}" type="parTrans" cxnId="{C87BA0B0-C593-4A11-9932-B2AF3196751A}">
      <dgm:prSet/>
      <dgm:spPr/>
      <dgm:t>
        <a:bodyPr/>
        <a:lstStyle/>
        <a:p>
          <a:endParaRPr lang="en-US"/>
        </a:p>
      </dgm:t>
    </dgm:pt>
    <dgm:pt modelId="{827FCBA9-CCC2-4423-8F6F-FDA884F5F57B}" type="sibTrans" cxnId="{C87BA0B0-C593-4A11-9932-B2AF3196751A}">
      <dgm:prSet/>
      <dgm:spPr/>
      <dgm:t>
        <a:bodyPr/>
        <a:lstStyle/>
        <a:p>
          <a:endParaRPr lang="en-US"/>
        </a:p>
      </dgm:t>
    </dgm:pt>
    <dgm:pt modelId="{816432D3-2EF5-4A81-90FE-A6A569C53D61}">
      <dgm:prSet/>
      <dgm:spPr/>
      <dgm:t>
        <a:bodyPr/>
        <a:lstStyle/>
        <a:p>
          <a:r>
            <a:rPr lang="en-US"/>
            <a:t>Stature</a:t>
          </a:r>
        </a:p>
      </dgm:t>
    </dgm:pt>
    <dgm:pt modelId="{D54A9148-612D-4F04-8BD2-AC7D06138D05}" type="parTrans" cxnId="{5479080B-E1D9-47EF-8D4D-666DF7B054AB}">
      <dgm:prSet/>
      <dgm:spPr/>
      <dgm:t>
        <a:bodyPr/>
        <a:lstStyle/>
        <a:p>
          <a:endParaRPr lang="en-US"/>
        </a:p>
      </dgm:t>
    </dgm:pt>
    <dgm:pt modelId="{F7B9A385-5EFA-479E-A25A-F4FF1F3BA67A}" type="sibTrans" cxnId="{5479080B-E1D9-47EF-8D4D-666DF7B054AB}">
      <dgm:prSet/>
      <dgm:spPr/>
      <dgm:t>
        <a:bodyPr/>
        <a:lstStyle/>
        <a:p>
          <a:endParaRPr lang="en-US"/>
        </a:p>
      </dgm:t>
    </dgm:pt>
    <dgm:pt modelId="{7AD2E004-7DA8-4411-B8DC-D7C7719AC1CA}">
      <dgm:prSet/>
      <dgm:spPr/>
      <dgm:t>
        <a:bodyPr/>
        <a:lstStyle/>
        <a:p>
          <a:r>
            <a:rPr lang="en-US"/>
            <a:t>Honesty</a:t>
          </a:r>
        </a:p>
      </dgm:t>
    </dgm:pt>
    <dgm:pt modelId="{00DD42AC-8464-44A5-B250-80ED8B225946}" type="parTrans" cxnId="{35411D9D-E9A0-41FF-8348-0D803E547C61}">
      <dgm:prSet/>
      <dgm:spPr/>
      <dgm:t>
        <a:bodyPr/>
        <a:lstStyle/>
        <a:p>
          <a:endParaRPr lang="en-US"/>
        </a:p>
      </dgm:t>
    </dgm:pt>
    <dgm:pt modelId="{50B86821-D761-44AE-978C-8A20E6E584F9}" type="sibTrans" cxnId="{35411D9D-E9A0-41FF-8348-0D803E547C61}">
      <dgm:prSet/>
      <dgm:spPr/>
      <dgm:t>
        <a:bodyPr/>
        <a:lstStyle/>
        <a:p>
          <a:endParaRPr lang="en-US"/>
        </a:p>
      </dgm:t>
    </dgm:pt>
    <dgm:pt modelId="{94C877BE-A0A6-4D7F-A324-CE11E1767D16}" type="pres">
      <dgm:prSet presAssocID="{6957E850-E893-4751-B5A4-45C892A814EC}" presName="Name0" presStyleCnt="0">
        <dgm:presLayoutVars>
          <dgm:chMax val="1"/>
          <dgm:dir/>
          <dgm:animLvl val="ctr"/>
          <dgm:resizeHandles val="exact"/>
        </dgm:presLayoutVars>
      </dgm:prSet>
      <dgm:spPr/>
    </dgm:pt>
    <dgm:pt modelId="{7A9FA2E4-0C8D-4B9A-862A-A1441B5D1C56}" type="pres">
      <dgm:prSet presAssocID="{492B46D5-3265-4422-8687-BAE75E07EA03}" presName="centerShape" presStyleLbl="node0" presStyleIdx="0" presStyleCnt="1"/>
      <dgm:spPr/>
    </dgm:pt>
    <dgm:pt modelId="{0E74279D-638E-4D85-9196-EE477DF06B28}" type="pres">
      <dgm:prSet presAssocID="{4D89CDED-BB77-419B-8568-CF40E7021FC1}" presName="parTrans" presStyleLbl="sibTrans2D1" presStyleIdx="0" presStyleCnt="5"/>
      <dgm:spPr/>
    </dgm:pt>
    <dgm:pt modelId="{429CF8B6-DC5A-4013-BB82-0CBFC8E4999F}" type="pres">
      <dgm:prSet presAssocID="{4D89CDED-BB77-419B-8568-CF40E7021FC1}" presName="connectorText" presStyleLbl="sibTrans2D1" presStyleIdx="0" presStyleCnt="5"/>
      <dgm:spPr/>
    </dgm:pt>
    <dgm:pt modelId="{2E020AFA-B1A3-488E-9404-9CF9DFBE0B72}" type="pres">
      <dgm:prSet presAssocID="{FC5E1CFA-AE68-4D4F-BBFD-02F01C165338}" presName="node" presStyleLbl="node1" presStyleIdx="0" presStyleCnt="5">
        <dgm:presLayoutVars>
          <dgm:bulletEnabled val="1"/>
        </dgm:presLayoutVars>
      </dgm:prSet>
      <dgm:spPr/>
    </dgm:pt>
    <dgm:pt modelId="{CD8D7664-698B-44EC-B195-C2F295B35FD2}" type="pres">
      <dgm:prSet presAssocID="{7E3CF0AB-A528-4004-8E2F-F9CC4869B329}" presName="parTrans" presStyleLbl="sibTrans2D1" presStyleIdx="1" presStyleCnt="5"/>
      <dgm:spPr/>
    </dgm:pt>
    <dgm:pt modelId="{A208265D-90F4-4B52-B064-C57DDE9BC10A}" type="pres">
      <dgm:prSet presAssocID="{7E3CF0AB-A528-4004-8E2F-F9CC4869B329}" presName="connectorText" presStyleLbl="sibTrans2D1" presStyleIdx="1" presStyleCnt="5"/>
      <dgm:spPr/>
    </dgm:pt>
    <dgm:pt modelId="{2DB72C76-42D1-4E49-93A5-0B9CBD5B9207}" type="pres">
      <dgm:prSet presAssocID="{EC610D2D-0009-4829-89C7-E02F28C86B45}" presName="node" presStyleLbl="node1" presStyleIdx="1" presStyleCnt="5">
        <dgm:presLayoutVars>
          <dgm:bulletEnabled val="1"/>
        </dgm:presLayoutVars>
      </dgm:prSet>
      <dgm:spPr/>
    </dgm:pt>
    <dgm:pt modelId="{32DA8740-0E7E-409C-BA25-6E0A6DC78F62}" type="pres">
      <dgm:prSet presAssocID="{C169CE2B-5857-4C0A-80A7-3498A9242C57}" presName="parTrans" presStyleLbl="sibTrans2D1" presStyleIdx="2" presStyleCnt="5"/>
      <dgm:spPr/>
    </dgm:pt>
    <dgm:pt modelId="{CBB93D0C-4F61-4528-97A0-C323EC3EB7A3}" type="pres">
      <dgm:prSet presAssocID="{C169CE2B-5857-4C0A-80A7-3498A9242C57}" presName="connectorText" presStyleLbl="sibTrans2D1" presStyleIdx="2" presStyleCnt="5"/>
      <dgm:spPr/>
    </dgm:pt>
    <dgm:pt modelId="{AA674A48-DFEA-4574-9DC2-26A1BD8333BE}" type="pres">
      <dgm:prSet presAssocID="{FCA01C5B-6AB8-4184-BD6F-A32731C871E4}" presName="node" presStyleLbl="node1" presStyleIdx="2" presStyleCnt="5">
        <dgm:presLayoutVars>
          <dgm:bulletEnabled val="1"/>
        </dgm:presLayoutVars>
      </dgm:prSet>
      <dgm:spPr/>
    </dgm:pt>
    <dgm:pt modelId="{E1A38248-21DB-485F-8C47-ED8ADD2699DF}" type="pres">
      <dgm:prSet presAssocID="{D54A9148-612D-4F04-8BD2-AC7D06138D05}" presName="parTrans" presStyleLbl="sibTrans2D1" presStyleIdx="3" presStyleCnt="5"/>
      <dgm:spPr/>
    </dgm:pt>
    <dgm:pt modelId="{87EAF3DE-903A-4450-B5B5-666B2E779FDC}" type="pres">
      <dgm:prSet presAssocID="{D54A9148-612D-4F04-8BD2-AC7D06138D05}" presName="connectorText" presStyleLbl="sibTrans2D1" presStyleIdx="3" presStyleCnt="5"/>
      <dgm:spPr/>
    </dgm:pt>
    <dgm:pt modelId="{02F414F5-C3AF-4DBF-821D-0CA1C7F4EB8E}" type="pres">
      <dgm:prSet presAssocID="{816432D3-2EF5-4A81-90FE-A6A569C53D61}" presName="node" presStyleLbl="node1" presStyleIdx="3" presStyleCnt="5">
        <dgm:presLayoutVars>
          <dgm:bulletEnabled val="1"/>
        </dgm:presLayoutVars>
      </dgm:prSet>
      <dgm:spPr/>
    </dgm:pt>
    <dgm:pt modelId="{2ED15F55-C40F-4488-BAE4-721105B2B260}" type="pres">
      <dgm:prSet presAssocID="{00DD42AC-8464-44A5-B250-80ED8B225946}" presName="parTrans" presStyleLbl="sibTrans2D1" presStyleIdx="4" presStyleCnt="5"/>
      <dgm:spPr/>
    </dgm:pt>
    <dgm:pt modelId="{F0EC1E1C-EC10-46D3-B7B1-23A64CC87495}" type="pres">
      <dgm:prSet presAssocID="{00DD42AC-8464-44A5-B250-80ED8B225946}" presName="connectorText" presStyleLbl="sibTrans2D1" presStyleIdx="4" presStyleCnt="5"/>
      <dgm:spPr/>
    </dgm:pt>
    <dgm:pt modelId="{78A8869F-93CB-4E01-8AF3-87FDFF9B7EEA}" type="pres">
      <dgm:prSet presAssocID="{7AD2E004-7DA8-4411-B8DC-D7C7719AC1CA}" presName="node" presStyleLbl="node1" presStyleIdx="4" presStyleCnt="5">
        <dgm:presLayoutVars>
          <dgm:bulletEnabled val="1"/>
        </dgm:presLayoutVars>
      </dgm:prSet>
      <dgm:spPr/>
    </dgm:pt>
  </dgm:ptLst>
  <dgm:cxnLst>
    <dgm:cxn modelId="{07F24005-F103-4694-BA1A-5D9EE97CCE2B}" type="presOf" srcId="{4D89CDED-BB77-419B-8568-CF40E7021FC1}" destId="{0E74279D-638E-4D85-9196-EE477DF06B28}" srcOrd="0" destOrd="0" presId="urn:microsoft.com/office/officeart/2005/8/layout/radial5"/>
    <dgm:cxn modelId="{1A256D08-EFC6-4DDF-B2E1-4F92A2104C48}" type="presOf" srcId="{C169CE2B-5857-4C0A-80A7-3498A9242C57}" destId="{32DA8740-0E7E-409C-BA25-6E0A6DC78F62}" srcOrd="0" destOrd="0" presId="urn:microsoft.com/office/officeart/2005/8/layout/radial5"/>
    <dgm:cxn modelId="{5479080B-E1D9-47EF-8D4D-666DF7B054AB}" srcId="{492B46D5-3265-4422-8687-BAE75E07EA03}" destId="{816432D3-2EF5-4A81-90FE-A6A569C53D61}" srcOrd="3" destOrd="0" parTransId="{D54A9148-612D-4F04-8BD2-AC7D06138D05}" sibTransId="{F7B9A385-5EFA-479E-A25A-F4FF1F3BA67A}"/>
    <dgm:cxn modelId="{84604F0B-B7C5-452D-B4B5-9BA448BBC2A2}" type="presOf" srcId="{6957E850-E893-4751-B5A4-45C892A814EC}" destId="{94C877BE-A0A6-4D7F-A324-CE11E1767D16}" srcOrd="0" destOrd="0" presId="urn:microsoft.com/office/officeart/2005/8/layout/radial5"/>
    <dgm:cxn modelId="{43C0EA3B-7CDA-4840-BCC1-B13E87AAD475}" srcId="{6957E850-E893-4751-B5A4-45C892A814EC}" destId="{492B46D5-3265-4422-8687-BAE75E07EA03}" srcOrd="0" destOrd="0" parTransId="{DFF8A311-3E5B-4FDD-B384-ED8C1FB26158}" sibTransId="{33B26444-0804-45EC-BD78-024348BC287B}"/>
    <dgm:cxn modelId="{D067A53C-2636-4385-9E2A-353B1F12EEC0}" type="presOf" srcId="{816432D3-2EF5-4A81-90FE-A6A569C53D61}" destId="{02F414F5-C3AF-4DBF-821D-0CA1C7F4EB8E}" srcOrd="0" destOrd="0" presId="urn:microsoft.com/office/officeart/2005/8/layout/radial5"/>
    <dgm:cxn modelId="{2BEDAD46-A33C-4430-A7A5-68D70C73EE3B}" type="presOf" srcId="{7E3CF0AB-A528-4004-8E2F-F9CC4869B329}" destId="{CD8D7664-698B-44EC-B195-C2F295B35FD2}" srcOrd="0" destOrd="0" presId="urn:microsoft.com/office/officeart/2005/8/layout/radial5"/>
    <dgm:cxn modelId="{8529F065-D33B-4A2B-865C-29968FA5BC6B}" type="presOf" srcId="{D54A9148-612D-4F04-8BD2-AC7D06138D05}" destId="{87EAF3DE-903A-4450-B5B5-666B2E779FDC}" srcOrd="1" destOrd="0" presId="urn:microsoft.com/office/officeart/2005/8/layout/radial5"/>
    <dgm:cxn modelId="{C814856E-5CB3-4EAF-AABC-91E724593ABF}" type="presOf" srcId="{492B46D5-3265-4422-8687-BAE75E07EA03}" destId="{7A9FA2E4-0C8D-4B9A-862A-A1441B5D1C56}" srcOrd="0" destOrd="0" presId="urn:microsoft.com/office/officeart/2005/8/layout/radial5"/>
    <dgm:cxn modelId="{A052596F-0BD2-43DE-8FD4-3BDD6E3AC4CB}" type="presOf" srcId="{EC610D2D-0009-4829-89C7-E02F28C86B45}" destId="{2DB72C76-42D1-4E49-93A5-0B9CBD5B9207}" srcOrd="0" destOrd="0" presId="urn:microsoft.com/office/officeart/2005/8/layout/radial5"/>
    <dgm:cxn modelId="{1A813D89-327D-4381-A4A3-85E84591F113}" type="presOf" srcId="{00DD42AC-8464-44A5-B250-80ED8B225946}" destId="{2ED15F55-C40F-4488-BAE4-721105B2B260}" srcOrd="0" destOrd="0" presId="urn:microsoft.com/office/officeart/2005/8/layout/radial5"/>
    <dgm:cxn modelId="{06B4538D-E962-45EE-8843-7DCB849E821C}" srcId="{492B46D5-3265-4422-8687-BAE75E07EA03}" destId="{FC5E1CFA-AE68-4D4F-BBFD-02F01C165338}" srcOrd="0" destOrd="0" parTransId="{4D89CDED-BB77-419B-8568-CF40E7021FC1}" sibTransId="{9C75B36F-4462-4818-8565-ADD6C517C26F}"/>
    <dgm:cxn modelId="{CBF6DD93-73F1-4CE8-B113-48C8801F0ADB}" srcId="{492B46D5-3265-4422-8687-BAE75E07EA03}" destId="{EC610D2D-0009-4829-89C7-E02F28C86B45}" srcOrd="1" destOrd="0" parTransId="{7E3CF0AB-A528-4004-8E2F-F9CC4869B329}" sibTransId="{33885E7C-2FD1-410B-B7A2-5C2A46E09DBE}"/>
    <dgm:cxn modelId="{35411D9D-E9A0-41FF-8348-0D803E547C61}" srcId="{492B46D5-3265-4422-8687-BAE75E07EA03}" destId="{7AD2E004-7DA8-4411-B8DC-D7C7719AC1CA}" srcOrd="4" destOrd="0" parTransId="{00DD42AC-8464-44A5-B250-80ED8B225946}" sibTransId="{50B86821-D761-44AE-978C-8A20E6E584F9}"/>
    <dgm:cxn modelId="{C87BA0B0-C593-4A11-9932-B2AF3196751A}" srcId="{492B46D5-3265-4422-8687-BAE75E07EA03}" destId="{FCA01C5B-6AB8-4184-BD6F-A32731C871E4}" srcOrd="2" destOrd="0" parTransId="{C169CE2B-5857-4C0A-80A7-3498A9242C57}" sibTransId="{827FCBA9-CCC2-4423-8F6F-FDA884F5F57B}"/>
    <dgm:cxn modelId="{993510C3-5C5F-43EE-A5E6-C22B11A4A8AC}" type="presOf" srcId="{FCA01C5B-6AB8-4184-BD6F-A32731C871E4}" destId="{AA674A48-DFEA-4574-9DC2-26A1BD8333BE}" srcOrd="0" destOrd="0" presId="urn:microsoft.com/office/officeart/2005/8/layout/radial5"/>
    <dgm:cxn modelId="{6BC97DC3-6956-4177-850D-28572EE9E565}" type="presOf" srcId="{7AD2E004-7DA8-4411-B8DC-D7C7719AC1CA}" destId="{78A8869F-93CB-4E01-8AF3-87FDFF9B7EEA}" srcOrd="0" destOrd="0" presId="urn:microsoft.com/office/officeart/2005/8/layout/radial5"/>
    <dgm:cxn modelId="{0759EBCB-18D1-47A7-8960-327E249A47D9}" type="presOf" srcId="{4D89CDED-BB77-419B-8568-CF40E7021FC1}" destId="{429CF8B6-DC5A-4013-BB82-0CBFC8E4999F}" srcOrd="1" destOrd="0" presId="urn:microsoft.com/office/officeart/2005/8/layout/radial5"/>
    <dgm:cxn modelId="{0015D1DF-4FD4-4AEB-A3A0-E5752F96627B}" type="presOf" srcId="{D54A9148-612D-4F04-8BD2-AC7D06138D05}" destId="{E1A38248-21DB-485F-8C47-ED8ADD2699DF}" srcOrd="0" destOrd="0" presId="urn:microsoft.com/office/officeart/2005/8/layout/radial5"/>
    <dgm:cxn modelId="{6DA967E3-CF4D-4108-905A-A518FDC21F66}" type="presOf" srcId="{00DD42AC-8464-44A5-B250-80ED8B225946}" destId="{F0EC1E1C-EC10-46D3-B7B1-23A64CC87495}" srcOrd="1" destOrd="0" presId="urn:microsoft.com/office/officeart/2005/8/layout/radial5"/>
    <dgm:cxn modelId="{50B436E9-C8C3-408E-8E9C-83F1A2CC830F}" type="presOf" srcId="{C169CE2B-5857-4C0A-80A7-3498A9242C57}" destId="{CBB93D0C-4F61-4528-97A0-C323EC3EB7A3}" srcOrd="1" destOrd="0" presId="urn:microsoft.com/office/officeart/2005/8/layout/radial5"/>
    <dgm:cxn modelId="{0F0D76F6-02E3-4243-954B-BBFE27C34D92}" type="presOf" srcId="{7E3CF0AB-A528-4004-8E2F-F9CC4869B329}" destId="{A208265D-90F4-4B52-B064-C57DDE9BC10A}" srcOrd="1" destOrd="0" presId="urn:microsoft.com/office/officeart/2005/8/layout/radial5"/>
    <dgm:cxn modelId="{D841A5F6-71F0-4D6C-B7E6-B30FA3B593B6}" type="presOf" srcId="{FC5E1CFA-AE68-4D4F-BBFD-02F01C165338}" destId="{2E020AFA-B1A3-488E-9404-9CF9DFBE0B72}" srcOrd="0" destOrd="0" presId="urn:microsoft.com/office/officeart/2005/8/layout/radial5"/>
    <dgm:cxn modelId="{1753CCDF-E80F-490F-B9CF-479772EF5019}" type="presParOf" srcId="{94C877BE-A0A6-4D7F-A324-CE11E1767D16}" destId="{7A9FA2E4-0C8D-4B9A-862A-A1441B5D1C56}" srcOrd="0" destOrd="0" presId="urn:microsoft.com/office/officeart/2005/8/layout/radial5"/>
    <dgm:cxn modelId="{9A7BEAB2-1180-4D0F-B164-8BDF0FA3A934}" type="presParOf" srcId="{94C877BE-A0A6-4D7F-A324-CE11E1767D16}" destId="{0E74279D-638E-4D85-9196-EE477DF06B28}" srcOrd="1" destOrd="0" presId="urn:microsoft.com/office/officeart/2005/8/layout/radial5"/>
    <dgm:cxn modelId="{AFA6C8E5-3C3B-43A3-897D-52589A2FBEEC}" type="presParOf" srcId="{0E74279D-638E-4D85-9196-EE477DF06B28}" destId="{429CF8B6-DC5A-4013-BB82-0CBFC8E4999F}" srcOrd="0" destOrd="0" presId="urn:microsoft.com/office/officeart/2005/8/layout/radial5"/>
    <dgm:cxn modelId="{B47773B9-5862-49FD-9B07-0EDDD6ECD6AC}" type="presParOf" srcId="{94C877BE-A0A6-4D7F-A324-CE11E1767D16}" destId="{2E020AFA-B1A3-488E-9404-9CF9DFBE0B72}" srcOrd="2" destOrd="0" presId="urn:microsoft.com/office/officeart/2005/8/layout/radial5"/>
    <dgm:cxn modelId="{200C4B19-D574-4941-B7F9-01D5CF52EEC3}" type="presParOf" srcId="{94C877BE-A0A6-4D7F-A324-CE11E1767D16}" destId="{CD8D7664-698B-44EC-B195-C2F295B35FD2}" srcOrd="3" destOrd="0" presId="urn:microsoft.com/office/officeart/2005/8/layout/radial5"/>
    <dgm:cxn modelId="{F03325F4-9972-4A2D-BA4C-85690B27A24E}" type="presParOf" srcId="{CD8D7664-698B-44EC-B195-C2F295B35FD2}" destId="{A208265D-90F4-4B52-B064-C57DDE9BC10A}" srcOrd="0" destOrd="0" presId="urn:microsoft.com/office/officeart/2005/8/layout/radial5"/>
    <dgm:cxn modelId="{A72437FF-0C8C-4FFE-8D29-B5411835FE66}" type="presParOf" srcId="{94C877BE-A0A6-4D7F-A324-CE11E1767D16}" destId="{2DB72C76-42D1-4E49-93A5-0B9CBD5B9207}" srcOrd="4" destOrd="0" presId="urn:microsoft.com/office/officeart/2005/8/layout/radial5"/>
    <dgm:cxn modelId="{D23EA661-AECA-4F69-BDE6-3E438EF61C62}" type="presParOf" srcId="{94C877BE-A0A6-4D7F-A324-CE11E1767D16}" destId="{32DA8740-0E7E-409C-BA25-6E0A6DC78F62}" srcOrd="5" destOrd="0" presId="urn:microsoft.com/office/officeart/2005/8/layout/radial5"/>
    <dgm:cxn modelId="{A75186BF-A76F-4F4D-BD3C-AD44E9B99588}" type="presParOf" srcId="{32DA8740-0E7E-409C-BA25-6E0A6DC78F62}" destId="{CBB93D0C-4F61-4528-97A0-C323EC3EB7A3}" srcOrd="0" destOrd="0" presId="urn:microsoft.com/office/officeart/2005/8/layout/radial5"/>
    <dgm:cxn modelId="{20DADB04-B9E6-4698-A26B-0A7687FFC0C2}" type="presParOf" srcId="{94C877BE-A0A6-4D7F-A324-CE11E1767D16}" destId="{AA674A48-DFEA-4574-9DC2-26A1BD8333BE}" srcOrd="6" destOrd="0" presId="urn:microsoft.com/office/officeart/2005/8/layout/radial5"/>
    <dgm:cxn modelId="{49B4A719-C598-4643-BA55-54D1569CE5E0}" type="presParOf" srcId="{94C877BE-A0A6-4D7F-A324-CE11E1767D16}" destId="{E1A38248-21DB-485F-8C47-ED8ADD2699DF}" srcOrd="7" destOrd="0" presId="urn:microsoft.com/office/officeart/2005/8/layout/radial5"/>
    <dgm:cxn modelId="{003E8A66-E9AC-43F8-AC5A-3157CE712532}" type="presParOf" srcId="{E1A38248-21DB-485F-8C47-ED8ADD2699DF}" destId="{87EAF3DE-903A-4450-B5B5-666B2E779FDC}" srcOrd="0" destOrd="0" presId="urn:microsoft.com/office/officeart/2005/8/layout/radial5"/>
    <dgm:cxn modelId="{39EF1D13-0EDE-4B0E-A0EA-55E4E49EC550}" type="presParOf" srcId="{94C877BE-A0A6-4D7F-A324-CE11E1767D16}" destId="{02F414F5-C3AF-4DBF-821D-0CA1C7F4EB8E}" srcOrd="8" destOrd="0" presId="urn:microsoft.com/office/officeart/2005/8/layout/radial5"/>
    <dgm:cxn modelId="{DF24B1A9-B009-483E-B865-894AB48DCF94}" type="presParOf" srcId="{94C877BE-A0A6-4D7F-A324-CE11E1767D16}" destId="{2ED15F55-C40F-4488-BAE4-721105B2B260}" srcOrd="9" destOrd="0" presId="urn:microsoft.com/office/officeart/2005/8/layout/radial5"/>
    <dgm:cxn modelId="{CCFB3620-2147-4EA6-A866-44C3685CEFED}" type="presParOf" srcId="{2ED15F55-C40F-4488-BAE4-721105B2B260}" destId="{F0EC1E1C-EC10-46D3-B7B1-23A64CC87495}" srcOrd="0" destOrd="0" presId="urn:microsoft.com/office/officeart/2005/8/layout/radial5"/>
    <dgm:cxn modelId="{71A71C10-C390-4B72-97F5-6B4CBD624F7D}" type="presParOf" srcId="{94C877BE-A0A6-4D7F-A324-CE11E1767D16}" destId="{78A8869F-93CB-4E01-8AF3-87FDFF9B7EEA}" srcOrd="10"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5AE0DF9-47B1-449A-9C04-A83D7B2458E5}" type="doc">
      <dgm:prSet loTypeId="urn:microsoft.com/office/officeart/2005/8/layout/list1" loCatId="list" qsTypeId="urn:microsoft.com/office/officeart/2005/8/quickstyle/3d1" qsCatId="3D" csTypeId="urn:microsoft.com/office/officeart/2005/8/colors/accent1_2" csCatId="accent1" phldr="1"/>
      <dgm:spPr/>
      <dgm:t>
        <a:bodyPr/>
        <a:lstStyle/>
        <a:p>
          <a:endParaRPr lang="en-US"/>
        </a:p>
      </dgm:t>
    </dgm:pt>
    <dgm:pt modelId="{B931B7C0-F58C-4FEC-B329-B19BC19DF957}">
      <dgm:prSet/>
      <dgm:spPr/>
      <dgm:t>
        <a:bodyPr/>
        <a:lstStyle/>
        <a:p>
          <a:r>
            <a:rPr lang="en-US"/>
            <a:t>Clarity</a:t>
          </a:r>
        </a:p>
      </dgm:t>
    </dgm:pt>
    <dgm:pt modelId="{E21B5D98-9AD0-490A-A928-D2236C9BC74D}" type="parTrans" cxnId="{691E7F5D-7C9B-472F-BE81-06F5B7885CC5}">
      <dgm:prSet/>
      <dgm:spPr/>
      <dgm:t>
        <a:bodyPr/>
        <a:lstStyle/>
        <a:p>
          <a:endParaRPr lang="en-US"/>
        </a:p>
      </dgm:t>
    </dgm:pt>
    <dgm:pt modelId="{B2D5064D-8D16-45C9-875E-E419D00B9AD0}" type="sibTrans" cxnId="{691E7F5D-7C9B-472F-BE81-06F5B7885CC5}">
      <dgm:prSet/>
      <dgm:spPr/>
      <dgm:t>
        <a:bodyPr/>
        <a:lstStyle/>
        <a:p>
          <a:endParaRPr lang="en-US"/>
        </a:p>
      </dgm:t>
    </dgm:pt>
    <dgm:pt modelId="{6CB4F4FB-99BB-4184-ACAC-F4014A7329EB}">
      <dgm:prSet/>
      <dgm:spPr/>
      <dgm:t>
        <a:bodyPr/>
        <a:lstStyle/>
        <a:p>
          <a:r>
            <a:rPr lang="en-US"/>
            <a:t>Recognition</a:t>
          </a:r>
        </a:p>
      </dgm:t>
    </dgm:pt>
    <dgm:pt modelId="{EDE48DDF-D715-46BA-A74E-00625808B3B9}" type="parTrans" cxnId="{CF2193EE-9E5F-4BE5-A07D-573746C5692E}">
      <dgm:prSet/>
      <dgm:spPr/>
      <dgm:t>
        <a:bodyPr/>
        <a:lstStyle/>
        <a:p>
          <a:endParaRPr lang="en-US"/>
        </a:p>
      </dgm:t>
    </dgm:pt>
    <dgm:pt modelId="{D8DDDD9C-AAF6-4654-9298-445CFDC2FD69}" type="sibTrans" cxnId="{CF2193EE-9E5F-4BE5-A07D-573746C5692E}">
      <dgm:prSet/>
      <dgm:spPr/>
      <dgm:t>
        <a:bodyPr/>
        <a:lstStyle/>
        <a:p>
          <a:endParaRPr lang="en-US"/>
        </a:p>
      </dgm:t>
    </dgm:pt>
    <dgm:pt modelId="{18348847-42A6-48E0-86DE-6E8EC14391F2}">
      <dgm:prSet/>
      <dgm:spPr/>
      <dgm:t>
        <a:bodyPr/>
        <a:lstStyle/>
        <a:p>
          <a:r>
            <a:rPr lang="en-US"/>
            <a:t>Reliability</a:t>
          </a:r>
        </a:p>
      </dgm:t>
    </dgm:pt>
    <dgm:pt modelId="{EC54F5BA-9F7E-475A-9D73-E02F42FF73C1}" type="parTrans" cxnId="{18642444-FBE5-4B46-AF31-565596B752D2}">
      <dgm:prSet/>
      <dgm:spPr/>
      <dgm:t>
        <a:bodyPr/>
        <a:lstStyle/>
        <a:p>
          <a:endParaRPr lang="en-US"/>
        </a:p>
      </dgm:t>
    </dgm:pt>
    <dgm:pt modelId="{2ACDC083-160D-4A7B-A3F8-ADFA0ABD7C6B}" type="sibTrans" cxnId="{18642444-FBE5-4B46-AF31-565596B752D2}">
      <dgm:prSet/>
      <dgm:spPr/>
      <dgm:t>
        <a:bodyPr/>
        <a:lstStyle/>
        <a:p>
          <a:endParaRPr lang="en-US"/>
        </a:p>
      </dgm:t>
    </dgm:pt>
    <dgm:pt modelId="{A1628F2A-B456-4D6A-9579-492C384A58B5}">
      <dgm:prSet/>
      <dgm:spPr/>
      <dgm:t>
        <a:bodyPr/>
        <a:lstStyle/>
        <a:p>
          <a:r>
            <a:rPr lang="en-US"/>
            <a:t>Trust</a:t>
          </a:r>
        </a:p>
      </dgm:t>
    </dgm:pt>
    <dgm:pt modelId="{435B25E4-BB0F-4AF8-96C4-2AEC32022016}" type="parTrans" cxnId="{0389A6B4-60A1-43A2-B065-A95C6D347CEC}">
      <dgm:prSet/>
      <dgm:spPr/>
      <dgm:t>
        <a:bodyPr/>
        <a:lstStyle/>
        <a:p>
          <a:endParaRPr lang="en-US"/>
        </a:p>
      </dgm:t>
    </dgm:pt>
    <dgm:pt modelId="{432015D2-C66F-42B9-BC77-2360CB5D1F32}" type="sibTrans" cxnId="{0389A6B4-60A1-43A2-B065-A95C6D347CEC}">
      <dgm:prSet/>
      <dgm:spPr/>
      <dgm:t>
        <a:bodyPr/>
        <a:lstStyle/>
        <a:p>
          <a:endParaRPr lang="en-US"/>
        </a:p>
      </dgm:t>
    </dgm:pt>
    <dgm:pt modelId="{B56FFDCB-A73E-4C5B-94DA-649BD696F378}">
      <dgm:prSet/>
      <dgm:spPr/>
      <dgm:t>
        <a:bodyPr/>
        <a:lstStyle/>
        <a:p>
          <a:r>
            <a:rPr lang="en-US"/>
            <a:t>Loyalty</a:t>
          </a:r>
        </a:p>
      </dgm:t>
    </dgm:pt>
    <dgm:pt modelId="{584FD331-43A8-4928-9686-DB4754B1B1BD}" type="parTrans" cxnId="{49732A90-8012-4D5D-9BC3-A9CE77AD0514}">
      <dgm:prSet/>
      <dgm:spPr/>
      <dgm:t>
        <a:bodyPr/>
        <a:lstStyle/>
        <a:p>
          <a:endParaRPr lang="en-US"/>
        </a:p>
      </dgm:t>
    </dgm:pt>
    <dgm:pt modelId="{857BDC88-8B28-4450-873A-B9A62A8C196F}" type="sibTrans" cxnId="{49732A90-8012-4D5D-9BC3-A9CE77AD0514}">
      <dgm:prSet/>
      <dgm:spPr/>
      <dgm:t>
        <a:bodyPr/>
        <a:lstStyle/>
        <a:p>
          <a:endParaRPr lang="en-US"/>
        </a:p>
      </dgm:t>
    </dgm:pt>
    <dgm:pt modelId="{943268F7-8B1B-4DAD-92FB-1D8BFF569ECB}" type="pres">
      <dgm:prSet presAssocID="{75AE0DF9-47B1-449A-9C04-A83D7B2458E5}" presName="linear" presStyleCnt="0">
        <dgm:presLayoutVars>
          <dgm:dir/>
          <dgm:animLvl val="lvl"/>
          <dgm:resizeHandles val="exact"/>
        </dgm:presLayoutVars>
      </dgm:prSet>
      <dgm:spPr/>
    </dgm:pt>
    <dgm:pt modelId="{799049B5-23D3-4628-A3D7-C81D7FE9DBBB}" type="pres">
      <dgm:prSet presAssocID="{B931B7C0-F58C-4FEC-B329-B19BC19DF957}" presName="parentLin" presStyleCnt="0"/>
      <dgm:spPr/>
    </dgm:pt>
    <dgm:pt modelId="{32130D1F-0471-4E81-8872-6186878A6CFD}" type="pres">
      <dgm:prSet presAssocID="{B931B7C0-F58C-4FEC-B329-B19BC19DF957}" presName="parentLeftMargin" presStyleLbl="node1" presStyleIdx="0" presStyleCnt="5"/>
      <dgm:spPr/>
    </dgm:pt>
    <dgm:pt modelId="{9140C5FC-4442-4264-950B-B67D034F7D1C}" type="pres">
      <dgm:prSet presAssocID="{B931B7C0-F58C-4FEC-B329-B19BC19DF957}" presName="parentText" presStyleLbl="node1" presStyleIdx="0" presStyleCnt="5">
        <dgm:presLayoutVars>
          <dgm:chMax val="0"/>
          <dgm:bulletEnabled val="1"/>
        </dgm:presLayoutVars>
      </dgm:prSet>
      <dgm:spPr/>
    </dgm:pt>
    <dgm:pt modelId="{5AC17D6B-7842-4185-838F-90627FD50435}" type="pres">
      <dgm:prSet presAssocID="{B931B7C0-F58C-4FEC-B329-B19BC19DF957}" presName="negativeSpace" presStyleCnt="0"/>
      <dgm:spPr/>
    </dgm:pt>
    <dgm:pt modelId="{F1699222-BCAD-457F-8B36-813D1516962F}" type="pres">
      <dgm:prSet presAssocID="{B931B7C0-F58C-4FEC-B329-B19BC19DF957}" presName="childText" presStyleLbl="conFgAcc1" presStyleIdx="0" presStyleCnt="5">
        <dgm:presLayoutVars>
          <dgm:bulletEnabled val="1"/>
        </dgm:presLayoutVars>
      </dgm:prSet>
      <dgm:spPr/>
    </dgm:pt>
    <dgm:pt modelId="{99C32402-960B-4854-9255-8A8AF0016232}" type="pres">
      <dgm:prSet presAssocID="{B2D5064D-8D16-45C9-875E-E419D00B9AD0}" presName="spaceBetweenRectangles" presStyleCnt="0"/>
      <dgm:spPr/>
    </dgm:pt>
    <dgm:pt modelId="{EFBF7BDA-C3C9-4B2A-843E-B08303663F6C}" type="pres">
      <dgm:prSet presAssocID="{6CB4F4FB-99BB-4184-ACAC-F4014A7329EB}" presName="parentLin" presStyleCnt="0"/>
      <dgm:spPr/>
    </dgm:pt>
    <dgm:pt modelId="{DDE51D19-F935-4BA4-A506-759AB57B3AE7}" type="pres">
      <dgm:prSet presAssocID="{6CB4F4FB-99BB-4184-ACAC-F4014A7329EB}" presName="parentLeftMargin" presStyleLbl="node1" presStyleIdx="0" presStyleCnt="5"/>
      <dgm:spPr/>
    </dgm:pt>
    <dgm:pt modelId="{C4012B80-5CB9-425D-A6BB-9636D99BED52}" type="pres">
      <dgm:prSet presAssocID="{6CB4F4FB-99BB-4184-ACAC-F4014A7329EB}" presName="parentText" presStyleLbl="node1" presStyleIdx="1" presStyleCnt="5">
        <dgm:presLayoutVars>
          <dgm:chMax val="0"/>
          <dgm:bulletEnabled val="1"/>
        </dgm:presLayoutVars>
      </dgm:prSet>
      <dgm:spPr/>
    </dgm:pt>
    <dgm:pt modelId="{4CD7E56D-606B-44CB-83BD-AE492E95024B}" type="pres">
      <dgm:prSet presAssocID="{6CB4F4FB-99BB-4184-ACAC-F4014A7329EB}" presName="negativeSpace" presStyleCnt="0"/>
      <dgm:spPr/>
    </dgm:pt>
    <dgm:pt modelId="{ED3B5657-2A6F-4C82-BB88-01F744FCE472}" type="pres">
      <dgm:prSet presAssocID="{6CB4F4FB-99BB-4184-ACAC-F4014A7329EB}" presName="childText" presStyleLbl="conFgAcc1" presStyleIdx="1" presStyleCnt="5">
        <dgm:presLayoutVars>
          <dgm:bulletEnabled val="1"/>
        </dgm:presLayoutVars>
      </dgm:prSet>
      <dgm:spPr/>
    </dgm:pt>
    <dgm:pt modelId="{3FA5EF2D-2CD3-42BF-B266-DFBFB259D181}" type="pres">
      <dgm:prSet presAssocID="{D8DDDD9C-AAF6-4654-9298-445CFDC2FD69}" presName="spaceBetweenRectangles" presStyleCnt="0"/>
      <dgm:spPr/>
    </dgm:pt>
    <dgm:pt modelId="{6A67EBDE-1F13-4856-B02E-DDF8217F9C57}" type="pres">
      <dgm:prSet presAssocID="{18348847-42A6-48E0-86DE-6E8EC14391F2}" presName="parentLin" presStyleCnt="0"/>
      <dgm:spPr/>
    </dgm:pt>
    <dgm:pt modelId="{A372DFAF-1433-4298-99B6-FC957DA440F9}" type="pres">
      <dgm:prSet presAssocID="{18348847-42A6-48E0-86DE-6E8EC14391F2}" presName="parentLeftMargin" presStyleLbl="node1" presStyleIdx="1" presStyleCnt="5"/>
      <dgm:spPr/>
    </dgm:pt>
    <dgm:pt modelId="{FF9E7DBE-744C-47EC-97FC-3BCFE84A1B6B}" type="pres">
      <dgm:prSet presAssocID="{18348847-42A6-48E0-86DE-6E8EC14391F2}" presName="parentText" presStyleLbl="node1" presStyleIdx="2" presStyleCnt="5">
        <dgm:presLayoutVars>
          <dgm:chMax val="0"/>
          <dgm:bulletEnabled val="1"/>
        </dgm:presLayoutVars>
      </dgm:prSet>
      <dgm:spPr/>
    </dgm:pt>
    <dgm:pt modelId="{B3DDB822-0CA0-46CD-BC1E-AA0014E0BCFB}" type="pres">
      <dgm:prSet presAssocID="{18348847-42A6-48E0-86DE-6E8EC14391F2}" presName="negativeSpace" presStyleCnt="0"/>
      <dgm:spPr/>
    </dgm:pt>
    <dgm:pt modelId="{E84D4540-9F10-4A01-A029-EAE9A5061E46}" type="pres">
      <dgm:prSet presAssocID="{18348847-42A6-48E0-86DE-6E8EC14391F2}" presName="childText" presStyleLbl="conFgAcc1" presStyleIdx="2" presStyleCnt="5">
        <dgm:presLayoutVars>
          <dgm:bulletEnabled val="1"/>
        </dgm:presLayoutVars>
      </dgm:prSet>
      <dgm:spPr/>
    </dgm:pt>
    <dgm:pt modelId="{022B819A-247A-4B30-82D4-424CD774D8B6}" type="pres">
      <dgm:prSet presAssocID="{2ACDC083-160D-4A7B-A3F8-ADFA0ABD7C6B}" presName="spaceBetweenRectangles" presStyleCnt="0"/>
      <dgm:spPr/>
    </dgm:pt>
    <dgm:pt modelId="{0A378232-51E1-4193-AE10-EAAB6933144B}" type="pres">
      <dgm:prSet presAssocID="{A1628F2A-B456-4D6A-9579-492C384A58B5}" presName="parentLin" presStyleCnt="0"/>
      <dgm:spPr/>
    </dgm:pt>
    <dgm:pt modelId="{A5C1F87F-2339-45F8-BD80-F350967E8A3B}" type="pres">
      <dgm:prSet presAssocID="{A1628F2A-B456-4D6A-9579-492C384A58B5}" presName="parentLeftMargin" presStyleLbl="node1" presStyleIdx="2" presStyleCnt="5"/>
      <dgm:spPr/>
    </dgm:pt>
    <dgm:pt modelId="{370694E0-7237-4961-B2E0-D6DCF7B4C615}" type="pres">
      <dgm:prSet presAssocID="{A1628F2A-B456-4D6A-9579-492C384A58B5}" presName="parentText" presStyleLbl="node1" presStyleIdx="3" presStyleCnt="5">
        <dgm:presLayoutVars>
          <dgm:chMax val="0"/>
          <dgm:bulletEnabled val="1"/>
        </dgm:presLayoutVars>
      </dgm:prSet>
      <dgm:spPr/>
    </dgm:pt>
    <dgm:pt modelId="{FEF09FD0-83CD-4C45-8DCC-01EC07BD104E}" type="pres">
      <dgm:prSet presAssocID="{A1628F2A-B456-4D6A-9579-492C384A58B5}" presName="negativeSpace" presStyleCnt="0"/>
      <dgm:spPr/>
    </dgm:pt>
    <dgm:pt modelId="{8D1E9E93-001A-4DD4-BF46-B4C513762C1D}" type="pres">
      <dgm:prSet presAssocID="{A1628F2A-B456-4D6A-9579-492C384A58B5}" presName="childText" presStyleLbl="conFgAcc1" presStyleIdx="3" presStyleCnt="5">
        <dgm:presLayoutVars>
          <dgm:bulletEnabled val="1"/>
        </dgm:presLayoutVars>
      </dgm:prSet>
      <dgm:spPr/>
    </dgm:pt>
    <dgm:pt modelId="{DD150BA3-E48C-4B0F-888E-BB955932AADD}" type="pres">
      <dgm:prSet presAssocID="{432015D2-C66F-42B9-BC77-2360CB5D1F32}" presName="spaceBetweenRectangles" presStyleCnt="0"/>
      <dgm:spPr/>
    </dgm:pt>
    <dgm:pt modelId="{7A60286B-B39B-4081-87FD-855897ED429A}" type="pres">
      <dgm:prSet presAssocID="{B56FFDCB-A73E-4C5B-94DA-649BD696F378}" presName="parentLin" presStyleCnt="0"/>
      <dgm:spPr/>
    </dgm:pt>
    <dgm:pt modelId="{418E32D7-A47F-409C-9AAB-0108EAF2E153}" type="pres">
      <dgm:prSet presAssocID="{B56FFDCB-A73E-4C5B-94DA-649BD696F378}" presName="parentLeftMargin" presStyleLbl="node1" presStyleIdx="3" presStyleCnt="5"/>
      <dgm:spPr/>
    </dgm:pt>
    <dgm:pt modelId="{84EB460F-BF36-4736-8529-0C8065FD1347}" type="pres">
      <dgm:prSet presAssocID="{B56FFDCB-A73E-4C5B-94DA-649BD696F378}" presName="parentText" presStyleLbl="node1" presStyleIdx="4" presStyleCnt="5">
        <dgm:presLayoutVars>
          <dgm:chMax val="0"/>
          <dgm:bulletEnabled val="1"/>
        </dgm:presLayoutVars>
      </dgm:prSet>
      <dgm:spPr/>
    </dgm:pt>
    <dgm:pt modelId="{C725D3D5-55E8-4BE3-8A05-001224F6035D}" type="pres">
      <dgm:prSet presAssocID="{B56FFDCB-A73E-4C5B-94DA-649BD696F378}" presName="negativeSpace" presStyleCnt="0"/>
      <dgm:spPr/>
    </dgm:pt>
    <dgm:pt modelId="{456BEB42-A593-43C0-8F71-A50FA2227558}" type="pres">
      <dgm:prSet presAssocID="{B56FFDCB-A73E-4C5B-94DA-649BD696F378}" presName="childText" presStyleLbl="conFgAcc1" presStyleIdx="4" presStyleCnt="5">
        <dgm:presLayoutVars>
          <dgm:bulletEnabled val="1"/>
        </dgm:presLayoutVars>
      </dgm:prSet>
      <dgm:spPr/>
    </dgm:pt>
  </dgm:ptLst>
  <dgm:cxnLst>
    <dgm:cxn modelId="{CD84ED3C-0DFF-449E-8ECF-C04036E02EFC}" type="presOf" srcId="{B56FFDCB-A73E-4C5B-94DA-649BD696F378}" destId="{84EB460F-BF36-4736-8529-0C8065FD1347}" srcOrd="1" destOrd="0" presId="urn:microsoft.com/office/officeart/2005/8/layout/list1"/>
    <dgm:cxn modelId="{17EA7A40-6460-4BF5-98FA-0A32A9C83CB5}" type="presOf" srcId="{18348847-42A6-48E0-86DE-6E8EC14391F2}" destId="{FF9E7DBE-744C-47EC-97FC-3BCFE84A1B6B}" srcOrd="1" destOrd="0" presId="urn:microsoft.com/office/officeart/2005/8/layout/list1"/>
    <dgm:cxn modelId="{18642444-FBE5-4B46-AF31-565596B752D2}" srcId="{75AE0DF9-47B1-449A-9C04-A83D7B2458E5}" destId="{18348847-42A6-48E0-86DE-6E8EC14391F2}" srcOrd="2" destOrd="0" parTransId="{EC54F5BA-9F7E-475A-9D73-E02F42FF73C1}" sibTransId="{2ACDC083-160D-4A7B-A3F8-ADFA0ABD7C6B}"/>
    <dgm:cxn modelId="{AE3A1747-3EFA-4232-950D-51C9DFBB1A28}" type="presOf" srcId="{B931B7C0-F58C-4FEC-B329-B19BC19DF957}" destId="{32130D1F-0471-4E81-8872-6186878A6CFD}" srcOrd="0" destOrd="0" presId="urn:microsoft.com/office/officeart/2005/8/layout/list1"/>
    <dgm:cxn modelId="{0348FD51-80D9-4A58-91D6-2DE39F8FD23D}" type="presOf" srcId="{6CB4F4FB-99BB-4184-ACAC-F4014A7329EB}" destId="{C4012B80-5CB9-425D-A6BB-9636D99BED52}" srcOrd="1" destOrd="0" presId="urn:microsoft.com/office/officeart/2005/8/layout/list1"/>
    <dgm:cxn modelId="{691E7F5D-7C9B-472F-BE81-06F5B7885CC5}" srcId="{75AE0DF9-47B1-449A-9C04-A83D7B2458E5}" destId="{B931B7C0-F58C-4FEC-B329-B19BC19DF957}" srcOrd="0" destOrd="0" parTransId="{E21B5D98-9AD0-490A-A928-D2236C9BC74D}" sibTransId="{B2D5064D-8D16-45C9-875E-E419D00B9AD0}"/>
    <dgm:cxn modelId="{024CE562-B393-4581-AD8D-F897CF100283}" type="presOf" srcId="{A1628F2A-B456-4D6A-9579-492C384A58B5}" destId="{A5C1F87F-2339-45F8-BD80-F350967E8A3B}" srcOrd="0" destOrd="0" presId="urn:microsoft.com/office/officeart/2005/8/layout/list1"/>
    <dgm:cxn modelId="{5544097D-4219-4E78-819C-E7F178FEF4F0}" type="presOf" srcId="{B56FFDCB-A73E-4C5B-94DA-649BD696F378}" destId="{418E32D7-A47F-409C-9AAB-0108EAF2E153}" srcOrd="0" destOrd="0" presId="urn:microsoft.com/office/officeart/2005/8/layout/list1"/>
    <dgm:cxn modelId="{49732A90-8012-4D5D-9BC3-A9CE77AD0514}" srcId="{75AE0DF9-47B1-449A-9C04-A83D7B2458E5}" destId="{B56FFDCB-A73E-4C5B-94DA-649BD696F378}" srcOrd="4" destOrd="0" parTransId="{584FD331-43A8-4928-9686-DB4754B1B1BD}" sibTransId="{857BDC88-8B28-4450-873A-B9A62A8C196F}"/>
    <dgm:cxn modelId="{05B557AA-DB1A-45F7-A8EE-C5B89094442C}" type="presOf" srcId="{A1628F2A-B456-4D6A-9579-492C384A58B5}" destId="{370694E0-7237-4961-B2E0-D6DCF7B4C615}" srcOrd="1" destOrd="0" presId="urn:microsoft.com/office/officeart/2005/8/layout/list1"/>
    <dgm:cxn modelId="{93384FB4-BA51-4075-8EAB-849DE4028507}" type="presOf" srcId="{B931B7C0-F58C-4FEC-B329-B19BC19DF957}" destId="{9140C5FC-4442-4264-950B-B67D034F7D1C}" srcOrd="1" destOrd="0" presId="urn:microsoft.com/office/officeart/2005/8/layout/list1"/>
    <dgm:cxn modelId="{0389A6B4-60A1-43A2-B065-A95C6D347CEC}" srcId="{75AE0DF9-47B1-449A-9C04-A83D7B2458E5}" destId="{A1628F2A-B456-4D6A-9579-492C384A58B5}" srcOrd="3" destOrd="0" parTransId="{435B25E4-BB0F-4AF8-96C4-2AEC32022016}" sibTransId="{432015D2-C66F-42B9-BC77-2360CB5D1F32}"/>
    <dgm:cxn modelId="{BF7220C2-D4A9-4F4B-8D60-596C8B06BD9E}" type="presOf" srcId="{18348847-42A6-48E0-86DE-6E8EC14391F2}" destId="{A372DFAF-1433-4298-99B6-FC957DA440F9}" srcOrd="0" destOrd="0" presId="urn:microsoft.com/office/officeart/2005/8/layout/list1"/>
    <dgm:cxn modelId="{96D4FAC8-FEDE-4807-83A0-63232FC71133}" type="presOf" srcId="{75AE0DF9-47B1-449A-9C04-A83D7B2458E5}" destId="{943268F7-8B1B-4DAD-92FB-1D8BFF569ECB}" srcOrd="0" destOrd="0" presId="urn:microsoft.com/office/officeart/2005/8/layout/list1"/>
    <dgm:cxn modelId="{481DD9DD-AF49-4985-918A-FFEC066B9D7F}" type="presOf" srcId="{6CB4F4FB-99BB-4184-ACAC-F4014A7329EB}" destId="{DDE51D19-F935-4BA4-A506-759AB57B3AE7}" srcOrd="0" destOrd="0" presId="urn:microsoft.com/office/officeart/2005/8/layout/list1"/>
    <dgm:cxn modelId="{CF2193EE-9E5F-4BE5-A07D-573746C5692E}" srcId="{75AE0DF9-47B1-449A-9C04-A83D7B2458E5}" destId="{6CB4F4FB-99BB-4184-ACAC-F4014A7329EB}" srcOrd="1" destOrd="0" parTransId="{EDE48DDF-D715-46BA-A74E-00625808B3B9}" sibTransId="{D8DDDD9C-AAF6-4654-9298-445CFDC2FD69}"/>
    <dgm:cxn modelId="{DC8E3144-305F-4572-825C-5929B642D2C0}" type="presParOf" srcId="{943268F7-8B1B-4DAD-92FB-1D8BFF569ECB}" destId="{799049B5-23D3-4628-A3D7-C81D7FE9DBBB}" srcOrd="0" destOrd="0" presId="urn:microsoft.com/office/officeart/2005/8/layout/list1"/>
    <dgm:cxn modelId="{065699F5-AFA0-446B-A85C-DAF73D90B2E7}" type="presParOf" srcId="{799049B5-23D3-4628-A3D7-C81D7FE9DBBB}" destId="{32130D1F-0471-4E81-8872-6186878A6CFD}" srcOrd="0" destOrd="0" presId="urn:microsoft.com/office/officeart/2005/8/layout/list1"/>
    <dgm:cxn modelId="{618811A2-A30C-42E2-AADD-CA421A367330}" type="presParOf" srcId="{799049B5-23D3-4628-A3D7-C81D7FE9DBBB}" destId="{9140C5FC-4442-4264-950B-B67D034F7D1C}" srcOrd="1" destOrd="0" presId="urn:microsoft.com/office/officeart/2005/8/layout/list1"/>
    <dgm:cxn modelId="{D5C476FE-CA0E-4862-8D5A-CB2259A29140}" type="presParOf" srcId="{943268F7-8B1B-4DAD-92FB-1D8BFF569ECB}" destId="{5AC17D6B-7842-4185-838F-90627FD50435}" srcOrd="1" destOrd="0" presId="urn:microsoft.com/office/officeart/2005/8/layout/list1"/>
    <dgm:cxn modelId="{7AC2DC67-85F1-4964-9013-BE2FCC32D7ED}" type="presParOf" srcId="{943268F7-8B1B-4DAD-92FB-1D8BFF569ECB}" destId="{F1699222-BCAD-457F-8B36-813D1516962F}" srcOrd="2" destOrd="0" presId="urn:microsoft.com/office/officeart/2005/8/layout/list1"/>
    <dgm:cxn modelId="{BB058ABF-BD08-4098-8D00-CC579F728223}" type="presParOf" srcId="{943268F7-8B1B-4DAD-92FB-1D8BFF569ECB}" destId="{99C32402-960B-4854-9255-8A8AF0016232}" srcOrd="3" destOrd="0" presId="urn:microsoft.com/office/officeart/2005/8/layout/list1"/>
    <dgm:cxn modelId="{851D8C1A-F27F-4B30-8DE6-EE7A4A755253}" type="presParOf" srcId="{943268F7-8B1B-4DAD-92FB-1D8BFF569ECB}" destId="{EFBF7BDA-C3C9-4B2A-843E-B08303663F6C}" srcOrd="4" destOrd="0" presId="urn:microsoft.com/office/officeart/2005/8/layout/list1"/>
    <dgm:cxn modelId="{BAD67CAA-6253-403E-BEF2-6BD53F2C8616}" type="presParOf" srcId="{EFBF7BDA-C3C9-4B2A-843E-B08303663F6C}" destId="{DDE51D19-F935-4BA4-A506-759AB57B3AE7}" srcOrd="0" destOrd="0" presId="urn:microsoft.com/office/officeart/2005/8/layout/list1"/>
    <dgm:cxn modelId="{242161FE-6EA0-4214-840B-4E9DC0479223}" type="presParOf" srcId="{EFBF7BDA-C3C9-4B2A-843E-B08303663F6C}" destId="{C4012B80-5CB9-425D-A6BB-9636D99BED52}" srcOrd="1" destOrd="0" presId="urn:microsoft.com/office/officeart/2005/8/layout/list1"/>
    <dgm:cxn modelId="{41436B07-4E6A-4F3C-B904-51A4BEDFDB61}" type="presParOf" srcId="{943268F7-8B1B-4DAD-92FB-1D8BFF569ECB}" destId="{4CD7E56D-606B-44CB-83BD-AE492E95024B}" srcOrd="5" destOrd="0" presId="urn:microsoft.com/office/officeart/2005/8/layout/list1"/>
    <dgm:cxn modelId="{D23284A7-59BF-4956-A00F-1397E140BF98}" type="presParOf" srcId="{943268F7-8B1B-4DAD-92FB-1D8BFF569ECB}" destId="{ED3B5657-2A6F-4C82-BB88-01F744FCE472}" srcOrd="6" destOrd="0" presId="urn:microsoft.com/office/officeart/2005/8/layout/list1"/>
    <dgm:cxn modelId="{02E15227-9CAC-4E5E-86C8-773BFDB9831F}" type="presParOf" srcId="{943268F7-8B1B-4DAD-92FB-1D8BFF569ECB}" destId="{3FA5EF2D-2CD3-42BF-B266-DFBFB259D181}" srcOrd="7" destOrd="0" presId="urn:microsoft.com/office/officeart/2005/8/layout/list1"/>
    <dgm:cxn modelId="{89F3D6E5-A0B9-4427-A3D7-745FCD1BB23E}" type="presParOf" srcId="{943268F7-8B1B-4DAD-92FB-1D8BFF569ECB}" destId="{6A67EBDE-1F13-4856-B02E-DDF8217F9C57}" srcOrd="8" destOrd="0" presId="urn:microsoft.com/office/officeart/2005/8/layout/list1"/>
    <dgm:cxn modelId="{38726FBB-5387-4C9E-9191-9AE3307BBCF6}" type="presParOf" srcId="{6A67EBDE-1F13-4856-B02E-DDF8217F9C57}" destId="{A372DFAF-1433-4298-99B6-FC957DA440F9}" srcOrd="0" destOrd="0" presId="urn:microsoft.com/office/officeart/2005/8/layout/list1"/>
    <dgm:cxn modelId="{7541D45F-8239-48B8-8E23-26DB956F4A4F}" type="presParOf" srcId="{6A67EBDE-1F13-4856-B02E-DDF8217F9C57}" destId="{FF9E7DBE-744C-47EC-97FC-3BCFE84A1B6B}" srcOrd="1" destOrd="0" presId="urn:microsoft.com/office/officeart/2005/8/layout/list1"/>
    <dgm:cxn modelId="{3ED5A6CC-0D88-4ECA-81D3-1BEBBC0B3B01}" type="presParOf" srcId="{943268F7-8B1B-4DAD-92FB-1D8BFF569ECB}" destId="{B3DDB822-0CA0-46CD-BC1E-AA0014E0BCFB}" srcOrd="9" destOrd="0" presId="urn:microsoft.com/office/officeart/2005/8/layout/list1"/>
    <dgm:cxn modelId="{EB1F2399-5F05-4165-8DAB-46B79CEF2FFA}" type="presParOf" srcId="{943268F7-8B1B-4DAD-92FB-1D8BFF569ECB}" destId="{E84D4540-9F10-4A01-A029-EAE9A5061E46}" srcOrd="10" destOrd="0" presId="urn:microsoft.com/office/officeart/2005/8/layout/list1"/>
    <dgm:cxn modelId="{B1BAFD99-20A3-4390-B13B-228E64561EAE}" type="presParOf" srcId="{943268F7-8B1B-4DAD-92FB-1D8BFF569ECB}" destId="{022B819A-247A-4B30-82D4-424CD774D8B6}" srcOrd="11" destOrd="0" presId="urn:microsoft.com/office/officeart/2005/8/layout/list1"/>
    <dgm:cxn modelId="{46A82C24-B7EA-41B0-A6D8-3D3920D8C69E}" type="presParOf" srcId="{943268F7-8B1B-4DAD-92FB-1D8BFF569ECB}" destId="{0A378232-51E1-4193-AE10-EAAB6933144B}" srcOrd="12" destOrd="0" presId="urn:microsoft.com/office/officeart/2005/8/layout/list1"/>
    <dgm:cxn modelId="{701758E0-812E-469D-A74A-B61003330BD5}" type="presParOf" srcId="{0A378232-51E1-4193-AE10-EAAB6933144B}" destId="{A5C1F87F-2339-45F8-BD80-F350967E8A3B}" srcOrd="0" destOrd="0" presId="urn:microsoft.com/office/officeart/2005/8/layout/list1"/>
    <dgm:cxn modelId="{68DECD94-7C3D-4FBE-B464-663BD710B910}" type="presParOf" srcId="{0A378232-51E1-4193-AE10-EAAB6933144B}" destId="{370694E0-7237-4961-B2E0-D6DCF7B4C615}" srcOrd="1" destOrd="0" presId="urn:microsoft.com/office/officeart/2005/8/layout/list1"/>
    <dgm:cxn modelId="{15325D1B-640B-4E50-9D3E-6E902D43E2DC}" type="presParOf" srcId="{943268F7-8B1B-4DAD-92FB-1D8BFF569ECB}" destId="{FEF09FD0-83CD-4C45-8DCC-01EC07BD104E}" srcOrd="13" destOrd="0" presId="urn:microsoft.com/office/officeart/2005/8/layout/list1"/>
    <dgm:cxn modelId="{476C392A-E8BC-4D37-B7FD-3935C51E3878}" type="presParOf" srcId="{943268F7-8B1B-4DAD-92FB-1D8BFF569ECB}" destId="{8D1E9E93-001A-4DD4-BF46-B4C513762C1D}" srcOrd="14" destOrd="0" presId="urn:microsoft.com/office/officeart/2005/8/layout/list1"/>
    <dgm:cxn modelId="{16A39D23-B5ED-4B05-9822-E6D8FD1D15EE}" type="presParOf" srcId="{943268F7-8B1B-4DAD-92FB-1D8BFF569ECB}" destId="{DD150BA3-E48C-4B0F-888E-BB955932AADD}" srcOrd="15" destOrd="0" presId="urn:microsoft.com/office/officeart/2005/8/layout/list1"/>
    <dgm:cxn modelId="{72AB65C9-03C3-4666-B040-E45BBB9F0936}" type="presParOf" srcId="{943268F7-8B1B-4DAD-92FB-1D8BFF569ECB}" destId="{7A60286B-B39B-4081-87FD-855897ED429A}" srcOrd="16" destOrd="0" presId="urn:microsoft.com/office/officeart/2005/8/layout/list1"/>
    <dgm:cxn modelId="{748CFEBB-27CA-41CB-817A-C43F59BC896A}" type="presParOf" srcId="{7A60286B-B39B-4081-87FD-855897ED429A}" destId="{418E32D7-A47F-409C-9AAB-0108EAF2E153}" srcOrd="0" destOrd="0" presId="urn:microsoft.com/office/officeart/2005/8/layout/list1"/>
    <dgm:cxn modelId="{37C46C16-995E-4B07-8A08-8C06CCA5CC6D}" type="presParOf" srcId="{7A60286B-B39B-4081-87FD-855897ED429A}" destId="{84EB460F-BF36-4736-8529-0C8065FD1347}" srcOrd="1" destOrd="0" presId="urn:microsoft.com/office/officeart/2005/8/layout/list1"/>
    <dgm:cxn modelId="{65F21857-9FC4-4BA7-ADCA-8FE1586736CF}" type="presParOf" srcId="{943268F7-8B1B-4DAD-92FB-1D8BFF569ECB}" destId="{C725D3D5-55E8-4BE3-8A05-001224F6035D}" srcOrd="17" destOrd="0" presId="urn:microsoft.com/office/officeart/2005/8/layout/list1"/>
    <dgm:cxn modelId="{384CDA3E-70D6-4DFF-A836-5F89EBE37088}" type="presParOf" srcId="{943268F7-8B1B-4DAD-92FB-1D8BFF569ECB}" destId="{456BEB42-A593-43C0-8F71-A50FA2227558}" srcOrd="18"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9FA2E4-0C8D-4B9A-862A-A1441B5D1C56}">
      <dsp:nvSpPr>
        <dsp:cNvPr id="0" name=""/>
        <dsp:cNvSpPr/>
      </dsp:nvSpPr>
      <dsp:spPr>
        <a:xfrm>
          <a:off x="976150" y="903530"/>
          <a:ext cx="644849" cy="64484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Reputation</a:t>
          </a:r>
        </a:p>
      </dsp:txBody>
      <dsp:txXfrm>
        <a:off x="1070586" y="997966"/>
        <a:ext cx="455977" cy="455977"/>
      </dsp:txXfrm>
    </dsp:sp>
    <dsp:sp modelId="{0E74279D-638E-4D85-9196-EE477DF06B28}">
      <dsp:nvSpPr>
        <dsp:cNvPr id="0" name=""/>
        <dsp:cNvSpPr/>
      </dsp:nvSpPr>
      <dsp:spPr>
        <a:xfrm rot="16200000">
          <a:off x="1230438" y="669204"/>
          <a:ext cx="136272" cy="219248"/>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250879" y="733495"/>
        <a:ext cx="95390" cy="131548"/>
      </dsp:txXfrm>
    </dsp:sp>
    <dsp:sp modelId="{2E020AFA-B1A3-488E-9404-9CF9DFBE0B72}">
      <dsp:nvSpPr>
        <dsp:cNvPr id="0" name=""/>
        <dsp:cNvSpPr/>
      </dsp:nvSpPr>
      <dsp:spPr>
        <a:xfrm>
          <a:off x="976150" y="1563"/>
          <a:ext cx="644849" cy="64484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Integrity</a:t>
          </a:r>
        </a:p>
      </dsp:txBody>
      <dsp:txXfrm>
        <a:off x="1070586" y="95999"/>
        <a:ext cx="455977" cy="455977"/>
      </dsp:txXfrm>
    </dsp:sp>
    <dsp:sp modelId="{CD8D7664-698B-44EC-B195-C2F295B35FD2}">
      <dsp:nvSpPr>
        <dsp:cNvPr id="0" name=""/>
        <dsp:cNvSpPr/>
      </dsp:nvSpPr>
      <dsp:spPr>
        <a:xfrm rot="20520000">
          <a:off x="1655681" y="978161"/>
          <a:ext cx="136272" cy="219248"/>
        </a:xfrm>
        <a:prstGeom prst="rightArrow">
          <a:avLst>
            <a:gd name="adj1" fmla="val 60000"/>
            <a:gd name="adj2" fmla="val 50000"/>
          </a:avLst>
        </a:prstGeom>
        <a:solidFill>
          <a:schemeClr val="accent4">
            <a:hueOff val="2450223"/>
            <a:satOff val="-10194"/>
            <a:lumOff val="2402"/>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656681" y="1028328"/>
        <a:ext cx="95390" cy="131548"/>
      </dsp:txXfrm>
    </dsp:sp>
    <dsp:sp modelId="{2DB72C76-42D1-4E49-93A5-0B9CBD5B9207}">
      <dsp:nvSpPr>
        <dsp:cNvPr id="0" name=""/>
        <dsp:cNvSpPr/>
      </dsp:nvSpPr>
      <dsp:spPr>
        <a:xfrm>
          <a:off x="1833972" y="624807"/>
          <a:ext cx="644849" cy="644849"/>
        </a:xfrm>
        <a:prstGeom prst="ellipse">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Honor</a:t>
          </a:r>
        </a:p>
      </dsp:txBody>
      <dsp:txXfrm>
        <a:off x="1928408" y="719243"/>
        <a:ext cx="455977" cy="455977"/>
      </dsp:txXfrm>
    </dsp:sp>
    <dsp:sp modelId="{32DA8740-0E7E-409C-BA25-6E0A6DC78F62}">
      <dsp:nvSpPr>
        <dsp:cNvPr id="0" name=""/>
        <dsp:cNvSpPr/>
      </dsp:nvSpPr>
      <dsp:spPr>
        <a:xfrm rot="3240000">
          <a:off x="1493253" y="1478064"/>
          <a:ext cx="136272" cy="219248"/>
        </a:xfrm>
        <a:prstGeom prst="rightArrow">
          <a:avLst>
            <a:gd name="adj1" fmla="val 60000"/>
            <a:gd name="adj2" fmla="val 50000"/>
          </a:avLst>
        </a:prstGeom>
        <a:solidFill>
          <a:schemeClr val="accent4">
            <a:hueOff val="4900445"/>
            <a:satOff val="-20388"/>
            <a:lumOff val="4804"/>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501679" y="1505377"/>
        <a:ext cx="95390" cy="131548"/>
      </dsp:txXfrm>
    </dsp:sp>
    <dsp:sp modelId="{AA674A48-DFEA-4574-9DC2-26A1BD8333BE}">
      <dsp:nvSpPr>
        <dsp:cNvPr id="0" name=""/>
        <dsp:cNvSpPr/>
      </dsp:nvSpPr>
      <dsp:spPr>
        <a:xfrm>
          <a:off x="1506313" y="1633237"/>
          <a:ext cx="644849" cy="644849"/>
        </a:xfrm>
        <a:prstGeom prst="ellipse">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Trust</a:t>
          </a:r>
        </a:p>
      </dsp:txBody>
      <dsp:txXfrm>
        <a:off x="1600749" y="1727673"/>
        <a:ext cx="455977" cy="455977"/>
      </dsp:txXfrm>
    </dsp:sp>
    <dsp:sp modelId="{E1A38248-21DB-485F-8C47-ED8ADD2699DF}">
      <dsp:nvSpPr>
        <dsp:cNvPr id="0" name=""/>
        <dsp:cNvSpPr/>
      </dsp:nvSpPr>
      <dsp:spPr>
        <a:xfrm rot="7560000">
          <a:off x="967624" y="1478064"/>
          <a:ext cx="136272" cy="219248"/>
        </a:xfrm>
        <a:prstGeom prst="rightArrow">
          <a:avLst>
            <a:gd name="adj1" fmla="val 60000"/>
            <a:gd name="adj2" fmla="val 50000"/>
          </a:avLst>
        </a:prstGeom>
        <a:solidFill>
          <a:schemeClr val="accent4">
            <a:hueOff val="7350668"/>
            <a:satOff val="-30583"/>
            <a:lumOff val="7206"/>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1000080" y="1505377"/>
        <a:ext cx="95390" cy="131548"/>
      </dsp:txXfrm>
    </dsp:sp>
    <dsp:sp modelId="{02F414F5-C3AF-4DBF-821D-0CA1C7F4EB8E}">
      <dsp:nvSpPr>
        <dsp:cNvPr id="0" name=""/>
        <dsp:cNvSpPr/>
      </dsp:nvSpPr>
      <dsp:spPr>
        <a:xfrm>
          <a:off x="445987" y="1633237"/>
          <a:ext cx="644849" cy="644849"/>
        </a:xfrm>
        <a:prstGeom prst="ellipse">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Stature</a:t>
          </a:r>
        </a:p>
      </dsp:txBody>
      <dsp:txXfrm>
        <a:off x="540423" y="1727673"/>
        <a:ext cx="455977" cy="455977"/>
      </dsp:txXfrm>
    </dsp:sp>
    <dsp:sp modelId="{2ED15F55-C40F-4488-BAE4-721105B2B260}">
      <dsp:nvSpPr>
        <dsp:cNvPr id="0" name=""/>
        <dsp:cNvSpPr/>
      </dsp:nvSpPr>
      <dsp:spPr>
        <a:xfrm rot="11880000">
          <a:off x="805195" y="978161"/>
          <a:ext cx="136272" cy="219248"/>
        </a:xfrm>
        <a:prstGeom prst="rightArrow">
          <a:avLst>
            <a:gd name="adj1" fmla="val 60000"/>
            <a:gd name="adj2" fmla="val 50000"/>
          </a:avLst>
        </a:prstGeom>
        <a:solidFill>
          <a:schemeClr val="accent4">
            <a:hueOff val="9800891"/>
            <a:satOff val="-40777"/>
            <a:lumOff val="9608"/>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845077" y="1028328"/>
        <a:ext cx="95390" cy="131548"/>
      </dsp:txXfrm>
    </dsp:sp>
    <dsp:sp modelId="{78A8869F-93CB-4E01-8AF3-87FDFF9B7EEA}">
      <dsp:nvSpPr>
        <dsp:cNvPr id="0" name=""/>
        <dsp:cNvSpPr/>
      </dsp:nvSpPr>
      <dsp:spPr>
        <a:xfrm>
          <a:off x="118328" y="624807"/>
          <a:ext cx="644849" cy="644849"/>
        </a:xfrm>
        <a:prstGeom prst="ellipse">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Honesty</a:t>
          </a:r>
        </a:p>
      </dsp:txBody>
      <dsp:txXfrm>
        <a:off x="212764" y="719243"/>
        <a:ext cx="455977" cy="4559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699222-BCAD-457F-8B36-813D1516962F}">
      <dsp:nvSpPr>
        <dsp:cNvPr id="0" name=""/>
        <dsp:cNvSpPr/>
      </dsp:nvSpPr>
      <dsp:spPr>
        <a:xfrm>
          <a:off x="0" y="151850"/>
          <a:ext cx="1930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140C5FC-4442-4264-950B-B67D034F7D1C}">
      <dsp:nvSpPr>
        <dsp:cNvPr id="0" name=""/>
        <dsp:cNvSpPr/>
      </dsp:nvSpPr>
      <dsp:spPr>
        <a:xfrm>
          <a:off x="96520" y="4250"/>
          <a:ext cx="1351280" cy="29519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1075" tIns="0" rIns="51075" bIns="0" numCol="1" spcCol="1270" anchor="ctr" anchorCtr="0">
          <a:noAutofit/>
        </a:bodyPr>
        <a:lstStyle/>
        <a:p>
          <a:pPr marL="0" lvl="0" indent="0" algn="l" defTabSz="444500">
            <a:lnSpc>
              <a:spcPct val="90000"/>
            </a:lnSpc>
            <a:spcBef>
              <a:spcPct val="0"/>
            </a:spcBef>
            <a:spcAft>
              <a:spcPct val="35000"/>
            </a:spcAft>
            <a:buNone/>
          </a:pPr>
          <a:r>
            <a:rPr lang="en-US" sz="1000" kern="1200"/>
            <a:t>Clarity</a:t>
          </a:r>
        </a:p>
      </dsp:txBody>
      <dsp:txXfrm>
        <a:off x="110930" y="18660"/>
        <a:ext cx="1322460" cy="266379"/>
      </dsp:txXfrm>
    </dsp:sp>
    <dsp:sp modelId="{ED3B5657-2A6F-4C82-BB88-01F744FCE472}">
      <dsp:nvSpPr>
        <dsp:cNvPr id="0" name=""/>
        <dsp:cNvSpPr/>
      </dsp:nvSpPr>
      <dsp:spPr>
        <a:xfrm>
          <a:off x="0" y="605450"/>
          <a:ext cx="1930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4012B80-5CB9-425D-A6BB-9636D99BED52}">
      <dsp:nvSpPr>
        <dsp:cNvPr id="0" name=""/>
        <dsp:cNvSpPr/>
      </dsp:nvSpPr>
      <dsp:spPr>
        <a:xfrm>
          <a:off x="96520" y="457850"/>
          <a:ext cx="1351280" cy="29519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1075" tIns="0" rIns="51075" bIns="0" numCol="1" spcCol="1270" anchor="ctr" anchorCtr="0">
          <a:noAutofit/>
        </a:bodyPr>
        <a:lstStyle/>
        <a:p>
          <a:pPr marL="0" lvl="0" indent="0" algn="l" defTabSz="444500">
            <a:lnSpc>
              <a:spcPct val="90000"/>
            </a:lnSpc>
            <a:spcBef>
              <a:spcPct val="0"/>
            </a:spcBef>
            <a:spcAft>
              <a:spcPct val="35000"/>
            </a:spcAft>
            <a:buNone/>
          </a:pPr>
          <a:r>
            <a:rPr lang="en-US" sz="1000" kern="1200"/>
            <a:t>Recognition</a:t>
          </a:r>
        </a:p>
      </dsp:txBody>
      <dsp:txXfrm>
        <a:off x="110930" y="472260"/>
        <a:ext cx="1322460" cy="266379"/>
      </dsp:txXfrm>
    </dsp:sp>
    <dsp:sp modelId="{E84D4540-9F10-4A01-A029-EAE9A5061E46}">
      <dsp:nvSpPr>
        <dsp:cNvPr id="0" name=""/>
        <dsp:cNvSpPr/>
      </dsp:nvSpPr>
      <dsp:spPr>
        <a:xfrm>
          <a:off x="0" y="1059050"/>
          <a:ext cx="1930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F9E7DBE-744C-47EC-97FC-3BCFE84A1B6B}">
      <dsp:nvSpPr>
        <dsp:cNvPr id="0" name=""/>
        <dsp:cNvSpPr/>
      </dsp:nvSpPr>
      <dsp:spPr>
        <a:xfrm>
          <a:off x="96520" y="911450"/>
          <a:ext cx="1351280" cy="29519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1075" tIns="0" rIns="51075" bIns="0" numCol="1" spcCol="1270" anchor="ctr" anchorCtr="0">
          <a:noAutofit/>
        </a:bodyPr>
        <a:lstStyle/>
        <a:p>
          <a:pPr marL="0" lvl="0" indent="0" algn="l" defTabSz="444500">
            <a:lnSpc>
              <a:spcPct val="90000"/>
            </a:lnSpc>
            <a:spcBef>
              <a:spcPct val="0"/>
            </a:spcBef>
            <a:spcAft>
              <a:spcPct val="35000"/>
            </a:spcAft>
            <a:buNone/>
          </a:pPr>
          <a:r>
            <a:rPr lang="en-US" sz="1000" kern="1200"/>
            <a:t>Reliability</a:t>
          </a:r>
        </a:p>
      </dsp:txBody>
      <dsp:txXfrm>
        <a:off x="110930" y="925860"/>
        <a:ext cx="1322460" cy="266379"/>
      </dsp:txXfrm>
    </dsp:sp>
    <dsp:sp modelId="{8D1E9E93-001A-4DD4-BF46-B4C513762C1D}">
      <dsp:nvSpPr>
        <dsp:cNvPr id="0" name=""/>
        <dsp:cNvSpPr/>
      </dsp:nvSpPr>
      <dsp:spPr>
        <a:xfrm>
          <a:off x="0" y="1512649"/>
          <a:ext cx="1930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70694E0-7237-4961-B2E0-D6DCF7B4C615}">
      <dsp:nvSpPr>
        <dsp:cNvPr id="0" name=""/>
        <dsp:cNvSpPr/>
      </dsp:nvSpPr>
      <dsp:spPr>
        <a:xfrm>
          <a:off x="96520" y="1365050"/>
          <a:ext cx="1351280" cy="29519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1075" tIns="0" rIns="51075" bIns="0" numCol="1" spcCol="1270" anchor="ctr" anchorCtr="0">
          <a:noAutofit/>
        </a:bodyPr>
        <a:lstStyle/>
        <a:p>
          <a:pPr marL="0" lvl="0" indent="0" algn="l" defTabSz="444500">
            <a:lnSpc>
              <a:spcPct val="90000"/>
            </a:lnSpc>
            <a:spcBef>
              <a:spcPct val="0"/>
            </a:spcBef>
            <a:spcAft>
              <a:spcPct val="35000"/>
            </a:spcAft>
            <a:buNone/>
          </a:pPr>
          <a:r>
            <a:rPr lang="en-US" sz="1000" kern="1200"/>
            <a:t>Trust</a:t>
          </a:r>
        </a:p>
      </dsp:txBody>
      <dsp:txXfrm>
        <a:off x="110930" y="1379460"/>
        <a:ext cx="1322460" cy="266379"/>
      </dsp:txXfrm>
    </dsp:sp>
    <dsp:sp modelId="{456BEB42-A593-43C0-8F71-A50FA2227558}">
      <dsp:nvSpPr>
        <dsp:cNvPr id="0" name=""/>
        <dsp:cNvSpPr/>
      </dsp:nvSpPr>
      <dsp:spPr>
        <a:xfrm>
          <a:off x="0" y="1966249"/>
          <a:ext cx="1930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4EB460F-BF36-4736-8529-0C8065FD1347}">
      <dsp:nvSpPr>
        <dsp:cNvPr id="0" name=""/>
        <dsp:cNvSpPr/>
      </dsp:nvSpPr>
      <dsp:spPr>
        <a:xfrm>
          <a:off x="96520" y="1818649"/>
          <a:ext cx="1351280" cy="29519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1075" tIns="0" rIns="51075" bIns="0" numCol="1" spcCol="1270" anchor="ctr" anchorCtr="0">
          <a:noAutofit/>
        </a:bodyPr>
        <a:lstStyle/>
        <a:p>
          <a:pPr marL="0" lvl="0" indent="0" algn="l" defTabSz="444500">
            <a:lnSpc>
              <a:spcPct val="90000"/>
            </a:lnSpc>
            <a:spcBef>
              <a:spcPct val="0"/>
            </a:spcBef>
            <a:spcAft>
              <a:spcPct val="35000"/>
            </a:spcAft>
            <a:buNone/>
          </a:pPr>
          <a:r>
            <a:rPr lang="en-US" sz="1000" kern="1200"/>
            <a:t>Loyalty</a:t>
          </a:r>
        </a:p>
      </dsp:txBody>
      <dsp:txXfrm>
        <a:off x="110930" y="1833059"/>
        <a:ext cx="1322460" cy="26637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3862E3-3858-4B08-9FA5-82F9F4274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2512</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2023-11-15T10:06:00Z</dcterms:modified>
</cp:coreProperties>
</file>