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B3D72" w14:textId="77777777" w:rsidR="004C1282" w:rsidRPr="00B917DC" w:rsidRDefault="004C1282">
      <w:pPr>
        <w:jc w:val="center"/>
        <w:rPr>
          <w:rFonts w:ascii="Times New Roman" w:eastAsia="Times New Roman" w:hAnsi="Times New Roman" w:cs="Times New Roman"/>
          <w:b/>
          <w:sz w:val="36"/>
          <w:szCs w:val="36"/>
          <w:u w:val="single"/>
          <w:lang w:val="en-GB"/>
        </w:rPr>
      </w:pPr>
    </w:p>
    <w:p w14:paraId="6A4B3D73" w14:textId="77777777" w:rsidR="004C1282" w:rsidRPr="00B917DC" w:rsidRDefault="004C1282">
      <w:pPr>
        <w:jc w:val="center"/>
        <w:rPr>
          <w:rFonts w:ascii="Times New Roman" w:eastAsia="Times New Roman" w:hAnsi="Times New Roman" w:cs="Times New Roman"/>
          <w:b/>
          <w:sz w:val="36"/>
          <w:szCs w:val="36"/>
          <w:u w:val="single"/>
          <w:lang w:val="en-GB"/>
        </w:rPr>
      </w:pPr>
    </w:p>
    <w:p w14:paraId="6A4B3D74" w14:textId="77777777" w:rsidR="004C1282" w:rsidRPr="00B917DC" w:rsidRDefault="004C1282">
      <w:pPr>
        <w:jc w:val="center"/>
        <w:rPr>
          <w:rFonts w:ascii="Times New Roman" w:eastAsia="Times New Roman" w:hAnsi="Times New Roman" w:cs="Times New Roman"/>
          <w:b/>
          <w:sz w:val="36"/>
          <w:szCs w:val="36"/>
          <w:u w:val="single"/>
          <w:lang w:val="en-GB"/>
        </w:rPr>
      </w:pPr>
    </w:p>
    <w:p w14:paraId="6A4B3D75" w14:textId="77777777" w:rsidR="004C1282" w:rsidRPr="00B917DC" w:rsidRDefault="004C1282">
      <w:pPr>
        <w:jc w:val="center"/>
        <w:rPr>
          <w:rFonts w:ascii="Times New Roman" w:eastAsia="Times New Roman" w:hAnsi="Times New Roman" w:cs="Times New Roman"/>
          <w:b/>
          <w:sz w:val="36"/>
          <w:szCs w:val="36"/>
          <w:u w:val="single"/>
          <w:lang w:val="en-GB"/>
        </w:rPr>
      </w:pPr>
    </w:p>
    <w:p w14:paraId="6A4B3D76" w14:textId="77777777" w:rsidR="004C1282" w:rsidRPr="00B917DC" w:rsidRDefault="004C1282">
      <w:pPr>
        <w:jc w:val="center"/>
        <w:rPr>
          <w:rFonts w:ascii="Times New Roman" w:eastAsia="Times New Roman" w:hAnsi="Times New Roman" w:cs="Times New Roman"/>
          <w:b/>
          <w:sz w:val="36"/>
          <w:szCs w:val="36"/>
          <w:u w:val="single"/>
          <w:lang w:val="en-GB"/>
        </w:rPr>
      </w:pPr>
    </w:p>
    <w:p w14:paraId="6A4B3D77" w14:textId="77777777" w:rsidR="004C1282" w:rsidRPr="00B917DC" w:rsidRDefault="004C1282">
      <w:pPr>
        <w:jc w:val="center"/>
        <w:rPr>
          <w:rFonts w:ascii="Times New Roman" w:eastAsia="Times New Roman" w:hAnsi="Times New Roman" w:cs="Times New Roman"/>
          <w:b/>
          <w:sz w:val="36"/>
          <w:szCs w:val="36"/>
          <w:u w:val="single"/>
          <w:lang w:val="en-GB"/>
        </w:rPr>
      </w:pPr>
    </w:p>
    <w:p w14:paraId="6A4B3D78" w14:textId="77777777" w:rsidR="00F40FDF" w:rsidRDefault="00F40FDF">
      <w:pPr>
        <w:jc w:val="center"/>
        <w:rPr>
          <w:rFonts w:ascii="Times New Roman" w:eastAsia="Times New Roman" w:hAnsi="Times New Roman" w:cs="Times New Roman"/>
          <w:b/>
          <w:sz w:val="36"/>
          <w:szCs w:val="36"/>
          <w:u w:val="single"/>
          <w:lang w:val="en-GB"/>
        </w:rPr>
      </w:pPr>
    </w:p>
    <w:p w14:paraId="6A4B3D79" w14:textId="77777777" w:rsidR="00F40FDF" w:rsidRDefault="00F40FDF">
      <w:pPr>
        <w:jc w:val="center"/>
        <w:rPr>
          <w:rFonts w:ascii="Times New Roman" w:eastAsia="Times New Roman" w:hAnsi="Times New Roman" w:cs="Times New Roman"/>
          <w:b/>
          <w:sz w:val="36"/>
          <w:szCs w:val="36"/>
          <w:u w:val="single"/>
          <w:lang w:val="en-GB"/>
        </w:rPr>
      </w:pPr>
    </w:p>
    <w:p w14:paraId="6A4B3D7A" w14:textId="77777777" w:rsidR="004C1282" w:rsidRPr="00B917DC" w:rsidRDefault="00310068">
      <w:pPr>
        <w:jc w:val="center"/>
        <w:rPr>
          <w:rFonts w:ascii="Times New Roman" w:eastAsia="Times New Roman" w:hAnsi="Times New Roman" w:cs="Times New Roman"/>
          <w:b/>
          <w:sz w:val="36"/>
          <w:szCs w:val="36"/>
          <w:u w:val="single"/>
          <w:lang w:val="en-GB"/>
        </w:rPr>
      </w:pPr>
      <w:r w:rsidRPr="00B917DC">
        <w:rPr>
          <w:rFonts w:ascii="Times New Roman" w:eastAsia="Times New Roman" w:hAnsi="Times New Roman" w:cs="Times New Roman"/>
          <w:b/>
          <w:sz w:val="36"/>
          <w:szCs w:val="36"/>
          <w:u w:val="single"/>
          <w:lang w:val="en-GB"/>
        </w:rPr>
        <w:t>INTERNATIONAL FINANCIAL MANAGEMENT</w:t>
      </w:r>
    </w:p>
    <w:p w14:paraId="6A4B3D7B" w14:textId="6F070A59" w:rsidR="004C1282" w:rsidRPr="00F40FDF" w:rsidRDefault="00310068">
      <w:pPr>
        <w:spacing w:line="360" w:lineRule="auto"/>
        <w:jc w:val="center"/>
        <w:rPr>
          <w:rFonts w:ascii="Times New Roman" w:eastAsia="Times New Roman" w:hAnsi="Times New Roman" w:cs="Times New Roman"/>
          <w:b/>
          <w:i/>
          <w:sz w:val="24"/>
          <w:szCs w:val="24"/>
          <w:lang w:val="en-GB"/>
        </w:rPr>
      </w:pPr>
      <w:r w:rsidRPr="00F40FDF">
        <w:rPr>
          <w:rFonts w:ascii="Times New Roman" w:eastAsia="Times New Roman" w:hAnsi="Times New Roman" w:cs="Times New Roman"/>
          <w:b/>
          <w:i/>
          <w:sz w:val="24"/>
          <w:szCs w:val="24"/>
          <w:lang w:val="en-GB"/>
        </w:rPr>
        <w:t>Student’s name:</w:t>
      </w:r>
      <w:r w:rsidR="00FB1955">
        <w:rPr>
          <w:rFonts w:ascii="Times New Roman" w:eastAsia="Times New Roman" w:hAnsi="Times New Roman" w:cs="Times New Roman"/>
          <w:b/>
          <w:i/>
          <w:sz w:val="24"/>
          <w:szCs w:val="24"/>
          <w:lang w:val="en-GB"/>
        </w:rPr>
        <w:t xml:space="preserve"> Georgi </w:t>
      </w:r>
      <w:proofErr w:type="spellStart"/>
      <w:r w:rsidR="00FB1955">
        <w:rPr>
          <w:rFonts w:ascii="Times New Roman" w:eastAsia="Times New Roman" w:hAnsi="Times New Roman" w:cs="Times New Roman"/>
          <w:b/>
          <w:i/>
          <w:sz w:val="24"/>
          <w:szCs w:val="24"/>
          <w:lang w:val="en-GB"/>
        </w:rPr>
        <w:t>Stefanov</w:t>
      </w:r>
      <w:proofErr w:type="spellEnd"/>
      <w:r w:rsidR="00FB1955">
        <w:rPr>
          <w:rFonts w:ascii="Times New Roman" w:eastAsia="Times New Roman" w:hAnsi="Times New Roman" w:cs="Times New Roman"/>
          <w:b/>
          <w:i/>
          <w:sz w:val="24"/>
          <w:szCs w:val="24"/>
          <w:lang w:val="en-GB"/>
        </w:rPr>
        <w:t xml:space="preserve"> </w:t>
      </w:r>
      <w:proofErr w:type="spellStart"/>
      <w:r w:rsidR="00FB1955">
        <w:rPr>
          <w:rFonts w:ascii="Times New Roman" w:eastAsia="Times New Roman" w:hAnsi="Times New Roman" w:cs="Times New Roman"/>
          <w:b/>
          <w:i/>
          <w:sz w:val="24"/>
          <w:szCs w:val="24"/>
          <w:lang w:val="en-GB"/>
        </w:rPr>
        <w:t>Peychinov</w:t>
      </w:r>
      <w:proofErr w:type="spellEnd"/>
    </w:p>
    <w:p w14:paraId="6A4B3D7C" w14:textId="0FD13D38" w:rsidR="004C1282" w:rsidRPr="00F40FDF" w:rsidRDefault="00310068">
      <w:pPr>
        <w:spacing w:line="360" w:lineRule="auto"/>
        <w:jc w:val="center"/>
        <w:rPr>
          <w:rFonts w:ascii="Times New Roman" w:eastAsia="Times New Roman" w:hAnsi="Times New Roman" w:cs="Times New Roman"/>
          <w:b/>
          <w:i/>
          <w:sz w:val="24"/>
          <w:szCs w:val="24"/>
          <w:lang w:val="en-GB"/>
        </w:rPr>
      </w:pPr>
      <w:r w:rsidRPr="00F40FDF">
        <w:rPr>
          <w:rFonts w:ascii="Times New Roman" w:eastAsia="Times New Roman" w:hAnsi="Times New Roman" w:cs="Times New Roman"/>
          <w:b/>
          <w:i/>
          <w:sz w:val="24"/>
          <w:szCs w:val="24"/>
          <w:lang w:val="en-GB"/>
        </w:rPr>
        <w:t>Student’s id:</w:t>
      </w:r>
      <w:r w:rsidR="00FB1955">
        <w:rPr>
          <w:rFonts w:ascii="Times New Roman" w:eastAsia="Times New Roman" w:hAnsi="Times New Roman" w:cs="Times New Roman"/>
          <w:b/>
          <w:i/>
          <w:sz w:val="24"/>
          <w:szCs w:val="24"/>
          <w:lang w:val="en-GB"/>
        </w:rPr>
        <w:t>1912954</w:t>
      </w:r>
    </w:p>
    <w:p w14:paraId="6A4B3D7D" w14:textId="3937F88C" w:rsidR="004C1282" w:rsidRPr="00F40FDF" w:rsidRDefault="00310068">
      <w:pPr>
        <w:spacing w:line="360" w:lineRule="auto"/>
        <w:jc w:val="center"/>
        <w:rPr>
          <w:rFonts w:ascii="Times New Roman" w:eastAsia="Times New Roman" w:hAnsi="Times New Roman" w:cs="Times New Roman"/>
          <w:b/>
          <w:i/>
          <w:sz w:val="24"/>
          <w:szCs w:val="24"/>
          <w:lang w:val="en-GB"/>
        </w:rPr>
      </w:pPr>
      <w:r w:rsidRPr="00F40FDF">
        <w:rPr>
          <w:rFonts w:ascii="Times New Roman" w:eastAsia="Times New Roman" w:hAnsi="Times New Roman" w:cs="Times New Roman"/>
          <w:b/>
          <w:i/>
          <w:sz w:val="24"/>
          <w:szCs w:val="24"/>
          <w:lang w:val="en-GB"/>
        </w:rPr>
        <w:t xml:space="preserve">Course </w:t>
      </w:r>
      <w:proofErr w:type="gramStart"/>
      <w:r w:rsidRPr="00F40FDF">
        <w:rPr>
          <w:rFonts w:ascii="Times New Roman" w:eastAsia="Times New Roman" w:hAnsi="Times New Roman" w:cs="Times New Roman"/>
          <w:b/>
          <w:i/>
          <w:sz w:val="24"/>
          <w:szCs w:val="24"/>
          <w:lang w:val="en-GB"/>
        </w:rPr>
        <w:t>name:</w:t>
      </w:r>
      <w:r w:rsidR="008B572F">
        <w:rPr>
          <w:rFonts w:ascii="Times New Roman" w:eastAsia="Times New Roman" w:hAnsi="Times New Roman" w:cs="Times New Roman"/>
          <w:b/>
          <w:i/>
          <w:sz w:val="24"/>
          <w:szCs w:val="24"/>
          <w:lang w:val="en-GB"/>
        </w:rPr>
        <w:t>L</w:t>
      </w:r>
      <w:r w:rsidR="00E46C16">
        <w:rPr>
          <w:rFonts w:ascii="Times New Roman" w:eastAsia="Times New Roman" w:hAnsi="Times New Roman" w:cs="Times New Roman"/>
          <w:b/>
          <w:i/>
          <w:sz w:val="24"/>
          <w:szCs w:val="24"/>
          <w:lang w:val="en-GB"/>
        </w:rPr>
        <w:t>CBB</w:t>
      </w:r>
      <w:proofErr w:type="gramEnd"/>
      <w:r w:rsidR="00E46C16">
        <w:rPr>
          <w:rFonts w:ascii="Times New Roman" w:eastAsia="Times New Roman" w:hAnsi="Times New Roman" w:cs="Times New Roman"/>
          <w:b/>
          <w:i/>
          <w:sz w:val="24"/>
          <w:szCs w:val="24"/>
          <w:lang w:val="en-GB"/>
        </w:rPr>
        <w:t xml:space="preserve">6002 </w:t>
      </w:r>
    </w:p>
    <w:p w14:paraId="6A4B3D7F" w14:textId="77777777" w:rsidR="00B917DC" w:rsidRDefault="00B917DC">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Times New Roman" w:eastAsia="Arial" w:hAnsi="Times New Roman" w:cs="Times New Roman"/>
          <w:b/>
          <w:bCs/>
          <w:color w:val="auto"/>
          <w:sz w:val="24"/>
          <w:szCs w:val="24"/>
          <w:lang w:val="en-IN" w:eastAsia="en-IN" w:bidi="hi-IN"/>
        </w:rPr>
        <w:id w:val="160442701"/>
        <w:docPartObj>
          <w:docPartGallery w:val="Table of Contents"/>
          <w:docPartUnique/>
        </w:docPartObj>
      </w:sdtPr>
      <w:sdtEndPr>
        <w:rPr>
          <w:noProof/>
        </w:rPr>
      </w:sdtEndPr>
      <w:sdtContent>
        <w:p w14:paraId="6A4B3D80" w14:textId="77777777" w:rsidR="00B917DC" w:rsidRPr="00AE6D2C" w:rsidRDefault="00B917DC" w:rsidP="00AE6D2C">
          <w:pPr>
            <w:pStyle w:val="TOCHeading"/>
            <w:spacing w:before="0" w:line="360" w:lineRule="auto"/>
            <w:jc w:val="center"/>
            <w:rPr>
              <w:rFonts w:ascii="Times New Roman" w:hAnsi="Times New Roman" w:cs="Times New Roman"/>
              <w:b/>
              <w:bCs/>
              <w:color w:val="000000" w:themeColor="text1"/>
              <w:sz w:val="24"/>
              <w:szCs w:val="24"/>
            </w:rPr>
          </w:pPr>
          <w:r w:rsidRPr="00AE6D2C">
            <w:rPr>
              <w:rFonts w:ascii="Times New Roman" w:hAnsi="Times New Roman" w:cs="Times New Roman"/>
              <w:b/>
              <w:bCs/>
              <w:color w:val="000000" w:themeColor="text1"/>
              <w:sz w:val="24"/>
              <w:szCs w:val="24"/>
            </w:rPr>
            <w:t>Table of Contents</w:t>
          </w:r>
        </w:p>
        <w:p w14:paraId="6A4B3D81" w14:textId="77777777" w:rsidR="00AE6D2C" w:rsidRPr="00AE6D2C" w:rsidRDefault="00836C24" w:rsidP="00AE6D2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bidi="ar-SA"/>
            </w:rPr>
          </w:pPr>
          <w:r w:rsidRPr="00AE6D2C">
            <w:rPr>
              <w:rFonts w:ascii="Times New Roman" w:hAnsi="Times New Roman" w:cs="Times New Roman"/>
              <w:color w:val="000000" w:themeColor="text1"/>
              <w:sz w:val="24"/>
              <w:szCs w:val="24"/>
            </w:rPr>
            <w:fldChar w:fldCharType="begin"/>
          </w:r>
          <w:r w:rsidR="00B917DC" w:rsidRPr="00AE6D2C">
            <w:rPr>
              <w:rFonts w:ascii="Times New Roman" w:hAnsi="Times New Roman" w:cs="Times New Roman"/>
              <w:color w:val="000000" w:themeColor="text1"/>
              <w:sz w:val="24"/>
              <w:szCs w:val="24"/>
            </w:rPr>
            <w:instrText xml:space="preserve"> TOC \o "1-3" \h \z \u </w:instrText>
          </w:r>
          <w:r w:rsidRPr="00AE6D2C">
            <w:rPr>
              <w:rFonts w:ascii="Times New Roman" w:hAnsi="Times New Roman" w:cs="Times New Roman"/>
              <w:color w:val="000000" w:themeColor="text1"/>
              <w:sz w:val="24"/>
              <w:szCs w:val="24"/>
            </w:rPr>
            <w:fldChar w:fldCharType="separate"/>
          </w:r>
          <w:hyperlink w:anchor="_Toc98176416" w:history="1">
            <w:r w:rsidR="00AE6D2C" w:rsidRPr="00AE6D2C">
              <w:rPr>
                <w:rStyle w:val="Hyperlink"/>
                <w:rFonts w:ascii="Times New Roman" w:hAnsi="Times New Roman" w:cs="Times New Roman"/>
                <w:noProof/>
                <w:color w:val="000000" w:themeColor="text1"/>
                <w:sz w:val="24"/>
                <w:szCs w:val="24"/>
                <w:lang w:val="en-GB"/>
              </w:rPr>
              <w:t>1. Introduction</w:t>
            </w:r>
            <w:r w:rsidR="00AE6D2C" w:rsidRPr="00AE6D2C">
              <w:rPr>
                <w:rFonts w:ascii="Times New Roman" w:hAnsi="Times New Roman" w:cs="Times New Roman"/>
                <w:noProof/>
                <w:webHidden/>
                <w:color w:val="000000" w:themeColor="text1"/>
                <w:sz w:val="24"/>
                <w:szCs w:val="24"/>
              </w:rPr>
              <w:tab/>
            </w:r>
            <w:r w:rsidR="00AE6D2C" w:rsidRPr="00AE6D2C">
              <w:rPr>
                <w:rFonts w:ascii="Times New Roman" w:hAnsi="Times New Roman" w:cs="Times New Roman"/>
                <w:noProof/>
                <w:webHidden/>
                <w:color w:val="000000" w:themeColor="text1"/>
                <w:sz w:val="24"/>
                <w:szCs w:val="24"/>
              </w:rPr>
              <w:fldChar w:fldCharType="begin"/>
            </w:r>
            <w:r w:rsidR="00AE6D2C" w:rsidRPr="00AE6D2C">
              <w:rPr>
                <w:rFonts w:ascii="Times New Roman" w:hAnsi="Times New Roman" w:cs="Times New Roman"/>
                <w:noProof/>
                <w:webHidden/>
                <w:color w:val="000000" w:themeColor="text1"/>
                <w:sz w:val="24"/>
                <w:szCs w:val="24"/>
              </w:rPr>
              <w:instrText xml:space="preserve"> PAGEREF _Toc98176416 \h </w:instrText>
            </w:r>
            <w:r w:rsidR="00AE6D2C" w:rsidRPr="00AE6D2C">
              <w:rPr>
                <w:rFonts w:ascii="Times New Roman" w:hAnsi="Times New Roman" w:cs="Times New Roman"/>
                <w:noProof/>
                <w:webHidden/>
                <w:color w:val="000000" w:themeColor="text1"/>
                <w:sz w:val="24"/>
                <w:szCs w:val="24"/>
              </w:rPr>
            </w:r>
            <w:r w:rsidR="00AE6D2C" w:rsidRPr="00AE6D2C">
              <w:rPr>
                <w:rFonts w:ascii="Times New Roman" w:hAnsi="Times New Roman" w:cs="Times New Roman"/>
                <w:noProof/>
                <w:webHidden/>
                <w:color w:val="000000" w:themeColor="text1"/>
                <w:sz w:val="24"/>
                <w:szCs w:val="24"/>
              </w:rPr>
              <w:fldChar w:fldCharType="separate"/>
            </w:r>
            <w:r w:rsidR="00AE6D2C" w:rsidRPr="00AE6D2C">
              <w:rPr>
                <w:rFonts w:ascii="Times New Roman" w:hAnsi="Times New Roman" w:cs="Times New Roman"/>
                <w:noProof/>
                <w:webHidden/>
                <w:color w:val="000000" w:themeColor="text1"/>
                <w:sz w:val="24"/>
                <w:szCs w:val="24"/>
              </w:rPr>
              <w:t>3</w:t>
            </w:r>
            <w:r w:rsidR="00AE6D2C" w:rsidRPr="00AE6D2C">
              <w:rPr>
                <w:rFonts w:ascii="Times New Roman" w:hAnsi="Times New Roman" w:cs="Times New Roman"/>
                <w:noProof/>
                <w:webHidden/>
                <w:color w:val="000000" w:themeColor="text1"/>
                <w:sz w:val="24"/>
                <w:szCs w:val="24"/>
              </w:rPr>
              <w:fldChar w:fldCharType="end"/>
            </w:r>
          </w:hyperlink>
        </w:p>
        <w:p w14:paraId="6A4B3D82" w14:textId="77777777" w:rsidR="00AE6D2C" w:rsidRPr="00AE6D2C" w:rsidRDefault="00C80B09" w:rsidP="00AE6D2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bidi="ar-SA"/>
            </w:rPr>
          </w:pPr>
          <w:hyperlink w:anchor="_Toc98176417" w:history="1">
            <w:r w:rsidR="00AE6D2C" w:rsidRPr="00AE6D2C">
              <w:rPr>
                <w:rStyle w:val="Hyperlink"/>
                <w:rFonts w:ascii="Times New Roman" w:hAnsi="Times New Roman" w:cs="Times New Roman"/>
                <w:noProof/>
                <w:color w:val="000000" w:themeColor="text1"/>
                <w:sz w:val="24"/>
                <w:szCs w:val="24"/>
                <w:lang w:val="en-GB"/>
              </w:rPr>
              <w:t>2. Discussion</w:t>
            </w:r>
            <w:r w:rsidR="00AE6D2C" w:rsidRPr="00AE6D2C">
              <w:rPr>
                <w:rFonts w:ascii="Times New Roman" w:hAnsi="Times New Roman" w:cs="Times New Roman"/>
                <w:noProof/>
                <w:webHidden/>
                <w:color w:val="000000" w:themeColor="text1"/>
                <w:sz w:val="24"/>
                <w:szCs w:val="24"/>
              </w:rPr>
              <w:tab/>
            </w:r>
            <w:r w:rsidR="00AE6D2C" w:rsidRPr="00AE6D2C">
              <w:rPr>
                <w:rFonts w:ascii="Times New Roman" w:hAnsi="Times New Roman" w:cs="Times New Roman"/>
                <w:noProof/>
                <w:webHidden/>
                <w:color w:val="000000" w:themeColor="text1"/>
                <w:sz w:val="24"/>
                <w:szCs w:val="24"/>
              </w:rPr>
              <w:fldChar w:fldCharType="begin"/>
            </w:r>
            <w:r w:rsidR="00AE6D2C" w:rsidRPr="00AE6D2C">
              <w:rPr>
                <w:rFonts w:ascii="Times New Roman" w:hAnsi="Times New Roman" w:cs="Times New Roman"/>
                <w:noProof/>
                <w:webHidden/>
                <w:color w:val="000000" w:themeColor="text1"/>
                <w:sz w:val="24"/>
                <w:szCs w:val="24"/>
              </w:rPr>
              <w:instrText xml:space="preserve"> PAGEREF _Toc98176417 \h </w:instrText>
            </w:r>
            <w:r w:rsidR="00AE6D2C" w:rsidRPr="00AE6D2C">
              <w:rPr>
                <w:rFonts w:ascii="Times New Roman" w:hAnsi="Times New Roman" w:cs="Times New Roman"/>
                <w:noProof/>
                <w:webHidden/>
                <w:color w:val="000000" w:themeColor="text1"/>
                <w:sz w:val="24"/>
                <w:szCs w:val="24"/>
              </w:rPr>
            </w:r>
            <w:r w:rsidR="00AE6D2C" w:rsidRPr="00AE6D2C">
              <w:rPr>
                <w:rFonts w:ascii="Times New Roman" w:hAnsi="Times New Roman" w:cs="Times New Roman"/>
                <w:noProof/>
                <w:webHidden/>
                <w:color w:val="000000" w:themeColor="text1"/>
                <w:sz w:val="24"/>
                <w:szCs w:val="24"/>
              </w:rPr>
              <w:fldChar w:fldCharType="separate"/>
            </w:r>
            <w:r w:rsidR="00AE6D2C" w:rsidRPr="00AE6D2C">
              <w:rPr>
                <w:rFonts w:ascii="Times New Roman" w:hAnsi="Times New Roman" w:cs="Times New Roman"/>
                <w:noProof/>
                <w:webHidden/>
                <w:color w:val="000000" w:themeColor="text1"/>
                <w:sz w:val="24"/>
                <w:szCs w:val="24"/>
              </w:rPr>
              <w:t>3</w:t>
            </w:r>
            <w:r w:rsidR="00AE6D2C" w:rsidRPr="00AE6D2C">
              <w:rPr>
                <w:rFonts w:ascii="Times New Roman" w:hAnsi="Times New Roman" w:cs="Times New Roman"/>
                <w:noProof/>
                <w:webHidden/>
                <w:color w:val="000000" w:themeColor="text1"/>
                <w:sz w:val="24"/>
                <w:szCs w:val="24"/>
              </w:rPr>
              <w:fldChar w:fldCharType="end"/>
            </w:r>
          </w:hyperlink>
        </w:p>
        <w:p w14:paraId="6A4B3D83" w14:textId="77777777" w:rsidR="00AE6D2C" w:rsidRPr="00AE6D2C" w:rsidRDefault="00C80B09" w:rsidP="00AE6D2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bidi="ar-SA"/>
            </w:rPr>
          </w:pPr>
          <w:hyperlink w:anchor="_Toc98176418" w:history="1">
            <w:r w:rsidR="00AE6D2C" w:rsidRPr="00AE6D2C">
              <w:rPr>
                <w:rStyle w:val="Hyperlink"/>
                <w:rFonts w:ascii="Times New Roman" w:hAnsi="Times New Roman" w:cs="Times New Roman"/>
                <w:noProof/>
                <w:color w:val="000000" w:themeColor="text1"/>
                <w:sz w:val="24"/>
                <w:szCs w:val="24"/>
                <w:lang w:val="en-GB"/>
              </w:rPr>
              <w:t xml:space="preserve">3. </w:t>
            </w:r>
            <w:r w:rsidR="00AE6D2C" w:rsidRPr="00AE6D2C">
              <w:rPr>
                <w:rStyle w:val="Hyperlink"/>
                <w:rFonts w:ascii="Times New Roman" w:hAnsi="Times New Roman" w:cs="Times New Roman"/>
                <w:noProof/>
                <w:color w:val="000000" w:themeColor="text1"/>
                <w:sz w:val="24"/>
                <w:szCs w:val="24"/>
              </w:rPr>
              <w:t>Conclusion</w:t>
            </w:r>
            <w:r w:rsidR="00AE6D2C" w:rsidRPr="00AE6D2C">
              <w:rPr>
                <w:rFonts w:ascii="Times New Roman" w:hAnsi="Times New Roman" w:cs="Times New Roman"/>
                <w:noProof/>
                <w:webHidden/>
                <w:color w:val="000000" w:themeColor="text1"/>
                <w:sz w:val="24"/>
                <w:szCs w:val="24"/>
              </w:rPr>
              <w:tab/>
            </w:r>
            <w:r w:rsidR="00AE6D2C" w:rsidRPr="00AE6D2C">
              <w:rPr>
                <w:rFonts w:ascii="Times New Roman" w:hAnsi="Times New Roman" w:cs="Times New Roman"/>
                <w:noProof/>
                <w:webHidden/>
                <w:color w:val="000000" w:themeColor="text1"/>
                <w:sz w:val="24"/>
                <w:szCs w:val="24"/>
              </w:rPr>
              <w:fldChar w:fldCharType="begin"/>
            </w:r>
            <w:r w:rsidR="00AE6D2C" w:rsidRPr="00AE6D2C">
              <w:rPr>
                <w:rFonts w:ascii="Times New Roman" w:hAnsi="Times New Roman" w:cs="Times New Roman"/>
                <w:noProof/>
                <w:webHidden/>
                <w:color w:val="000000" w:themeColor="text1"/>
                <w:sz w:val="24"/>
                <w:szCs w:val="24"/>
              </w:rPr>
              <w:instrText xml:space="preserve"> PAGEREF _Toc98176418 \h </w:instrText>
            </w:r>
            <w:r w:rsidR="00AE6D2C" w:rsidRPr="00AE6D2C">
              <w:rPr>
                <w:rFonts w:ascii="Times New Roman" w:hAnsi="Times New Roman" w:cs="Times New Roman"/>
                <w:noProof/>
                <w:webHidden/>
                <w:color w:val="000000" w:themeColor="text1"/>
                <w:sz w:val="24"/>
                <w:szCs w:val="24"/>
              </w:rPr>
            </w:r>
            <w:r w:rsidR="00AE6D2C" w:rsidRPr="00AE6D2C">
              <w:rPr>
                <w:rFonts w:ascii="Times New Roman" w:hAnsi="Times New Roman" w:cs="Times New Roman"/>
                <w:noProof/>
                <w:webHidden/>
                <w:color w:val="000000" w:themeColor="text1"/>
                <w:sz w:val="24"/>
                <w:szCs w:val="24"/>
              </w:rPr>
              <w:fldChar w:fldCharType="separate"/>
            </w:r>
            <w:r w:rsidR="00AE6D2C" w:rsidRPr="00AE6D2C">
              <w:rPr>
                <w:rFonts w:ascii="Times New Roman" w:hAnsi="Times New Roman" w:cs="Times New Roman"/>
                <w:noProof/>
                <w:webHidden/>
                <w:color w:val="000000" w:themeColor="text1"/>
                <w:sz w:val="24"/>
                <w:szCs w:val="24"/>
              </w:rPr>
              <w:t>7</w:t>
            </w:r>
            <w:r w:rsidR="00AE6D2C" w:rsidRPr="00AE6D2C">
              <w:rPr>
                <w:rFonts w:ascii="Times New Roman" w:hAnsi="Times New Roman" w:cs="Times New Roman"/>
                <w:noProof/>
                <w:webHidden/>
                <w:color w:val="000000" w:themeColor="text1"/>
                <w:sz w:val="24"/>
                <w:szCs w:val="24"/>
              </w:rPr>
              <w:fldChar w:fldCharType="end"/>
            </w:r>
          </w:hyperlink>
        </w:p>
        <w:p w14:paraId="6A4B3D84" w14:textId="77777777" w:rsidR="00AE6D2C" w:rsidRPr="00AE6D2C" w:rsidRDefault="00C80B09" w:rsidP="00AE6D2C">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bidi="ar-SA"/>
            </w:rPr>
          </w:pPr>
          <w:hyperlink w:anchor="_Toc98176419" w:history="1">
            <w:r w:rsidR="00AE6D2C" w:rsidRPr="00AE6D2C">
              <w:rPr>
                <w:rStyle w:val="Hyperlink"/>
                <w:rFonts w:ascii="Times New Roman" w:hAnsi="Times New Roman" w:cs="Times New Roman"/>
                <w:noProof/>
                <w:color w:val="000000" w:themeColor="text1"/>
                <w:sz w:val="24"/>
                <w:szCs w:val="24"/>
              </w:rPr>
              <w:t>References</w:t>
            </w:r>
            <w:r w:rsidR="00AE6D2C" w:rsidRPr="00AE6D2C">
              <w:rPr>
                <w:rFonts w:ascii="Times New Roman" w:hAnsi="Times New Roman" w:cs="Times New Roman"/>
                <w:noProof/>
                <w:webHidden/>
                <w:color w:val="000000" w:themeColor="text1"/>
                <w:sz w:val="24"/>
                <w:szCs w:val="24"/>
              </w:rPr>
              <w:tab/>
            </w:r>
            <w:r w:rsidR="00AE6D2C" w:rsidRPr="00AE6D2C">
              <w:rPr>
                <w:rFonts w:ascii="Times New Roman" w:hAnsi="Times New Roman" w:cs="Times New Roman"/>
                <w:noProof/>
                <w:webHidden/>
                <w:color w:val="000000" w:themeColor="text1"/>
                <w:sz w:val="24"/>
                <w:szCs w:val="24"/>
              </w:rPr>
              <w:fldChar w:fldCharType="begin"/>
            </w:r>
            <w:r w:rsidR="00AE6D2C" w:rsidRPr="00AE6D2C">
              <w:rPr>
                <w:rFonts w:ascii="Times New Roman" w:hAnsi="Times New Roman" w:cs="Times New Roman"/>
                <w:noProof/>
                <w:webHidden/>
                <w:color w:val="000000" w:themeColor="text1"/>
                <w:sz w:val="24"/>
                <w:szCs w:val="24"/>
              </w:rPr>
              <w:instrText xml:space="preserve"> PAGEREF _Toc98176419 \h </w:instrText>
            </w:r>
            <w:r w:rsidR="00AE6D2C" w:rsidRPr="00AE6D2C">
              <w:rPr>
                <w:rFonts w:ascii="Times New Roman" w:hAnsi="Times New Roman" w:cs="Times New Roman"/>
                <w:noProof/>
                <w:webHidden/>
                <w:color w:val="000000" w:themeColor="text1"/>
                <w:sz w:val="24"/>
                <w:szCs w:val="24"/>
              </w:rPr>
            </w:r>
            <w:r w:rsidR="00AE6D2C" w:rsidRPr="00AE6D2C">
              <w:rPr>
                <w:rFonts w:ascii="Times New Roman" w:hAnsi="Times New Roman" w:cs="Times New Roman"/>
                <w:noProof/>
                <w:webHidden/>
                <w:color w:val="000000" w:themeColor="text1"/>
                <w:sz w:val="24"/>
                <w:szCs w:val="24"/>
              </w:rPr>
              <w:fldChar w:fldCharType="separate"/>
            </w:r>
            <w:r w:rsidR="00AE6D2C" w:rsidRPr="00AE6D2C">
              <w:rPr>
                <w:rFonts w:ascii="Times New Roman" w:hAnsi="Times New Roman" w:cs="Times New Roman"/>
                <w:noProof/>
                <w:webHidden/>
                <w:color w:val="000000" w:themeColor="text1"/>
                <w:sz w:val="24"/>
                <w:szCs w:val="24"/>
              </w:rPr>
              <w:t>8</w:t>
            </w:r>
            <w:r w:rsidR="00AE6D2C" w:rsidRPr="00AE6D2C">
              <w:rPr>
                <w:rFonts w:ascii="Times New Roman" w:hAnsi="Times New Roman" w:cs="Times New Roman"/>
                <w:noProof/>
                <w:webHidden/>
                <w:color w:val="000000" w:themeColor="text1"/>
                <w:sz w:val="24"/>
                <w:szCs w:val="24"/>
              </w:rPr>
              <w:fldChar w:fldCharType="end"/>
            </w:r>
          </w:hyperlink>
        </w:p>
        <w:p w14:paraId="6A4B3D85" w14:textId="77777777" w:rsidR="00B917DC" w:rsidRPr="00B917DC" w:rsidRDefault="00836C24" w:rsidP="00AE6D2C">
          <w:pPr>
            <w:spacing w:line="360" w:lineRule="auto"/>
            <w:jc w:val="both"/>
            <w:rPr>
              <w:rFonts w:ascii="Times New Roman" w:hAnsi="Times New Roman" w:cs="Times New Roman"/>
              <w:sz w:val="24"/>
              <w:szCs w:val="24"/>
            </w:rPr>
          </w:pPr>
          <w:r w:rsidRPr="00AE6D2C">
            <w:rPr>
              <w:rFonts w:ascii="Times New Roman" w:hAnsi="Times New Roman" w:cs="Times New Roman"/>
              <w:b/>
              <w:bCs/>
              <w:noProof/>
              <w:color w:val="000000" w:themeColor="text1"/>
              <w:sz w:val="24"/>
              <w:szCs w:val="24"/>
            </w:rPr>
            <w:fldChar w:fldCharType="end"/>
          </w:r>
        </w:p>
      </w:sdtContent>
    </w:sdt>
    <w:p w14:paraId="6A4B3D86" w14:textId="77777777" w:rsidR="004C1282" w:rsidRPr="00B917DC" w:rsidRDefault="00310068">
      <w:pPr>
        <w:spacing w:line="360" w:lineRule="auto"/>
        <w:jc w:val="center"/>
        <w:rPr>
          <w:rFonts w:ascii="Times New Roman" w:eastAsia="Times New Roman" w:hAnsi="Times New Roman" w:cs="Times New Roman"/>
          <w:b/>
          <w:sz w:val="24"/>
          <w:szCs w:val="24"/>
          <w:lang w:val="en-GB"/>
        </w:rPr>
      </w:pPr>
      <w:r w:rsidRPr="00B917DC">
        <w:rPr>
          <w:lang w:val="en-GB"/>
        </w:rPr>
        <w:br w:type="page"/>
      </w:r>
    </w:p>
    <w:p w14:paraId="6A4B3D87" w14:textId="77777777" w:rsidR="004C1282" w:rsidRPr="00B917DC" w:rsidRDefault="00B917DC" w:rsidP="00B917DC">
      <w:pPr>
        <w:pStyle w:val="Heading1"/>
        <w:rPr>
          <w:lang w:val="en-GB"/>
        </w:rPr>
      </w:pPr>
      <w:bookmarkStart w:id="0" w:name="_Toc98176416"/>
      <w:r w:rsidRPr="00B917DC">
        <w:rPr>
          <w:lang w:val="en-GB"/>
        </w:rPr>
        <w:lastRenderedPageBreak/>
        <w:t>1. Introduction</w:t>
      </w:r>
      <w:bookmarkEnd w:id="0"/>
    </w:p>
    <w:p w14:paraId="6A4B3D88" w14:textId="77777777" w:rsidR="004C1282" w:rsidRPr="00B917DC" w:rsidRDefault="00310068">
      <w:pPr>
        <w:spacing w:line="360" w:lineRule="auto"/>
        <w:jc w:val="both"/>
        <w:rPr>
          <w:rFonts w:ascii="Times New Roman" w:eastAsia="Times New Roman" w:hAnsi="Times New Roman" w:cs="Times New Roman"/>
          <w:b/>
          <w:sz w:val="24"/>
          <w:szCs w:val="24"/>
          <w:lang w:val="en-GB"/>
        </w:rPr>
      </w:pPr>
      <w:r w:rsidRPr="00B917DC">
        <w:rPr>
          <w:rFonts w:ascii="Times New Roman" w:eastAsia="Times New Roman" w:hAnsi="Times New Roman" w:cs="Times New Roman"/>
          <w:i/>
          <w:sz w:val="24"/>
          <w:szCs w:val="24"/>
          <w:lang w:val="en-GB"/>
        </w:rPr>
        <w:t xml:space="preserve">International Financial management </w:t>
      </w:r>
      <w:r w:rsidRPr="00B917DC">
        <w:rPr>
          <w:rFonts w:ascii="Times New Roman" w:eastAsia="Times New Roman" w:hAnsi="Times New Roman" w:cs="Times New Roman"/>
          <w:sz w:val="24"/>
          <w:szCs w:val="24"/>
          <w:lang w:val="en-GB"/>
        </w:rPr>
        <w:t xml:space="preserve">is denoted as international finance refers to managing international business statistics. It includes managing financial information such as overseas trading and money market dealing with overseas business partners, consumers, </w:t>
      </w:r>
      <w:proofErr w:type="gramStart"/>
      <w:r w:rsidRPr="00B917DC">
        <w:rPr>
          <w:rFonts w:ascii="Times New Roman" w:eastAsia="Times New Roman" w:hAnsi="Times New Roman" w:cs="Times New Roman"/>
          <w:sz w:val="24"/>
          <w:szCs w:val="24"/>
          <w:lang w:val="en-GB"/>
        </w:rPr>
        <w:t>suppliers</w:t>
      </w:r>
      <w:proofErr w:type="gramEnd"/>
      <w:r w:rsidRPr="00B917DC">
        <w:rPr>
          <w:rFonts w:ascii="Times New Roman" w:eastAsia="Times New Roman" w:hAnsi="Times New Roman" w:cs="Times New Roman"/>
          <w:sz w:val="24"/>
          <w:szCs w:val="24"/>
          <w:lang w:val="en-GB"/>
        </w:rPr>
        <w:t xml:space="preserve"> and venture lenders. The present assignment is focussing on British telecom's international financial management evaluation. The assignment includes different finance theories such as Gordon's model, market decision theory, dividend theory and others. Every company wants to gain high return with low investment that ensures its high net profit in unintentional markets. International markets </w:t>
      </w:r>
      <w:proofErr w:type="gramStart"/>
      <w:r w:rsidRPr="00B917DC">
        <w:rPr>
          <w:rFonts w:ascii="Times New Roman" w:eastAsia="Times New Roman" w:hAnsi="Times New Roman" w:cs="Times New Roman"/>
          <w:sz w:val="24"/>
          <w:szCs w:val="24"/>
          <w:lang w:val="en-GB"/>
        </w:rPr>
        <w:t>open up</w:t>
      </w:r>
      <w:proofErr w:type="gramEnd"/>
      <w:r w:rsidRPr="00B917DC">
        <w:rPr>
          <w:rFonts w:ascii="Times New Roman" w:eastAsia="Times New Roman" w:hAnsi="Times New Roman" w:cs="Times New Roman"/>
          <w:sz w:val="24"/>
          <w:szCs w:val="24"/>
          <w:lang w:val="en-GB"/>
        </w:rPr>
        <w:t xml:space="preserve"> the door of high return through potential markets.</w:t>
      </w:r>
    </w:p>
    <w:p w14:paraId="6A4B3D89" w14:textId="77777777" w:rsidR="004C1282" w:rsidRPr="00B917DC" w:rsidRDefault="00B917DC" w:rsidP="00B917DC">
      <w:pPr>
        <w:pStyle w:val="Heading1"/>
        <w:rPr>
          <w:lang w:val="en-GB"/>
        </w:rPr>
      </w:pPr>
      <w:bookmarkStart w:id="1" w:name="_Toc98176417"/>
      <w:r w:rsidRPr="00B917DC">
        <w:rPr>
          <w:lang w:val="en-GB"/>
        </w:rPr>
        <w:t>2. Discussion</w:t>
      </w:r>
      <w:bookmarkEnd w:id="1"/>
    </w:p>
    <w:p w14:paraId="6A4B3D8A" w14:textId="77777777" w:rsidR="004C1282" w:rsidRPr="00B917DC" w:rsidRDefault="00310068">
      <w:pPr>
        <w:spacing w:line="360" w:lineRule="auto"/>
        <w:jc w:val="both"/>
        <w:rPr>
          <w:rFonts w:ascii="Times New Roman" w:eastAsia="Times New Roman" w:hAnsi="Times New Roman" w:cs="Times New Roman"/>
          <w:b/>
          <w:sz w:val="24"/>
          <w:szCs w:val="24"/>
          <w:lang w:val="en-GB"/>
        </w:rPr>
      </w:pPr>
      <w:r w:rsidRPr="00B917DC">
        <w:rPr>
          <w:rFonts w:ascii="Times New Roman" w:eastAsia="Times New Roman" w:hAnsi="Times New Roman" w:cs="Times New Roman"/>
          <w:b/>
          <w:sz w:val="24"/>
          <w:szCs w:val="24"/>
          <w:lang w:val="en-GB"/>
        </w:rPr>
        <w:t>2.1 Critical Analysis and Evaluation of the MNC’s Dividend Distribution Policy</w:t>
      </w:r>
    </w:p>
    <w:p w14:paraId="6A4B3D8B" w14:textId="77777777" w:rsidR="004C1282" w:rsidRPr="00B917DC" w:rsidRDefault="00310068">
      <w:pPr>
        <w:spacing w:line="360" w:lineRule="auto"/>
        <w:jc w:val="both"/>
        <w:rPr>
          <w:rFonts w:ascii="Times New Roman" w:eastAsia="Times New Roman" w:hAnsi="Times New Roman" w:cs="Times New Roman"/>
          <w:b/>
          <w:i/>
          <w:sz w:val="24"/>
          <w:szCs w:val="24"/>
          <w:lang w:val="en-GB"/>
        </w:rPr>
      </w:pPr>
      <w:r w:rsidRPr="00B917DC">
        <w:rPr>
          <w:rFonts w:ascii="Times New Roman" w:eastAsia="Times New Roman" w:hAnsi="Times New Roman" w:cs="Times New Roman"/>
          <w:b/>
          <w:i/>
          <w:sz w:val="24"/>
          <w:szCs w:val="24"/>
          <w:lang w:val="en-GB"/>
        </w:rPr>
        <w:t>2.1.1 Application of MM Theory of dividend</w:t>
      </w:r>
    </w:p>
    <w:p w14:paraId="6A4B3D8C"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t xml:space="preserve">The financial </w:t>
      </w:r>
      <w:r w:rsidR="00F40FDF" w:rsidRPr="00B917DC">
        <w:rPr>
          <w:rFonts w:ascii="Times New Roman" w:eastAsia="Times New Roman" w:hAnsi="Times New Roman" w:cs="Times New Roman"/>
          <w:sz w:val="24"/>
          <w:szCs w:val="24"/>
          <w:lang w:val="en-GB"/>
        </w:rPr>
        <w:t>markets refer</w:t>
      </w:r>
      <w:r w:rsidRPr="00B917DC">
        <w:rPr>
          <w:rFonts w:ascii="Times New Roman" w:eastAsia="Times New Roman" w:hAnsi="Times New Roman" w:cs="Times New Roman"/>
          <w:sz w:val="24"/>
          <w:szCs w:val="24"/>
          <w:lang w:val="en-GB"/>
        </w:rPr>
        <w:t xml:space="preserve"> to a pivotal and essential element of reflecting the main means of interaction between the organisations and accounting information consumers. Investors mobilise savings and convert it into investment for economic change and this provides a solid base of the corporation to grow in international markets (</w:t>
      </w:r>
      <w:r w:rsidRPr="00B917DC">
        <w:rPr>
          <w:rFonts w:ascii="Times New Roman" w:eastAsia="Times New Roman" w:hAnsi="Times New Roman" w:cs="Times New Roman"/>
          <w:color w:val="222222"/>
          <w:sz w:val="24"/>
          <w:szCs w:val="24"/>
          <w:highlight w:val="white"/>
          <w:lang w:val="en-GB"/>
        </w:rPr>
        <w:t>KANAKRIYAH, 2020, p.531)</w:t>
      </w:r>
      <w:r w:rsidRPr="00B917DC">
        <w:rPr>
          <w:rFonts w:ascii="Times New Roman" w:eastAsia="Times New Roman" w:hAnsi="Times New Roman" w:cs="Times New Roman"/>
          <w:sz w:val="24"/>
          <w:szCs w:val="24"/>
          <w:lang w:val="en-GB"/>
        </w:rPr>
        <w:t xml:space="preserve">. The Modigliani-Miller theory states that the market value of a specific organisation is correctly calculated as its present market value of its future income and underlying its present assets. In addition, the calculated market value of the company must be independent of its overall corporate structure or capital structure. In the initial context this theory argues that with certain assumptions in the </w:t>
      </w:r>
      <w:proofErr w:type="gramStart"/>
      <w:r w:rsidRPr="00B917DC">
        <w:rPr>
          <w:rFonts w:ascii="Times New Roman" w:eastAsia="Times New Roman" w:hAnsi="Times New Roman" w:cs="Times New Roman"/>
          <w:sz w:val="24"/>
          <w:szCs w:val="24"/>
          <w:lang w:val="en-GB"/>
        </w:rPr>
        <w:t>market place</w:t>
      </w:r>
      <w:proofErr w:type="gramEnd"/>
      <w:r w:rsidRPr="00B917DC">
        <w:rPr>
          <w:rFonts w:ascii="Times New Roman" w:eastAsia="Times New Roman" w:hAnsi="Times New Roman" w:cs="Times New Roman"/>
          <w:sz w:val="24"/>
          <w:szCs w:val="24"/>
          <w:lang w:val="en-GB"/>
        </w:rPr>
        <w:t xml:space="preserve"> it is irrelevant if an organisation finances earn growth by lending, by borrowing, by issuing bonds or stock shares and by reinvesting in its own profit. Companies such as BT group have the process or method to </w:t>
      </w:r>
      <w:r w:rsidR="007E7CF6" w:rsidRPr="00B917DC">
        <w:rPr>
          <w:rFonts w:ascii="Times New Roman" w:eastAsia="Times New Roman" w:hAnsi="Times New Roman" w:cs="Times New Roman"/>
          <w:sz w:val="24"/>
          <w:szCs w:val="24"/>
          <w:lang w:val="en-GB"/>
        </w:rPr>
        <w:t>rise</w:t>
      </w:r>
      <w:r w:rsidRPr="00B917DC">
        <w:rPr>
          <w:rFonts w:ascii="Times New Roman" w:eastAsia="Times New Roman" w:hAnsi="Times New Roman" w:cs="Times New Roman"/>
          <w:sz w:val="24"/>
          <w:szCs w:val="24"/>
          <w:lang w:val="en-GB"/>
        </w:rPr>
        <w:t xml:space="preserve"> costing to finance their internal operations and boost up their growth and profitability in future. The company can borrow money from issuing various bonds, stock sharing, or obtaining loans from lending institutions or banks. In </w:t>
      </w:r>
      <w:proofErr w:type="gramStart"/>
      <w:r w:rsidRPr="00B917DC">
        <w:rPr>
          <w:rFonts w:ascii="Times New Roman" w:eastAsia="Times New Roman" w:hAnsi="Times New Roman" w:cs="Times New Roman"/>
          <w:sz w:val="24"/>
          <w:szCs w:val="24"/>
          <w:lang w:val="en-GB"/>
        </w:rPr>
        <w:t>addition</w:t>
      </w:r>
      <w:proofErr w:type="gramEnd"/>
      <w:r w:rsidRPr="00B917DC">
        <w:rPr>
          <w:rFonts w:ascii="Times New Roman" w:eastAsia="Times New Roman" w:hAnsi="Times New Roman" w:cs="Times New Roman"/>
          <w:sz w:val="24"/>
          <w:szCs w:val="24"/>
          <w:lang w:val="en-GB"/>
        </w:rPr>
        <w:t xml:space="preserve"> the company can reinvest their net income in their own internal or external operations to gain in-house profitability without external investment. This process is quite helpful for the companies to reinvest their earning in their opportunities for enhancing their performance. Lastly, the company can issue new stocks with new lucrative prices to the stockholders or share market investors (</w:t>
      </w:r>
      <w:proofErr w:type="spellStart"/>
      <w:r w:rsidRPr="00B917DC">
        <w:rPr>
          <w:rFonts w:ascii="Times New Roman" w:eastAsia="Times New Roman" w:hAnsi="Times New Roman" w:cs="Times New Roman"/>
          <w:sz w:val="24"/>
          <w:szCs w:val="24"/>
          <w:highlight w:val="white"/>
          <w:lang w:val="en-GB"/>
        </w:rPr>
        <w:t>Brusov</w:t>
      </w:r>
      <w:proofErr w:type="spellEnd"/>
      <w:r w:rsidRPr="00B917DC">
        <w:rPr>
          <w:rFonts w:ascii="Times New Roman" w:eastAsia="Times New Roman" w:hAnsi="Times New Roman" w:cs="Times New Roman"/>
          <w:sz w:val="24"/>
          <w:szCs w:val="24"/>
          <w:highlight w:val="white"/>
          <w:lang w:val="en-GB"/>
        </w:rPr>
        <w:t xml:space="preserve"> </w:t>
      </w:r>
      <w:r w:rsidRPr="00B917DC">
        <w:rPr>
          <w:rFonts w:ascii="Times New Roman" w:eastAsia="Times New Roman" w:hAnsi="Times New Roman" w:cs="Times New Roman"/>
          <w:i/>
          <w:sz w:val="24"/>
          <w:szCs w:val="24"/>
          <w:highlight w:val="white"/>
          <w:lang w:val="en-GB"/>
        </w:rPr>
        <w:t>et al</w:t>
      </w:r>
      <w:r w:rsidRPr="00B917DC">
        <w:rPr>
          <w:rFonts w:ascii="Times New Roman" w:eastAsia="Times New Roman" w:hAnsi="Times New Roman" w:cs="Times New Roman"/>
          <w:sz w:val="24"/>
          <w:szCs w:val="24"/>
          <w:highlight w:val="white"/>
          <w:lang w:val="en-GB"/>
        </w:rPr>
        <w:t>., 2021, p.1286)</w:t>
      </w:r>
      <w:r w:rsidRPr="00B917DC">
        <w:rPr>
          <w:rFonts w:ascii="Times New Roman" w:eastAsia="Times New Roman" w:hAnsi="Times New Roman" w:cs="Times New Roman"/>
          <w:sz w:val="24"/>
          <w:szCs w:val="24"/>
          <w:lang w:val="en-GB"/>
        </w:rPr>
        <w:t xml:space="preserve">. </w:t>
      </w:r>
    </w:p>
    <w:p w14:paraId="6A4B3D8D" w14:textId="77777777" w:rsidR="004C1282" w:rsidRPr="00B917DC" w:rsidRDefault="00310068">
      <w:pPr>
        <w:spacing w:line="360" w:lineRule="auto"/>
        <w:jc w:val="both"/>
        <w:rPr>
          <w:rFonts w:ascii="Times New Roman" w:eastAsia="Times New Roman" w:hAnsi="Times New Roman" w:cs="Times New Roman"/>
          <w:b/>
          <w:i/>
          <w:sz w:val="24"/>
          <w:szCs w:val="24"/>
          <w:lang w:val="en-GB"/>
        </w:rPr>
      </w:pPr>
      <w:r w:rsidRPr="00B917DC">
        <w:rPr>
          <w:rFonts w:ascii="Times New Roman" w:eastAsia="Times New Roman" w:hAnsi="Times New Roman" w:cs="Times New Roman"/>
          <w:b/>
          <w:i/>
          <w:sz w:val="24"/>
          <w:szCs w:val="24"/>
          <w:lang w:val="en-GB"/>
        </w:rPr>
        <w:t>2.1.2 Application of Gordon’s Model</w:t>
      </w:r>
    </w:p>
    <w:p w14:paraId="6A4B3D8E"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t xml:space="preserve">Dividend policy is considered as one of the crucial financial statements that can affect a company's financial performance and efficiency. Finance is the key operator of each operation occurring in the organisation and maintaining financial stability is the most </w:t>
      </w:r>
      <w:r w:rsidRPr="00B917DC">
        <w:rPr>
          <w:rFonts w:ascii="Times New Roman" w:eastAsia="Times New Roman" w:hAnsi="Times New Roman" w:cs="Times New Roman"/>
          <w:sz w:val="24"/>
          <w:szCs w:val="24"/>
          <w:lang w:val="en-GB"/>
        </w:rPr>
        <w:lastRenderedPageBreak/>
        <w:t>important activity of an organisation. Dividend policy provides strength to the organisation to keep the flow of money steady and continuous. The Gordon growth model refers to determination of the intrinsic values of company stocks based on a future value of dividend that grows every year with a constant rate. The model</w:t>
      </w:r>
      <w:r w:rsidR="007E7CF6">
        <w:rPr>
          <w:rFonts w:ascii="Times New Roman" w:eastAsia="Times New Roman" w:hAnsi="Times New Roman" w:cs="Times New Roman"/>
          <w:sz w:val="24"/>
          <w:szCs w:val="24"/>
          <w:lang w:val="en-GB"/>
        </w:rPr>
        <w:t xml:space="preserve"> assumes that dividends grow in</w:t>
      </w:r>
      <w:r w:rsidRPr="00B917DC">
        <w:rPr>
          <w:rFonts w:ascii="Times New Roman" w:eastAsia="Times New Roman" w:hAnsi="Times New Roman" w:cs="Times New Roman"/>
          <w:sz w:val="24"/>
          <w:szCs w:val="24"/>
          <w:lang w:val="en-GB"/>
        </w:rPr>
        <w:t xml:space="preserve"> constant rate and solves the present value of the series in future dividend. The model </w:t>
      </w:r>
      <w:proofErr w:type="gramStart"/>
      <w:r w:rsidRPr="00B917DC">
        <w:rPr>
          <w:rFonts w:ascii="Times New Roman" w:eastAsia="Times New Roman" w:hAnsi="Times New Roman" w:cs="Times New Roman"/>
          <w:sz w:val="24"/>
          <w:szCs w:val="24"/>
          <w:lang w:val="en-GB"/>
        </w:rPr>
        <w:t>assume</w:t>
      </w:r>
      <w:proofErr w:type="gramEnd"/>
      <w:r w:rsidRPr="00B917DC">
        <w:rPr>
          <w:rFonts w:ascii="Times New Roman" w:eastAsia="Times New Roman" w:hAnsi="Times New Roman" w:cs="Times New Roman"/>
          <w:sz w:val="24"/>
          <w:szCs w:val="24"/>
          <w:lang w:val="en-GB"/>
        </w:rPr>
        <w:t xml:space="preserve"> the constant growth rate of the dividend that used by BT to assume stable growth rates in dividend calculated per share (</w:t>
      </w:r>
      <w:r w:rsidR="007E7CF6">
        <w:rPr>
          <w:rFonts w:ascii="Times New Roman" w:eastAsia="Times New Roman" w:hAnsi="Times New Roman" w:cs="Times New Roman"/>
          <w:color w:val="222222"/>
          <w:sz w:val="24"/>
          <w:szCs w:val="24"/>
          <w:highlight w:val="white"/>
          <w:lang w:val="en-GB"/>
        </w:rPr>
        <w:t>Wang</w:t>
      </w:r>
      <w:r w:rsidRPr="00B917DC">
        <w:rPr>
          <w:rFonts w:ascii="Times New Roman" w:eastAsia="Times New Roman" w:hAnsi="Times New Roman" w:cs="Times New Roman"/>
          <w:color w:val="222222"/>
          <w:sz w:val="24"/>
          <w:szCs w:val="24"/>
          <w:highlight w:val="white"/>
          <w:lang w:val="en-GB"/>
        </w:rPr>
        <w:t xml:space="preserve"> and Hartzell, 2020)</w:t>
      </w:r>
      <w:r w:rsidRPr="00B917DC">
        <w:rPr>
          <w:rFonts w:ascii="Times New Roman" w:eastAsia="Times New Roman" w:hAnsi="Times New Roman" w:cs="Times New Roman"/>
          <w:sz w:val="24"/>
          <w:szCs w:val="24"/>
          <w:lang w:val="en-GB"/>
        </w:rPr>
        <w:t xml:space="preserve">. Dividends are the share portion of the company's overall net profit in an economic year that it decides to pay to its shareholders on that they have already paid or due to pay the dividend tax. There is an essential element of the dividend return from the investments in the company shares or to any increase in the share prices. Organisations are under no obligation to pay the return dividend </w:t>
      </w:r>
      <w:proofErr w:type="gramStart"/>
      <w:r w:rsidRPr="00B917DC">
        <w:rPr>
          <w:rFonts w:ascii="Times New Roman" w:eastAsia="Times New Roman" w:hAnsi="Times New Roman" w:cs="Times New Roman"/>
          <w:sz w:val="24"/>
          <w:szCs w:val="24"/>
          <w:lang w:val="en-GB"/>
        </w:rPr>
        <w:t>however,</w:t>
      </w:r>
      <w:proofErr w:type="gramEnd"/>
      <w:r w:rsidRPr="00B917DC">
        <w:rPr>
          <w:rFonts w:ascii="Times New Roman" w:eastAsia="Times New Roman" w:hAnsi="Times New Roman" w:cs="Times New Roman"/>
          <w:sz w:val="24"/>
          <w:szCs w:val="24"/>
          <w:lang w:val="en-GB"/>
        </w:rPr>
        <w:t xml:space="preserve"> they certainly choose to pay back because dividends provide an elevated incentive to invest in the company shares. According to BT’s dividend policies the company aims to earn from paying back to the shareholder for enhancing investment in future that would help the organisation to grow and meet projected organisational goals. </w:t>
      </w:r>
    </w:p>
    <w:p w14:paraId="6A4B3D8F" w14:textId="77777777" w:rsidR="004C1282" w:rsidRPr="00B917DC" w:rsidRDefault="00310068">
      <w:pPr>
        <w:spacing w:line="360" w:lineRule="auto"/>
        <w:jc w:val="both"/>
        <w:rPr>
          <w:rFonts w:ascii="Times New Roman" w:eastAsia="Times New Roman" w:hAnsi="Times New Roman" w:cs="Times New Roman"/>
          <w:b/>
          <w:i/>
          <w:sz w:val="24"/>
          <w:szCs w:val="24"/>
          <w:lang w:val="en-GB"/>
        </w:rPr>
      </w:pPr>
      <w:r w:rsidRPr="00B917DC">
        <w:rPr>
          <w:rFonts w:ascii="Times New Roman" w:eastAsia="Times New Roman" w:hAnsi="Times New Roman" w:cs="Times New Roman"/>
          <w:b/>
          <w:i/>
          <w:sz w:val="24"/>
          <w:szCs w:val="24"/>
          <w:lang w:val="en-GB"/>
        </w:rPr>
        <w:t>2.1.3 Interim Dividend, Final Dividend and Cash Dividend Policy of British Telecom</w:t>
      </w:r>
    </w:p>
    <w:p w14:paraId="6A4B3D90"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t xml:space="preserve">According to British Telecom's dividend policy the company normally paid its dividend twice in an economic year. The final dividend paid in September and the interim dividend paid in February before year ending by the company. Shareholders of British telecom paid dividend through direct bank process or building society accounts that are sent by the company as one consolidated dividend payment confirmation along </w:t>
      </w:r>
      <w:r>
        <w:rPr>
          <w:rFonts w:ascii="Times New Roman" w:eastAsia="Times New Roman" w:hAnsi="Times New Roman" w:cs="Times New Roman"/>
          <w:sz w:val="24"/>
          <w:szCs w:val="24"/>
          <w:lang w:val="en-GB"/>
        </w:rPr>
        <w:t>with the annual mailing in the M</w:t>
      </w:r>
      <w:r w:rsidRPr="00B917DC">
        <w:rPr>
          <w:rFonts w:ascii="Times New Roman" w:eastAsia="Times New Roman" w:hAnsi="Times New Roman" w:cs="Times New Roman"/>
          <w:sz w:val="24"/>
          <w:szCs w:val="24"/>
          <w:lang w:val="en-GB"/>
        </w:rPr>
        <w:t>ay. The company dividend policy is very clear and significant that the company sends all the dividend information of the shareholder through giving them previous year statements in one statement confirmation. This dividend collection process is clear and specifically structured to treat the consumer’s best financial experience and serve them better (</w:t>
      </w:r>
      <w:r w:rsidRPr="00B917DC">
        <w:rPr>
          <w:rFonts w:ascii="Times New Roman" w:eastAsia="Times New Roman" w:hAnsi="Times New Roman" w:cs="Times New Roman"/>
          <w:color w:val="222222"/>
          <w:sz w:val="24"/>
          <w:szCs w:val="24"/>
          <w:highlight w:val="white"/>
          <w:lang w:val="en-GB"/>
        </w:rPr>
        <w:t xml:space="preserve">Dang </w:t>
      </w:r>
      <w:r w:rsidRPr="00B917DC">
        <w:rPr>
          <w:rFonts w:ascii="Times New Roman" w:eastAsia="Times New Roman" w:hAnsi="Times New Roman" w:cs="Times New Roman"/>
          <w:i/>
          <w:color w:val="222222"/>
          <w:sz w:val="24"/>
          <w:szCs w:val="24"/>
          <w:highlight w:val="white"/>
          <w:lang w:val="en-GB"/>
        </w:rPr>
        <w:t>et al</w:t>
      </w:r>
      <w:r w:rsidRPr="00B917DC">
        <w:rPr>
          <w:rFonts w:ascii="Times New Roman" w:eastAsia="Times New Roman" w:hAnsi="Times New Roman" w:cs="Times New Roman"/>
          <w:color w:val="222222"/>
          <w:sz w:val="24"/>
          <w:szCs w:val="24"/>
          <w:highlight w:val="white"/>
          <w:lang w:val="en-GB"/>
        </w:rPr>
        <w:t>., 2021, p.5516)</w:t>
      </w:r>
      <w:r w:rsidRPr="00B917DC">
        <w:rPr>
          <w:rFonts w:ascii="Times New Roman" w:eastAsia="Times New Roman" w:hAnsi="Times New Roman" w:cs="Times New Roman"/>
          <w:sz w:val="24"/>
          <w:szCs w:val="24"/>
          <w:lang w:val="en-GB"/>
        </w:rPr>
        <w:t xml:space="preserve">. </w:t>
      </w:r>
    </w:p>
    <w:p w14:paraId="6A4B3D91"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t xml:space="preserve">According to the communication and revised dividend policy of British telecom in </w:t>
      </w:r>
      <w:proofErr w:type="spellStart"/>
      <w:r w:rsidRPr="00B917DC">
        <w:rPr>
          <w:rFonts w:ascii="Times New Roman" w:eastAsia="Times New Roman" w:hAnsi="Times New Roman" w:cs="Times New Roman"/>
          <w:sz w:val="24"/>
          <w:szCs w:val="24"/>
          <w:lang w:val="en-GB"/>
        </w:rPr>
        <w:t>may</w:t>
      </w:r>
      <w:proofErr w:type="spellEnd"/>
      <w:r w:rsidRPr="00B917DC">
        <w:rPr>
          <w:rFonts w:ascii="Times New Roman" w:eastAsia="Times New Roman" w:hAnsi="Times New Roman" w:cs="Times New Roman"/>
          <w:sz w:val="24"/>
          <w:szCs w:val="24"/>
          <w:lang w:val="en-GB"/>
        </w:rPr>
        <w:t xml:space="preserve">, 2020 the administrator board concluded that the prudent session </w:t>
      </w:r>
      <w:proofErr w:type="gramStart"/>
      <w:r w:rsidRPr="00B917DC">
        <w:rPr>
          <w:rFonts w:ascii="Times New Roman" w:eastAsia="Times New Roman" w:hAnsi="Times New Roman" w:cs="Times New Roman"/>
          <w:sz w:val="24"/>
          <w:szCs w:val="24"/>
          <w:lang w:val="en-GB"/>
        </w:rPr>
        <w:t>suspended  the</w:t>
      </w:r>
      <w:proofErr w:type="gramEnd"/>
      <w:r w:rsidRPr="00B917DC">
        <w:rPr>
          <w:rFonts w:ascii="Times New Roman" w:eastAsia="Times New Roman" w:hAnsi="Times New Roman" w:cs="Times New Roman"/>
          <w:sz w:val="24"/>
          <w:szCs w:val="24"/>
          <w:lang w:val="en-GB"/>
        </w:rPr>
        <w:t xml:space="preserve"> 2019-20 overall dividend and 2020-21 dividend in order to create more capacity and efficiency off the company's value-encouraging financial investments. In addition, it also communicated in the revised process that the company would navigate the unprecedented uncertainties due to Covid-19 outbreak from March 2020 to till today (</w:t>
      </w:r>
      <w:r w:rsidRPr="00B917DC">
        <w:rPr>
          <w:rFonts w:ascii="Times New Roman" w:eastAsia="Times New Roman" w:hAnsi="Times New Roman" w:cs="Times New Roman"/>
          <w:color w:val="222222"/>
          <w:sz w:val="24"/>
          <w:szCs w:val="24"/>
          <w:highlight w:val="white"/>
          <w:lang w:val="en-GB"/>
        </w:rPr>
        <w:t>Bt.com, 2022)</w:t>
      </w:r>
      <w:r w:rsidRPr="00B917DC">
        <w:rPr>
          <w:rFonts w:ascii="Times New Roman" w:eastAsia="Times New Roman" w:hAnsi="Times New Roman" w:cs="Times New Roman"/>
          <w:sz w:val="24"/>
          <w:szCs w:val="24"/>
          <w:lang w:val="en-GB"/>
        </w:rPr>
        <w:t xml:space="preserve">. Dividend payment of British Telecom resumed in the 2021-22 economic year with 2.31p in per share as declared for the interim dividend return. </w:t>
      </w:r>
    </w:p>
    <w:p w14:paraId="6A4B3D92"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lastRenderedPageBreak/>
        <w:t>According to revised Dividend taxation policy set by the UK government has followed by the Company from April 2016. In April 2016, the dividend tax credit was relocated by a tax-free dividend allowance policy set by the government (</w:t>
      </w:r>
      <w:r w:rsidRPr="00B917DC">
        <w:rPr>
          <w:rFonts w:ascii="Times New Roman" w:eastAsia="Times New Roman" w:hAnsi="Times New Roman" w:cs="Times New Roman"/>
          <w:color w:val="222222"/>
          <w:sz w:val="24"/>
          <w:szCs w:val="24"/>
          <w:highlight w:val="white"/>
          <w:lang w:val="en-GB"/>
        </w:rPr>
        <w:t>Bloomberg.com, 2022)</w:t>
      </w:r>
      <w:r w:rsidRPr="00B917DC">
        <w:rPr>
          <w:rFonts w:ascii="Times New Roman" w:eastAsia="Times New Roman" w:hAnsi="Times New Roman" w:cs="Times New Roman"/>
          <w:sz w:val="24"/>
          <w:szCs w:val="24"/>
          <w:lang w:val="en-GB"/>
        </w:rPr>
        <w:t xml:space="preserve">. The dividend allowance doesn't decrease total income for tax </w:t>
      </w:r>
      <w:proofErr w:type="gramStart"/>
      <w:r w:rsidRPr="00B917DC">
        <w:rPr>
          <w:rFonts w:ascii="Times New Roman" w:eastAsia="Times New Roman" w:hAnsi="Times New Roman" w:cs="Times New Roman"/>
          <w:sz w:val="24"/>
          <w:szCs w:val="24"/>
          <w:lang w:val="en-GB"/>
        </w:rPr>
        <w:t>purposes</w:t>
      </w:r>
      <w:proofErr w:type="gramEnd"/>
      <w:r w:rsidRPr="00B917DC">
        <w:rPr>
          <w:rFonts w:ascii="Times New Roman" w:eastAsia="Times New Roman" w:hAnsi="Times New Roman" w:cs="Times New Roman"/>
          <w:sz w:val="24"/>
          <w:szCs w:val="24"/>
          <w:lang w:val="en-GB"/>
        </w:rPr>
        <w:t xml:space="preserve"> but it refers to the fact that the taxpayer won't have to pay tax on his first 2000 dollars of the dividend income. In addition, this revised dividend tax free policy does not care about the non-dividend income of the taxpayer and the policy is not applicable on the non-dividend income statement, it is exclusively performed on an individual's total dividend income. </w:t>
      </w:r>
    </w:p>
    <w:p w14:paraId="6A4B3D93" w14:textId="77777777" w:rsidR="004C1282" w:rsidRPr="00B917DC" w:rsidRDefault="00310068">
      <w:pPr>
        <w:spacing w:line="360" w:lineRule="auto"/>
        <w:jc w:val="both"/>
        <w:rPr>
          <w:rFonts w:ascii="Times New Roman" w:eastAsia="Times New Roman" w:hAnsi="Times New Roman" w:cs="Times New Roman"/>
          <w:b/>
          <w:sz w:val="24"/>
          <w:szCs w:val="24"/>
          <w:lang w:val="en-GB"/>
        </w:rPr>
      </w:pPr>
      <w:r w:rsidRPr="00B917DC">
        <w:rPr>
          <w:rFonts w:ascii="Times New Roman" w:eastAsia="Times New Roman" w:hAnsi="Times New Roman" w:cs="Times New Roman"/>
          <w:b/>
          <w:sz w:val="24"/>
          <w:szCs w:val="24"/>
          <w:lang w:val="en-GB"/>
        </w:rPr>
        <w:t xml:space="preserve">2.2 Efficient Market Hypothesis theory in relation to MNC’s operation </w:t>
      </w:r>
      <w:r w:rsidRPr="00B917DC">
        <w:rPr>
          <w:rFonts w:ascii="Times New Roman" w:eastAsia="Times New Roman" w:hAnsi="Times New Roman" w:cs="Times New Roman"/>
          <w:b/>
          <w:i/>
          <w:sz w:val="24"/>
          <w:szCs w:val="24"/>
          <w:lang w:val="en-GB"/>
        </w:rPr>
        <w:t>(British Telecom)</w:t>
      </w:r>
    </w:p>
    <w:p w14:paraId="6A4B3D94"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t xml:space="preserve">The efficient market hypothesis theory is generally known as the efficient market theory that states share prices reflect all the relevant information and consistent alpha generation is impossible for a corporation such as British telecom. According to efficiency hypothesis theory, stocks always commerce at their original value on </w:t>
      </w:r>
      <w:r w:rsidR="00B917DC" w:rsidRPr="00B917DC">
        <w:rPr>
          <w:rFonts w:ascii="Times New Roman" w:eastAsia="Times New Roman" w:hAnsi="Times New Roman" w:cs="Times New Roman"/>
          <w:sz w:val="24"/>
          <w:szCs w:val="24"/>
          <w:lang w:val="en-GB"/>
        </w:rPr>
        <w:t>foreign</w:t>
      </w:r>
      <w:r w:rsidRPr="00B917DC">
        <w:rPr>
          <w:rFonts w:ascii="Times New Roman" w:eastAsia="Times New Roman" w:hAnsi="Times New Roman" w:cs="Times New Roman"/>
          <w:sz w:val="24"/>
          <w:szCs w:val="24"/>
          <w:lang w:val="en-GB"/>
        </w:rPr>
        <w:t xml:space="preserve"> exchanges, making it impossible for the investors to buy undervalued stocks or sell undervalued stocks for inflated prices. Hence, it must be impossible to outperform the market through expert stocks identification or accurate market timing. In addition, British telecom uses the only pathway of this theory to estimate the route where an investor can gain highest returns by purchasing risky investments. Efficient market hypothesis holds two statements whic</w:t>
      </w:r>
      <w:r w:rsidR="00B917DC" w:rsidRPr="00B917DC">
        <w:rPr>
          <w:rFonts w:ascii="Times New Roman" w:eastAsia="Times New Roman" w:hAnsi="Times New Roman" w:cs="Times New Roman"/>
          <w:sz w:val="24"/>
          <w:szCs w:val="24"/>
          <w:lang w:val="en-GB"/>
        </w:rPr>
        <w:t>h are opposites of each other, t</w:t>
      </w:r>
      <w:r w:rsidRPr="00B917DC">
        <w:rPr>
          <w:rFonts w:ascii="Times New Roman" w:eastAsia="Times New Roman" w:hAnsi="Times New Roman" w:cs="Times New Roman"/>
          <w:sz w:val="24"/>
          <w:szCs w:val="24"/>
          <w:lang w:val="en-GB"/>
        </w:rPr>
        <w:t xml:space="preserve">he proponents of EMH theory states that investors earn benefits from investing in low price or passive cost portfolios. On the other hand, the opponents of EMH theory state that it is possible to break the market value and that stocks can be deviated from their original market prices. </w:t>
      </w:r>
    </w:p>
    <w:p w14:paraId="6A4B3D95" w14:textId="77777777" w:rsidR="004C1282" w:rsidRPr="00B917DC" w:rsidRDefault="00310068">
      <w:pPr>
        <w:spacing w:line="360" w:lineRule="auto"/>
        <w:jc w:val="center"/>
        <w:rPr>
          <w:rFonts w:ascii="Times New Roman" w:eastAsia="Times New Roman" w:hAnsi="Times New Roman" w:cs="Times New Roman"/>
          <w:sz w:val="24"/>
          <w:szCs w:val="24"/>
          <w:lang w:val="en-GB"/>
        </w:rPr>
      </w:pPr>
      <w:r w:rsidRPr="00B917DC">
        <w:rPr>
          <w:rFonts w:ascii="Times New Roman" w:eastAsia="Times New Roman" w:hAnsi="Times New Roman" w:cs="Times New Roman"/>
          <w:noProof/>
          <w:sz w:val="24"/>
          <w:szCs w:val="24"/>
          <w:lang w:val="en-US" w:eastAsia="en-US" w:bidi="ar-SA"/>
        </w:rPr>
        <w:drawing>
          <wp:inline distT="114300" distB="114300" distL="114300" distR="114300" wp14:anchorId="6A4B3DB2" wp14:editId="6A4B3DB3">
            <wp:extent cx="5731200" cy="2387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387600"/>
                    </a:xfrm>
                    <a:prstGeom prst="rect">
                      <a:avLst/>
                    </a:prstGeom>
                    <a:ln/>
                  </pic:spPr>
                </pic:pic>
              </a:graphicData>
            </a:graphic>
          </wp:inline>
        </w:drawing>
      </w:r>
    </w:p>
    <w:p w14:paraId="6A4B3D96" w14:textId="77777777" w:rsidR="004C1282" w:rsidRPr="00F40FDF" w:rsidRDefault="00310068">
      <w:pPr>
        <w:spacing w:line="360" w:lineRule="auto"/>
        <w:jc w:val="center"/>
        <w:rPr>
          <w:rFonts w:ascii="Times New Roman" w:eastAsia="Times New Roman" w:hAnsi="Times New Roman" w:cs="Times New Roman"/>
          <w:b/>
          <w:sz w:val="20"/>
          <w:szCs w:val="24"/>
          <w:lang w:val="en-GB"/>
        </w:rPr>
      </w:pPr>
      <w:r w:rsidRPr="00F40FDF">
        <w:rPr>
          <w:rFonts w:ascii="Times New Roman" w:eastAsia="Times New Roman" w:hAnsi="Times New Roman" w:cs="Times New Roman"/>
          <w:b/>
          <w:sz w:val="20"/>
          <w:szCs w:val="24"/>
          <w:lang w:val="en-GB"/>
        </w:rPr>
        <w:t xml:space="preserve">Figure 1: Efficient market hypothesis theory </w:t>
      </w:r>
    </w:p>
    <w:p w14:paraId="6A4B3D97" w14:textId="77777777" w:rsidR="004C1282" w:rsidRPr="00F40FDF" w:rsidRDefault="00310068">
      <w:pPr>
        <w:spacing w:line="360" w:lineRule="auto"/>
        <w:jc w:val="center"/>
        <w:rPr>
          <w:rFonts w:ascii="Times New Roman" w:eastAsia="Times New Roman" w:hAnsi="Times New Roman" w:cs="Times New Roman"/>
          <w:sz w:val="20"/>
          <w:szCs w:val="24"/>
          <w:lang w:val="en-GB"/>
        </w:rPr>
      </w:pPr>
      <w:r w:rsidRPr="00F40FDF">
        <w:rPr>
          <w:rFonts w:ascii="Times New Roman" w:eastAsia="Times New Roman" w:hAnsi="Times New Roman" w:cs="Times New Roman"/>
          <w:sz w:val="20"/>
          <w:szCs w:val="24"/>
          <w:lang w:val="en-GB"/>
        </w:rPr>
        <w:t xml:space="preserve">(Source: </w:t>
      </w:r>
      <w:r w:rsidRPr="00F40FDF">
        <w:rPr>
          <w:rFonts w:ascii="Times New Roman" w:eastAsia="Times New Roman" w:hAnsi="Times New Roman" w:cs="Times New Roman"/>
          <w:color w:val="222222"/>
          <w:sz w:val="20"/>
          <w:szCs w:val="24"/>
          <w:highlight w:val="white"/>
          <w:lang w:val="en-GB"/>
        </w:rPr>
        <w:t>Researchgate.net, 2022</w:t>
      </w:r>
      <w:r w:rsidRPr="00F40FDF">
        <w:rPr>
          <w:rFonts w:ascii="Times New Roman" w:eastAsia="Times New Roman" w:hAnsi="Times New Roman" w:cs="Times New Roman"/>
          <w:sz w:val="20"/>
          <w:szCs w:val="24"/>
          <w:lang w:val="en-GB"/>
        </w:rPr>
        <w:t xml:space="preserve">) </w:t>
      </w:r>
    </w:p>
    <w:p w14:paraId="6A4B3D98"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lastRenderedPageBreak/>
        <w:t xml:space="preserve">Although in modern financial markets theories efficient market hypothesis theory is a controversial and disputed theory beloved by corporations. </w:t>
      </w:r>
      <w:r w:rsidR="00AE6D2C" w:rsidRPr="00B917DC">
        <w:rPr>
          <w:rFonts w:ascii="Times New Roman" w:eastAsia="Times New Roman" w:hAnsi="Times New Roman" w:cs="Times New Roman"/>
          <w:sz w:val="24"/>
          <w:szCs w:val="24"/>
          <w:lang w:val="en-GB"/>
        </w:rPr>
        <w:t>Opponents argue</w:t>
      </w:r>
      <w:r w:rsidRPr="00B917DC">
        <w:rPr>
          <w:rFonts w:ascii="Times New Roman" w:eastAsia="Times New Roman" w:hAnsi="Times New Roman" w:cs="Times New Roman"/>
          <w:sz w:val="24"/>
          <w:szCs w:val="24"/>
          <w:lang w:val="en-GB"/>
        </w:rPr>
        <w:t xml:space="preserve"> that this theory refers to pointless search for the undervalued stocks prices or to try </w:t>
      </w:r>
      <w:r w:rsidR="00AE6D2C" w:rsidRPr="00B917DC">
        <w:rPr>
          <w:rFonts w:ascii="Times New Roman" w:eastAsia="Times New Roman" w:hAnsi="Times New Roman" w:cs="Times New Roman"/>
          <w:sz w:val="24"/>
          <w:szCs w:val="24"/>
          <w:lang w:val="en-GB"/>
        </w:rPr>
        <w:t>predicting</w:t>
      </w:r>
      <w:r w:rsidRPr="00B917DC">
        <w:rPr>
          <w:rFonts w:ascii="Times New Roman" w:eastAsia="Times New Roman" w:hAnsi="Times New Roman" w:cs="Times New Roman"/>
          <w:sz w:val="24"/>
          <w:szCs w:val="24"/>
          <w:lang w:val="en-GB"/>
        </w:rPr>
        <w:t xml:space="preserve"> market trends through basic or technical analysis. According to British Telecom’s administrators the actual market settings it is quite complex to predict market trends or market risk. It is not possible that fundamental or technical analysis serves risk adjustment excess returns or alpha consistently. The only information can be produced through the fundamental or technical analysis is the corporations can </w:t>
      </w:r>
      <w:r w:rsidR="00AE6D2C" w:rsidRPr="00B917DC">
        <w:rPr>
          <w:rFonts w:ascii="Times New Roman" w:eastAsia="Times New Roman" w:hAnsi="Times New Roman" w:cs="Times New Roman"/>
          <w:sz w:val="24"/>
          <w:szCs w:val="24"/>
          <w:lang w:val="en-GB"/>
        </w:rPr>
        <w:t>outsize</w:t>
      </w:r>
      <w:r w:rsidRPr="00B917DC">
        <w:rPr>
          <w:rFonts w:ascii="Times New Roman" w:eastAsia="Times New Roman" w:hAnsi="Times New Roman" w:cs="Times New Roman"/>
          <w:sz w:val="24"/>
          <w:szCs w:val="24"/>
          <w:lang w:val="en-GB"/>
        </w:rPr>
        <w:t xml:space="preserve"> or overview the risk adjustment returns. </w:t>
      </w:r>
    </w:p>
    <w:p w14:paraId="6A4B3D99" w14:textId="77777777" w:rsidR="004C1282" w:rsidRPr="00B917DC" w:rsidRDefault="00310068">
      <w:pPr>
        <w:spacing w:line="360" w:lineRule="auto"/>
        <w:jc w:val="both"/>
        <w:rPr>
          <w:rFonts w:ascii="Times New Roman" w:eastAsia="Times New Roman" w:hAnsi="Times New Roman" w:cs="Times New Roman"/>
          <w:b/>
          <w:sz w:val="24"/>
          <w:szCs w:val="24"/>
          <w:lang w:val="en-GB"/>
        </w:rPr>
      </w:pPr>
      <w:r w:rsidRPr="00B917DC">
        <w:rPr>
          <w:rFonts w:ascii="Times New Roman" w:eastAsia="Times New Roman" w:hAnsi="Times New Roman" w:cs="Times New Roman"/>
          <w:b/>
          <w:sz w:val="24"/>
          <w:szCs w:val="24"/>
          <w:lang w:val="en-GB"/>
        </w:rPr>
        <w:t>2.3 British Telecom’s Project Appraisal Methods</w:t>
      </w:r>
    </w:p>
    <w:p w14:paraId="6A4B3D9A" w14:textId="77777777" w:rsidR="004C1282" w:rsidRPr="00B917DC" w:rsidRDefault="00310068">
      <w:pPr>
        <w:spacing w:line="360" w:lineRule="auto"/>
        <w:jc w:val="both"/>
        <w:rPr>
          <w:rFonts w:ascii="Times New Roman" w:eastAsia="Times New Roman" w:hAnsi="Times New Roman" w:cs="Times New Roman"/>
          <w:b/>
          <w:i/>
          <w:sz w:val="24"/>
          <w:szCs w:val="24"/>
          <w:lang w:val="en-GB"/>
        </w:rPr>
      </w:pPr>
      <w:r w:rsidRPr="00B917DC">
        <w:rPr>
          <w:rFonts w:ascii="Times New Roman" w:eastAsia="Times New Roman" w:hAnsi="Times New Roman" w:cs="Times New Roman"/>
          <w:b/>
          <w:i/>
          <w:sz w:val="24"/>
          <w:szCs w:val="24"/>
          <w:lang w:val="en-GB"/>
        </w:rPr>
        <w:t>2.3.1 Net Present Value Method</w:t>
      </w:r>
    </w:p>
    <w:p w14:paraId="6A4B3D9B"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t xml:space="preserve">The net present value of a new investment proposal is the actual present value of the proposal's net cash flows lower than the proposal's initial investment or cash flows. In the case of a project where net present value is greater than or equal to zero, the project should be accepted. To maximise the company effectiveness in early 2003 the former </w:t>
      </w:r>
      <w:proofErr w:type="spellStart"/>
      <w:r w:rsidRPr="00B917DC">
        <w:rPr>
          <w:rFonts w:ascii="Times New Roman" w:eastAsia="Times New Roman" w:hAnsi="Times New Roman" w:cs="Times New Roman"/>
          <w:sz w:val="24"/>
          <w:szCs w:val="24"/>
          <w:lang w:val="en-GB"/>
        </w:rPr>
        <w:t>Ceo</w:t>
      </w:r>
      <w:proofErr w:type="spellEnd"/>
      <w:r w:rsidRPr="00B917DC">
        <w:rPr>
          <w:rFonts w:ascii="Times New Roman" w:eastAsia="Times New Roman" w:hAnsi="Times New Roman" w:cs="Times New Roman"/>
          <w:sz w:val="24"/>
          <w:szCs w:val="24"/>
          <w:lang w:val="en-GB"/>
        </w:rPr>
        <w:t xml:space="preserve"> of BT group transformed </w:t>
      </w:r>
      <w:proofErr w:type="gramStart"/>
      <w:r w:rsidRPr="00B917DC">
        <w:rPr>
          <w:rFonts w:ascii="Times New Roman" w:eastAsia="Times New Roman" w:hAnsi="Times New Roman" w:cs="Times New Roman"/>
          <w:sz w:val="24"/>
          <w:szCs w:val="24"/>
          <w:lang w:val="en-GB"/>
        </w:rPr>
        <w:t>it's</w:t>
      </w:r>
      <w:proofErr w:type="gramEnd"/>
      <w:r w:rsidRPr="00B917DC">
        <w:rPr>
          <w:rFonts w:ascii="Times New Roman" w:eastAsia="Times New Roman" w:hAnsi="Times New Roman" w:cs="Times New Roman"/>
          <w:sz w:val="24"/>
          <w:szCs w:val="24"/>
          <w:lang w:val="en-GB"/>
        </w:rPr>
        <w:t xml:space="preserve"> overall project and aim to perform as a 21st century telecom service. The net present value of BT group is almost 6% calculated at the time of telecom revolution (</w:t>
      </w:r>
      <w:r w:rsidRPr="00B917DC">
        <w:rPr>
          <w:rFonts w:ascii="Times New Roman" w:eastAsia="Times New Roman" w:hAnsi="Times New Roman" w:cs="Times New Roman"/>
          <w:color w:val="222222"/>
          <w:sz w:val="24"/>
          <w:szCs w:val="24"/>
          <w:highlight w:val="white"/>
          <w:lang w:val="en-GB"/>
        </w:rPr>
        <w:t>Oakspringuniversity.com, 2022)</w:t>
      </w:r>
      <w:r w:rsidRPr="00B917DC">
        <w:rPr>
          <w:rFonts w:ascii="Times New Roman" w:eastAsia="Times New Roman" w:hAnsi="Times New Roman" w:cs="Times New Roman"/>
          <w:sz w:val="24"/>
          <w:szCs w:val="24"/>
          <w:lang w:val="en-GB"/>
        </w:rPr>
        <w:t xml:space="preserve">. </w:t>
      </w:r>
    </w:p>
    <w:p w14:paraId="6A4B3D9C" w14:textId="77777777" w:rsidR="004C1282" w:rsidRPr="00B917DC" w:rsidRDefault="00310068">
      <w:pPr>
        <w:spacing w:line="360" w:lineRule="auto"/>
        <w:jc w:val="center"/>
        <w:rPr>
          <w:rFonts w:ascii="Times New Roman" w:eastAsia="Times New Roman" w:hAnsi="Times New Roman" w:cs="Times New Roman"/>
          <w:sz w:val="24"/>
          <w:szCs w:val="24"/>
          <w:lang w:val="en-GB"/>
        </w:rPr>
      </w:pPr>
      <w:r w:rsidRPr="00B917DC">
        <w:rPr>
          <w:rFonts w:ascii="Times New Roman" w:eastAsia="Times New Roman" w:hAnsi="Times New Roman" w:cs="Times New Roman"/>
          <w:noProof/>
          <w:sz w:val="24"/>
          <w:szCs w:val="24"/>
          <w:lang w:val="en-US" w:eastAsia="en-US" w:bidi="ar-SA"/>
        </w:rPr>
        <w:drawing>
          <wp:inline distT="114300" distB="114300" distL="114300" distR="114300" wp14:anchorId="6A4B3DB4" wp14:editId="6A4B3DB5">
            <wp:extent cx="5731200" cy="3175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175000"/>
                    </a:xfrm>
                    <a:prstGeom prst="rect">
                      <a:avLst/>
                    </a:prstGeom>
                    <a:ln/>
                  </pic:spPr>
                </pic:pic>
              </a:graphicData>
            </a:graphic>
          </wp:inline>
        </w:drawing>
      </w:r>
    </w:p>
    <w:p w14:paraId="6A4B3D9D" w14:textId="77777777" w:rsidR="004C1282" w:rsidRPr="00AE6D2C" w:rsidRDefault="00310068">
      <w:pPr>
        <w:spacing w:line="360" w:lineRule="auto"/>
        <w:jc w:val="center"/>
        <w:rPr>
          <w:rFonts w:ascii="Times New Roman" w:eastAsia="Times New Roman" w:hAnsi="Times New Roman" w:cs="Times New Roman"/>
          <w:b/>
          <w:sz w:val="20"/>
          <w:szCs w:val="24"/>
          <w:lang w:val="en-GB"/>
        </w:rPr>
      </w:pPr>
      <w:r w:rsidRPr="00AE6D2C">
        <w:rPr>
          <w:rFonts w:ascii="Times New Roman" w:eastAsia="Times New Roman" w:hAnsi="Times New Roman" w:cs="Times New Roman"/>
          <w:b/>
          <w:sz w:val="20"/>
          <w:szCs w:val="24"/>
          <w:lang w:val="en-GB"/>
        </w:rPr>
        <w:t>Figure 2: NPV of British Telecom</w:t>
      </w:r>
    </w:p>
    <w:p w14:paraId="6A4B3D9E" w14:textId="77777777" w:rsidR="004C1282" w:rsidRPr="00AE6D2C" w:rsidRDefault="00310068">
      <w:pPr>
        <w:spacing w:line="360" w:lineRule="auto"/>
        <w:jc w:val="center"/>
        <w:rPr>
          <w:rFonts w:ascii="Times New Roman" w:eastAsia="Times New Roman" w:hAnsi="Times New Roman" w:cs="Times New Roman"/>
          <w:sz w:val="20"/>
          <w:szCs w:val="24"/>
          <w:lang w:val="en-GB"/>
        </w:rPr>
      </w:pPr>
      <w:r w:rsidRPr="00AE6D2C">
        <w:rPr>
          <w:rFonts w:ascii="Times New Roman" w:eastAsia="Times New Roman" w:hAnsi="Times New Roman" w:cs="Times New Roman"/>
          <w:sz w:val="20"/>
          <w:szCs w:val="24"/>
          <w:lang w:val="en-GB"/>
        </w:rPr>
        <w:t xml:space="preserve">(Source: </w:t>
      </w:r>
      <w:r w:rsidRPr="00AE6D2C">
        <w:rPr>
          <w:rFonts w:ascii="Times New Roman" w:eastAsia="Times New Roman" w:hAnsi="Times New Roman" w:cs="Times New Roman"/>
          <w:color w:val="222222"/>
          <w:sz w:val="20"/>
          <w:szCs w:val="24"/>
          <w:highlight w:val="white"/>
          <w:lang w:val="en-GB"/>
        </w:rPr>
        <w:t>Oakspringuniversity.com, 2022</w:t>
      </w:r>
      <w:r w:rsidRPr="00AE6D2C">
        <w:rPr>
          <w:rFonts w:ascii="Times New Roman" w:eastAsia="Times New Roman" w:hAnsi="Times New Roman" w:cs="Times New Roman"/>
          <w:sz w:val="20"/>
          <w:szCs w:val="24"/>
          <w:lang w:val="en-GB"/>
        </w:rPr>
        <w:t xml:space="preserve">) </w:t>
      </w:r>
    </w:p>
    <w:p w14:paraId="6A4B3D9F" w14:textId="77777777" w:rsidR="004C1282" w:rsidRPr="00B917DC" w:rsidRDefault="00310068">
      <w:pPr>
        <w:spacing w:line="360" w:lineRule="auto"/>
        <w:jc w:val="both"/>
        <w:rPr>
          <w:rFonts w:ascii="Times New Roman" w:eastAsia="Times New Roman" w:hAnsi="Times New Roman" w:cs="Times New Roman"/>
          <w:b/>
          <w:i/>
          <w:sz w:val="24"/>
          <w:szCs w:val="24"/>
          <w:lang w:val="en-GB"/>
        </w:rPr>
      </w:pPr>
      <w:r w:rsidRPr="00B917DC">
        <w:rPr>
          <w:rFonts w:ascii="Times New Roman" w:eastAsia="Times New Roman" w:hAnsi="Times New Roman" w:cs="Times New Roman"/>
          <w:b/>
          <w:i/>
          <w:sz w:val="24"/>
          <w:szCs w:val="24"/>
          <w:lang w:val="en-GB"/>
        </w:rPr>
        <w:t>2.3.2 Internal Rate of Return Method (ACTUAL RATE OF RETURN)</w:t>
      </w:r>
    </w:p>
    <w:p w14:paraId="6A4B3DA0" w14:textId="77777777" w:rsidR="004C1282"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lastRenderedPageBreak/>
        <w:t xml:space="preserve">The internal rate of return refers to the discount rate that makes the Net present value of a project started from zero. In simple words, it is the formulated compound annual rate of return of the company that would be projected according to the assumed earnings on a project or initial investment. For </w:t>
      </w:r>
      <w:r w:rsidR="00B917DC" w:rsidRPr="00B917DC">
        <w:rPr>
          <w:rFonts w:ascii="Times New Roman" w:eastAsia="Times New Roman" w:hAnsi="Times New Roman" w:cs="Times New Roman"/>
          <w:sz w:val="24"/>
          <w:szCs w:val="24"/>
          <w:lang w:val="en-GB"/>
        </w:rPr>
        <w:t>British</w:t>
      </w:r>
      <w:r w:rsidRPr="00B917DC">
        <w:rPr>
          <w:rFonts w:ascii="Times New Roman" w:eastAsia="Times New Roman" w:hAnsi="Times New Roman" w:cs="Times New Roman"/>
          <w:sz w:val="24"/>
          <w:szCs w:val="24"/>
          <w:lang w:val="en-GB"/>
        </w:rPr>
        <w:t xml:space="preserve"> telecom's revolution </w:t>
      </w:r>
      <w:proofErr w:type="gramStart"/>
      <w:r w:rsidRPr="00B917DC">
        <w:rPr>
          <w:rFonts w:ascii="Times New Roman" w:eastAsia="Times New Roman" w:hAnsi="Times New Roman" w:cs="Times New Roman"/>
          <w:sz w:val="24"/>
          <w:szCs w:val="24"/>
          <w:lang w:val="en-GB"/>
        </w:rPr>
        <w:t>project</w:t>
      </w:r>
      <w:proofErr w:type="gramEnd"/>
      <w:r w:rsidRPr="00B917DC">
        <w:rPr>
          <w:rFonts w:ascii="Times New Roman" w:eastAsia="Times New Roman" w:hAnsi="Times New Roman" w:cs="Times New Roman"/>
          <w:sz w:val="24"/>
          <w:szCs w:val="24"/>
          <w:lang w:val="en-GB"/>
        </w:rPr>
        <w:t xml:space="preserve"> the initial investment or cash flow was almost 3 billion </w:t>
      </w:r>
      <w:r w:rsidR="00AE6D2C" w:rsidRPr="00B917DC">
        <w:rPr>
          <w:rFonts w:ascii="Times New Roman" w:eastAsia="Times New Roman" w:hAnsi="Times New Roman" w:cs="Times New Roman"/>
          <w:sz w:val="24"/>
          <w:szCs w:val="24"/>
          <w:lang w:val="en-GB"/>
        </w:rPr>
        <w:t>Euros</w:t>
      </w:r>
      <w:r w:rsidRPr="00B917DC">
        <w:rPr>
          <w:rFonts w:ascii="Times New Roman" w:eastAsia="Times New Roman" w:hAnsi="Times New Roman" w:cs="Times New Roman"/>
          <w:sz w:val="24"/>
          <w:szCs w:val="24"/>
          <w:lang w:val="en-GB"/>
        </w:rPr>
        <w:t xml:space="preserve">. </w:t>
      </w:r>
    </w:p>
    <w:p w14:paraId="6A4B3DA1" w14:textId="77777777" w:rsidR="004C1282" w:rsidRPr="00B917DC" w:rsidRDefault="00310068" w:rsidP="00AE6D2C">
      <w:pPr>
        <w:pStyle w:val="Heading1"/>
        <w:rPr>
          <w:lang w:val="en-GB"/>
        </w:rPr>
      </w:pPr>
      <w:bookmarkStart w:id="2" w:name="_Toc98176418"/>
      <w:r w:rsidRPr="00B917DC">
        <w:rPr>
          <w:lang w:val="en-GB"/>
        </w:rPr>
        <w:t xml:space="preserve">3. </w:t>
      </w:r>
      <w:r w:rsidRPr="00AE6D2C">
        <w:t>Conclusion</w:t>
      </w:r>
      <w:bookmarkEnd w:id="2"/>
      <w:r w:rsidRPr="00B917DC">
        <w:rPr>
          <w:lang w:val="en-GB"/>
        </w:rPr>
        <w:t xml:space="preserve"> </w:t>
      </w:r>
    </w:p>
    <w:p w14:paraId="6A4B3DA2" w14:textId="77777777" w:rsidR="00B917DC" w:rsidRPr="00B917DC" w:rsidRDefault="00310068">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t xml:space="preserve">According to the overall discussion it can be concluded that international financial management is not only used by private or corporate organisations, </w:t>
      </w:r>
      <w:proofErr w:type="gramStart"/>
      <w:r w:rsidRPr="00B917DC">
        <w:rPr>
          <w:rFonts w:ascii="Times New Roman" w:eastAsia="Times New Roman" w:hAnsi="Times New Roman" w:cs="Times New Roman"/>
          <w:sz w:val="24"/>
          <w:szCs w:val="24"/>
          <w:lang w:val="en-GB"/>
        </w:rPr>
        <w:t>it is also used</w:t>
      </w:r>
      <w:proofErr w:type="gramEnd"/>
      <w:r w:rsidRPr="00B917DC">
        <w:rPr>
          <w:rFonts w:ascii="Times New Roman" w:eastAsia="Times New Roman" w:hAnsi="Times New Roman" w:cs="Times New Roman"/>
          <w:sz w:val="24"/>
          <w:szCs w:val="24"/>
          <w:lang w:val="en-GB"/>
        </w:rPr>
        <w:t xml:space="preserve"> by non-profit organisations and governments to record international finance gains or losses. It is important for a multinational company to maintain its international finance to maximise </w:t>
      </w:r>
      <w:proofErr w:type="spellStart"/>
      <w:r w:rsidRPr="00B917DC">
        <w:rPr>
          <w:rFonts w:ascii="Times New Roman" w:eastAsia="Times New Roman" w:hAnsi="Times New Roman" w:cs="Times New Roman"/>
          <w:sz w:val="24"/>
          <w:szCs w:val="24"/>
          <w:lang w:val="en-GB"/>
        </w:rPr>
        <w:t>it's</w:t>
      </w:r>
      <w:proofErr w:type="spellEnd"/>
      <w:r w:rsidRPr="00B917DC">
        <w:rPr>
          <w:rFonts w:ascii="Times New Roman" w:eastAsia="Times New Roman" w:hAnsi="Times New Roman" w:cs="Times New Roman"/>
          <w:sz w:val="24"/>
          <w:szCs w:val="24"/>
          <w:lang w:val="en-GB"/>
        </w:rPr>
        <w:t xml:space="preserve"> return in an economic year. </w:t>
      </w:r>
    </w:p>
    <w:p w14:paraId="6A4B3DA3" w14:textId="77777777" w:rsidR="00B917DC" w:rsidRPr="00B917DC" w:rsidRDefault="00B917DC">
      <w:pPr>
        <w:rPr>
          <w:rFonts w:ascii="Times New Roman" w:eastAsia="Times New Roman" w:hAnsi="Times New Roman" w:cs="Times New Roman"/>
          <w:sz w:val="24"/>
          <w:szCs w:val="24"/>
          <w:lang w:val="en-GB"/>
        </w:rPr>
      </w:pPr>
      <w:r w:rsidRPr="00B917DC">
        <w:rPr>
          <w:rFonts w:ascii="Times New Roman" w:eastAsia="Times New Roman" w:hAnsi="Times New Roman" w:cs="Times New Roman"/>
          <w:sz w:val="24"/>
          <w:szCs w:val="24"/>
          <w:lang w:val="en-GB"/>
        </w:rPr>
        <w:br w:type="page"/>
      </w:r>
    </w:p>
    <w:p w14:paraId="6A4B3DA4" w14:textId="77777777" w:rsidR="00B917DC" w:rsidRPr="00B917DC" w:rsidRDefault="00B917DC" w:rsidP="00AE6D2C">
      <w:pPr>
        <w:pStyle w:val="Heading1"/>
        <w:rPr>
          <w:lang w:val="en-GB"/>
        </w:rPr>
      </w:pPr>
      <w:bookmarkStart w:id="3" w:name="_Toc98176419"/>
      <w:r w:rsidRPr="00AE6D2C">
        <w:lastRenderedPageBreak/>
        <w:t>References</w:t>
      </w:r>
      <w:bookmarkEnd w:id="3"/>
    </w:p>
    <w:p w14:paraId="6A4B3DA5" w14:textId="71C0E59C" w:rsidR="00B917DC" w:rsidRPr="00B917DC" w:rsidRDefault="00B917DC" w:rsidP="00B917DC">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color w:val="222222"/>
          <w:sz w:val="24"/>
          <w:szCs w:val="24"/>
          <w:shd w:val="clear" w:color="auto" w:fill="FFFFFF"/>
          <w:lang w:val="en-GB"/>
        </w:rPr>
        <w:t xml:space="preserve">Bloomberg.com, 2022. Market share price BT Group. Available at: </w:t>
      </w:r>
      <w:hyperlink r:id="rId10" w:history="1">
        <w:r w:rsidRPr="00B917DC">
          <w:rPr>
            <w:rFonts w:ascii="Times New Roman" w:eastAsia="Times New Roman" w:hAnsi="Times New Roman" w:cs="Times New Roman"/>
            <w:color w:val="1155CC"/>
            <w:sz w:val="24"/>
            <w:szCs w:val="24"/>
            <w:u w:val="single"/>
            <w:shd w:val="clear" w:color="auto" w:fill="FFFFFF"/>
            <w:lang w:val="en-GB"/>
          </w:rPr>
          <w:t>https://www.bloomberg.com/quote/BT:US</w:t>
        </w:r>
      </w:hyperlink>
      <w:r w:rsidRPr="00B917DC">
        <w:rPr>
          <w:rFonts w:ascii="Times New Roman" w:eastAsia="Times New Roman" w:hAnsi="Times New Roman" w:cs="Times New Roman"/>
          <w:color w:val="222222"/>
          <w:sz w:val="24"/>
          <w:szCs w:val="24"/>
          <w:shd w:val="clear" w:color="auto" w:fill="FFFFFF"/>
          <w:lang w:val="en-GB"/>
        </w:rPr>
        <w:t xml:space="preserve"> [Accessed on 2</w:t>
      </w:r>
      <w:r w:rsidR="00AC672E">
        <w:rPr>
          <w:rFonts w:ascii="Times New Roman" w:eastAsia="Times New Roman" w:hAnsi="Times New Roman" w:cs="Times New Roman"/>
          <w:color w:val="222222"/>
          <w:sz w:val="24"/>
          <w:szCs w:val="24"/>
          <w:shd w:val="clear" w:color="auto" w:fill="FFFFFF"/>
          <w:lang w:val="en-GB"/>
        </w:rPr>
        <w:t>4</w:t>
      </w:r>
      <w:r w:rsidRPr="00B917DC">
        <w:rPr>
          <w:rFonts w:ascii="Times New Roman" w:eastAsia="Times New Roman" w:hAnsi="Times New Roman" w:cs="Times New Roman"/>
          <w:color w:val="222222"/>
          <w:sz w:val="24"/>
          <w:szCs w:val="24"/>
          <w:shd w:val="clear" w:color="auto" w:fill="FFFFFF"/>
          <w:lang w:val="en-GB"/>
        </w:rPr>
        <w:t xml:space="preserve">th </w:t>
      </w:r>
      <w:r w:rsidR="00AC672E">
        <w:rPr>
          <w:rFonts w:ascii="Times New Roman" w:eastAsia="Times New Roman" w:hAnsi="Times New Roman" w:cs="Times New Roman"/>
          <w:color w:val="222222"/>
          <w:sz w:val="24"/>
          <w:szCs w:val="24"/>
          <w:shd w:val="clear" w:color="auto" w:fill="FFFFFF"/>
          <w:lang w:val="en-GB"/>
        </w:rPr>
        <w:t>April</w:t>
      </w:r>
      <w:r w:rsidRPr="00B917DC">
        <w:rPr>
          <w:rFonts w:ascii="Times New Roman" w:eastAsia="Times New Roman" w:hAnsi="Times New Roman" w:cs="Times New Roman"/>
          <w:color w:val="222222"/>
          <w:sz w:val="24"/>
          <w:szCs w:val="24"/>
          <w:shd w:val="clear" w:color="auto" w:fill="FFFFFF"/>
          <w:lang w:val="en-GB"/>
        </w:rPr>
        <w:t xml:space="preserve"> 2022] </w:t>
      </w:r>
    </w:p>
    <w:p w14:paraId="6A4B3DA6" w14:textId="77777777" w:rsidR="00B917DC" w:rsidRPr="00B917DC" w:rsidRDefault="00B917DC" w:rsidP="00B917DC">
      <w:pPr>
        <w:spacing w:line="360" w:lineRule="auto"/>
        <w:jc w:val="both"/>
        <w:rPr>
          <w:rFonts w:ascii="Times New Roman" w:eastAsia="Times New Roman" w:hAnsi="Times New Roman" w:cs="Times New Roman"/>
          <w:sz w:val="24"/>
          <w:szCs w:val="24"/>
          <w:lang w:val="en-GB"/>
        </w:rPr>
      </w:pPr>
      <w:proofErr w:type="spellStart"/>
      <w:r w:rsidRPr="00B917DC">
        <w:rPr>
          <w:rFonts w:ascii="Times New Roman" w:eastAsia="Times New Roman" w:hAnsi="Times New Roman" w:cs="Times New Roman"/>
          <w:color w:val="000000"/>
          <w:sz w:val="24"/>
          <w:szCs w:val="24"/>
          <w:shd w:val="clear" w:color="auto" w:fill="FFFFFF"/>
          <w:lang w:val="en-GB"/>
        </w:rPr>
        <w:t>Brusov</w:t>
      </w:r>
      <w:proofErr w:type="spellEnd"/>
      <w:r w:rsidRPr="00B917DC">
        <w:rPr>
          <w:rFonts w:ascii="Times New Roman" w:eastAsia="Times New Roman" w:hAnsi="Times New Roman" w:cs="Times New Roman"/>
          <w:color w:val="000000"/>
          <w:sz w:val="24"/>
          <w:szCs w:val="24"/>
          <w:shd w:val="clear" w:color="auto" w:fill="FFFFFF"/>
          <w:lang w:val="en-GB"/>
        </w:rPr>
        <w:t xml:space="preserve">, P., </w:t>
      </w:r>
      <w:proofErr w:type="spellStart"/>
      <w:r w:rsidRPr="00B917DC">
        <w:rPr>
          <w:rFonts w:ascii="Times New Roman" w:eastAsia="Times New Roman" w:hAnsi="Times New Roman" w:cs="Times New Roman"/>
          <w:color w:val="000000"/>
          <w:sz w:val="24"/>
          <w:szCs w:val="24"/>
          <w:shd w:val="clear" w:color="auto" w:fill="FFFFFF"/>
          <w:lang w:val="en-GB"/>
        </w:rPr>
        <w:t>Filatova</w:t>
      </w:r>
      <w:proofErr w:type="spellEnd"/>
      <w:r w:rsidRPr="00B917DC">
        <w:rPr>
          <w:rFonts w:ascii="Times New Roman" w:eastAsia="Times New Roman" w:hAnsi="Times New Roman" w:cs="Times New Roman"/>
          <w:color w:val="000000"/>
          <w:sz w:val="24"/>
          <w:szCs w:val="24"/>
          <w:shd w:val="clear" w:color="auto" w:fill="FFFFFF"/>
          <w:lang w:val="en-GB"/>
        </w:rPr>
        <w:t xml:space="preserve">, T., </w:t>
      </w:r>
      <w:proofErr w:type="spellStart"/>
      <w:r w:rsidRPr="00B917DC">
        <w:rPr>
          <w:rFonts w:ascii="Times New Roman" w:eastAsia="Times New Roman" w:hAnsi="Times New Roman" w:cs="Times New Roman"/>
          <w:color w:val="000000"/>
          <w:sz w:val="24"/>
          <w:szCs w:val="24"/>
          <w:shd w:val="clear" w:color="auto" w:fill="FFFFFF"/>
          <w:lang w:val="en-GB"/>
        </w:rPr>
        <w:t>Orekhova</w:t>
      </w:r>
      <w:proofErr w:type="spellEnd"/>
      <w:r w:rsidRPr="00B917DC">
        <w:rPr>
          <w:rFonts w:ascii="Times New Roman" w:eastAsia="Times New Roman" w:hAnsi="Times New Roman" w:cs="Times New Roman"/>
          <w:color w:val="000000"/>
          <w:sz w:val="24"/>
          <w:szCs w:val="24"/>
          <w:shd w:val="clear" w:color="auto" w:fill="FFFFFF"/>
          <w:lang w:val="en-GB"/>
        </w:rPr>
        <w:t xml:space="preserve">, N., Kulik, V., Chang, S.I. and Lin, G., 2021. Generalization of the Modigliani–Miller Theory for the Case of Variable Profit. </w:t>
      </w:r>
      <w:r w:rsidRPr="00B917DC">
        <w:rPr>
          <w:rFonts w:ascii="Times New Roman" w:eastAsia="Times New Roman" w:hAnsi="Times New Roman" w:cs="Times New Roman"/>
          <w:i/>
          <w:iCs/>
          <w:color w:val="000000"/>
          <w:sz w:val="24"/>
          <w:szCs w:val="24"/>
          <w:shd w:val="clear" w:color="auto" w:fill="FFFFFF"/>
          <w:lang w:val="en-GB"/>
        </w:rPr>
        <w:t>Mathematics</w:t>
      </w:r>
      <w:r w:rsidRPr="00B917DC">
        <w:rPr>
          <w:rFonts w:ascii="Times New Roman" w:eastAsia="Times New Roman" w:hAnsi="Times New Roman" w:cs="Times New Roman"/>
          <w:color w:val="000000"/>
          <w:sz w:val="24"/>
          <w:szCs w:val="24"/>
          <w:shd w:val="clear" w:color="auto" w:fill="FFFFFF"/>
          <w:lang w:val="en-GB"/>
        </w:rPr>
        <w:t xml:space="preserve">, </w:t>
      </w:r>
      <w:r w:rsidRPr="00B917DC">
        <w:rPr>
          <w:rFonts w:ascii="Times New Roman" w:eastAsia="Times New Roman" w:hAnsi="Times New Roman" w:cs="Times New Roman"/>
          <w:i/>
          <w:iCs/>
          <w:color w:val="000000"/>
          <w:sz w:val="24"/>
          <w:szCs w:val="24"/>
          <w:shd w:val="clear" w:color="auto" w:fill="FFFFFF"/>
          <w:lang w:val="en-GB"/>
        </w:rPr>
        <w:t>9</w:t>
      </w:r>
      <w:r w:rsidRPr="00B917DC">
        <w:rPr>
          <w:rFonts w:ascii="Times New Roman" w:eastAsia="Times New Roman" w:hAnsi="Times New Roman" w:cs="Times New Roman"/>
          <w:color w:val="000000"/>
          <w:sz w:val="24"/>
          <w:szCs w:val="24"/>
          <w:shd w:val="clear" w:color="auto" w:fill="FFFFFF"/>
          <w:lang w:val="en-GB"/>
        </w:rPr>
        <w:t>(11), p.1286. https://www.mdpi.com/1136486</w:t>
      </w:r>
    </w:p>
    <w:p w14:paraId="6A4B3DA7" w14:textId="5BCADBA2" w:rsidR="00B917DC" w:rsidRPr="00B917DC" w:rsidRDefault="00B917DC" w:rsidP="00B917DC">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color w:val="222222"/>
          <w:sz w:val="24"/>
          <w:szCs w:val="24"/>
          <w:shd w:val="clear" w:color="auto" w:fill="FFFFFF"/>
          <w:lang w:val="en-GB"/>
        </w:rPr>
        <w:t xml:space="preserve">Bt.com, 2022. Dividend. Available at:  </w:t>
      </w:r>
      <w:hyperlink r:id="rId11" w:history="1">
        <w:r w:rsidRPr="00B917DC">
          <w:rPr>
            <w:rFonts w:ascii="Times New Roman" w:eastAsia="Times New Roman" w:hAnsi="Times New Roman" w:cs="Times New Roman"/>
            <w:color w:val="1155CC"/>
            <w:sz w:val="24"/>
            <w:szCs w:val="24"/>
            <w:u w:val="single"/>
            <w:shd w:val="clear" w:color="auto" w:fill="FFFFFF"/>
            <w:lang w:val="en-GB"/>
          </w:rPr>
          <w:t>https://www.bt.com/about/investors/individual-shareholders/dividends</w:t>
        </w:r>
      </w:hyperlink>
      <w:r w:rsidRPr="00B917DC">
        <w:rPr>
          <w:rFonts w:ascii="Times New Roman" w:eastAsia="Times New Roman" w:hAnsi="Times New Roman" w:cs="Times New Roman"/>
          <w:color w:val="222222"/>
          <w:sz w:val="24"/>
          <w:szCs w:val="24"/>
          <w:shd w:val="clear" w:color="auto" w:fill="FFFFFF"/>
          <w:lang w:val="en-GB"/>
        </w:rPr>
        <w:t xml:space="preserve"> [Accessed on 2</w:t>
      </w:r>
      <w:r w:rsidR="00AC672E">
        <w:rPr>
          <w:rFonts w:ascii="Times New Roman" w:eastAsia="Times New Roman" w:hAnsi="Times New Roman" w:cs="Times New Roman"/>
          <w:color w:val="222222"/>
          <w:sz w:val="24"/>
          <w:szCs w:val="24"/>
          <w:shd w:val="clear" w:color="auto" w:fill="FFFFFF"/>
          <w:lang w:val="en-GB"/>
        </w:rPr>
        <w:t>4</w:t>
      </w:r>
      <w:r w:rsidRPr="00B917DC">
        <w:rPr>
          <w:rFonts w:ascii="Times New Roman" w:eastAsia="Times New Roman" w:hAnsi="Times New Roman" w:cs="Times New Roman"/>
          <w:color w:val="222222"/>
          <w:sz w:val="24"/>
          <w:szCs w:val="24"/>
          <w:shd w:val="clear" w:color="auto" w:fill="FFFFFF"/>
          <w:lang w:val="en-GB"/>
        </w:rPr>
        <w:t xml:space="preserve">th </w:t>
      </w:r>
      <w:r w:rsidR="00AC672E">
        <w:rPr>
          <w:rFonts w:ascii="Times New Roman" w:eastAsia="Times New Roman" w:hAnsi="Times New Roman" w:cs="Times New Roman"/>
          <w:color w:val="222222"/>
          <w:sz w:val="24"/>
          <w:szCs w:val="24"/>
          <w:shd w:val="clear" w:color="auto" w:fill="FFFFFF"/>
          <w:lang w:val="en-GB"/>
        </w:rPr>
        <w:t xml:space="preserve">April </w:t>
      </w:r>
      <w:r w:rsidRPr="00B917DC">
        <w:rPr>
          <w:rFonts w:ascii="Times New Roman" w:eastAsia="Times New Roman" w:hAnsi="Times New Roman" w:cs="Times New Roman"/>
          <w:color w:val="222222"/>
          <w:sz w:val="24"/>
          <w:szCs w:val="24"/>
          <w:shd w:val="clear" w:color="auto" w:fill="FFFFFF"/>
          <w:lang w:val="en-GB"/>
        </w:rPr>
        <w:t>2022] </w:t>
      </w:r>
    </w:p>
    <w:p w14:paraId="6A4B3DA8" w14:textId="77777777" w:rsidR="00B917DC" w:rsidRPr="00B917DC" w:rsidRDefault="00B917DC" w:rsidP="00B917DC">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color w:val="222222"/>
          <w:sz w:val="24"/>
          <w:szCs w:val="24"/>
          <w:shd w:val="clear" w:color="auto" w:fill="FFFFFF"/>
          <w:lang w:val="en-GB"/>
        </w:rPr>
        <w:t xml:space="preserve">Dang, H.N., Vu, V.T.T., Ngo, X.T. and Hoang, H.T.V., 2021. Impact of dividend policy on corporate value: Experiment in Vietnam. </w:t>
      </w:r>
      <w:r w:rsidRPr="00B917DC">
        <w:rPr>
          <w:rFonts w:ascii="Times New Roman" w:eastAsia="Times New Roman" w:hAnsi="Times New Roman" w:cs="Times New Roman"/>
          <w:i/>
          <w:iCs/>
          <w:color w:val="222222"/>
          <w:sz w:val="24"/>
          <w:szCs w:val="24"/>
          <w:shd w:val="clear" w:color="auto" w:fill="FFFFFF"/>
          <w:lang w:val="en-GB"/>
        </w:rPr>
        <w:t>International Journal of Finance &amp; Economics</w:t>
      </w:r>
      <w:r w:rsidRPr="00B917DC">
        <w:rPr>
          <w:rFonts w:ascii="Times New Roman" w:eastAsia="Times New Roman" w:hAnsi="Times New Roman" w:cs="Times New Roman"/>
          <w:color w:val="222222"/>
          <w:sz w:val="24"/>
          <w:szCs w:val="24"/>
          <w:shd w:val="clear" w:color="auto" w:fill="FFFFFF"/>
          <w:lang w:val="en-GB"/>
        </w:rPr>
        <w:t xml:space="preserve">, </w:t>
      </w:r>
      <w:r w:rsidRPr="00B917DC">
        <w:rPr>
          <w:rFonts w:ascii="Times New Roman" w:eastAsia="Times New Roman" w:hAnsi="Times New Roman" w:cs="Times New Roman"/>
          <w:i/>
          <w:iCs/>
          <w:color w:val="222222"/>
          <w:sz w:val="24"/>
          <w:szCs w:val="24"/>
          <w:shd w:val="clear" w:color="auto" w:fill="FFFFFF"/>
          <w:lang w:val="en-GB"/>
        </w:rPr>
        <w:t>26</w:t>
      </w:r>
      <w:r w:rsidRPr="00B917DC">
        <w:rPr>
          <w:rFonts w:ascii="Times New Roman" w:eastAsia="Times New Roman" w:hAnsi="Times New Roman" w:cs="Times New Roman"/>
          <w:color w:val="222222"/>
          <w:sz w:val="24"/>
          <w:szCs w:val="24"/>
          <w:shd w:val="clear" w:color="auto" w:fill="FFFFFF"/>
          <w:lang w:val="en-GB"/>
        </w:rPr>
        <w:t xml:space="preserve">(4), pp.5815-5825. </w:t>
      </w:r>
      <w:hyperlink r:id="rId12" w:history="1">
        <w:r w:rsidRPr="00B917DC">
          <w:rPr>
            <w:rFonts w:ascii="Times New Roman" w:eastAsia="Times New Roman" w:hAnsi="Times New Roman" w:cs="Times New Roman"/>
            <w:color w:val="1155CC"/>
            <w:sz w:val="24"/>
            <w:szCs w:val="24"/>
            <w:u w:val="single"/>
            <w:shd w:val="clear" w:color="auto" w:fill="FFFFFF"/>
            <w:lang w:val="en-GB"/>
          </w:rPr>
          <w:t>https://onlinelibrary.wiley.com/doi/abs/10.1002/ijfe.2095</w:t>
        </w:r>
      </w:hyperlink>
      <w:r w:rsidRPr="00B917DC">
        <w:rPr>
          <w:rFonts w:ascii="Times New Roman" w:eastAsia="Times New Roman" w:hAnsi="Times New Roman" w:cs="Times New Roman"/>
          <w:color w:val="222222"/>
          <w:sz w:val="24"/>
          <w:szCs w:val="24"/>
          <w:shd w:val="clear" w:color="auto" w:fill="FFFFFF"/>
          <w:lang w:val="en-GB"/>
        </w:rPr>
        <w:t> </w:t>
      </w:r>
    </w:p>
    <w:p w14:paraId="6A4B3DA9" w14:textId="77777777" w:rsidR="00B917DC" w:rsidRPr="00B917DC" w:rsidRDefault="00B917DC" w:rsidP="00B917DC">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color w:val="222222"/>
          <w:sz w:val="24"/>
          <w:szCs w:val="24"/>
          <w:shd w:val="clear" w:color="auto" w:fill="FFFFFF"/>
          <w:lang w:val="en-GB"/>
        </w:rPr>
        <w:t xml:space="preserve">KANAKRIYAH, R., 2020. Dividend policy and companies' financial performance. </w:t>
      </w:r>
      <w:r w:rsidRPr="00B917DC">
        <w:rPr>
          <w:rFonts w:ascii="Times New Roman" w:eastAsia="Times New Roman" w:hAnsi="Times New Roman" w:cs="Times New Roman"/>
          <w:i/>
          <w:iCs/>
          <w:color w:val="222222"/>
          <w:sz w:val="24"/>
          <w:szCs w:val="24"/>
          <w:shd w:val="clear" w:color="auto" w:fill="FFFFFF"/>
          <w:lang w:val="en-GB"/>
        </w:rPr>
        <w:t>The Journal of Asian Finance, Economics, and Business</w:t>
      </w:r>
      <w:r w:rsidRPr="00B917DC">
        <w:rPr>
          <w:rFonts w:ascii="Times New Roman" w:eastAsia="Times New Roman" w:hAnsi="Times New Roman" w:cs="Times New Roman"/>
          <w:color w:val="222222"/>
          <w:sz w:val="24"/>
          <w:szCs w:val="24"/>
          <w:shd w:val="clear" w:color="auto" w:fill="FFFFFF"/>
          <w:lang w:val="en-GB"/>
        </w:rPr>
        <w:t xml:space="preserve">, </w:t>
      </w:r>
      <w:r w:rsidRPr="00B917DC">
        <w:rPr>
          <w:rFonts w:ascii="Times New Roman" w:eastAsia="Times New Roman" w:hAnsi="Times New Roman" w:cs="Times New Roman"/>
          <w:i/>
          <w:iCs/>
          <w:color w:val="222222"/>
          <w:sz w:val="24"/>
          <w:szCs w:val="24"/>
          <w:shd w:val="clear" w:color="auto" w:fill="FFFFFF"/>
          <w:lang w:val="en-GB"/>
        </w:rPr>
        <w:t>7</w:t>
      </w:r>
      <w:r w:rsidRPr="00B917DC">
        <w:rPr>
          <w:rFonts w:ascii="Times New Roman" w:eastAsia="Times New Roman" w:hAnsi="Times New Roman" w:cs="Times New Roman"/>
          <w:color w:val="222222"/>
          <w:sz w:val="24"/>
          <w:szCs w:val="24"/>
          <w:shd w:val="clear" w:color="auto" w:fill="FFFFFF"/>
          <w:lang w:val="en-GB"/>
        </w:rPr>
        <w:t xml:space="preserve">(10), pp.531-541. </w:t>
      </w:r>
      <w:hyperlink r:id="rId13" w:history="1">
        <w:r w:rsidRPr="00B917DC">
          <w:rPr>
            <w:rFonts w:ascii="Times New Roman" w:eastAsia="Times New Roman" w:hAnsi="Times New Roman" w:cs="Times New Roman"/>
            <w:color w:val="1155CC"/>
            <w:sz w:val="24"/>
            <w:szCs w:val="24"/>
            <w:u w:val="single"/>
            <w:shd w:val="clear" w:color="auto" w:fill="FFFFFF"/>
            <w:lang w:val="en-GB"/>
          </w:rPr>
          <w:t>https://www.koreascience.or.kr/article/JAKO202029062616556.page</w:t>
        </w:r>
      </w:hyperlink>
      <w:r w:rsidRPr="00B917DC">
        <w:rPr>
          <w:rFonts w:ascii="Times New Roman" w:eastAsia="Times New Roman" w:hAnsi="Times New Roman" w:cs="Times New Roman"/>
          <w:color w:val="222222"/>
          <w:sz w:val="24"/>
          <w:szCs w:val="24"/>
          <w:shd w:val="clear" w:color="auto" w:fill="FFFFFF"/>
          <w:lang w:val="en-GB"/>
        </w:rPr>
        <w:t> </w:t>
      </w:r>
    </w:p>
    <w:p w14:paraId="6A4B3DAA" w14:textId="258A10F2" w:rsidR="00B917DC" w:rsidRPr="00B917DC" w:rsidRDefault="00B917DC" w:rsidP="00B917DC">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color w:val="222222"/>
          <w:sz w:val="24"/>
          <w:szCs w:val="24"/>
          <w:shd w:val="clear" w:color="auto" w:fill="FFFFFF"/>
          <w:lang w:val="en-GB"/>
        </w:rPr>
        <w:t xml:space="preserve">Oakspringuniversity.com, 2022. BT broadband NVP. Available at: </w:t>
      </w:r>
      <w:hyperlink r:id="rId14" w:history="1">
        <w:r w:rsidRPr="00B917DC">
          <w:rPr>
            <w:rFonts w:ascii="Times New Roman" w:eastAsia="Times New Roman" w:hAnsi="Times New Roman" w:cs="Times New Roman"/>
            <w:color w:val="1155CC"/>
            <w:sz w:val="24"/>
            <w:szCs w:val="24"/>
            <w:u w:val="single"/>
            <w:shd w:val="clear" w:color="auto" w:fill="FFFFFF"/>
            <w:lang w:val="en-GB"/>
          </w:rPr>
          <w:t>https://oakspringuniversity.com/frontpage/npvcase/46-bt-broadband</w:t>
        </w:r>
      </w:hyperlink>
      <w:r w:rsidRPr="00B917DC">
        <w:rPr>
          <w:rFonts w:ascii="Times New Roman" w:eastAsia="Times New Roman" w:hAnsi="Times New Roman" w:cs="Times New Roman"/>
          <w:color w:val="222222"/>
          <w:sz w:val="24"/>
          <w:szCs w:val="24"/>
          <w:shd w:val="clear" w:color="auto" w:fill="FFFFFF"/>
          <w:lang w:val="en-GB"/>
        </w:rPr>
        <w:t xml:space="preserve"> [Accessed on 2</w:t>
      </w:r>
      <w:r w:rsidR="00AC672E">
        <w:rPr>
          <w:rFonts w:ascii="Times New Roman" w:eastAsia="Times New Roman" w:hAnsi="Times New Roman" w:cs="Times New Roman"/>
          <w:color w:val="222222"/>
          <w:sz w:val="24"/>
          <w:szCs w:val="24"/>
          <w:shd w:val="clear" w:color="auto" w:fill="FFFFFF"/>
          <w:lang w:val="en-GB"/>
        </w:rPr>
        <w:t>4</w:t>
      </w:r>
      <w:r w:rsidRPr="00B917DC">
        <w:rPr>
          <w:rFonts w:ascii="Times New Roman" w:eastAsia="Times New Roman" w:hAnsi="Times New Roman" w:cs="Times New Roman"/>
          <w:color w:val="222222"/>
          <w:sz w:val="24"/>
          <w:szCs w:val="24"/>
          <w:shd w:val="clear" w:color="auto" w:fill="FFFFFF"/>
          <w:lang w:val="en-GB"/>
        </w:rPr>
        <w:t xml:space="preserve">th </w:t>
      </w:r>
      <w:r w:rsidR="00AC672E">
        <w:rPr>
          <w:rFonts w:ascii="Times New Roman" w:eastAsia="Times New Roman" w:hAnsi="Times New Roman" w:cs="Times New Roman"/>
          <w:color w:val="222222"/>
          <w:sz w:val="24"/>
          <w:szCs w:val="24"/>
          <w:shd w:val="clear" w:color="auto" w:fill="FFFFFF"/>
          <w:lang w:val="en-GB"/>
        </w:rPr>
        <w:t>April</w:t>
      </w:r>
      <w:r w:rsidRPr="00B917DC">
        <w:rPr>
          <w:rFonts w:ascii="Times New Roman" w:eastAsia="Times New Roman" w:hAnsi="Times New Roman" w:cs="Times New Roman"/>
          <w:color w:val="222222"/>
          <w:sz w:val="24"/>
          <w:szCs w:val="24"/>
          <w:shd w:val="clear" w:color="auto" w:fill="FFFFFF"/>
          <w:lang w:val="en-GB"/>
        </w:rPr>
        <w:t xml:space="preserve"> 2022] </w:t>
      </w:r>
    </w:p>
    <w:p w14:paraId="6A4B3DAB" w14:textId="29C25F06" w:rsidR="00B917DC" w:rsidRPr="00B917DC" w:rsidRDefault="00B917DC" w:rsidP="00B917DC">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color w:val="222222"/>
          <w:sz w:val="24"/>
          <w:szCs w:val="24"/>
          <w:shd w:val="clear" w:color="auto" w:fill="FFFFFF"/>
          <w:lang w:val="en-GB"/>
        </w:rPr>
        <w:t xml:space="preserve">Researchgate.net, 2022. The relationship of efficient market hypothesis. Available at: </w:t>
      </w:r>
      <w:hyperlink r:id="rId15" w:history="1">
        <w:r w:rsidRPr="00B917DC">
          <w:rPr>
            <w:rFonts w:ascii="Times New Roman" w:eastAsia="Times New Roman" w:hAnsi="Times New Roman" w:cs="Times New Roman"/>
            <w:color w:val="1155CC"/>
            <w:sz w:val="24"/>
            <w:szCs w:val="24"/>
            <w:u w:val="single"/>
            <w:shd w:val="clear" w:color="auto" w:fill="FFFFFF"/>
            <w:lang w:val="en-GB"/>
          </w:rPr>
          <w:t>https://www.researchgate.net/figure/The-relationship-of-Efficient-Market-Hypothesis-EMH-and-returns-of-real-estate_fig1_330583494</w:t>
        </w:r>
      </w:hyperlink>
      <w:r w:rsidRPr="00B917DC">
        <w:rPr>
          <w:rFonts w:ascii="Times New Roman" w:eastAsia="Times New Roman" w:hAnsi="Times New Roman" w:cs="Times New Roman"/>
          <w:color w:val="222222"/>
          <w:sz w:val="24"/>
          <w:szCs w:val="24"/>
          <w:shd w:val="clear" w:color="auto" w:fill="FFFFFF"/>
          <w:lang w:val="en-GB"/>
        </w:rPr>
        <w:t xml:space="preserve"> [Accessed on 2</w:t>
      </w:r>
      <w:r w:rsidR="00AC672E">
        <w:rPr>
          <w:rFonts w:ascii="Times New Roman" w:eastAsia="Times New Roman" w:hAnsi="Times New Roman" w:cs="Times New Roman"/>
          <w:color w:val="222222"/>
          <w:sz w:val="24"/>
          <w:szCs w:val="24"/>
          <w:shd w:val="clear" w:color="auto" w:fill="FFFFFF"/>
          <w:lang w:val="en-GB"/>
        </w:rPr>
        <w:t>4</w:t>
      </w:r>
      <w:r w:rsidRPr="00B917DC">
        <w:rPr>
          <w:rFonts w:ascii="Times New Roman" w:eastAsia="Times New Roman" w:hAnsi="Times New Roman" w:cs="Times New Roman"/>
          <w:color w:val="222222"/>
          <w:sz w:val="24"/>
          <w:szCs w:val="24"/>
          <w:shd w:val="clear" w:color="auto" w:fill="FFFFFF"/>
          <w:lang w:val="en-GB"/>
        </w:rPr>
        <w:t xml:space="preserve">th </w:t>
      </w:r>
      <w:r w:rsidR="00AC672E">
        <w:rPr>
          <w:rFonts w:ascii="Times New Roman" w:eastAsia="Times New Roman" w:hAnsi="Times New Roman" w:cs="Times New Roman"/>
          <w:color w:val="222222"/>
          <w:sz w:val="24"/>
          <w:szCs w:val="24"/>
          <w:shd w:val="clear" w:color="auto" w:fill="FFFFFF"/>
          <w:lang w:val="en-GB"/>
        </w:rPr>
        <w:t xml:space="preserve">April </w:t>
      </w:r>
      <w:r w:rsidRPr="00B917DC">
        <w:rPr>
          <w:rFonts w:ascii="Times New Roman" w:eastAsia="Times New Roman" w:hAnsi="Times New Roman" w:cs="Times New Roman"/>
          <w:color w:val="222222"/>
          <w:sz w:val="24"/>
          <w:szCs w:val="24"/>
          <w:shd w:val="clear" w:color="auto" w:fill="FFFFFF"/>
          <w:lang w:val="en-GB"/>
        </w:rPr>
        <w:t>2022] </w:t>
      </w:r>
    </w:p>
    <w:p w14:paraId="6A4B3DAC" w14:textId="77777777" w:rsidR="00B917DC" w:rsidRPr="00B917DC" w:rsidRDefault="00B917DC" w:rsidP="00B917DC">
      <w:pPr>
        <w:spacing w:line="360" w:lineRule="auto"/>
        <w:jc w:val="both"/>
        <w:rPr>
          <w:rFonts w:ascii="Times New Roman" w:eastAsia="Times New Roman" w:hAnsi="Times New Roman" w:cs="Times New Roman"/>
          <w:sz w:val="24"/>
          <w:szCs w:val="24"/>
          <w:lang w:val="en-GB"/>
        </w:rPr>
      </w:pPr>
      <w:r w:rsidRPr="00B917DC">
        <w:rPr>
          <w:rFonts w:ascii="Times New Roman" w:eastAsia="Times New Roman" w:hAnsi="Times New Roman" w:cs="Times New Roman"/>
          <w:color w:val="222222"/>
          <w:sz w:val="24"/>
          <w:szCs w:val="24"/>
          <w:shd w:val="clear" w:color="auto" w:fill="FFFFFF"/>
          <w:lang w:val="en-GB"/>
        </w:rPr>
        <w:t xml:space="preserve">Wang, S. and Hartzell, D.J., 2020. Real Estate Return in Hong Kong and Its Determinants: A Dynamic Gordon Growth Model Analysis. </w:t>
      </w:r>
      <w:r w:rsidRPr="00B917DC">
        <w:rPr>
          <w:rFonts w:ascii="Times New Roman" w:eastAsia="Times New Roman" w:hAnsi="Times New Roman" w:cs="Times New Roman"/>
          <w:i/>
          <w:iCs/>
          <w:color w:val="222222"/>
          <w:sz w:val="24"/>
          <w:szCs w:val="24"/>
          <w:shd w:val="clear" w:color="auto" w:fill="FFFFFF"/>
          <w:lang w:val="en-GB"/>
        </w:rPr>
        <w:t>International Real Estate Review</w:t>
      </w:r>
      <w:r w:rsidRPr="00B917DC">
        <w:rPr>
          <w:rFonts w:ascii="Times New Roman" w:eastAsia="Times New Roman" w:hAnsi="Times New Roman" w:cs="Times New Roman"/>
          <w:color w:val="222222"/>
          <w:sz w:val="24"/>
          <w:szCs w:val="24"/>
          <w:shd w:val="clear" w:color="auto" w:fill="FFFFFF"/>
          <w:lang w:val="en-GB"/>
        </w:rPr>
        <w:t xml:space="preserve">. </w:t>
      </w:r>
      <w:hyperlink r:id="rId16" w:history="1">
        <w:r w:rsidRPr="00B917DC">
          <w:rPr>
            <w:rFonts w:ascii="Times New Roman" w:eastAsia="Times New Roman" w:hAnsi="Times New Roman" w:cs="Times New Roman"/>
            <w:color w:val="1155CC"/>
            <w:sz w:val="24"/>
            <w:szCs w:val="24"/>
            <w:u w:val="single"/>
            <w:shd w:val="clear" w:color="auto" w:fill="FFFFFF"/>
            <w:lang w:val="en-GB"/>
          </w:rPr>
          <w:t>https://papers.ssrn.com/sol3/papers.cfm?abstract_id=3672843</w:t>
        </w:r>
      </w:hyperlink>
      <w:r w:rsidRPr="00B917DC">
        <w:rPr>
          <w:rFonts w:ascii="Times New Roman" w:eastAsia="Times New Roman" w:hAnsi="Times New Roman" w:cs="Times New Roman"/>
          <w:color w:val="222222"/>
          <w:sz w:val="24"/>
          <w:szCs w:val="24"/>
          <w:shd w:val="clear" w:color="auto" w:fill="FFFFFF"/>
          <w:lang w:val="en-GB"/>
        </w:rPr>
        <w:t> </w:t>
      </w:r>
    </w:p>
    <w:p w14:paraId="6A4B3DAD" w14:textId="77777777" w:rsidR="00B917DC" w:rsidRPr="00B917DC" w:rsidRDefault="00B917DC" w:rsidP="00B917DC">
      <w:pPr>
        <w:rPr>
          <w:lang w:val="en-GB"/>
        </w:rPr>
      </w:pPr>
    </w:p>
    <w:p w14:paraId="6A4B3DAE" w14:textId="77777777" w:rsidR="004C1282" w:rsidRPr="00B917DC" w:rsidRDefault="004C1282">
      <w:pPr>
        <w:spacing w:line="360" w:lineRule="auto"/>
        <w:jc w:val="both"/>
        <w:rPr>
          <w:rFonts w:ascii="Times New Roman" w:eastAsia="Times New Roman" w:hAnsi="Times New Roman" w:cs="Times New Roman"/>
          <w:b/>
          <w:i/>
          <w:sz w:val="24"/>
          <w:szCs w:val="24"/>
          <w:lang w:val="en-GB"/>
        </w:rPr>
      </w:pPr>
    </w:p>
    <w:p w14:paraId="6A4B3DAF" w14:textId="77777777" w:rsidR="004C1282" w:rsidRPr="00B917DC" w:rsidRDefault="004C1282">
      <w:pPr>
        <w:spacing w:line="360" w:lineRule="auto"/>
        <w:jc w:val="both"/>
        <w:rPr>
          <w:rFonts w:ascii="Times New Roman" w:eastAsia="Times New Roman" w:hAnsi="Times New Roman" w:cs="Times New Roman"/>
          <w:b/>
          <w:sz w:val="24"/>
          <w:szCs w:val="24"/>
          <w:lang w:val="en-GB"/>
        </w:rPr>
      </w:pPr>
    </w:p>
    <w:p w14:paraId="6A4B3DB0" w14:textId="77777777" w:rsidR="004C1282" w:rsidRPr="00B917DC" w:rsidRDefault="004C1282">
      <w:pPr>
        <w:spacing w:line="360" w:lineRule="auto"/>
        <w:jc w:val="both"/>
        <w:rPr>
          <w:rFonts w:ascii="Times New Roman" w:eastAsia="Times New Roman" w:hAnsi="Times New Roman" w:cs="Times New Roman"/>
          <w:b/>
          <w:i/>
          <w:sz w:val="24"/>
          <w:szCs w:val="24"/>
          <w:lang w:val="en-GB"/>
        </w:rPr>
      </w:pPr>
    </w:p>
    <w:p w14:paraId="6A4B3DB1" w14:textId="77777777" w:rsidR="004C1282" w:rsidRPr="00B917DC" w:rsidRDefault="004C1282">
      <w:pPr>
        <w:rPr>
          <w:rFonts w:ascii="Times New Roman" w:eastAsia="Times New Roman" w:hAnsi="Times New Roman" w:cs="Times New Roman"/>
          <w:b/>
          <w:i/>
          <w:sz w:val="24"/>
          <w:szCs w:val="24"/>
          <w:lang w:val="en-GB"/>
        </w:rPr>
      </w:pPr>
    </w:p>
    <w:sectPr w:rsidR="004C1282" w:rsidRPr="00B917DC" w:rsidSect="00836C24">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87D18" w14:textId="77777777" w:rsidR="00C80B09" w:rsidRDefault="00C80B09" w:rsidP="00F40FDF">
      <w:pPr>
        <w:spacing w:line="240" w:lineRule="auto"/>
      </w:pPr>
      <w:r>
        <w:separator/>
      </w:r>
    </w:p>
  </w:endnote>
  <w:endnote w:type="continuationSeparator" w:id="0">
    <w:p w14:paraId="0EE3F505" w14:textId="77777777" w:rsidR="00C80B09" w:rsidRDefault="00C80B09" w:rsidP="00F40F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1880"/>
      <w:docPartObj>
        <w:docPartGallery w:val="Page Numbers (Bottom of Page)"/>
        <w:docPartUnique/>
      </w:docPartObj>
    </w:sdtPr>
    <w:sdtEndPr/>
    <w:sdtContent>
      <w:p w14:paraId="6A4B3DBA" w14:textId="77777777" w:rsidR="00F40FDF" w:rsidRDefault="00F40FDF">
        <w:pPr>
          <w:pStyle w:val="Footer"/>
          <w:jc w:val="right"/>
        </w:pPr>
        <w:r w:rsidRPr="00F40FDF">
          <w:rPr>
            <w:rFonts w:ascii="Times New Roman" w:hAnsi="Times New Roman" w:cs="Times New Roman"/>
            <w:sz w:val="24"/>
            <w:szCs w:val="24"/>
          </w:rPr>
          <w:fldChar w:fldCharType="begin"/>
        </w:r>
        <w:r w:rsidRPr="00F40FDF">
          <w:rPr>
            <w:rFonts w:ascii="Times New Roman" w:hAnsi="Times New Roman" w:cs="Times New Roman"/>
            <w:sz w:val="24"/>
            <w:szCs w:val="24"/>
          </w:rPr>
          <w:instrText xml:space="preserve"> PAGE   \* MERGEFORMAT </w:instrText>
        </w:r>
        <w:r w:rsidRPr="00F40FDF">
          <w:rPr>
            <w:rFonts w:ascii="Times New Roman" w:hAnsi="Times New Roman" w:cs="Times New Roman"/>
            <w:sz w:val="24"/>
            <w:szCs w:val="24"/>
          </w:rPr>
          <w:fldChar w:fldCharType="separate"/>
        </w:r>
        <w:r w:rsidR="00D25D50">
          <w:rPr>
            <w:rFonts w:ascii="Times New Roman" w:hAnsi="Times New Roman" w:cs="Times New Roman"/>
            <w:noProof/>
            <w:sz w:val="24"/>
            <w:szCs w:val="24"/>
          </w:rPr>
          <w:t>1</w:t>
        </w:r>
        <w:r w:rsidRPr="00F40FDF">
          <w:rPr>
            <w:rFonts w:ascii="Times New Roman" w:hAnsi="Times New Roman" w:cs="Times New Roman"/>
            <w:sz w:val="24"/>
            <w:szCs w:val="24"/>
          </w:rPr>
          <w:fldChar w:fldCharType="end"/>
        </w:r>
      </w:p>
    </w:sdtContent>
  </w:sdt>
  <w:p w14:paraId="6A4B3DBB" w14:textId="77777777" w:rsidR="00F40FDF" w:rsidRDefault="00F40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BD192" w14:textId="77777777" w:rsidR="00C80B09" w:rsidRDefault="00C80B09" w:rsidP="00F40FDF">
      <w:pPr>
        <w:spacing w:line="240" w:lineRule="auto"/>
      </w:pPr>
      <w:r>
        <w:separator/>
      </w:r>
    </w:p>
  </w:footnote>
  <w:footnote w:type="continuationSeparator" w:id="0">
    <w:p w14:paraId="41A63A81" w14:textId="77777777" w:rsidR="00C80B09" w:rsidRDefault="00C80B09" w:rsidP="00F40F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7171F"/>
    <w:multiLevelType w:val="hybridMultilevel"/>
    <w:tmpl w:val="BBE276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E5F0EFF"/>
    <w:multiLevelType w:val="hybridMultilevel"/>
    <w:tmpl w:val="6D141E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23238B4"/>
    <w:multiLevelType w:val="hybridMultilevel"/>
    <w:tmpl w:val="A77A8A7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03590944">
    <w:abstractNumId w:val="1"/>
  </w:num>
  <w:num w:numId="2" w16cid:durableId="1789928905">
    <w:abstractNumId w:val="2"/>
  </w:num>
  <w:num w:numId="3" w16cid:durableId="1274903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1282"/>
    <w:rsid w:val="000044B1"/>
    <w:rsid w:val="00310068"/>
    <w:rsid w:val="004C1282"/>
    <w:rsid w:val="007E7CF6"/>
    <w:rsid w:val="00836C24"/>
    <w:rsid w:val="008B572F"/>
    <w:rsid w:val="00AC672E"/>
    <w:rsid w:val="00AE6D2C"/>
    <w:rsid w:val="00B917DC"/>
    <w:rsid w:val="00C80B09"/>
    <w:rsid w:val="00D25D50"/>
    <w:rsid w:val="00E46C16"/>
    <w:rsid w:val="00F40FDF"/>
    <w:rsid w:val="00FB19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B3D72"/>
  <w15:docId w15:val="{13CFE437-D285-45DC-922E-341FA6A86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36C24"/>
  </w:style>
  <w:style w:type="paragraph" w:styleId="Heading1">
    <w:name w:val="heading 1"/>
    <w:basedOn w:val="Normal"/>
    <w:next w:val="Normal"/>
    <w:rsid w:val="00B917DC"/>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836C24"/>
    <w:pPr>
      <w:keepNext/>
      <w:keepLines/>
      <w:spacing w:before="360" w:after="120"/>
      <w:outlineLvl w:val="1"/>
    </w:pPr>
    <w:rPr>
      <w:sz w:val="32"/>
      <w:szCs w:val="32"/>
    </w:rPr>
  </w:style>
  <w:style w:type="paragraph" w:styleId="Heading3">
    <w:name w:val="heading 3"/>
    <w:basedOn w:val="Normal"/>
    <w:next w:val="Normal"/>
    <w:rsid w:val="00836C24"/>
    <w:pPr>
      <w:keepNext/>
      <w:keepLines/>
      <w:spacing w:before="320" w:after="80"/>
      <w:outlineLvl w:val="2"/>
    </w:pPr>
    <w:rPr>
      <w:color w:val="434343"/>
      <w:sz w:val="28"/>
      <w:szCs w:val="28"/>
    </w:rPr>
  </w:style>
  <w:style w:type="paragraph" w:styleId="Heading4">
    <w:name w:val="heading 4"/>
    <w:basedOn w:val="Normal"/>
    <w:next w:val="Normal"/>
    <w:rsid w:val="00836C24"/>
    <w:pPr>
      <w:keepNext/>
      <w:keepLines/>
      <w:spacing w:before="280" w:after="80"/>
      <w:outlineLvl w:val="3"/>
    </w:pPr>
    <w:rPr>
      <w:color w:val="666666"/>
      <w:sz w:val="24"/>
      <w:szCs w:val="24"/>
    </w:rPr>
  </w:style>
  <w:style w:type="paragraph" w:styleId="Heading5">
    <w:name w:val="heading 5"/>
    <w:basedOn w:val="Normal"/>
    <w:next w:val="Normal"/>
    <w:rsid w:val="00836C24"/>
    <w:pPr>
      <w:keepNext/>
      <w:keepLines/>
      <w:spacing w:before="240" w:after="80"/>
      <w:outlineLvl w:val="4"/>
    </w:pPr>
    <w:rPr>
      <w:color w:val="666666"/>
    </w:rPr>
  </w:style>
  <w:style w:type="paragraph" w:styleId="Heading6">
    <w:name w:val="heading 6"/>
    <w:basedOn w:val="Normal"/>
    <w:next w:val="Normal"/>
    <w:rsid w:val="00836C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36C24"/>
    <w:pPr>
      <w:keepNext/>
      <w:keepLines/>
      <w:spacing w:after="60"/>
    </w:pPr>
    <w:rPr>
      <w:sz w:val="52"/>
      <w:szCs w:val="52"/>
    </w:rPr>
  </w:style>
  <w:style w:type="paragraph" w:styleId="Subtitle">
    <w:name w:val="Subtitle"/>
    <w:basedOn w:val="Normal"/>
    <w:next w:val="Normal"/>
    <w:rsid w:val="00836C2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36C24"/>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836C24"/>
    <w:rPr>
      <w:rFonts w:cs="Mangal"/>
      <w:sz w:val="20"/>
      <w:szCs w:val="18"/>
    </w:rPr>
  </w:style>
  <w:style w:type="character" w:styleId="CommentReference">
    <w:name w:val="annotation reference"/>
    <w:basedOn w:val="DefaultParagraphFont"/>
    <w:uiPriority w:val="99"/>
    <w:semiHidden/>
    <w:unhideWhenUsed/>
    <w:rsid w:val="00836C24"/>
    <w:rPr>
      <w:sz w:val="16"/>
      <w:szCs w:val="16"/>
    </w:rPr>
  </w:style>
  <w:style w:type="paragraph" w:styleId="BalloonText">
    <w:name w:val="Balloon Text"/>
    <w:basedOn w:val="Normal"/>
    <w:link w:val="BalloonTextChar"/>
    <w:uiPriority w:val="99"/>
    <w:semiHidden/>
    <w:unhideWhenUsed/>
    <w:rsid w:val="00B917DC"/>
    <w:pPr>
      <w:spacing w:line="240" w:lineRule="auto"/>
    </w:pPr>
    <w:rPr>
      <w:rFonts w:ascii="Segoe UI" w:hAnsi="Segoe UI" w:cs="Mangal"/>
      <w:sz w:val="18"/>
      <w:szCs w:val="16"/>
    </w:rPr>
  </w:style>
  <w:style w:type="character" w:customStyle="1" w:styleId="BalloonTextChar">
    <w:name w:val="Balloon Text Char"/>
    <w:basedOn w:val="DefaultParagraphFont"/>
    <w:link w:val="BalloonText"/>
    <w:uiPriority w:val="99"/>
    <w:semiHidden/>
    <w:rsid w:val="00B917DC"/>
    <w:rPr>
      <w:rFonts w:ascii="Segoe UI" w:hAnsi="Segoe UI" w:cs="Mangal"/>
      <w:sz w:val="18"/>
      <w:szCs w:val="16"/>
    </w:rPr>
  </w:style>
  <w:style w:type="paragraph" w:styleId="ListParagraph">
    <w:name w:val="List Paragraph"/>
    <w:basedOn w:val="Normal"/>
    <w:uiPriority w:val="34"/>
    <w:qFormat/>
    <w:rsid w:val="00B917DC"/>
    <w:pPr>
      <w:ind w:left="720"/>
      <w:contextualSpacing/>
    </w:pPr>
    <w:rPr>
      <w:rFonts w:cs="Mangal"/>
      <w:szCs w:val="20"/>
    </w:rPr>
  </w:style>
  <w:style w:type="paragraph" w:styleId="NormalWeb">
    <w:name w:val="Normal (Web)"/>
    <w:basedOn w:val="Normal"/>
    <w:uiPriority w:val="99"/>
    <w:semiHidden/>
    <w:unhideWhenUsed/>
    <w:rsid w:val="00B917D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917DC"/>
    <w:rPr>
      <w:color w:val="0000FF"/>
      <w:u w:val="single"/>
    </w:rPr>
  </w:style>
  <w:style w:type="paragraph" w:styleId="TOCHeading">
    <w:name w:val="TOC Heading"/>
    <w:basedOn w:val="Heading1"/>
    <w:next w:val="Normal"/>
    <w:uiPriority w:val="39"/>
    <w:unhideWhenUsed/>
    <w:qFormat/>
    <w:rsid w:val="00B917D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B917DC"/>
    <w:pPr>
      <w:spacing w:after="100"/>
    </w:pPr>
    <w:rPr>
      <w:rFonts w:cs="Mangal"/>
      <w:szCs w:val="20"/>
    </w:rPr>
  </w:style>
  <w:style w:type="paragraph" w:styleId="Header">
    <w:name w:val="header"/>
    <w:basedOn w:val="Normal"/>
    <w:link w:val="HeaderChar"/>
    <w:uiPriority w:val="99"/>
    <w:semiHidden/>
    <w:unhideWhenUsed/>
    <w:rsid w:val="00F40FDF"/>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semiHidden/>
    <w:rsid w:val="00F40FDF"/>
    <w:rPr>
      <w:rFonts w:cs="Mangal"/>
      <w:szCs w:val="20"/>
    </w:rPr>
  </w:style>
  <w:style w:type="paragraph" w:styleId="Footer">
    <w:name w:val="footer"/>
    <w:basedOn w:val="Normal"/>
    <w:link w:val="FooterChar"/>
    <w:uiPriority w:val="99"/>
    <w:unhideWhenUsed/>
    <w:rsid w:val="00F40FDF"/>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F40FDF"/>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3996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oreascience.or.kr/article/JAKO202029062616556.pag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002/ijfe.209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apers.ssrn.com/sol3/papers.cfm?abstract_id=36728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t.com/about/investors/individual-shareholders/dividends" TargetMode="External"/><Relationship Id="rId5" Type="http://schemas.openxmlformats.org/officeDocument/2006/relationships/webSettings" Target="webSettings.xml"/><Relationship Id="rId15" Type="http://schemas.openxmlformats.org/officeDocument/2006/relationships/hyperlink" Target="https://www.researchgate.net/figure/The-relationship-of-Efficient-Market-Hypothesis-EMH-and-returns-of-real-estate_fig1_330583494" TargetMode="External"/><Relationship Id="rId10" Type="http://schemas.openxmlformats.org/officeDocument/2006/relationships/hyperlink" Target="https://www.bloomberg.com/quote/BT:U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akspringuniversity.com/frontpage/npvcase/46-bt-broadb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6E497-9DAD-4014-A8F4-BD059A872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1898</Words>
  <Characters>10823</Characters>
  <Application>Microsoft Office Word</Application>
  <DocSecurity>0</DocSecurity>
  <Lines>90</Lines>
  <Paragraphs>25</Paragraphs>
  <ScaleCrop>false</ScaleCrop>
  <Company/>
  <LinksUpToDate>false</LinksUpToDate>
  <CharactersWithSpaces>12696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 </cp:lastModifiedBy>
  <cp:revision>6</cp:revision>
  <dcterms:created xsi:type="dcterms:W3CDTF">2022-03-14T13:25:00Z</dcterms:created>
  <dcterms:modified xsi:type="dcterms:W3CDTF">2022-05-03T01:51:00Z</dcterms:modified>
</cp:coreProperties>
</file>