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40F30" w14:textId="77777777" w:rsidR="00077300" w:rsidRPr="00767966" w:rsidRDefault="00077300" w:rsidP="00077300">
      <w:pPr>
        <w:spacing w:after="165" w:line="360" w:lineRule="auto"/>
        <w:rPr>
          <w:rFonts w:ascii="Arial" w:hAnsi="Arial" w:cs="Arial"/>
          <w:color w:val="000000"/>
          <w:sz w:val="40"/>
          <w:szCs w:val="40"/>
        </w:rPr>
      </w:pPr>
    </w:p>
    <w:p w14:paraId="3CEC1C5B" w14:textId="77777777" w:rsidR="00AE6E7F" w:rsidRPr="00767966" w:rsidRDefault="00AE6E7F" w:rsidP="00077300">
      <w:pPr>
        <w:spacing w:after="165" w:line="360" w:lineRule="auto"/>
        <w:rPr>
          <w:rFonts w:ascii="Arial" w:hAnsi="Arial" w:cs="Arial"/>
          <w:color w:val="000000"/>
          <w:sz w:val="40"/>
          <w:szCs w:val="40"/>
        </w:rPr>
      </w:pPr>
    </w:p>
    <w:sdt>
      <w:sdtPr>
        <w:rPr>
          <w:rFonts w:ascii="Arial" w:eastAsia="Times New Roman" w:hAnsi="Arial" w:cs="Arial"/>
          <w:b/>
          <w:bCs/>
          <w:color w:val="000000"/>
          <w:kern w:val="36"/>
          <w:sz w:val="40"/>
          <w:szCs w:val="40"/>
          <w:lang w:eastAsia="en-GB"/>
        </w:rPr>
        <w:id w:val="102854481"/>
        <w:docPartObj>
          <w:docPartGallery w:val="Cover Pages"/>
          <w:docPartUnique/>
        </w:docPartObj>
      </w:sdtPr>
      <w:sdtEndPr>
        <w:rPr>
          <w:rFonts w:eastAsiaTheme="minorHAnsi"/>
          <w:b w:val="0"/>
          <w:bCs w:val="0"/>
          <w:color w:val="auto"/>
          <w:kern w:val="0"/>
          <w:sz w:val="22"/>
          <w:szCs w:val="22"/>
          <w:lang w:eastAsia="en-US"/>
        </w:rPr>
      </w:sdtEndPr>
      <w:sdtContent>
        <w:p w14:paraId="5867937B" w14:textId="77777777" w:rsidR="00077300" w:rsidRPr="00767966" w:rsidRDefault="00077300" w:rsidP="00077300">
          <w:pPr>
            <w:spacing w:after="165" w:line="360" w:lineRule="auto"/>
            <w:rPr>
              <w:rFonts w:ascii="Arial" w:hAnsi="Arial" w:cs="Arial"/>
              <w:color w:val="000000"/>
              <w:sz w:val="40"/>
              <w:szCs w:val="40"/>
            </w:rPr>
          </w:pPr>
          <w:r w:rsidRPr="00767966">
            <w:rPr>
              <w:rFonts w:ascii="Arial" w:hAnsi="Arial" w:cs="Arial"/>
              <w:b/>
              <w:noProof/>
              <w:lang w:eastAsia="en-GB"/>
            </w:rPr>
            <w:drawing>
              <wp:inline distT="0" distB="0" distL="0" distR="0" wp14:anchorId="7FB2632B" wp14:editId="799364A0">
                <wp:extent cx="2209800" cy="742950"/>
                <wp:effectExtent l="19050" t="0" r="0"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891B6DE" w14:textId="77777777" w:rsidR="00077300" w:rsidRPr="00767966" w:rsidRDefault="00077300" w:rsidP="00077300">
          <w:pPr>
            <w:spacing w:after="165" w:line="360" w:lineRule="auto"/>
            <w:jc w:val="center"/>
            <w:rPr>
              <w:rFonts w:ascii="Arial" w:hAnsi="Arial" w:cs="Arial"/>
              <w:color w:val="000000"/>
              <w:sz w:val="40"/>
              <w:szCs w:val="40"/>
            </w:rPr>
          </w:pPr>
          <w:r w:rsidRPr="00767966">
            <w:rPr>
              <w:rFonts w:ascii="Arial" w:hAnsi="Arial" w:cs="Arial"/>
              <w:color w:val="000000"/>
              <w:sz w:val="40"/>
              <w:szCs w:val="40"/>
            </w:rPr>
            <w:t>Skills for the Workplace</w:t>
          </w:r>
          <w:r w:rsidRPr="00767966">
            <w:rPr>
              <w:rFonts w:ascii="Arial" w:hAnsi="Arial" w:cs="Arial"/>
              <w:color w:val="000000"/>
              <w:sz w:val="40"/>
              <w:szCs w:val="40"/>
            </w:rPr>
            <w:br/>
            <w:t xml:space="preserve">Module Assignment Submission </w:t>
          </w:r>
          <w:r w:rsidRPr="00767966">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77300" w:rsidRPr="00767966" w14:paraId="58CF0D16" w14:textId="77777777" w:rsidTr="00983490">
            <w:tc>
              <w:tcPr>
                <w:tcW w:w="3438" w:type="dxa"/>
                <w:shd w:val="clear" w:color="auto" w:fill="D9D9D9"/>
              </w:tcPr>
              <w:p w14:paraId="29212CAE" w14:textId="77777777" w:rsidR="00077300" w:rsidRPr="00767966" w:rsidRDefault="00077300" w:rsidP="00983490">
                <w:pPr>
                  <w:spacing w:before="120" w:after="120" w:line="360" w:lineRule="auto"/>
                  <w:rPr>
                    <w:rFonts w:ascii="Arial" w:hAnsi="Arial" w:cs="Arial"/>
                    <w:sz w:val="32"/>
                    <w:szCs w:val="32"/>
                  </w:rPr>
                </w:pPr>
                <w:r w:rsidRPr="00767966">
                  <w:rPr>
                    <w:rFonts w:ascii="Arial" w:hAnsi="Arial" w:cs="Arial"/>
                    <w:sz w:val="32"/>
                    <w:szCs w:val="32"/>
                  </w:rPr>
                  <w:t>Student Name:</w:t>
                </w:r>
              </w:p>
            </w:tc>
            <w:tc>
              <w:tcPr>
                <w:tcW w:w="6055" w:type="dxa"/>
              </w:tcPr>
              <w:p w14:paraId="78BBD45E" w14:textId="77777777" w:rsidR="00077300" w:rsidRPr="00767966" w:rsidRDefault="00077300" w:rsidP="00983490">
                <w:pPr>
                  <w:spacing w:before="120" w:after="120" w:line="360" w:lineRule="auto"/>
                  <w:rPr>
                    <w:rFonts w:ascii="Arial" w:hAnsi="Arial" w:cs="Arial"/>
                    <w:color w:val="000000" w:themeColor="text1"/>
                    <w:sz w:val="32"/>
                    <w:szCs w:val="32"/>
                  </w:rPr>
                </w:pPr>
                <w:r w:rsidRPr="00767966">
                  <w:rPr>
                    <w:rFonts w:ascii="Arial" w:hAnsi="Arial" w:cs="Arial"/>
                    <w:color w:val="000000" w:themeColor="text1"/>
                    <w:sz w:val="32"/>
                    <w:szCs w:val="32"/>
                  </w:rPr>
                  <w:t>Alin Chirila</w:t>
                </w:r>
              </w:p>
            </w:tc>
          </w:tr>
          <w:tr w:rsidR="00077300" w:rsidRPr="00767966" w14:paraId="63C66F3F" w14:textId="77777777" w:rsidTr="00983490">
            <w:tc>
              <w:tcPr>
                <w:tcW w:w="3438" w:type="dxa"/>
                <w:shd w:val="clear" w:color="auto" w:fill="D9D9D9"/>
              </w:tcPr>
              <w:p w14:paraId="1A35F769" w14:textId="77777777" w:rsidR="00077300" w:rsidRPr="00767966" w:rsidRDefault="00077300" w:rsidP="00983490">
                <w:pPr>
                  <w:spacing w:before="120" w:after="120" w:line="360" w:lineRule="auto"/>
                  <w:rPr>
                    <w:rFonts w:ascii="Arial" w:hAnsi="Arial" w:cs="Arial"/>
                    <w:sz w:val="32"/>
                    <w:szCs w:val="32"/>
                  </w:rPr>
                </w:pPr>
                <w:r w:rsidRPr="00767966">
                  <w:rPr>
                    <w:rFonts w:ascii="Arial" w:hAnsi="Arial" w:cs="Arial"/>
                    <w:sz w:val="32"/>
                    <w:szCs w:val="32"/>
                  </w:rPr>
                  <w:t>Student Number:</w:t>
                </w:r>
              </w:p>
            </w:tc>
            <w:tc>
              <w:tcPr>
                <w:tcW w:w="6055" w:type="dxa"/>
              </w:tcPr>
              <w:p w14:paraId="236138A2" w14:textId="77777777" w:rsidR="00077300" w:rsidRPr="00767966" w:rsidRDefault="00077300" w:rsidP="00983490">
                <w:pPr>
                  <w:spacing w:before="120" w:after="120" w:line="360" w:lineRule="auto"/>
                  <w:rPr>
                    <w:rFonts w:ascii="Arial" w:hAnsi="Arial" w:cs="Arial"/>
                    <w:color w:val="000000" w:themeColor="text1"/>
                    <w:sz w:val="32"/>
                    <w:szCs w:val="32"/>
                  </w:rPr>
                </w:pPr>
                <w:r w:rsidRPr="00767966">
                  <w:rPr>
                    <w:rFonts w:ascii="Arial" w:hAnsi="Arial" w:cs="Arial"/>
                    <w:color w:val="000000" w:themeColor="text1"/>
                    <w:sz w:val="32"/>
                    <w:szCs w:val="32"/>
                  </w:rPr>
                  <w:t>2008838</w:t>
                </w:r>
              </w:p>
            </w:tc>
          </w:tr>
          <w:tr w:rsidR="00077300" w:rsidRPr="00767966" w14:paraId="7DAB6581" w14:textId="77777777" w:rsidTr="00983490">
            <w:tc>
              <w:tcPr>
                <w:tcW w:w="3438" w:type="dxa"/>
                <w:shd w:val="clear" w:color="auto" w:fill="D9D9D9"/>
              </w:tcPr>
              <w:p w14:paraId="4EA6C044" w14:textId="77777777" w:rsidR="00077300" w:rsidRPr="00767966" w:rsidRDefault="00077300" w:rsidP="00983490">
                <w:pPr>
                  <w:spacing w:before="120" w:after="120" w:line="360" w:lineRule="auto"/>
                  <w:rPr>
                    <w:rFonts w:ascii="Arial" w:hAnsi="Arial" w:cs="Arial"/>
                    <w:sz w:val="32"/>
                    <w:szCs w:val="32"/>
                  </w:rPr>
                </w:pPr>
                <w:r w:rsidRPr="00767966">
                  <w:rPr>
                    <w:rFonts w:ascii="Arial" w:hAnsi="Arial" w:cs="Arial"/>
                    <w:sz w:val="32"/>
                    <w:szCs w:val="32"/>
                  </w:rPr>
                  <w:t>Module No:</w:t>
                </w:r>
              </w:p>
            </w:tc>
            <w:tc>
              <w:tcPr>
                <w:tcW w:w="6055" w:type="dxa"/>
              </w:tcPr>
              <w:p w14:paraId="6E2ADE9F" w14:textId="4BA162E3" w:rsidR="00077300" w:rsidRPr="00767966" w:rsidRDefault="00077300" w:rsidP="00983490">
                <w:pPr>
                  <w:rPr>
                    <w:rFonts w:ascii="Arial" w:hAnsi="Arial" w:cs="Arial"/>
                    <w:color w:val="000000" w:themeColor="text1"/>
                    <w:sz w:val="32"/>
                    <w:szCs w:val="32"/>
                    <w:lang w:eastAsia="en-GB"/>
                  </w:rPr>
                </w:pPr>
                <w:r w:rsidRPr="00767966">
                  <w:rPr>
                    <w:rFonts w:ascii="Arial" w:hAnsi="Arial" w:cs="Arial"/>
                    <w:color w:val="000000" w:themeColor="text1"/>
                    <w:sz w:val="32"/>
                    <w:szCs w:val="32"/>
                    <w:lang w:eastAsia="en-GB"/>
                  </w:rPr>
                  <w:t>BMSK</w:t>
                </w:r>
                <w:r w:rsidR="00387786" w:rsidRPr="00767966">
                  <w:rPr>
                    <w:rFonts w:ascii="Arial" w:hAnsi="Arial" w:cs="Arial"/>
                    <w:color w:val="000000" w:themeColor="text1"/>
                    <w:sz w:val="32"/>
                    <w:szCs w:val="32"/>
                    <w:lang w:eastAsia="en-GB"/>
                  </w:rPr>
                  <w:t>600</w:t>
                </w:r>
                <w:r w:rsidR="002D1945" w:rsidRPr="00767966">
                  <w:rPr>
                    <w:rFonts w:ascii="Arial" w:hAnsi="Arial" w:cs="Arial"/>
                    <w:color w:val="000000" w:themeColor="text1"/>
                    <w:sz w:val="32"/>
                    <w:szCs w:val="32"/>
                    <w:lang w:eastAsia="en-GB"/>
                  </w:rPr>
                  <w:t>3</w:t>
                </w:r>
              </w:p>
            </w:tc>
          </w:tr>
          <w:tr w:rsidR="00077300" w:rsidRPr="00767966" w14:paraId="3492C1B9" w14:textId="77777777" w:rsidTr="00983490">
            <w:trPr>
              <w:trHeight w:val="413"/>
            </w:trPr>
            <w:tc>
              <w:tcPr>
                <w:tcW w:w="3438" w:type="dxa"/>
                <w:shd w:val="clear" w:color="auto" w:fill="D9D9D9"/>
              </w:tcPr>
              <w:p w14:paraId="33620DDC" w14:textId="77777777" w:rsidR="00077300" w:rsidRPr="00767966" w:rsidRDefault="00077300" w:rsidP="00983490">
                <w:pPr>
                  <w:spacing w:before="120" w:after="120" w:line="360" w:lineRule="auto"/>
                  <w:rPr>
                    <w:rFonts w:ascii="Arial" w:hAnsi="Arial" w:cs="Arial"/>
                    <w:sz w:val="32"/>
                    <w:szCs w:val="32"/>
                  </w:rPr>
                </w:pPr>
                <w:r w:rsidRPr="00767966">
                  <w:rPr>
                    <w:rFonts w:ascii="Arial" w:hAnsi="Arial" w:cs="Arial"/>
                    <w:sz w:val="32"/>
                    <w:szCs w:val="32"/>
                  </w:rPr>
                  <w:t>Module Title:</w:t>
                </w:r>
              </w:p>
            </w:tc>
            <w:tc>
              <w:tcPr>
                <w:tcW w:w="6055" w:type="dxa"/>
              </w:tcPr>
              <w:p w14:paraId="53BA7E79" w14:textId="1F604770" w:rsidR="00077300" w:rsidRPr="00767966" w:rsidRDefault="002D1945" w:rsidP="00983490">
                <w:pPr>
                  <w:spacing w:before="120" w:after="120" w:line="360" w:lineRule="auto"/>
                  <w:rPr>
                    <w:rFonts w:ascii="Arial" w:hAnsi="Arial" w:cs="Arial"/>
                    <w:color w:val="000000" w:themeColor="text1"/>
                    <w:sz w:val="32"/>
                    <w:szCs w:val="32"/>
                  </w:rPr>
                </w:pPr>
                <w:r w:rsidRPr="00767966">
                  <w:rPr>
                    <w:rFonts w:ascii="Arial" w:hAnsi="Arial" w:cs="Arial"/>
                    <w:color w:val="000000" w:themeColor="text1"/>
                    <w:sz w:val="32"/>
                    <w:szCs w:val="32"/>
                  </w:rPr>
                  <w:t>Leading and Implementing Workplace Change</w:t>
                </w:r>
              </w:p>
            </w:tc>
          </w:tr>
        </w:tbl>
        <w:p w14:paraId="7D1EA0E8" w14:textId="77777777" w:rsidR="00077300" w:rsidRPr="00767966" w:rsidRDefault="00077300" w:rsidP="00077300">
          <w:pPr>
            <w:spacing w:before="120" w:after="120" w:line="360" w:lineRule="auto"/>
            <w:rPr>
              <w:rFonts w:ascii="Arial" w:hAnsi="Arial" w:cs="Arial"/>
              <w:color w:val="FF0000"/>
              <w:sz w:val="24"/>
              <w:szCs w:val="24"/>
            </w:rPr>
          </w:pPr>
        </w:p>
        <w:p w14:paraId="1B0FE828" w14:textId="77777777" w:rsidR="00077300" w:rsidRPr="00767966" w:rsidRDefault="00077300" w:rsidP="00077300">
          <w:pPr>
            <w:spacing w:before="120" w:after="120" w:line="360" w:lineRule="auto"/>
            <w:rPr>
              <w:rFonts w:ascii="Arial" w:hAnsi="Arial" w:cs="Arial"/>
              <w:b/>
              <w:color w:val="000000"/>
              <w:sz w:val="24"/>
              <w:szCs w:val="24"/>
            </w:rPr>
          </w:pPr>
          <w:r w:rsidRPr="00767966">
            <w:rPr>
              <w:rFonts w:ascii="Arial" w:hAnsi="Arial" w:cs="Arial"/>
              <w:b/>
              <w:color w:val="000000"/>
              <w:sz w:val="24"/>
              <w:szCs w:val="24"/>
            </w:rPr>
            <w:t>Statement of Confirmation of Authenticity</w:t>
          </w:r>
        </w:p>
        <w:p w14:paraId="4C4A1462" w14:textId="77777777" w:rsidR="00077300" w:rsidRPr="00767966" w:rsidRDefault="00077300" w:rsidP="00077300">
          <w:pPr>
            <w:spacing w:before="120" w:after="120" w:line="360" w:lineRule="auto"/>
            <w:rPr>
              <w:rFonts w:ascii="Arial" w:hAnsi="Arial" w:cs="Arial"/>
              <w:color w:val="000000"/>
              <w:sz w:val="24"/>
              <w:szCs w:val="24"/>
            </w:rPr>
          </w:pPr>
          <w:r w:rsidRPr="00767966">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0FCC2E0" w14:textId="3B50CE90" w:rsidR="00077300" w:rsidRPr="00767966" w:rsidRDefault="00077300" w:rsidP="00077300">
          <w:pPr>
            <w:spacing w:before="120" w:after="120" w:line="360" w:lineRule="auto"/>
            <w:rPr>
              <w:rFonts w:ascii="Arial" w:hAnsi="Arial" w:cs="Arial"/>
              <w:color w:val="000000"/>
              <w:sz w:val="24"/>
              <w:szCs w:val="24"/>
            </w:rPr>
          </w:pPr>
          <w:r w:rsidRPr="00767966">
            <w:rPr>
              <w:rFonts w:ascii="Arial" w:hAnsi="Arial" w:cs="Arial"/>
              <w:color w:val="000000"/>
              <w:sz w:val="24"/>
              <w:szCs w:val="24"/>
            </w:rPr>
            <w:t>Attention is drawn to the plagiarism and unfair practice policies of both the University and of ILM.</w:t>
          </w:r>
        </w:p>
        <w:p w14:paraId="26113851" w14:textId="7DAA3245" w:rsidR="00077300" w:rsidRPr="00767966" w:rsidRDefault="00077300" w:rsidP="00077300">
          <w:pPr>
            <w:spacing w:before="120" w:after="120" w:line="360" w:lineRule="auto"/>
            <w:rPr>
              <w:rFonts w:ascii="Arial" w:hAnsi="Arial" w:cs="Arial"/>
              <w:color w:val="000000"/>
              <w:sz w:val="24"/>
              <w:szCs w:val="24"/>
            </w:rPr>
          </w:pPr>
        </w:p>
        <w:p w14:paraId="05577FC6" w14:textId="77777777" w:rsidR="00077300" w:rsidRPr="00767966" w:rsidRDefault="00077300" w:rsidP="00077300">
          <w:pPr>
            <w:spacing w:before="120" w:after="120" w:line="360" w:lineRule="auto"/>
            <w:rPr>
              <w:rFonts w:ascii="Arial" w:hAnsi="Arial" w:cs="Arial"/>
              <w:color w:val="000000"/>
              <w:sz w:val="24"/>
              <w:szCs w:val="24"/>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0BCCEBF6" w14:textId="77777777" w:rsidR="00077300" w:rsidRPr="00767966" w:rsidRDefault="00077300" w:rsidP="00077300">
              <w:pPr>
                <w:pStyle w:val="TOCHeading"/>
                <w:rPr>
                  <w:rFonts w:ascii="Arial" w:hAnsi="Arial" w:cs="Arial"/>
                  <w:sz w:val="28"/>
                  <w:szCs w:val="28"/>
                </w:rPr>
              </w:pPr>
              <w:r w:rsidRPr="00767966">
                <w:rPr>
                  <w:rFonts w:ascii="Arial" w:hAnsi="Arial" w:cs="Arial"/>
                  <w:sz w:val="28"/>
                  <w:szCs w:val="28"/>
                </w:rPr>
                <w:t>Table of Contents</w:t>
              </w:r>
            </w:p>
            <w:p w14:paraId="4F84F503" w14:textId="77777777" w:rsidR="00077300" w:rsidRPr="00767966" w:rsidRDefault="00077300" w:rsidP="00077300">
              <w:pPr>
                <w:rPr>
                  <w:rFonts w:ascii="Arial" w:hAnsi="Arial" w:cs="Arial"/>
                  <w:color w:val="2F5496" w:themeColor="accent1" w:themeShade="BF"/>
                  <w:lang w:val="en-US"/>
                </w:rPr>
              </w:pPr>
            </w:p>
            <w:p w14:paraId="23388FB6" w14:textId="7F60CBC9" w:rsidR="00E341C2" w:rsidRDefault="00077300">
              <w:pPr>
                <w:pStyle w:val="TOC1"/>
                <w:rPr>
                  <w:rFonts w:asciiTheme="minorHAnsi" w:eastAsiaTheme="minorEastAsia" w:hAnsiTheme="minorHAnsi" w:cstheme="minorBidi"/>
                  <w:b w:val="0"/>
                  <w:bCs w:val="0"/>
                  <w:kern w:val="2"/>
                  <w:sz w:val="24"/>
                  <w:szCs w:val="24"/>
                  <w:lang w:eastAsia="en-GB"/>
                  <w14:ligatures w14:val="standardContextual"/>
                </w:rPr>
              </w:pPr>
              <w:r w:rsidRPr="00767966">
                <w:rPr>
                  <w:rFonts w:ascii="Arial" w:hAnsi="Arial" w:cs="Arial"/>
                  <w:b w:val="0"/>
                  <w:bCs w:val="0"/>
                  <w:noProof w:val="0"/>
                  <w:color w:val="2F5496" w:themeColor="accent1" w:themeShade="BF"/>
                </w:rPr>
                <w:fldChar w:fldCharType="begin"/>
              </w:r>
              <w:r w:rsidRPr="00767966">
                <w:rPr>
                  <w:rFonts w:ascii="Arial" w:hAnsi="Arial" w:cs="Arial"/>
                  <w:b w:val="0"/>
                  <w:bCs w:val="0"/>
                  <w:color w:val="2F5496" w:themeColor="accent1" w:themeShade="BF"/>
                </w:rPr>
                <w:instrText xml:space="preserve"> TOC \o "1-3" \h \z \u </w:instrText>
              </w:r>
              <w:r w:rsidRPr="00767966">
                <w:rPr>
                  <w:rFonts w:ascii="Arial" w:hAnsi="Arial" w:cs="Arial"/>
                  <w:b w:val="0"/>
                  <w:bCs w:val="0"/>
                  <w:noProof w:val="0"/>
                  <w:color w:val="2F5496" w:themeColor="accent1" w:themeShade="BF"/>
                </w:rPr>
                <w:fldChar w:fldCharType="separate"/>
              </w:r>
              <w:hyperlink w:anchor="_Toc157363488" w:history="1">
                <w:r w:rsidR="00E341C2" w:rsidRPr="009C56A1">
                  <w:rPr>
                    <w:rStyle w:val="Hyperlink"/>
                    <w:rFonts w:cs="Arial"/>
                  </w:rPr>
                  <w:t>Introduction.</w:t>
                </w:r>
                <w:r w:rsidR="00E341C2">
                  <w:rPr>
                    <w:webHidden/>
                  </w:rPr>
                  <w:tab/>
                </w:r>
                <w:r w:rsidR="00E341C2">
                  <w:rPr>
                    <w:webHidden/>
                  </w:rPr>
                  <w:fldChar w:fldCharType="begin"/>
                </w:r>
                <w:r w:rsidR="00E341C2">
                  <w:rPr>
                    <w:webHidden/>
                  </w:rPr>
                  <w:instrText xml:space="preserve"> PAGEREF _Toc157363488 \h </w:instrText>
                </w:r>
                <w:r w:rsidR="00E341C2">
                  <w:rPr>
                    <w:webHidden/>
                  </w:rPr>
                </w:r>
                <w:r w:rsidR="00E341C2">
                  <w:rPr>
                    <w:webHidden/>
                  </w:rPr>
                  <w:fldChar w:fldCharType="separate"/>
                </w:r>
                <w:r w:rsidR="005A7C2A">
                  <w:rPr>
                    <w:webHidden/>
                  </w:rPr>
                  <w:t>3</w:t>
                </w:r>
                <w:r w:rsidR="00E341C2">
                  <w:rPr>
                    <w:webHidden/>
                  </w:rPr>
                  <w:fldChar w:fldCharType="end"/>
                </w:r>
              </w:hyperlink>
            </w:p>
            <w:p w14:paraId="4BEE0F19" w14:textId="4B6C42BB" w:rsidR="00E341C2" w:rsidRDefault="00CD090F">
              <w:pPr>
                <w:pStyle w:val="TOC1"/>
                <w:tabs>
                  <w:tab w:val="left" w:pos="720"/>
                </w:tabs>
                <w:rPr>
                  <w:rFonts w:asciiTheme="minorHAnsi" w:eastAsiaTheme="minorEastAsia" w:hAnsiTheme="minorHAnsi" w:cstheme="minorBidi"/>
                  <w:b w:val="0"/>
                  <w:bCs w:val="0"/>
                  <w:kern w:val="2"/>
                  <w:sz w:val="24"/>
                  <w:szCs w:val="24"/>
                  <w:lang w:eastAsia="en-GB"/>
                  <w14:ligatures w14:val="standardContextual"/>
                </w:rPr>
              </w:pPr>
              <w:hyperlink w:anchor="_Toc157363489" w:history="1">
                <w:r w:rsidR="00E341C2" w:rsidRPr="009C56A1">
                  <w:rPr>
                    <w:rStyle w:val="Hyperlink"/>
                    <w:rFonts w:cs="Arial"/>
                  </w:rPr>
                  <w:t>1.1</w:t>
                </w:r>
                <w:r w:rsidR="00E341C2">
                  <w:rPr>
                    <w:rFonts w:asciiTheme="minorHAnsi" w:eastAsiaTheme="minorEastAsia" w:hAnsiTheme="minorHAnsi" w:cstheme="minorBidi"/>
                    <w:b w:val="0"/>
                    <w:bCs w:val="0"/>
                    <w:kern w:val="2"/>
                    <w:sz w:val="24"/>
                    <w:szCs w:val="24"/>
                    <w:lang w:eastAsia="en-GB"/>
                    <w14:ligatures w14:val="standardContextual"/>
                  </w:rPr>
                  <w:tab/>
                </w:r>
                <w:r w:rsidR="00E341C2" w:rsidRPr="009C56A1">
                  <w:rPr>
                    <w:rStyle w:val="Hyperlink"/>
                    <w:rFonts w:cs="Arial"/>
                  </w:rPr>
                  <w:t>Brexit and Its Multifaceted Impact: A Comprehensive Macro-Environment Analysis</w:t>
                </w:r>
                <w:r w:rsidR="00E341C2">
                  <w:rPr>
                    <w:webHidden/>
                  </w:rPr>
                  <w:tab/>
                </w:r>
                <w:r w:rsidR="00E341C2">
                  <w:rPr>
                    <w:webHidden/>
                  </w:rPr>
                  <w:fldChar w:fldCharType="begin"/>
                </w:r>
                <w:r w:rsidR="00E341C2">
                  <w:rPr>
                    <w:webHidden/>
                  </w:rPr>
                  <w:instrText xml:space="preserve"> PAGEREF _Toc157363489 \h </w:instrText>
                </w:r>
                <w:r w:rsidR="00E341C2">
                  <w:rPr>
                    <w:webHidden/>
                  </w:rPr>
                </w:r>
                <w:r w:rsidR="00E341C2">
                  <w:rPr>
                    <w:webHidden/>
                  </w:rPr>
                  <w:fldChar w:fldCharType="separate"/>
                </w:r>
                <w:r w:rsidR="005A7C2A">
                  <w:rPr>
                    <w:webHidden/>
                  </w:rPr>
                  <w:t>4</w:t>
                </w:r>
                <w:r w:rsidR="00E341C2">
                  <w:rPr>
                    <w:webHidden/>
                  </w:rPr>
                  <w:fldChar w:fldCharType="end"/>
                </w:r>
              </w:hyperlink>
            </w:p>
            <w:p w14:paraId="06C60957" w14:textId="6D69EC01"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490" w:history="1">
                <w:r w:rsidR="00E341C2" w:rsidRPr="009C56A1">
                  <w:rPr>
                    <w:rStyle w:val="Hyperlink"/>
                    <w:rFonts w:cs="Arial"/>
                  </w:rPr>
                  <w:t>Political Factors:</w:t>
                </w:r>
                <w:r w:rsidR="00E341C2">
                  <w:rPr>
                    <w:webHidden/>
                  </w:rPr>
                  <w:tab/>
                </w:r>
                <w:r w:rsidR="00E341C2">
                  <w:rPr>
                    <w:webHidden/>
                  </w:rPr>
                  <w:fldChar w:fldCharType="begin"/>
                </w:r>
                <w:r w:rsidR="00E341C2">
                  <w:rPr>
                    <w:webHidden/>
                  </w:rPr>
                  <w:instrText xml:space="preserve"> PAGEREF _Toc157363490 \h </w:instrText>
                </w:r>
                <w:r w:rsidR="00E341C2">
                  <w:rPr>
                    <w:webHidden/>
                  </w:rPr>
                </w:r>
                <w:r w:rsidR="00E341C2">
                  <w:rPr>
                    <w:webHidden/>
                  </w:rPr>
                  <w:fldChar w:fldCharType="separate"/>
                </w:r>
                <w:r w:rsidR="005A7C2A">
                  <w:rPr>
                    <w:webHidden/>
                  </w:rPr>
                  <w:t>4</w:t>
                </w:r>
                <w:r w:rsidR="00E341C2">
                  <w:rPr>
                    <w:webHidden/>
                  </w:rPr>
                  <w:fldChar w:fldCharType="end"/>
                </w:r>
              </w:hyperlink>
            </w:p>
            <w:p w14:paraId="766102E7" w14:textId="0F2226D0"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491" w:history="1">
                <w:r w:rsidR="00E341C2" w:rsidRPr="009C56A1">
                  <w:rPr>
                    <w:rStyle w:val="Hyperlink"/>
                    <w:rFonts w:cs="Arial"/>
                  </w:rPr>
                  <w:t>Economic Factor</w:t>
                </w:r>
                <w:r w:rsidR="00E341C2">
                  <w:rPr>
                    <w:webHidden/>
                  </w:rPr>
                  <w:tab/>
                </w:r>
                <w:r w:rsidR="00E341C2">
                  <w:rPr>
                    <w:webHidden/>
                  </w:rPr>
                  <w:fldChar w:fldCharType="begin"/>
                </w:r>
                <w:r w:rsidR="00E341C2">
                  <w:rPr>
                    <w:webHidden/>
                  </w:rPr>
                  <w:instrText xml:space="preserve"> PAGEREF _Toc157363491 \h </w:instrText>
                </w:r>
                <w:r w:rsidR="00E341C2">
                  <w:rPr>
                    <w:webHidden/>
                  </w:rPr>
                </w:r>
                <w:r w:rsidR="00E341C2">
                  <w:rPr>
                    <w:webHidden/>
                  </w:rPr>
                  <w:fldChar w:fldCharType="separate"/>
                </w:r>
                <w:r w:rsidR="005A7C2A">
                  <w:rPr>
                    <w:webHidden/>
                  </w:rPr>
                  <w:t>5</w:t>
                </w:r>
                <w:r w:rsidR="00E341C2">
                  <w:rPr>
                    <w:webHidden/>
                  </w:rPr>
                  <w:fldChar w:fldCharType="end"/>
                </w:r>
              </w:hyperlink>
            </w:p>
            <w:p w14:paraId="02B94FE2" w14:textId="6EAE4D89"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492" w:history="1">
                <w:r w:rsidR="00E341C2" w:rsidRPr="009C56A1">
                  <w:rPr>
                    <w:rStyle w:val="Hyperlink"/>
                    <w:rFonts w:cs="Arial"/>
                  </w:rPr>
                  <w:t>Social Factors:</w:t>
                </w:r>
                <w:r w:rsidR="00E341C2">
                  <w:rPr>
                    <w:webHidden/>
                  </w:rPr>
                  <w:tab/>
                </w:r>
                <w:r w:rsidR="00E341C2">
                  <w:rPr>
                    <w:webHidden/>
                  </w:rPr>
                  <w:fldChar w:fldCharType="begin"/>
                </w:r>
                <w:r w:rsidR="00E341C2">
                  <w:rPr>
                    <w:webHidden/>
                  </w:rPr>
                  <w:instrText xml:space="preserve"> PAGEREF _Toc157363492 \h </w:instrText>
                </w:r>
                <w:r w:rsidR="00E341C2">
                  <w:rPr>
                    <w:webHidden/>
                  </w:rPr>
                </w:r>
                <w:r w:rsidR="00E341C2">
                  <w:rPr>
                    <w:webHidden/>
                  </w:rPr>
                  <w:fldChar w:fldCharType="separate"/>
                </w:r>
                <w:r w:rsidR="005A7C2A">
                  <w:rPr>
                    <w:webHidden/>
                  </w:rPr>
                  <w:t>6</w:t>
                </w:r>
                <w:r w:rsidR="00E341C2">
                  <w:rPr>
                    <w:webHidden/>
                  </w:rPr>
                  <w:fldChar w:fldCharType="end"/>
                </w:r>
              </w:hyperlink>
            </w:p>
            <w:p w14:paraId="1A3A3D3D" w14:textId="773D97B9"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493" w:history="1">
                <w:r w:rsidR="00E341C2" w:rsidRPr="009C56A1">
                  <w:rPr>
                    <w:rStyle w:val="Hyperlink"/>
                    <w:rFonts w:cs="Arial"/>
                  </w:rPr>
                  <w:t>Technological Factors:</w:t>
                </w:r>
                <w:r w:rsidR="00E341C2">
                  <w:rPr>
                    <w:webHidden/>
                  </w:rPr>
                  <w:tab/>
                </w:r>
                <w:r w:rsidR="00E341C2">
                  <w:rPr>
                    <w:webHidden/>
                  </w:rPr>
                  <w:fldChar w:fldCharType="begin"/>
                </w:r>
                <w:r w:rsidR="00E341C2">
                  <w:rPr>
                    <w:webHidden/>
                  </w:rPr>
                  <w:instrText xml:space="preserve"> PAGEREF _Toc157363493 \h </w:instrText>
                </w:r>
                <w:r w:rsidR="00E341C2">
                  <w:rPr>
                    <w:webHidden/>
                  </w:rPr>
                </w:r>
                <w:r w:rsidR="00E341C2">
                  <w:rPr>
                    <w:webHidden/>
                  </w:rPr>
                  <w:fldChar w:fldCharType="separate"/>
                </w:r>
                <w:r w:rsidR="005A7C2A">
                  <w:rPr>
                    <w:webHidden/>
                  </w:rPr>
                  <w:t>7</w:t>
                </w:r>
                <w:r w:rsidR="00E341C2">
                  <w:rPr>
                    <w:webHidden/>
                  </w:rPr>
                  <w:fldChar w:fldCharType="end"/>
                </w:r>
              </w:hyperlink>
            </w:p>
            <w:p w14:paraId="474C001D" w14:textId="44C9F6C0"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494" w:history="1">
                <w:r w:rsidR="00E341C2" w:rsidRPr="009C56A1">
                  <w:rPr>
                    <w:rStyle w:val="Hyperlink"/>
                    <w:rFonts w:cs="Arial"/>
                  </w:rPr>
                  <w:t>Environmental Factors:</w:t>
                </w:r>
                <w:r w:rsidR="00E341C2">
                  <w:rPr>
                    <w:webHidden/>
                  </w:rPr>
                  <w:tab/>
                </w:r>
                <w:r w:rsidR="00E341C2">
                  <w:rPr>
                    <w:webHidden/>
                  </w:rPr>
                  <w:fldChar w:fldCharType="begin"/>
                </w:r>
                <w:r w:rsidR="00E341C2">
                  <w:rPr>
                    <w:webHidden/>
                  </w:rPr>
                  <w:instrText xml:space="preserve"> PAGEREF _Toc157363494 \h </w:instrText>
                </w:r>
                <w:r w:rsidR="00E341C2">
                  <w:rPr>
                    <w:webHidden/>
                  </w:rPr>
                </w:r>
                <w:r w:rsidR="00E341C2">
                  <w:rPr>
                    <w:webHidden/>
                  </w:rPr>
                  <w:fldChar w:fldCharType="separate"/>
                </w:r>
                <w:r w:rsidR="005A7C2A">
                  <w:rPr>
                    <w:webHidden/>
                  </w:rPr>
                  <w:t>8</w:t>
                </w:r>
                <w:r w:rsidR="00E341C2">
                  <w:rPr>
                    <w:webHidden/>
                  </w:rPr>
                  <w:fldChar w:fldCharType="end"/>
                </w:r>
              </w:hyperlink>
            </w:p>
            <w:p w14:paraId="49AD36CB" w14:textId="4FEC65EE"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495" w:history="1">
                <w:r w:rsidR="00E341C2" w:rsidRPr="009C56A1">
                  <w:rPr>
                    <w:rStyle w:val="Hyperlink"/>
                    <w:rFonts w:cs="Arial"/>
                  </w:rPr>
                  <w:t>Legal Factors:</w:t>
                </w:r>
                <w:r w:rsidR="00E341C2">
                  <w:rPr>
                    <w:webHidden/>
                  </w:rPr>
                  <w:tab/>
                </w:r>
                <w:r w:rsidR="00E341C2">
                  <w:rPr>
                    <w:webHidden/>
                  </w:rPr>
                  <w:fldChar w:fldCharType="begin"/>
                </w:r>
                <w:r w:rsidR="00E341C2">
                  <w:rPr>
                    <w:webHidden/>
                  </w:rPr>
                  <w:instrText xml:space="preserve"> PAGEREF _Toc157363495 \h </w:instrText>
                </w:r>
                <w:r w:rsidR="00E341C2">
                  <w:rPr>
                    <w:webHidden/>
                  </w:rPr>
                </w:r>
                <w:r w:rsidR="00E341C2">
                  <w:rPr>
                    <w:webHidden/>
                  </w:rPr>
                  <w:fldChar w:fldCharType="separate"/>
                </w:r>
                <w:r w:rsidR="005A7C2A">
                  <w:rPr>
                    <w:webHidden/>
                  </w:rPr>
                  <w:t>10</w:t>
                </w:r>
                <w:r w:rsidR="00E341C2">
                  <w:rPr>
                    <w:webHidden/>
                  </w:rPr>
                  <w:fldChar w:fldCharType="end"/>
                </w:r>
              </w:hyperlink>
            </w:p>
            <w:p w14:paraId="151BF6EB" w14:textId="51C47969"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496" w:history="1">
                <w:r w:rsidR="00E341C2" w:rsidRPr="009C56A1">
                  <w:rPr>
                    <w:rStyle w:val="Hyperlink"/>
                    <w:rFonts w:cs="Arial"/>
                  </w:rPr>
                  <w:t>1.2 Brexit’s Influence on the UK Civil Service: An In-Depth Examination of the Micro-Environment Effects</w:t>
                </w:r>
                <w:r w:rsidR="00E341C2">
                  <w:rPr>
                    <w:webHidden/>
                  </w:rPr>
                  <w:tab/>
                </w:r>
                <w:r w:rsidR="00E341C2">
                  <w:rPr>
                    <w:webHidden/>
                  </w:rPr>
                  <w:fldChar w:fldCharType="begin"/>
                </w:r>
                <w:r w:rsidR="00E341C2">
                  <w:rPr>
                    <w:webHidden/>
                  </w:rPr>
                  <w:instrText xml:space="preserve"> PAGEREF _Toc157363496 \h </w:instrText>
                </w:r>
                <w:r w:rsidR="00E341C2">
                  <w:rPr>
                    <w:webHidden/>
                  </w:rPr>
                </w:r>
                <w:r w:rsidR="00E341C2">
                  <w:rPr>
                    <w:webHidden/>
                  </w:rPr>
                  <w:fldChar w:fldCharType="separate"/>
                </w:r>
                <w:r w:rsidR="005A7C2A">
                  <w:rPr>
                    <w:webHidden/>
                  </w:rPr>
                  <w:t>11</w:t>
                </w:r>
                <w:r w:rsidR="00E341C2">
                  <w:rPr>
                    <w:webHidden/>
                  </w:rPr>
                  <w:fldChar w:fldCharType="end"/>
                </w:r>
              </w:hyperlink>
            </w:p>
            <w:p w14:paraId="6CDC61CC" w14:textId="3C08432C"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497" w:history="1">
                <w:r w:rsidR="00E341C2" w:rsidRPr="009C56A1">
                  <w:rPr>
                    <w:rStyle w:val="Hyperlink"/>
                    <w:rFonts w:cs="Arial"/>
                  </w:rPr>
                  <w:t>1.3 Porter's Five Forces Analysis in the Context of Brexit</w:t>
                </w:r>
                <w:r w:rsidR="00E341C2">
                  <w:rPr>
                    <w:webHidden/>
                  </w:rPr>
                  <w:tab/>
                </w:r>
                <w:r w:rsidR="00E341C2">
                  <w:rPr>
                    <w:webHidden/>
                  </w:rPr>
                  <w:fldChar w:fldCharType="begin"/>
                </w:r>
                <w:r w:rsidR="00E341C2">
                  <w:rPr>
                    <w:webHidden/>
                  </w:rPr>
                  <w:instrText xml:space="preserve"> PAGEREF _Toc157363497 \h </w:instrText>
                </w:r>
                <w:r w:rsidR="00E341C2">
                  <w:rPr>
                    <w:webHidden/>
                  </w:rPr>
                </w:r>
                <w:r w:rsidR="00E341C2">
                  <w:rPr>
                    <w:webHidden/>
                  </w:rPr>
                  <w:fldChar w:fldCharType="separate"/>
                </w:r>
                <w:r w:rsidR="005A7C2A">
                  <w:rPr>
                    <w:webHidden/>
                  </w:rPr>
                  <w:t>13</w:t>
                </w:r>
                <w:r w:rsidR="00E341C2">
                  <w:rPr>
                    <w:webHidden/>
                  </w:rPr>
                  <w:fldChar w:fldCharType="end"/>
                </w:r>
              </w:hyperlink>
            </w:p>
            <w:p w14:paraId="5DA0B370" w14:textId="0EEA41D3"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498" w:history="1">
                <w:r w:rsidR="00E341C2" w:rsidRPr="009C56A1">
                  <w:rPr>
                    <w:rStyle w:val="Hyperlink"/>
                    <w:rFonts w:cs="Arial"/>
                  </w:rPr>
                  <w:t>1.4 SWOT Analysis of the Civil Service Post-Brexit:</w:t>
                </w:r>
                <w:r w:rsidR="00E341C2">
                  <w:rPr>
                    <w:webHidden/>
                  </w:rPr>
                  <w:tab/>
                </w:r>
                <w:r w:rsidR="00E341C2">
                  <w:rPr>
                    <w:webHidden/>
                  </w:rPr>
                  <w:fldChar w:fldCharType="begin"/>
                </w:r>
                <w:r w:rsidR="00E341C2">
                  <w:rPr>
                    <w:webHidden/>
                  </w:rPr>
                  <w:instrText xml:space="preserve"> PAGEREF _Toc157363498 \h </w:instrText>
                </w:r>
                <w:r w:rsidR="00E341C2">
                  <w:rPr>
                    <w:webHidden/>
                  </w:rPr>
                </w:r>
                <w:r w:rsidR="00E341C2">
                  <w:rPr>
                    <w:webHidden/>
                  </w:rPr>
                  <w:fldChar w:fldCharType="separate"/>
                </w:r>
                <w:r w:rsidR="005A7C2A">
                  <w:rPr>
                    <w:webHidden/>
                  </w:rPr>
                  <w:t>14</w:t>
                </w:r>
                <w:r w:rsidR="00E341C2">
                  <w:rPr>
                    <w:webHidden/>
                  </w:rPr>
                  <w:fldChar w:fldCharType="end"/>
                </w:r>
              </w:hyperlink>
            </w:p>
            <w:p w14:paraId="7910B1EA" w14:textId="36F68301"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499" w:history="1">
                <w:r w:rsidR="00E341C2" w:rsidRPr="009C56A1">
                  <w:rPr>
                    <w:rStyle w:val="Hyperlink"/>
                    <w:rFonts w:cs="Arial"/>
                  </w:rPr>
                  <w:t>1.5 Impact of Brexit on Workplace Culture and Capability in the UK Civil Service</w:t>
                </w:r>
                <w:r w:rsidR="00E341C2">
                  <w:rPr>
                    <w:webHidden/>
                  </w:rPr>
                  <w:tab/>
                </w:r>
                <w:r w:rsidR="00E341C2">
                  <w:rPr>
                    <w:webHidden/>
                  </w:rPr>
                  <w:fldChar w:fldCharType="begin"/>
                </w:r>
                <w:r w:rsidR="00E341C2">
                  <w:rPr>
                    <w:webHidden/>
                  </w:rPr>
                  <w:instrText xml:space="preserve"> PAGEREF _Toc157363499 \h </w:instrText>
                </w:r>
                <w:r w:rsidR="00E341C2">
                  <w:rPr>
                    <w:webHidden/>
                  </w:rPr>
                </w:r>
                <w:r w:rsidR="00E341C2">
                  <w:rPr>
                    <w:webHidden/>
                  </w:rPr>
                  <w:fldChar w:fldCharType="separate"/>
                </w:r>
                <w:r w:rsidR="005A7C2A">
                  <w:rPr>
                    <w:webHidden/>
                  </w:rPr>
                  <w:t>15</w:t>
                </w:r>
                <w:r w:rsidR="00E341C2">
                  <w:rPr>
                    <w:webHidden/>
                  </w:rPr>
                  <w:fldChar w:fldCharType="end"/>
                </w:r>
              </w:hyperlink>
            </w:p>
            <w:p w14:paraId="1086633C" w14:textId="3E1D4E11"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500" w:history="1">
                <w:r w:rsidR="00E341C2" w:rsidRPr="009C56A1">
                  <w:rPr>
                    <w:rStyle w:val="Hyperlink"/>
                    <w:rFonts w:cs="Arial"/>
                  </w:rPr>
                  <w:t>2. Evaluate how organisational stakeholders can be efficiently led through complex workplace change</w:t>
                </w:r>
                <w:r w:rsidR="00E341C2">
                  <w:rPr>
                    <w:webHidden/>
                  </w:rPr>
                  <w:tab/>
                </w:r>
                <w:r w:rsidR="00E341C2">
                  <w:rPr>
                    <w:webHidden/>
                  </w:rPr>
                  <w:fldChar w:fldCharType="begin"/>
                </w:r>
                <w:r w:rsidR="00E341C2">
                  <w:rPr>
                    <w:webHidden/>
                  </w:rPr>
                  <w:instrText xml:space="preserve"> PAGEREF _Toc157363500 \h </w:instrText>
                </w:r>
                <w:r w:rsidR="00E341C2">
                  <w:rPr>
                    <w:webHidden/>
                  </w:rPr>
                </w:r>
                <w:r w:rsidR="00E341C2">
                  <w:rPr>
                    <w:webHidden/>
                  </w:rPr>
                  <w:fldChar w:fldCharType="separate"/>
                </w:r>
                <w:r w:rsidR="005A7C2A">
                  <w:rPr>
                    <w:webHidden/>
                  </w:rPr>
                  <w:t>16</w:t>
                </w:r>
                <w:r w:rsidR="00E341C2">
                  <w:rPr>
                    <w:webHidden/>
                  </w:rPr>
                  <w:fldChar w:fldCharType="end"/>
                </w:r>
              </w:hyperlink>
            </w:p>
            <w:p w14:paraId="0E99A6C7" w14:textId="508A4C55"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501" w:history="1">
                <w:r w:rsidR="00E341C2" w:rsidRPr="009C56A1">
                  <w:rPr>
                    <w:rStyle w:val="Hyperlink"/>
                    <w:rFonts w:cs="Arial"/>
                  </w:rPr>
                  <w:t>2.1 Stakeholder Analysis</w:t>
                </w:r>
                <w:r w:rsidR="00E341C2">
                  <w:rPr>
                    <w:webHidden/>
                  </w:rPr>
                  <w:tab/>
                </w:r>
                <w:r w:rsidR="00E341C2">
                  <w:rPr>
                    <w:webHidden/>
                  </w:rPr>
                  <w:fldChar w:fldCharType="begin"/>
                </w:r>
                <w:r w:rsidR="00E341C2">
                  <w:rPr>
                    <w:webHidden/>
                  </w:rPr>
                  <w:instrText xml:space="preserve"> PAGEREF _Toc157363501 \h </w:instrText>
                </w:r>
                <w:r w:rsidR="00E341C2">
                  <w:rPr>
                    <w:webHidden/>
                  </w:rPr>
                </w:r>
                <w:r w:rsidR="00E341C2">
                  <w:rPr>
                    <w:webHidden/>
                  </w:rPr>
                  <w:fldChar w:fldCharType="separate"/>
                </w:r>
                <w:r w:rsidR="005A7C2A">
                  <w:rPr>
                    <w:webHidden/>
                  </w:rPr>
                  <w:t>16</w:t>
                </w:r>
                <w:r w:rsidR="00E341C2">
                  <w:rPr>
                    <w:webHidden/>
                  </w:rPr>
                  <w:fldChar w:fldCharType="end"/>
                </w:r>
              </w:hyperlink>
            </w:p>
            <w:p w14:paraId="379FD9B0" w14:textId="4DE4A66D"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502" w:history="1">
                <w:r w:rsidR="00E341C2" w:rsidRPr="009C56A1">
                  <w:rPr>
                    <w:rStyle w:val="Hyperlink"/>
                    <w:rFonts w:cs="Arial"/>
                  </w:rPr>
                  <w:t>2.2 Categorization Based on Influence and Impact</w:t>
                </w:r>
                <w:r w:rsidR="00E341C2">
                  <w:rPr>
                    <w:webHidden/>
                  </w:rPr>
                  <w:tab/>
                </w:r>
                <w:r w:rsidR="00E341C2">
                  <w:rPr>
                    <w:webHidden/>
                  </w:rPr>
                  <w:fldChar w:fldCharType="begin"/>
                </w:r>
                <w:r w:rsidR="00E341C2">
                  <w:rPr>
                    <w:webHidden/>
                  </w:rPr>
                  <w:instrText xml:space="preserve"> PAGEREF _Toc157363502 \h </w:instrText>
                </w:r>
                <w:r w:rsidR="00E341C2">
                  <w:rPr>
                    <w:webHidden/>
                  </w:rPr>
                </w:r>
                <w:r w:rsidR="00E341C2">
                  <w:rPr>
                    <w:webHidden/>
                  </w:rPr>
                  <w:fldChar w:fldCharType="separate"/>
                </w:r>
                <w:r w:rsidR="005A7C2A">
                  <w:rPr>
                    <w:webHidden/>
                  </w:rPr>
                  <w:t>17</w:t>
                </w:r>
                <w:r w:rsidR="00E341C2">
                  <w:rPr>
                    <w:webHidden/>
                  </w:rPr>
                  <w:fldChar w:fldCharType="end"/>
                </w:r>
              </w:hyperlink>
            </w:p>
            <w:p w14:paraId="0A6F1406" w14:textId="18FA180E"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503" w:history="1">
                <w:r w:rsidR="00E341C2" w:rsidRPr="009C56A1">
                  <w:rPr>
                    <w:rStyle w:val="Hyperlink"/>
                    <w:rFonts w:cs="Arial"/>
                  </w:rPr>
                  <w:t>2.3 Kotter’s 8 Steps of Change Process:</w:t>
                </w:r>
                <w:r w:rsidR="00E341C2">
                  <w:rPr>
                    <w:webHidden/>
                  </w:rPr>
                  <w:tab/>
                </w:r>
                <w:r w:rsidR="00E341C2">
                  <w:rPr>
                    <w:webHidden/>
                  </w:rPr>
                  <w:fldChar w:fldCharType="begin"/>
                </w:r>
                <w:r w:rsidR="00E341C2">
                  <w:rPr>
                    <w:webHidden/>
                  </w:rPr>
                  <w:instrText xml:space="preserve"> PAGEREF _Toc157363503 \h </w:instrText>
                </w:r>
                <w:r w:rsidR="00E341C2">
                  <w:rPr>
                    <w:webHidden/>
                  </w:rPr>
                </w:r>
                <w:r w:rsidR="00E341C2">
                  <w:rPr>
                    <w:webHidden/>
                  </w:rPr>
                  <w:fldChar w:fldCharType="separate"/>
                </w:r>
                <w:r w:rsidR="005A7C2A">
                  <w:rPr>
                    <w:webHidden/>
                  </w:rPr>
                  <w:t>18</w:t>
                </w:r>
                <w:r w:rsidR="00E341C2">
                  <w:rPr>
                    <w:webHidden/>
                  </w:rPr>
                  <w:fldChar w:fldCharType="end"/>
                </w:r>
              </w:hyperlink>
            </w:p>
            <w:p w14:paraId="625FF0E9" w14:textId="4AE20E58"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504" w:history="1">
                <w:r w:rsidR="00E341C2" w:rsidRPr="009C56A1">
                  <w:rPr>
                    <w:rStyle w:val="Hyperlink"/>
                    <w:rFonts w:cs="Arial"/>
                  </w:rPr>
                  <w:t>Lewin's Change Management Model:</w:t>
                </w:r>
                <w:r w:rsidR="00E341C2">
                  <w:rPr>
                    <w:webHidden/>
                  </w:rPr>
                  <w:tab/>
                </w:r>
                <w:r w:rsidR="00E341C2">
                  <w:rPr>
                    <w:webHidden/>
                  </w:rPr>
                  <w:fldChar w:fldCharType="begin"/>
                </w:r>
                <w:r w:rsidR="00E341C2">
                  <w:rPr>
                    <w:webHidden/>
                  </w:rPr>
                  <w:instrText xml:space="preserve"> PAGEREF _Toc157363504 \h </w:instrText>
                </w:r>
                <w:r w:rsidR="00E341C2">
                  <w:rPr>
                    <w:webHidden/>
                  </w:rPr>
                </w:r>
                <w:r w:rsidR="00E341C2">
                  <w:rPr>
                    <w:webHidden/>
                  </w:rPr>
                  <w:fldChar w:fldCharType="separate"/>
                </w:r>
                <w:r w:rsidR="005A7C2A">
                  <w:rPr>
                    <w:webHidden/>
                  </w:rPr>
                  <w:t>20</w:t>
                </w:r>
                <w:r w:rsidR="00E341C2">
                  <w:rPr>
                    <w:webHidden/>
                  </w:rPr>
                  <w:fldChar w:fldCharType="end"/>
                </w:r>
              </w:hyperlink>
            </w:p>
            <w:p w14:paraId="15AA0678" w14:textId="74A184A9"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505" w:history="1">
                <w:r w:rsidR="00E341C2" w:rsidRPr="009C56A1">
                  <w:rPr>
                    <w:rStyle w:val="Hyperlink"/>
                    <w:rFonts w:cs="Arial"/>
                  </w:rPr>
                  <w:t>Leading Stakeholders Through Change</w:t>
                </w:r>
                <w:r w:rsidR="00E341C2">
                  <w:rPr>
                    <w:webHidden/>
                  </w:rPr>
                  <w:tab/>
                </w:r>
                <w:r w:rsidR="00E341C2">
                  <w:rPr>
                    <w:webHidden/>
                  </w:rPr>
                  <w:fldChar w:fldCharType="begin"/>
                </w:r>
                <w:r w:rsidR="00E341C2">
                  <w:rPr>
                    <w:webHidden/>
                  </w:rPr>
                  <w:instrText xml:space="preserve"> PAGEREF _Toc157363505 \h </w:instrText>
                </w:r>
                <w:r w:rsidR="00E341C2">
                  <w:rPr>
                    <w:webHidden/>
                  </w:rPr>
                </w:r>
                <w:r w:rsidR="00E341C2">
                  <w:rPr>
                    <w:webHidden/>
                  </w:rPr>
                  <w:fldChar w:fldCharType="separate"/>
                </w:r>
                <w:r w:rsidR="005A7C2A">
                  <w:rPr>
                    <w:webHidden/>
                  </w:rPr>
                  <w:t>21</w:t>
                </w:r>
                <w:r w:rsidR="00E341C2">
                  <w:rPr>
                    <w:webHidden/>
                  </w:rPr>
                  <w:fldChar w:fldCharType="end"/>
                </w:r>
              </w:hyperlink>
            </w:p>
            <w:p w14:paraId="36C6EBAE" w14:textId="7208F3F8"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506" w:history="1">
                <w:r w:rsidR="00E341C2" w:rsidRPr="009C56A1">
                  <w:rPr>
                    <w:rStyle w:val="Hyperlink"/>
                    <w:rFonts w:cs="Arial"/>
                  </w:rPr>
                  <w:t>Conclusion</w:t>
                </w:r>
                <w:r w:rsidR="00E341C2">
                  <w:rPr>
                    <w:webHidden/>
                  </w:rPr>
                  <w:tab/>
                </w:r>
                <w:r w:rsidR="00E341C2">
                  <w:rPr>
                    <w:webHidden/>
                  </w:rPr>
                  <w:fldChar w:fldCharType="begin"/>
                </w:r>
                <w:r w:rsidR="00E341C2">
                  <w:rPr>
                    <w:webHidden/>
                  </w:rPr>
                  <w:instrText xml:space="preserve"> PAGEREF _Toc157363506 \h </w:instrText>
                </w:r>
                <w:r w:rsidR="00E341C2">
                  <w:rPr>
                    <w:webHidden/>
                  </w:rPr>
                </w:r>
                <w:r w:rsidR="00E341C2">
                  <w:rPr>
                    <w:webHidden/>
                  </w:rPr>
                  <w:fldChar w:fldCharType="separate"/>
                </w:r>
                <w:r w:rsidR="005A7C2A">
                  <w:rPr>
                    <w:webHidden/>
                  </w:rPr>
                  <w:t>23</w:t>
                </w:r>
                <w:r w:rsidR="00E341C2">
                  <w:rPr>
                    <w:webHidden/>
                  </w:rPr>
                  <w:fldChar w:fldCharType="end"/>
                </w:r>
              </w:hyperlink>
            </w:p>
            <w:p w14:paraId="084C53FF" w14:textId="5E9C9222"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507" w:history="1">
                <w:r w:rsidR="00E341C2" w:rsidRPr="009C56A1">
                  <w:rPr>
                    <w:rStyle w:val="Hyperlink"/>
                    <w:rFonts w:cs="Arial"/>
                  </w:rPr>
                  <w:t>References.</w:t>
                </w:r>
                <w:r w:rsidR="00E341C2">
                  <w:rPr>
                    <w:webHidden/>
                  </w:rPr>
                  <w:tab/>
                </w:r>
                <w:r w:rsidR="00E341C2">
                  <w:rPr>
                    <w:webHidden/>
                  </w:rPr>
                  <w:fldChar w:fldCharType="begin"/>
                </w:r>
                <w:r w:rsidR="00E341C2">
                  <w:rPr>
                    <w:webHidden/>
                  </w:rPr>
                  <w:instrText xml:space="preserve"> PAGEREF _Toc157363507 \h </w:instrText>
                </w:r>
                <w:r w:rsidR="00E341C2">
                  <w:rPr>
                    <w:webHidden/>
                  </w:rPr>
                </w:r>
                <w:r w:rsidR="00E341C2">
                  <w:rPr>
                    <w:webHidden/>
                  </w:rPr>
                  <w:fldChar w:fldCharType="separate"/>
                </w:r>
                <w:r w:rsidR="005A7C2A">
                  <w:rPr>
                    <w:webHidden/>
                  </w:rPr>
                  <w:t>24</w:t>
                </w:r>
                <w:r w:rsidR="00E341C2">
                  <w:rPr>
                    <w:webHidden/>
                  </w:rPr>
                  <w:fldChar w:fldCharType="end"/>
                </w:r>
              </w:hyperlink>
            </w:p>
            <w:p w14:paraId="733F12AF" w14:textId="6AD3033C" w:rsidR="00E341C2" w:rsidRDefault="00CD090F">
              <w:pPr>
                <w:pStyle w:val="TOC1"/>
                <w:rPr>
                  <w:rFonts w:asciiTheme="minorHAnsi" w:eastAsiaTheme="minorEastAsia" w:hAnsiTheme="minorHAnsi" w:cstheme="minorBidi"/>
                  <w:b w:val="0"/>
                  <w:bCs w:val="0"/>
                  <w:kern w:val="2"/>
                  <w:sz w:val="24"/>
                  <w:szCs w:val="24"/>
                  <w:lang w:eastAsia="en-GB"/>
                  <w14:ligatures w14:val="standardContextual"/>
                </w:rPr>
              </w:pPr>
              <w:hyperlink w:anchor="_Toc157363508" w:history="1">
                <w:r w:rsidR="00E341C2" w:rsidRPr="009C56A1">
                  <w:rPr>
                    <w:rStyle w:val="Hyperlink"/>
                    <w:rFonts w:cs="Arial"/>
                  </w:rPr>
                  <w:t>Appendix</w:t>
                </w:r>
                <w:r w:rsidR="00E341C2">
                  <w:rPr>
                    <w:webHidden/>
                  </w:rPr>
                  <w:tab/>
                </w:r>
                <w:r w:rsidR="00E341C2">
                  <w:rPr>
                    <w:webHidden/>
                  </w:rPr>
                  <w:fldChar w:fldCharType="begin"/>
                </w:r>
                <w:r w:rsidR="00E341C2">
                  <w:rPr>
                    <w:webHidden/>
                  </w:rPr>
                  <w:instrText xml:space="preserve"> PAGEREF _Toc157363508 \h </w:instrText>
                </w:r>
                <w:r w:rsidR="00E341C2">
                  <w:rPr>
                    <w:webHidden/>
                  </w:rPr>
                </w:r>
                <w:r w:rsidR="00E341C2">
                  <w:rPr>
                    <w:webHidden/>
                  </w:rPr>
                  <w:fldChar w:fldCharType="separate"/>
                </w:r>
                <w:r w:rsidR="005A7C2A">
                  <w:rPr>
                    <w:webHidden/>
                  </w:rPr>
                  <w:t>29</w:t>
                </w:r>
                <w:r w:rsidR="00E341C2">
                  <w:rPr>
                    <w:webHidden/>
                  </w:rPr>
                  <w:fldChar w:fldCharType="end"/>
                </w:r>
              </w:hyperlink>
            </w:p>
            <w:p w14:paraId="61C8A57B" w14:textId="55BCB47D" w:rsidR="00FD15CC" w:rsidRPr="00767966" w:rsidRDefault="00077300" w:rsidP="008D19D9">
              <w:pPr>
                <w:rPr>
                  <w:rFonts w:ascii="Arial" w:hAnsi="Arial" w:cs="Arial"/>
                  <w:noProof/>
                  <w:color w:val="000000" w:themeColor="text1"/>
                </w:rPr>
              </w:pPr>
              <w:r w:rsidRPr="00767966">
                <w:rPr>
                  <w:rFonts w:ascii="Arial" w:hAnsi="Arial" w:cs="Arial"/>
                  <w:noProof/>
                  <w:color w:val="2F5496" w:themeColor="accent1" w:themeShade="BF"/>
                </w:rPr>
                <w:fldChar w:fldCharType="end"/>
              </w:r>
            </w:p>
            <w:p w14:paraId="04B5D11E" w14:textId="5707D023" w:rsidR="00077300" w:rsidRPr="00767966" w:rsidRDefault="00CD090F" w:rsidP="008D19D9">
              <w:pPr>
                <w:rPr>
                  <w:rFonts w:ascii="Arial" w:hAnsi="Arial" w:cs="Arial"/>
                </w:rPr>
              </w:pPr>
            </w:p>
          </w:sdtContent>
        </w:sdt>
      </w:sdtContent>
    </w:sdt>
    <w:p w14:paraId="47AAC279" w14:textId="77777777" w:rsidR="00FD15CC" w:rsidRPr="00767966" w:rsidRDefault="00FD15CC" w:rsidP="00293B0B">
      <w:pPr>
        <w:pStyle w:val="Heading1"/>
        <w:spacing w:line="276" w:lineRule="auto"/>
        <w:jc w:val="both"/>
        <w:rPr>
          <w:rFonts w:cs="Arial"/>
          <w:b w:val="0"/>
          <w:bCs w:val="0"/>
          <w:color w:val="2E74B5" w:themeColor="accent5" w:themeShade="BF"/>
          <w:sz w:val="32"/>
          <w:szCs w:val="32"/>
        </w:rPr>
      </w:pPr>
    </w:p>
    <w:p w14:paraId="21881577" w14:textId="77777777" w:rsidR="00FD15CC" w:rsidRPr="00767966" w:rsidRDefault="00FD15CC" w:rsidP="00293B0B">
      <w:pPr>
        <w:pStyle w:val="Heading1"/>
        <w:spacing w:line="276" w:lineRule="auto"/>
        <w:jc w:val="both"/>
        <w:rPr>
          <w:rFonts w:cs="Arial"/>
          <w:b w:val="0"/>
          <w:bCs w:val="0"/>
          <w:color w:val="2E74B5" w:themeColor="accent5" w:themeShade="BF"/>
          <w:sz w:val="32"/>
          <w:szCs w:val="32"/>
        </w:rPr>
      </w:pPr>
    </w:p>
    <w:p w14:paraId="33354115" w14:textId="77777777" w:rsidR="008E22E1" w:rsidRPr="00767966" w:rsidRDefault="008E22E1" w:rsidP="00293B0B">
      <w:pPr>
        <w:pStyle w:val="Heading1"/>
        <w:spacing w:line="276" w:lineRule="auto"/>
        <w:jc w:val="both"/>
        <w:rPr>
          <w:rFonts w:cs="Arial"/>
          <w:b w:val="0"/>
          <w:bCs w:val="0"/>
          <w:color w:val="2E74B5" w:themeColor="accent5" w:themeShade="BF"/>
          <w:sz w:val="32"/>
          <w:szCs w:val="32"/>
        </w:rPr>
      </w:pPr>
    </w:p>
    <w:p w14:paraId="37FBA0F5" w14:textId="464A809F" w:rsidR="00137DE2" w:rsidRPr="00767966" w:rsidRDefault="00137DE2" w:rsidP="00293B0B">
      <w:pPr>
        <w:pStyle w:val="Heading1"/>
        <w:spacing w:line="276" w:lineRule="auto"/>
        <w:jc w:val="both"/>
        <w:rPr>
          <w:rFonts w:cs="Arial"/>
          <w:b w:val="0"/>
          <w:bCs w:val="0"/>
          <w:color w:val="2F5496" w:themeColor="accent1" w:themeShade="BF"/>
          <w:sz w:val="32"/>
          <w:szCs w:val="32"/>
        </w:rPr>
      </w:pPr>
      <w:bookmarkStart w:id="0" w:name="_Toc157363488"/>
      <w:r w:rsidRPr="00767966">
        <w:rPr>
          <w:rFonts w:cs="Arial"/>
          <w:b w:val="0"/>
          <w:bCs w:val="0"/>
          <w:color w:val="2F5496" w:themeColor="accent1" w:themeShade="BF"/>
          <w:sz w:val="32"/>
          <w:szCs w:val="32"/>
        </w:rPr>
        <w:lastRenderedPageBreak/>
        <w:t>Introduction</w:t>
      </w:r>
      <w:r w:rsidR="007F38C7" w:rsidRPr="00767966">
        <w:rPr>
          <w:rFonts w:cs="Arial"/>
          <w:b w:val="0"/>
          <w:bCs w:val="0"/>
          <w:color w:val="2F5496" w:themeColor="accent1" w:themeShade="BF"/>
          <w:sz w:val="32"/>
          <w:szCs w:val="32"/>
        </w:rPr>
        <w:t>.</w:t>
      </w:r>
      <w:bookmarkEnd w:id="0"/>
    </w:p>
    <w:p w14:paraId="1D0E9CFF" w14:textId="77777777" w:rsidR="008E22E1" w:rsidRPr="00767966" w:rsidRDefault="008E22E1" w:rsidP="008E22E1">
      <w:pPr>
        <w:rPr>
          <w:rFonts w:ascii="Arial" w:hAnsi="Arial" w:cs="Arial"/>
        </w:rPr>
      </w:pPr>
      <w:r w:rsidRPr="00767966">
        <w:rPr>
          <w:rFonts w:ascii="Arial" w:hAnsi="Arial" w:cs="Arial"/>
        </w:rPr>
        <w:t>The unprecedented decision of the United Kingdom to leave the European Union, commonly known as Brexit, has ushered in a period of profound change and uncertainty, particularly for the UK Civil Service. This transition has not only altered the geopolitical landscape but also significantly impacted the micro and macro environments in which the Civil Service operates. The analysis of these changes is critical to understanding the evolving role and challenges faced by this institution in the post-Brexit era.</w:t>
      </w:r>
    </w:p>
    <w:p w14:paraId="54A9985C" w14:textId="77777777" w:rsidR="008E22E1" w:rsidRPr="00767966" w:rsidRDefault="008E22E1" w:rsidP="008E22E1">
      <w:pPr>
        <w:rPr>
          <w:rFonts w:ascii="Arial" w:hAnsi="Arial" w:cs="Arial"/>
        </w:rPr>
      </w:pPr>
      <w:r w:rsidRPr="00767966">
        <w:rPr>
          <w:rFonts w:ascii="Arial" w:hAnsi="Arial" w:cs="Arial"/>
        </w:rPr>
        <w:t>Brexit has been a catalyst for a series of transformative shifts in the political, economic, social, technological, and environmental spheres. Politically, the transition from Theresa May to Boris Johnson's government brought a focused intensity on Brexit, reshaping the government's priorities and operations. This leadership shift fundamentally altered the Civil Service’s traditional role, demanding an agile response to the new government's Brexit-centric agenda. Economically, the Civil Service has faced the dual challenge of enduring long-standing austerity measures while absorbing new financial pressures due to Brexit. These pressures include budget constraints and the need for additional resources for negotiating and implementing Brexit.</w:t>
      </w:r>
    </w:p>
    <w:p w14:paraId="0946E455" w14:textId="77777777" w:rsidR="008E22E1" w:rsidRPr="00767966" w:rsidRDefault="008E22E1" w:rsidP="008E22E1">
      <w:pPr>
        <w:rPr>
          <w:rFonts w:ascii="Arial" w:hAnsi="Arial" w:cs="Arial"/>
        </w:rPr>
      </w:pPr>
      <w:r w:rsidRPr="00767966">
        <w:rPr>
          <w:rFonts w:ascii="Arial" w:hAnsi="Arial" w:cs="Arial"/>
        </w:rPr>
        <w:t>Socially, the Civil Service is contending with significant demographic changes, such as an aging population, and rising public expectations for transparency and accountability. This societal evolution necessitates a strategic recalibration in service delivery and workforce management. Technologically, the era surrounding Brexit marked a significant period of digital transformation. While this transformation enhanced operational efficiency, it also introduced challenges like cybersecurity risks and compliance with data privacy regulations. Environmentally, Brexit has raised concerns about the UK's commitment to maintaining high environmental standards. The shift from EU frameworks has created complexities in sustaining and advancing environmental policies.</w:t>
      </w:r>
    </w:p>
    <w:p w14:paraId="739C383F" w14:textId="755B0926" w:rsidR="008E22E1" w:rsidRPr="00767966" w:rsidRDefault="008E22E1" w:rsidP="008E22E1">
      <w:pPr>
        <w:rPr>
          <w:rFonts w:ascii="Arial" w:hAnsi="Arial" w:cs="Arial"/>
        </w:rPr>
      </w:pPr>
      <w:r w:rsidRPr="00767966">
        <w:rPr>
          <w:rFonts w:ascii="Arial" w:hAnsi="Arial" w:cs="Arial"/>
        </w:rPr>
        <w:t xml:space="preserve">Within this context, Porter's Five Forces Analysis provides a framework to understand the Civil Service's operational dynamics post-Brexit. The analysis highlights challenges like shifts in labour market dynamics, evolving public and government expectations, new entrants in skill sets, and intensified internal competition. A SWOT analysis further reveals the strengths, weaknesses, opportunities, and threats faced by the Civil Service in this new </w:t>
      </w:r>
      <w:r w:rsidR="00767966" w:rsidRPr="00767966">
        <w:rPr>
          <w:rFonts w:ascii="Arial" w:hAnsi="Arial" w:cs="Arial"/>
        </w:rPr>
        <w:t>landscape. The</w:t>
      </w:r>
      <w:r w:rsidRPr="00767966">
        <w:rPr>
          <w:rFonts w:ascii="Arial" w:hAnsi="Arial" w:cs="Arial"/>
        </w:rPr>
        <w:t xml:space="preserve"> micro-environmental effects of Brexit on the Civil Service are equally profound. Leadership responses, internal policy adjustments, and organizational structure realignments have been essential in navigating the post-Brexit environment. The Civil Service has had to adapt its strategies and operations significantly, dealing with challenges ranging from staff well-being and morale to the development of new capabilities.</w:t>
      </w:r>
    </w:p>
    <w:p w14:paraId="4B26C498" w14:textId="77777777" w:rsidR="008E22E1" w:rsidRPr="00767966" w:rsidRDefault="008E22E1" w:rsidP="008E22E1">
      <w:pPr>
        <w:rPr>
          <w:rFonts w:ascii="Arial" w:hAnsi="Arial" w:cs="Arial"/>
        </w:rPr>
      </w:pPr>
      <w:r w:rsidRPr="00767966">
        <w:rPr>
          <w:rFonts w:ascii="Arial" w:hAnsi="Arial" w:cs="Arial"/>
        </w:rPr>
        <w:t>This scenario has necessitated an effective approach to leading organizational stakeholders through complex changes. Stakeholder analysis identifies the key players influencing the Civil Service, and categorization based on influence and impact provides insights into managing these diverse interests. The application of Kotter’s 8 Steps of Change Process and Lewin's Change Management Model offers strategic frameworks for guiding the Civil Service through this transformative period.</w:t>
      </w:r>
    </w:p>
    <w:p w14:paraId="102D4FD6" w14:textId="77777777" w:rsidR="008E22E1" w:rsidRPr="00767966" w:rsidRDefault="008E22E1" w:rsidP="008E22E1">
      <w:pPr>
        <w:rPr>
          <w:rFonts w:ascii="Arial" w:hAnsi="Arial" w:cs="Arial"/>
        </w:rPr>
      </w:pPr>
      <w:r w:rsidRPr="00767966">
        <w:rPr>
          <w:rFonts w:ascii="Arial" w:hAnsi="Arial" w:cs="Arial"/>
        </w:rPr>
        <w:t>As the UK forges its path post-Brexit, the Civil Service stands at a critical juncture. Its response to these multi-dimensional changes will not only determine its operational effectiveness but also shape the future trajectory of public service delivery in the UK. This analysis aims to provide a comprehensive overview of the challenges and opportunities faced by the UK Civil Service in adapting to a post-Brexit world.</w:t>
      </w:r>
    </w:p>
    <w:p w14:paraId="26205553" w14:textId="73DA138F" w:rsidR="00E64A0E" w:rsidRDefault="00AE6E7F" w:rsidP="008E22E1">
      <w:pPr>
        <w:rPr>
          <w:rFonts w:ascii="Arial" w:hAnsi="Arial" w:cs="Arial"/>
          <w:color w:val="2F5496" w:themeColor="accent1" w:themeShade="BF"/>
          <w:sz w:val="32"/>
          <w:szCs w:val="32"/>
        </w:rPr>
      </w:pPr>
      <w:r w:rsidRPr="00767966">
        <w:rPr>
          <w:rFonts w:ascii="Arial" w:hAnsi="Arial" w:cs="Arial"/>
          <w:color w:val="2F5496" w:themeColor="accent1" w:themeShade="BF"/>
          <w:sz w:val="32"/>
          <w:szCs w:val="32"/>
        </w:rPr>
        <w:lastRenderedPageBreak/>
        <w:t>1.</w:t>
      </w:r>
      <w:r w:rsidR="000C1B9E" w:rsidRPr="00767966">
        <w:rPr>
          <w:rFonts w:ascii="Arial" w:hAnsi="Arial" w:cs="Arial"/>
          <w:color w:val="2F5496" w:themeColor="accent1" w:themeShade="BF"/>
          <w:sz w:val="32"/>
          <w:szCs w:val="32"/>
        </w:rPr>
        <w:t xml:space="preserve">Critically analyse the current forces for change in the organisations micro and macro environment that can impact workplace culture and capability   </w:t>
      </w:r>
    </w:p>
    <w:p w14:paraId="5A152A88" w14:textId="77777777" w:rsidR="00767966" w:rsidRPr="00767966" w:rsidRDefault="00767966" w:rsidP="008E22E1">
      <w:pPr>
        <w:rPr>
          <w:rFonts w:ascii="Arial" w:hAnsi="Arial" w:cs="Arial"/>
          <w:b/>
          <w:bCs/>
          <w:color w:val="2F5496" w:themeColor="accent1" w:themeShade="BF"/>
          <w:sz w:val="32"/>
          <w:szCs w:val="32"/>
        </w:rPr>
      </w:pPr>
    </w:p>
    <w:p w14:paraId="6B3CDC63" w14:textId="52F7E750" w:rsidR="00E64A0E" w:rsidRDefault="00E64A0E" w:rsidP="00767966">
      <w:pPr>
        <w:pStyle w:val="Heading1"/>
        <w:numPr>
          <w:ilvl w:val="1"/>
          <w:numId w:val="9"/>
        </w:numPr>
        <w:spacing w:line="276" w:lineRule="auto"/>
        <w:jc w:val="both"/>
        <w:rPr>
          <w:rFonts w:cs="Arial"/>
          <w:b w:val="0"/>
          <w:bCs w:val="0"/>
          <w:color w:val="2F5496" w:themeColor="accent1" w:themeShade="BF"/>
          <w:sz w:val="32"/>
          <w:szCs w:val="32"/>
        </w:rPr>
      </w:pPr>
      <w:bookmarkStart w:id="1" w:name="_Toc157363489"/>
      <w:r w:rsidRPr="00767966">
        <w:rPr>
          <w:rFonts w:cs="Arial"/>
          <w:b w:val="0"/>
          <w:bCs w:val="0"/>
          <w:color w:val="2F5496" w:themeColor="accent1" w:themeShade="BF"/>
          <w:sz w:val="32"/>
          <w:szCs w:val="32"/>
        </w:rPr>
        <w:t>Brexit and Its Multifaceted Impact: A Comprehensive Macro-Environment Analysis</w:t>
      </w:r>
      <w:bookmarkEnd w:id="1"/>
    </w:p>
    <w:p w14:paraId="192B21CA" w14:textId="77777777" w:rsidR="00767966" w:rsidRPr="00767966" w:rsidRDefault="00767966" w:rsidP="00767966">
      <w:pPr>
        <w:pStyle w:val="Heading1"/>
        <w:spacing w:line="276" w:lineRule="auto"/>
        <w:jc w:val="both"/>
        <w:rPr>
          <w:rFonts w:cs="Arial"/>
          <w:b w:val="0"/>
          <w:bCs w:val="0"/>
          <w:color w:val="2F5496" w:themeColor="accent1" w:themeShade="BF"/>
          <w:sz w:val="32"/>
          <w:szCs w:val="32"/>
        </w:rPr>
      </w:pPr>
    </w:p>
    <w:p w14:paraId="034B97EB" w14:textId="157E3AAC" w:rsidR="00E64A0E" w:rsidRPr="00767966" w:rsidRDefault="00E64A0E" w:rsidP="00BD566E">
      <w:pPr>
        <w:pStyle w:val="Heading1"/>
        <w:spacing w:line="276" w:lineRule="auto"/>
        <w:jc w:val="both"/>
        <w:rPr>
          <w:rFonts w:cs="Arial"/>
          <w:b w:val="0"/>
          <w:bCs w:val="0"/>
          <w:color w:val="2F5496" w:themeColor="accent1" w:themeShade="BF"/>
          <w:sz w:val="32"/>
          <w:szCs w:val="32"/>
          <w:u w:val="single"/>
        </w:rPr>
      </w:pPr>
      <w:bookmarkStart w:id="2" w:name="_Toc157363490"/>
      <w:r w:rsidRPr="00767966">
        <w:rPr>
          <w:rFonts w:cs="Arial"/>
          <w:b w:val="0"/>
          <w:bCs w:val="0"/>
          <w:color w:val="2F5496" w:themeColor="accent1" w:themeShade="BF"/>
          <w:sz w:val="32"/>
          <w:szCs w:val="32"/>
          <w:u w:val="single"/>
        </w:rPr>
        <w:t>Political Factors:</w:t>
      </w:r>
      <w:bookmarkEnd w:id="2"/>
    </w:p>
    <w:p w14:paraId="72EFBDDB" w14:textId="77777777" w:rsidR="00E64A0E" w:rsidRPr="00767966" w:rsidRDefault="00E64A0E" w:rsidP="00E64A0E">
      <w:pPr>
        <w:rPr>
          <w:rFonts w:ascii="Arial" w:hAnsi="Arial" w:cs="Arial"/>
        </w:rPr>
      </w:pPr>
      <w:r w:rsidRPr="00767966">
        <w:rPr>
          <w:rFonts w:ascii="Arial" w:hAnsi="Arial" w:cs="Arial"/>
          <w:b/>
          <w:bCs/>
        </w:rPr>
        <w:t>Leadership Shift:</w:t>
      </w:r>
      <w:r w:rsidRPr="00767966">
        <w:rPr>
          <w:rFonts w:ascii="Arial" w:hAnsi="Arial" w:cs="Arial"/>
        </w:rPr>
        <w:t xml:space="preserve"> The transition from Theresa May to Boris Johnson represented a critical juncture in the UK's political narrative, profoundly reshaping government priorities (Thomas, 2022). Boris Johnson's tenure, under the banner of "Get Brexit Done," not only marked a distinct departure from his predecessor's approach but also ushered in an era of intense focus on Brexit. This pivot was starkly evident in the operational dynamics within the government, as evidenced by a sweeping reallocation of resources and a singular concentration on Brexit-related matters (Dunton, 2019).</w:t>
      </w:r>
    </w:p>
    <w:p w14:paraId="72536BC6" w14:textId="77777777" w:rsidR="00E64A0E" w:rsidRPr="00767966" w:rsidRDefault="00E64A0E" w:rsidP="00E64A0E">
      <w:pPr>
        <w:rPr>
          <w:rFonts w:ascii="Arial" w:hAnsi="Arial" w:cs="Arial"/>
        </w:rPr>
      </w:pPr>
      <w:r w:rsidRPr="00767966">
        <w:rPr>
          <w:rFonts w:ascii="Arial" w:hAnsi="Arial" w:cs="Arial"/>
        </w:rPr>
        <w:t>Such a concentrated emphasis on Brexit brought about significant ramifications for the Civil Service. It not only constrained their capacity to manage other critical policy areas but also imposed considerable challenges. The Civil Service found itself grappling with the complexities and nuances of Brexit negotiations, a task that demanded substantial expertise and adaptation to rapidly evolving political directives (Dunton, 2019).</w:t>
      </w:r>
    </w:p>
    <w:p w14:paraId="055A8D62" w14:textId="77777777" w:rsidR="00E64A0E" w:rsidRDefault="00E64A0E" w:rsidP="00E64A0E">
      <w:pPr>
        <w:rPr>
          <w:rFonts w:ascii="Arial" w:hAnsi="Arial" w:cs="Arial"/>
        </w:rPr>
      </w:pPr>
      <w:r w:rsidRPr="00767966">
        <w:rPr>
          <w:rFonts w:ascii="Arial" w:hAnsi="Arial" w:cs="Arial"/>
          <w:b/>
          <w:bCs/>
        </w:rPr>
        <w:t>Challenges of Brexit Resistance within the UK Civil Service:</w:t>
      </w:r>
      <w:r w:rsidRPr="00767966">
        <w:rPr>
          <w:rFonts w:ascii="Arial" w:hAnsi="Arial" w:cs="Arial"/>
        </w:rPr>
        <w:t xml:space="preserve"> The allegations that certain factions within the Civil Service were resistant to Brexit not only heightened scrutiny but also sparked intense debates about the need for systemic reforms (Thomas, 2020). This atmosphere of distrust and suspicion significantly influenced the operational ethos within the Civil Service. Officials were compelled to navigate a delicate balance, exerting caution in both their actions and public communications to preserve an aura of impartiality and non-interference in governmental policies (Taylor, 2018). This precarious situation not only strained the relations between some civil servants and the government but also cast a shadow on the perceived neutrality of the Civil Service in the public eye (Taylor, 2018). The evolving dynamics within the Home Office underscored the broader challenges faced by public institutions in adapting to major political shifts, while maintaining their core ethos of impartiality (Rutter, 2021a).</w:t>
      </w:r>
    </w:p>
    <w:p w14:paraId="16CE5A5A" w14:textId="4705868C" w:rsidR="00383EF0" w:rsidRPr="00767966" w:rsidRDefault="00383EF0" w:rsidP="00E64A0E">
      <w:pPr>
        <w:rPr>
          <w:rFonts w:ascii="Arial" w:hAnsi="Arial" w:cs="Arial"/>
        </w:rPr>
      </w:pPr>
      <w:r w:rsidRPr="00383EF0">
        <w:rPr>
          <w:rFonts w:ascii="Arial" w:hAnsi="Arial" w:cs="Arial"/>
        </w:rPr>
        <w:t xml:space="preserve">The UK Civil Service's response to Brexit can be better understood through a comparative analysis with Canada's experience during the NAFTA renegotiations. The Canadian Public Service had to navigate substantial shifts in trade and policy, particularly when facing potential changes to NAFTA's structure and the consequent impact on cross-border trade with the United States and other countries. Much like the UK Civil Service, Canadian officials and business communities had to closely monitor developments and prepare for various outcomes. This parallels the UK's situation post-Brexit, where there was a need to adapt to new trade realities and policy frameworks. Learning from Canada's approach, which </w:t>
      </w:r>
      <w:r w:rsidRPr="00383EF0">
        <w:rPr>
          <w:rFonts w:ascii="Arial" w:hAnsi="Arial" w:cs="Arial"/>
        </w:rPr>
        <w:lastRenderedPageBreak/>
        <w:t xml:space="preserve">involved extensive collaboration among various stakeholders including government officials, businesses, and academics, could offer valuable strategies for the UK in dealing with its post-Brexit challenges. (NAFTA Renegotiations and Their Impact on Canadian Businesses, 2018; </w:t>
      </w:r>
      <w:proofErr w:type="spellStart"/>
      <w:r w:rsidRPr="00383EF0">
        <w:rPr>
          <w:rFonts w:ascii="Arial" w:hAnsi="Arial" w:cs="Arial"/>
        </w:rPr>
        <w:t>Borzykowsk</w:t>
      </w:r>
      <w:proofErr w:type="spellEnd"/>
      <w:r w:rsidRPr="00383EF0">
        <w:rPr>
          <w:rFonts w:ascii="Arial" w:hAnsi="Arial" w:cs="Arial"/>
        </w:rPr>
        <w:t xml:space="preserve"> et al., 2017).</w:t>
      </w:r>
    </w:p>
    <w:p w14:paraId="7DEEA537" w14:textId="77777777" w:rsidR="00E64A0E" w:rsidRPr="00767966" w:rsidRDefault="00E64A0E" w:rsidP="00E64A0E">
      <w:pPr>
        <w:rPr>
          <w:rFonts w:ascii="Arial" w:hAnsi="Arial" w:cs="Arial"/>
        </w:rPr>
      </w:pPr>
      <w:r w:rsidRPr="00767966">
        <w:rPr>
          <w:rFonts w:ascii="Arial" w:hAnsi="Arial" w:cs="Arial"/>
          <w:b/>
          <w:bCs/>
        </w:rPr>
        <w:t xml:space="preserve">Populism's Impact: Balancing Public Opinion and Civil Service Neutrality in Brexit Britain: </w:t>
      </w:r>
      <w:r w:rsidRPr="00767966">
        <w:rPr>
          <w:rFonts w:ascii="Arial" w:hAnsi="Arial" w:cs="Arial"/>
        </w:rPr>
        <w:t>The Brexit campaign served as a stark illustration of the powerful role that public opinion and the rise of populism play in shaping political trajectories. This phenomenon, driven by a surge in national populism, underscores a deep-seated interconnection between these movements and broader shifts in societal attitudes. National populism, characterized by a pronounced emphasis on national identity, sovereignty, and a reaction against what is often perceived as the aloofness of political elites, has significantly altered the political landscape (Eatwell &amp; Goodwin, 2018).</w:t>
      </w:r>
    </w:p>
    <w:p w14:paraId="47452D29" w14:textId="77777777" w:rsidR="00E64A0E" w:rsidRDefault="00E64A0E" w:rsidP="00E64A0E">
      <w:pPr>
        <w:rPr>
          <w:rFonts w:ascii="Arial" w:hAnsi="Arial" w:cs="Arial"/>
        </w:rPr>
      </w:pPr>
      <w:r w:rsidRPr="00767966">
        <w:rPr>
          <w:rFonts w:ascii="Arial" w:hAnsi="Arial" w:cs="Arial"/>
        </w:rPr>
        <w:t>This transformation has far-reaching implications, extending beyond just the political sphere. The Civil Service, traditionally an entity operating on principles of neutrality and efficiency, found itself navigating a new reality where public sentiment and populist ideologies began to heavily influence its priorities and operations. The challenges emerging from this new landscape are multifaceted. On one hand, there is a need to adapt to changing political mandates shaped by populist agendas, and on the other, the imperative to maintain its foundational ethos of impartial public service. This juxtaposition highlights a fundamental tension within modern governance: balancing responsive governance with the tenets of traditional bureaucratic principles in an era increasingly dominated by populist currents.</w:t>
      </w:r>
    </w:p>
    <w:p w14:paraId="064DB997" w14:textId="77777777" w:rsidR="00767966" w:rsidRPr="00767966" w:rsidRDefault="00767966" w:rsidP="00E64A0E">
      <w:pPr>
        <w:rPr>
          <w:rFonts w:ascii="Arial" w:hAnsi="Arial" w:cs="Arial"/>
        </w:rPr>
      </w:pPr>
    </w:p>
    <w:p w14:paraId="425CF082" w14:textId="4142AD94" w:rsidR="00767966" w:rsidRDefault="00E64A0E" w:rsidP="00BD566E">
      <w:pPr>
        <w:pStyle w:val="Heading1"/>
        <w:spacing w:line="276" w:lineRule="auto"/>
        <w:jc w:val="both"/>
        <w:rPr>
          <w:rFonts w:cs="Arial"/>
          <w:b w:val="0"/>
          <w:bCs w:val="0"/>
          <w:color w:val="2F5496" w:themeColor="accent1" w:themeShade="BF"/>
          <w:sz w:val="32"/>
          <w:szCs w:val="32"/>
          <w:u w:val="single"/>
        </w:rPr>
      </w:pPr>
      <w:bookmarkStart w:id="3" w:name="_Toc157363491"/>
      <w:r w:rsidRPr="00767966">
        <w:rPr>
          <w:rFonts w:cs="Arial"/>
          <w:b w:val="0"/>
          <w:bCs w:val="0"/>
          <w:color w:val="2F5496" w:themeColor="accent1" w:themeShade="BF"/>
          <w:sz w:val="32"/>
          <w:szCs w:val="32"/>
          <w:u w:val="single"/>
        </w:rPr>
        <w:t>Economic Factor</w:t>
      </w:r>
      <w:bookmarkEnd w:id="3"/>
    </w:p>
    <w:p w14:paraId="3398B061" w14:textId="77777777" w:rsidR="00767966" w:rsidRPr="00767966" w:rsidRDefault="00767966" w:rsidP="00BD566E">
      <w:pPr>
        <w:pStyle w:val="Heading1"/>
        <w:spacing w:line="276" w:lineRule="auto"/>
        <w:jc w:val="both"/>
        <w:rPr>
          <w:rFonts w:cs="Arial"/>
          <w:b w:val="0"/>
          <w:bCs w:val="0"/>
          <w:color w:val="2F5496" w:themeColor="accent1" w:themeShade="BF"/>
          <w:sz w:val="32"/>
          <w:szCs w:val="32"/>
          <w:u w:val="single"/>
        </w:rPr>
      </w:pPr>
    </w:p>
    <w:p w14:paraId="06146A0C" w14:textId="3CEF899A" w:rsidR="00E64A0E" w:rsidRPr="00767966" w:rsidRDefault="00E64A0E" w:rsidP="00E64A0E">
      <w:pPr>
        <w:rPr>
          <w:rFonts w:ascii="Arial" w:hAnsi="Arial" w:cs="Arial"/>
        </w:rPr>
      </w:pPr>
      <w:r w:rsidRPr="00767966">
        <w:rPr>
          <w:rFonts w:ascii="Arial" w:hAnsi="Arial" w:cs="Arial"/>
          <w:b/>
          <w:bCs/>
        </w:rPr>
        <w:t>Fiscal Strains. Civil Service in the Wake of Brexit and Austerity</w:t>
      </w:r>
      <w:r w:rsidRPr="00767966">
        <w:rPr>
          <w:rFonts w:ascii="Arial" w:hAnsi="Arial" w:cs="Arial"/>
        </w:rPr>
        <w:t>: The Civil Service's operational capabilities have been significantly strained by a combination of long-standing economic constraints and new financial pressures arising from Brexit. The budget cuts following the 2008 financial crisis and ensuing austerity measures had already placed considerable strain on the Civil Service, critically impacting its capacity to maintain adequate staffing levels and efficiently deliver services (Karanikolos et al., 2013). This scenario created a challenging backdrop, limiting the Service's ability to effectively adapt and respond to emerging challenges.</w:t>
      </w:r>
    </w:p>
    <w:p w14:paraId="5835061B" w14:textId="77777777" w:rsidR="00E64A0E" w:rsidRPr="00767966" w:rsidRDefault="00E64A0E" w:rsidP="00E64A0E">
      <w:pPr>
        <w:rPr>
          <w:rFonts w:ascii="Arial" w:hAnsi="Arial" w:cs="Arial"/>
        </w:rPr>
      </w:pPr>
      <w:r w:rsidRPr="00767966">
        <w:rPr>
          <w:rFonts w:ascii="Arial" w:hAnsi="Arial" w:cs="Arial"/>
          <w:b/>
          <w:bCs/>
        </w:rPr>
        <w:t xml:space="preserve">Brexit's Financial Toll: Challenges of Transition for the Civil Service: </w:t>
      </w:r>
      <w:r w:rsidRPr="000E1322">
        <w:rPr>
          <w:rFonts w:ascii="Arial" w:hAnsi="Arial" w:cs="Arial"/>
        </w:rPr>
        <w:t>The</w:t>
      </w:r>
      <w:r w:rsidRPr="00767966">
        <w:rPr>
          <w:rFonts w:ascii="Arial" w:hAnsi="Arial" w:cs="Arial"/>
        </w:rPr>
        <w:t xml:space="preserve"> advent of Brexit further compounded these difficulties. The negotiation and implementation of this monumental political change involved substantial expenses. Costs were incurred not only in hiring additional staff for trade negotiations but also in establishing new customs and regulatory frameworks to adapt to a post-Brexit landscape (Somai, 2018). These additional financial burdens placed significant stress on the already constrained resources of the Civil Service, posing serious challenges for its long-term budget planning and operational sustainability (Warner, Richards, &amp; Smith, 2023).</w:t>
      </w:r>
    </w:p>
    <w:p w14:paraId="0538190C" w14:textId="77777777" w:rsidR="00E64A0E" w:rsidRPr="00767966" w:rsidRDefault="00E64A0E" w:rsidP="00E64A0E">
      <w:pPr>
        <w:rPr>
          <w:rFonts w:ascii="Arial" w:hAnsi="Arial" w:cs="Arial"/>
        </w:rPr>
      </w:pPr>
      <w:r w:rsidRPr="00767966">
        <w:rPr>
          <w:rFonts w:ascii="Arial" w:hAnsi="Arial" w:cs="Arial"/>
          <w:b/>
          <w:bCs/>
        </w:rPr>
        <w:t xml:space="preserve">New Trade Realities: Adapting Civil Service Strategy in Post-Brexit Britain: </w:t>
      </w:r>
      <w:r w:rsidRPr="00767966">
        <w:rPr>
          <w:rFonts w:ascii="Arial" w:hAnsi="Arial" w:cs="Arial"/>
        </w:rPr>
        <w:t xml:space="preserve">In the wake of Brexit, the UK's foray into new trade agreements has become a linchpin in defining its economic future. These negotiations, exemplified by the UK's talks with Japan, are instrumental for the nation to assert itself as an independent trading entity (World news story </w:t>
      </w:r>
      <w:r w:rsidRPr="00767966">
        <w:rPr>
          <w:rFonts w:ascii="Arial" w:hAnsi="Arial" w:cs="Arial"/>
        </w:rPr>
        <w:lastRenderedPageBreak/>
        <w:t>GOV.UK, 2020)</w:t>
      </w:r>
      <w:r w:rsidRPr="00767966">
        <w:rPr>
          <w:rFonts w:ascii="Arial" w:hAnsi="Arial" w:cs="Arial"/>
          <w:color w:val="FF0000"/>
        </w:rPr>
        <w:t xml:space="preserve">. </w:t>
      </w:r>
      <w:r w:rsidRPr="00767966">
        <w:rPr>
          <w:rFonts w:ascii="Arial" w:hAnsi="Arial" w:cs="Arial"/>
        </w:rPr>
        <w:t>However, the broader implications of these trade agreements extend beyond simple economic metrics; they are pivotal in shaping the operational focus of the Civil Service in the post-Brexit era.</w:t>
      </w:r>
    </w:p>
    <w:p w14:paraId="40055056" w14:textId="4C7EB58E" w:rsidR="00E64A0E" w:rsidRPr="00767966" w:rsidRDefault="00E64A0E" w:rsidP="00E64A0E">
      <w:pPr>
        <w:rPr>
          <w:rFonts w:ascii="Arial" w:hAnsi="Arial" w:cs="Arial"/>
        </w:rPr>
      </w:pPr>
      <w:r w:rsidRPr="00767966">
        <w:rPr>
          <w:rFonts w:ascii="Arial" w:hAnsi="Arial" w:cs="Arial"/>
        </w:rPr>
        <w:t>According to comprehensive research by Dhingra et al. (2017), the ramifications of Brexit on UK trade, and consequently on living standards, are profound and complex. Departing from the European Union necessitates a complete overhaul of existing trade relationships and fiscal policies. The UK faces a critical decision: whether to maintain a close relationship with the EU, akin to Norway's model, or to pursue a 'hard Brexit', operating under World Trade Organization rules. Each choice carries distinct economic consequences. Dhingra et al. highlight that the welfare losses for the average UK household could range from a 1.3% decrease in a softer Brexit scenario to a more substantial 2.7% in a harder Brexit context. Moreover, the long-term impacts on productivity and foreign investment could exacerbate these losses, potentially leading to a decline in average income per capita of between 6.3% and 9.4%.</w:t>
      </w:r>
    </w:p>
    <w:p w14:paraId="26E7DC72" w14:textId="77777777" w:rsidR="00E64A0E" w:rsidRPr="00767966" w:rsidRDefault="00E64A0E" w:rsidP="00E64A0E">
      <w:pPr>
        <w:rPr>
          <w:rFonts w:ascii="Arial" w:hAnsi="Arial" w:cs="Arial"/>
        </w:rPr>
      </w:pPr>
      <w:r w:rsidRPr="00767966">
        <w:rPr>
          <w:rFonts w:ascii="Arial" w:hAnsi="Arial" w:cs="Arial"/>
        </w:rPr>
        <w:t>These significant economic shifts demand a strategic recalibration within the Civil Service. The Service must adapt its policy development and implementation strategies, particularly in trade and fiscal domains, to align with the new economic realities. This adaptation is not just a matter of adjusting to new economic policies but also involves preparing for the broader societal impacts, such as changes in living standards and income levels. As the UK navigates these uncharted waters, the role of the Civil Service becomes increasingly critical in ensuring that the country's economic restructuring post-Brexit is both effective and responsive to the needs of its citizens.</w:t>
      </w:r>
    </w:p>
    <w:p w14:paraId="26620BFA" w14:textId="77777777" w:rsidR="00BD566E" w:rsidRPr="00767966" w:rsidRDefault="00BD566E" w:rsidP="00E64A0E">
      <w:pPr>
        <w:rPr>
          <w:rFonts w:ascii="Arial" w:hAnsi="Arial" w:cs="Arial"/>
          <w:b/>
          <w:bCs/>
          <w:u w:val="single"/>
        </w:rPr>
      </w:pPr>
    </w:p>
    <w:p w14:paraId="2800B5CA" w14:textId="2E45A6B7" w:rsidR="00E64A0E" w:rsidRPr="00767966" w:rsidRDefault="00E64A0E" w:rsidP="00BD566E">
      <w:pPr>
        <w:pStyle w:val="Heading1"/>
        <w:spacing w:line="276" w:lineRule="auto"/>
        <w:jc w:val="both"/>
        <w:rPr>
          <w:rFonts w:cs="Arial"/>
          <w:b w:val="0"/>
          <w:bCs w:val="0"/>
          <w:color w:val="2F5496" w:themeColor="accent1" w:themeShade="BF"/>
          <w:sz w:val="52"/>
          <w:szCs w:val="52"/>
        </w:rPr>
      </w:pPr>
      <w:bookmarkStart w:id="4" w:name="_Toc157363492"/>
      <w:r w:rsidRPr="00767966">
        <w:rPr>
          <w:rFonts w:cs="Arial"/>
          <w:b w:val="0"/>
          <w:bCs w:val="0"/>
          <w:color w:val="2F5496" w:themeColor="accent1" w:themeShade="BF"/>
          <w:sz w:val="32"/>
          <w:szCs w:val="32"/>
          <w:u w:val="single"/>
        </w:rPr>
        <w:t>Social Factors:</w:t>
      </w:r>
      <w:bookmarkEnd w:id="4"/>
    </w:p>
    <w:p w14:paraId="3E4ADEF3" w14:textId="77777777" w:rsidR="00E64A0E" w:rsidRPr="00767966" w:rsidRDefault="00E64A0E" w:rsidP="00E64A0E">
      <w:pPr>
        <w:rPr>
          <w:rFonts w:ascii="Arial" w:hAnsi="Arial" w:cs="Arial"/>
        </w:rPr>
      </w:pPr>
    </w:p>
    <w:p w14:paraId="1B02A67D" w14:textId="3407F5E8" w:rsidR="00E64A0E" w:rsidRPr="00767966" w:rsidRDefault="00E64A0E" w:rsidP="00E64A0E">
      <w:pPr>
        <w:rPr>
          <w:rFonts w:ascii="Arial" w:hAnsi="Arial" w:cs="Arial"/>
        </w:rPr>
      </w:pPr>
      <w:r w:rsidRPr="00767966">
        <w:rPr>
          <w:rFonts w:ascii="Arial" w:hAnsi="Arial" w:cs="Arial"/>
          <w:b/>
          <w:bCs/>
        </w:rPr>
        <w:t xml:space="preserve">Adapting to Demographic Shifts: Civil Service Response to an Aging UK Population: </w:t>
      </w:r>
      <w:r w:rsidRPr="00767966">
        <w:rPr>
          <w:rFonts w:ascii="Arial" w:hAnsi="Arial" w:cs="Arial"/>
        </w:rPr>
        <w:t>The UK is experiencing notable demographic changes, particularly with an aging population, which poses unique challenges for public services. As highlighted by Bloom et al. (2015), this demographic shift has led to increased demands on healthcare systems and pension schemes. The Civil Service, in response, has been compelled to adapt its policies and services to adequately cater to the needs of an older population. This adaptation is crucial not only in ensuring the sustainability of these services but also in addressing the nuanced requirements of an aging demographic (ONS, 2019).</w:t>
      </w:r>
    </w:p>
    <w:p w14:paraId="4FB9D144" w14:textId="77777777" w:rsidR="00E64A0E" w:rsidRPr="00767966" w:rsidRDefault="00E64A0E" w:rsidP="00E64A0E">
      <w:pPr>
        <w:rPr>
          <w:rFonts w:ascii="Arial" w:hAnsi="Arial" w:cs="Arial"/>
        </w:rPr>
      </w:pPr>
      <w:r w:rsidRPr="00767966">
        <w:rPr>
          <w:rFonts w:ascii="Arial" w:hAnsi="Arial" w:cs="Arial"/>
          <w:b/>
          <w:bCs/>
        </w:rPr>
        <w:t xml:space="preserve">Rising Public Expectations: Civil Service's Drive for Transparency and Accountability: </w:t>
      </w:r>
      <w:r w:rsidRPr="00767966">
        <w:rPr>
          <w:rFonts w:ascii="Arial" w:hAnsi="Arial" w:cs="Arial"/>
        </w:rPr>
        <w:t>Concurrently, there has been a discernible evolution in public expectations regarding transparency and accountability in governance. The Independent Review of Governance and Accountability (2023) underscores the necessity for the Civil Service to enhance its approach to communication and decision-making processes. This change is driven by a growing public demand for greater insight into and influence over how decisions are made within government bodies. The Civil Service must therefore become more responsive to public concerns, a shift that inevitably leads to heightened scrutiny and the need for more robust and transparent governance mechanisms.</w:t>
      </w:r>
    </w:p>
    <w:p w14:paraId="164AF45E" w14:textId="30719FA5" w:rsidR="00E64A0E" w:rsidRPr="00767966" w:rsidRDefault="00E64A0E" w:rsidP="00E64A0E">
      <w:pPr>
        <w:rPr>
          <w:rFonts w:ascii="Arial" w:hAnsi="Arial" w:cs="Arial"/>
        </w:rPr>
      </w:pPr>
      <w:r w:rsidRPr="00767966">
        <w:rPr>
          <w:rFonts w:ascii="Arial" w:hAnsi="Arial" w:cs="Arial"/>
          <w:b/>
          <w:bCs/>
        </w:rPr>
        <w:t xml:space="preserve">Embracing Diversity: Strategic Shifts in Civil Service Workforce Inclusion: </w:t>
      </w:r>
      <w:r w:rsidRPr="00767966">
        <w:rPr>
          <w:rFonts w:ascii="Arial" w:hAnsi="Arial" w:cs="Arial"/>
        </w:rPr>
        <w:t>The evolving demographic landscape in the UK not only reshapes the demands on public services but also amplifies the imperative for diversity and inclusion within the Civil Service workforce. This shift calls for a strategic approach to diversity management, which, as Cox and Blake (1991) articulate, is vital for leveraging competitive advantages in any organization.</w:t>
      </w:r>
    </w:p>
    <w:p w14:paraId="52BBAD63" w14:textId="12065908" w:rsidR="00E64A0E" w:rsidRPr="00767966" w:rsidRDefault="00E64A0E" w:rsidP="00E64A0E">
      <w:pPr>
        <w:rPr>
          <w:rFonts w:ascii="Arial" w:hAnsi="Arial" w:cs="Arial"/>
        </w:rPr>
      </w:pPr>
      <w:r w:rsidRPr="00767966">
        <w:rPr>
          <w:rFonts w:ascii="Arial" w:hAnsi="Arial" w:cs="Arial"/>
          <w:b/>
          <w:bCs/>
        </w:rPr>
        <w:t xml:space="preserve">Maximizing Benefits: The Role of Diversity Management in Organizational Success: </w:t>
      </w:r>
      <w:r w:rsidRPr="00767966">
        <w:rPr>
          <w:rFonts w:ascii="Arial" w:hAnsi="Arial" w:cs="Arial"/>
        </w:rPr>
        <w:t>Cox and Blake (1991) identify several key areas where effective diversity management can significantly enhance organizational performance. Firstly, by integrating a diverse workforce, organizations can create cost advantages. This integration means fostering environments where all employees, regardless of background, can thrive, thereby minimizing costs associated with poor diversity management practices. Furthermore, companies known for effective diversity management are more likely to attract and retain top talent, particularly crucial as the labour pool diversifies. Additionally, a workforce diverse in perspectives and backgrounds brings invaluable insights and cultural sensitivity, enhancing marketing strategies and efforts, especially in varied market demographics.</w:t>
      </w:r>
    </w:p>
    <w:p w14:paraId="04F79DB6" w14:textId="0D7D4F38" w:rsidR="00E64A0E" w:rsidRPr="00767966" w:rsidRDefault="00E64A0E" w:rsidP="00E64A0E">
      <w:pPr>
        <w:rPr>
          <w:rFonts w:ascii="Arial" w:hAnsi="Arial" w:cs="Arial"/>
        </w:rPr>
      </w:pPr>
      <w:r w:rsidRPr="00767966">
        <w:rPr>
          <w:rFonts w:ascii="Arial" w:hAnsi="Arial" w:cs="Arial"/>
          <w:b/>
          <w:bCs/>
        </w:rPr>
        <w:t>Advancing Diversity: Civil Service's Strategic Initiatives for Inclusive Excellence:</w:t>
      </w:r>
      <w:r w:rsidRPr="00767966">
        <w:rPr>
          <w:rFonts w:ascii="Arial" w:hAnsi="Arial" w:cs="Arial"/>
        </w:rPr>
        <w:t xml:space="preserve"> In response to the need for greater diversity and inclusion, the Civil Service has initiated specific measures. A notable example is the establishment of the Race to the Top G6/7 Network in 2022, which aims to increase diversity in senior roles within the Civil Service. This initiative reflects </w:t>
      </w:r>
      <w:r w:rsidR="00320E1F" w:rsidRPr="00767966">
        <w:rPr>
          <w:rFonts w:ascii="Arial" w:hAnsi="Arial" w:cs="Arial"/>
        </w:rPr>
        <w:t>an initiative-taking</w:t>
      </w:r>
      <w:r w:rsidRPr="00767966">
        <w:rPr>
          <w:rFonts w:ascii="Arial" w:hAnsi="Arial" w:cs="Arial"/>
        </w:rPr>
        <w:t xml:space="preserve"> approach to addressing diversity challenges, focusing on enhancing representation and opportunities at higher levels of the organization.</w:t>
      </w:r>
    </w:p>
    <w:p w14:paraId="2A6A146D" w14:textId="6050A824" w:rsidR="00E64A0E" w:rsidRPr="00767966" w:rsidRDefault="00E64A0E" w:rsidP="00E64A0E">
      <w:pPr>
        <w:rPr>
          <w:rFonts w:ascii="Arial" w:hAnsi="Arial" w:cs="Arial"/>
        </w:rPr>
      </w:pPr>
      <w:r w:rsidRPr="00767966">
        <w:rPr>
          <w:rFonts w:ascii="Arial" w:hAnsi="Arial" w:cs="Arial"/>
        </w:rPr>
        <w:t xml:space="preserve">These perspectives and actions underscore the necessity for the Civil Service to not just address but proactively embrace diversity and inclusion. By fostering an inclusive workplace culture that mirrors the diverse society it serves, the Civil Service enhances its effectiveness, responsiveness, and competitiveness. Embracing diversity and inclusion is more than a moral imperative; </w:t>
      </w:r>
      <w:r w:rsidR="00320E1F" w:rsidRPr="00767966">
        <w:rPr>
          <w:rFonts w:ascii="Arial" w:hAnsi="Arial" w:cs="Arial"/>
        </w:rPr>
        <w:t>it is</w:t>
      </w:r>
      <w:r w:rsidRPr="00767966">
        <w:rPr>
          <w:rFonts w:ascii="Arial" w:hAnsi="Arial" w:cs="Arial"/>
        </w:rPr>
        <w:t xml:space="preserve"> a strategic necessity that directly impacts the Civil Service's ability to operate effectively and maintain relevance in a rapidly changing demographic and cultural environment (Cox &amp; Blake, 1991; Civil Service, 2020).</w:t>
      </w:r>
    </w:p>
    <w:p w14:paraId="0D1402B3" w14:textId="77777777" w:rsidR="00BD566E" w:rsidRPr="00767966" w:rsidRDefault="00BD566E" w:rsidP="00E64A0E">
      <w:pPr>
        <w:rPr>
          <w:rFonts w:ascii="Arial" w:hAnsi="Arial" w:cs="Arial"/>
          <w:b/>
          <w:bCs/>
          <w:u w:val="single"/>
        </w:rPr>
      </w:pPr>
    </w:p>
    <w:p w14:paraId="429E741C" w14:textId="1DF7B2B5" w:rsidR="00E64A0E" w:rsidRPr="00767966" w:rsidRDefault="00E64A0E" w:rsidP="00BD566E">
      <w:pPr>
        <w:pStyle w:val="Heading1"/>
        <w:spacing w:line="276" w:lineRule="auto"/>
        <w:jc w:val="both"/>
        <w:rPr>
          <w:rFonts w:cs="Arial"/>
          <w:b w:val="0"/>
          <w:bCs w:val="0"/>
          <w:color w:val="2F5496" w:themeColor="accent1" w:themeShade="BF"/>
          <w:sz w:val="52"/>
          <w:szCs w:val="52"/>
        </w:rPr>
      </w:pPr>
      <w:bookmarkStart w:id="5" w:name="_Toc157363493"/>
      <w:r w:rsidRPr="00767966">
        <w:rPr>
          <w:rFonts w:cs="Arial"/>
          <w:b w:val="0"/>
          <w:bCs w:val="0"/>
          <w:color w:val="2F5496" w:themeColor="accent1" w:themeShade="BF"/>
          <w:sz w:val="32"/>
          <w:szCs w:val="32"/>
          <w:u w:val="single"/>
        </w:rPr>
        <w:t>Technological Factors:</w:t>
      </w:r>
      <w:bookmarkEnd w:id="5"/>
    </w:p>
    <w:p w14:paraId="53D94032" w14:textId="77777777" w:rsidR="00E64A0E" w:rsidRPr="00767966" w:rsidRDefault="00E64A0E" w:rsidP="00E64A0E">
      <w:pPr>
        <w:rPr>
          <w:rFonts w:ascii="Arial" w:hAnsi="Arial" w:cs="Arial"/>
          <w:b/>
          <w:bCs/>
          <w:u w:val="single"/>
        </w:rPr>
      </w:pPr>
    </w:p>
    <w:p w14:paraId="7073CE9C" w14:textId="18924473" w:rsidR="00E64A0E" w:rsidRPr="00767966" w:rsidRDefault="00E64A0E" w:rsidP="00E64A0E">
      <w:pPr>
        <w:rPr>
          <w:rFonts w:ascii="Arial" w:hAnsi="Arial" w:cs="Arial"/>
        </w:rPr>
      </w:pPr>
      <w:r w:rsidRPr="00767966">
        <w:rPr>
          <w:rFonts w:ascii="Arial" w:hAnsi="Arial" w:cs="Arial"/>
          <w:b/>
          <w:bCs/>
        </w:rPr>
        <w:t>Digital Transformation:</w:t>
      </w:r>
      <w:r w:rsidRPr="00767966">
        <w:rPr>
          <w:rFonts w:ascii="Arial" w:hAnsi="Arial" w:cs="Arial"/>
        </w:rPr>
        <w:t xml:space="preserve"> The period surrounding Brexit marked a significant era of digital transformation for the Civil Service. As detailed by Begg (2017), this transformation involved the integration of new technologies for more effective data sharing, communication, and decision-making processes. Key among these advancements was the adoption of digital platforms for trade negotiations and the utilization of remote working tools. This shift not only revolutionized the operational methodologies within the Civil Service but also substantially enhanced its efficiency. The implementation of these technologies redefined the traditional working paradigms, enabling more agile and responsive service delivery.</w:t>
      </w:r>
    </w:p>
    <w:p w14:paraId="25CA2F75" w14:textId="0CDAD923" w:rsidR="00E64A0E" w:rsidRPr="00767966" w:rsidRDefault="00E64A0E" w:rsidP="00E64A0E">
      <w:pPr>
        <w:rPr>
          <w:rFonts w:ascii="Arial" w:hAnsi="Arial" w:cs="Arial"/>
        </w:rPr>
      </w:pPr>
      <w:r w:rsidRPr="00767966">
        <w:rPr>
          <w:rFonts w:ascii="Arial" w:hAnsi="Arial" w:cs="Arial"/>
          <w:b/>
          <w:bCs/>
        </w:rPr>
        <w:t>Cybersecurity Challenges:</w:t>
      </w:r>
      <w:r w:rsidRPr="00767966">
        <w:rPr>
          <w:rFonts w:ascii="Arial" w:hAnsi="Arial" w:cs="Arial"/>
        </w:rPr>
        <w:t xml:space="preserve"> </w:t>
      </w:r>
      <w:r w:rsidR="000E1322">
        <w:rPr>
          <w:rFonts w:ascii="Arial" w:hAnsi="Arial" w:cs="Arial"/>
        </w:rPr>
        <w:t>I</w:t>
      </w:r>
      <w:r w:rsidRPr="00767966">
        <w:rPr>
          <w:rFonts w:ascii="Arial" w:hAnsi="Arial" w:cs="Arial"/>
        </w:rPr>
        <w:t xml:space="preserve">ncreasing reliance on digital tools introduced new vulnerabilities, particularly in the realm of cybersecurity. The Civil Service faced heightened risks associated with data breaches and cyber-attacks. Begg (2017) points out the critical need for enhanced security protocols and comprehensive cybersecurity training for staff. Protecting sensitive government information became a top priority, necessitating a robust cybersecurity infrastructure to safeguard against potential threats. </w:t>
      </w:r>
    </w:p>
    <w:p w14:paraId="78020F92" w14:textId="5594BDA1" w:rsidR="00E64A0E" w:rsidRPr="00767966" w:rsidRDefault="00E64A0E" w:rsidP="00E64A0E">
      <w:pPr>
        <w:rPr>
          <w:rFonts w:ascii="Arial" w:hAnsi="Arial" w:cs="Arial"/>
        </w:rPr>
      </w:pPr>
      <w:r w:rsidRPr="00767966">
        <w:rPr>
          <w:rFonts w:ascii="Arial" w:hAnsi="Arial" w:cs="Arial"/>
          <w:b/>
          <w:bCs/>
        </w:rPr>
        <w:t>Data Privacy and General Data Protection Regulation</w:t>
      </w:r>
      <w:r w:rsidRPr="00767966">
        <w:rPr>
          <w:rFonts w:ascii="Arial" w:hAnsi="Arial" w:cs="Arial"/>
        </w:rPr>
        <w:t>: The integration of new technologies for data sharing during the Brexit negotiations has brought to the forefront critical concerns regarding data privacy and regulatory compliance. The General Data Protection Regulation (GDPR), a cornerstone of data privacy in the EU, became a focal point in these discussions. As Brexit unfolded, the UK navigated its path in data protection by adopting its iteration of the GDPR, aptly named the UK GDPR. This adaptation was pivotal for aligning the UK’s data protection framework with its new status outside the EU.</w:t>
      </w:r>
    </w:p>
    <w:p w14:paraId="124BF21F" w14:textId="69D96F6E" w:rsidR="00E64A0E" w:rsidRPr="00767966" w:rsidRDefault="00E64A0E" w:rsidP="00E64A0E">
      <w:pPr>
        <w:rPr>
          <w:rFonts w:ascii="Arial" w:hAnsi="Arial" w:cs="Arial"/>
        </w:rPr>
      </w:pPr>
      <w:r w:rsidRPr="00767966">
        <w:rPr>
          <w:rFonts w:ascii="Arial" w:hAnsi="Arial" w:cs="Arial"/>
        </w:rPr>
        <w:t>The UK's adoption of the UK GDPR was coupled with receiving adequacy decisions from the EU. These decisions are crucial as they allow for the continued free flow of data from the EU and EEA to the UK in most instances, thereby mitigating potential disruptions to data-driven operations and collaborations. However, these adequacy decisions have limitations and do not extend to all types of data. Notably, they exclude certain categories, such as data transferred for immigration control purposes. For these types of data transfers, the situation is more complex. The EEA sender is required to implement additional transfer safeguards to ensure compliance with data protection standards (Information Commissioner's Office, 2023).</w:t>
      </w:r>
    </w:p>
    <w:p w14:paraId="5D893D1E" w14:textId="7AE2CCD8" w:rsidR="00E64A0E" w:rsidRPr="00767966" w:rsidRDefault="00E64A0E" w:rsidP="00E64A0E">
      <w:pPr>
        <w:rPr>
          <w:rFonts w:ascii="Arial" w:hAnsi="Arial" w:cs="Arial"/>
        </w:rPr>
      </w:pPr>
      <w:r w:rsidRPr="00767966">
        <w:rPr>
          <w:rFonts w:ascii="Arial" w:hAnsi="Arial" w:cs="Arial"/>
        </w:rPr>
        <w:t>The implementation of the UK GDPR and the nuanced requirements of the EU’s adequacy decisions underscore the complexities the Civil Service faces in managing data privacy in a post-Brexit landscape. This situation highlights the critical need for rigorous data protection measures and a thorough understanding of the varied legal frameworks governing data transfers. Ensuring compliance with these evolving regulations is not just a legal necessity but also a matter of maintaining public trust and the integrity of data management practices in a time of significant political and legal transition.</w:t>
      </w:r>
    </w:p>
    <w:p w14:paraId="74FA89A4" w14:textId="05D40427" w:rsidR="00E64A0E" w:rsidRPr="00767966" w:rsidRDefault="00E64A0E" w:rsidP="00BD566E">
      <w:pPr>
        <w:pStyle w:val="Heading1"/>
        <w:spacing w:line="276" w:lineRule="auto"/>
        <w:jc w:val="both"/>
        <w:rPr>
          <w:rFonts w:cs="Arial"/>
          <w:b w:val="0"/>
          <w:bCs w:val="0"/>
          <w:color w:val="2F5496" w:themeColor="accent1" w:themeShade="BF"/>
          <w:sz w:val="52"/>
          <w:szCs w:val="52"/>
        </w:rPr>
      </w:pPr>
      <w:bookmarkStart w:id="6" w:name="_Toc157363494"/>
      <w:r w:rsidRPr="00767966">
        <w:rPr>
          <w:rFonts w:cs="Arial"/>
          <w:b w:val="0"/>
          <w:bCs w:val="0"/>
          <w:color w:val="2F5496" w:themeColor="accent1" w:themeShade="BF"/>
          <w:sz w:val="32"/>
          <w:szCs w:val="32"/>
          <w:u w:val="single"/>
        </w:rPr>
        <w:t>Environmental Factors:</w:t>
      </w:r>
      <w:bookmarkEnd w:id="6"/>
      <w:r w:rsidRPr="00767966">
        <w:rPr>
          <w:rFonts w:cs="Arial"/>
          <w:b w:val="0"/>
          <w:bCs w:val="0"/>
          <w:color w:val="2F5496" w:themeColor="accent1" w:themeShade="BF"/>
          <w:sz w:val="32"/>
          <w:szCs w:val="32"/>
        </w:rPr>
        <w:t xml:space="preserve"> </w:t>
      </w:r>
    </w:p>
    <w:p w14:paraId="4A7F43BA" w14:textId="77777777" w:rsidR="00E64A0E" w:rsidRPr="00767966" w:rsidRDefault="00E64A0E" w:rsidP="00E64A0E">
      <w:pPr>
        <w:rPr>
          <w:rFonts w:ascii="Arial" w:hAnsi="Arial" w:cs="Arial"/>
        </w:rPr>
      </w:pPr>
    </w:p>
    <w:p w14:paraId="72506E5E" w14:textId="463BAE31" w:rsidR="00E64A0E" w:rsidRPr="00767966" w:rsidRDefault="00E64A0E" w:rsidP="00E64A0E">
      <w:pPr>
        <w:rPr>
          <w:rFonts w:ascii="Arial" w:hAnsi="Arial" w:cs="Arial"/>
        </w:rPr>
      </w:pPr>
      <w:r w:rsidRPr="00767966">
        <w:rPr>
          <w:rFonts w:ascii="Arial" w:hAnsi="Arial" w:cs="Arial"/>
        </w:rPr>
        <w:t>Brexit has ushered in a complex and challenging scenario for the UK in terms of environmental policies and sustainability considerations. The departure from the EU has prompted concerns about the potential weakening of environmental protections and the possibility of the UK lagging behind EU standards in some areas. Despite the UK government's assertions of commitment to high environmental standards, these concerns highlight the nuances and challenges in maintaining and advancing environmental policy outside the EU framework.</w:t>
      </w:r>
    </w:p>
    <w:p w14:paraId="2C107BC6" w14:textId="16B5D6A9" w:rsidR="00E64A0E" w:rsidRPr="00767966" w:rsidRDefault="00E64A0E" w:rsidP="00E64A0E">
      <w:pPr>
        <w:rPr>
          <w:rFonts w:ascii="Arial" w:hAnsi="Arial" w:cs="Arial"/>
        </w:rPr>
      </w:pPr>
      <w:r w:rsidRPr="00767966">
        <w:rPr>
          <w:rFonts w:ascii="Arial" w:hAnsi="Arial" w:cs="Arial"/>
        </w:rPr>
        <w:t xml:space="preserve">Post-Brexit, the UK has </w:t>
      </w:r>
      <w:r w:rsidR="00320E1F" w:rsidRPr="00767966">
        <w:rPr>
          <w:rFonts w:ascii="Arial" w:hAnsi="Arial" w:cs="Arial"/>
        </w:rPr>
        <w:t>adhered</w:t>
      </w:r>
      <w:r w:rsidRPr="00767966">
        <w:rPr>
          <w:rFonts w:ascii="Arial" w:hAnsi="Arial" w:cs="Arial"/>
        </w:rPr>
        <w:t xml:space="preserve"> to existing EU environmental laws, including regulations concerning air and water quality, chemicals (REACH), and waste (WEEE and RoHS). This retention demonstrates a degree of continuity in environmental standards. However, there have been significant changes and divergences, particularly in certain specific areas, </w:t>
      </w:r>
      <w:r w:rsidR="00320E1F" w:rsidRPr="00767966">
        <w:rPr>
          <w:rFonts w:ascii="Arial" w:hAnsi="Arial" w:cs="Arial"/>
        </w:rPr>
        <w:t>which</w:t>
      </w:r>
      <w:r w:rsidRPr="00767966">
        <w:rPr>
          <w:rFonts w:ascii="Arial" w:hAnsi="Arial" w:cs="Arial"/>
        </w:rPr>
        <w:t xml:space="preserve"> underscore the complexities of independent environmental governance.</w:t>
      </w:r>
    </w:p>
    <w:p w14:paraId="0F692410" w14:textId="77777777" w:rsidR="00E64A0E" w:rsidRPr="00767966" w:rsidRDefault="00E64A0E" w:rsidP="00E64A0E">
      <w:pPr>
        <w:rPr>
          <w:rFonts w:ascii="Arial" w:hAnsi="Arial" w:cs="Arial"/>
        </w:rPr>
      </w:pPr>
      <w:r w:rsidRPr="00767966">
        <w:rPr>
          <w:rFonts w:ascii="Arial" w:hAnsi="Arial" w:cs="Arial"/>
          <w:b/>
          <w:bCs/>
        </w:rPr>
        <w:t>Plastic Waste Export:</w:t>
      </w:r>
      <w:r w:rsidRPr="00767966">
        <w:rPr>
          <w:rFonts w:ascii="Arial" w:hAnsi="Arial" w:cs="Arial"/>
        </w:rPr>
        <w:t xml:space="preserve"> One notable instance of divergence is the UK’s approach to plastic waste export. Contrary to new EU rules that ban the export of plastic waste to non-OECD countries, the UK opted for a system based on prior informed consent. This decision allows for the continued export of unsorted plastic waste from the UK to non-OECD countries. This move, as identified by MacLennan &amp; Forwood (2021), marks a clear departure from the EU's regulatory approach and has raised concerns among environmentalists and policymakers. It reflects the broader challenges the UK faces in aligning its environmental policies with global standards and addressing critical sustainability issues in a post-Brexit context.</w:t>
      </w:r>
    </w:p>
    <w:p w14:paraId="44092EEF" w14:textId="24387CCD" w:rsidR="00E64A0E" w:rsidRPr="00767966" w:rsidRDefault="00E64A0E" w:rsidP="00E64A0E">
      <w:pPr>
        <w:rPr>
          <w:rFonts w:ascii="Arial" w:hAnsi="Arial" w:cs="Arial"/>
        </w:rPr>
      </w:pPr>
      <w:r w:rsidRPr="00767966">
        <w:rPr>
          <w:rFonts w:ascii="Arial" w:hAnsi="Arial" w:cs="Arial"/>
          <w:b/>
          <w:bCs/>
        </w:rPr>
        <w:t>Chemicals Legislation (REACH):</w:t>
      </w:r>
      <w:r w:rsidRPr="00767966">
        <w:rPr>
          <w:rFonts w:ascii="Arial" w:hAnsi="Arial" w:cs="Arial"/>
        </w:rPr>
        <w:t xml:space="preserve"> A </w:t>
      </w:r>
      <w:r w:rsidR="00320E1F" w:rsidRPr="00767966">
        <w:rPr>
          <w:rFonts w:ascii="Arial" w:hAnsi="Arial" w:cs="Arial"/>
        </w:rPr>
        <w:t>meaningful change</w:t>
      </w:r>
      <w:r w:rsidRPr="00767966">
        <w:rPr>
          <w:rFonts w:ascii="Arial" w:hAnsi="Arial" w:cs="Arial"/>
        </w:rPr>
        <w:t xml:space="preserve"> in the post-Brexit era is the UK's departure from the EU's chemicals legislation, REACH. The UK has established its own system, which, while retaining the fundamentals of the EU’s approach, faces notable challenges. A primary concern is the lack of staffing capacity and an extensive chemical index to support the new system. The severance from the EU framework means the loss of access to the EU’s vast database of chemical information. This detachment has raised significant concerns about the potential for delayed decisions in restricting potentially hazardous chemicals, a point underscored by Cater (2023). The transition to a new system thus poses risks in terms of maintaining the same level of safety and oversight over chemical substances.</w:t>
      </w:r>
    </w:p>
    <w:p w14:paraId="2F5A4E3B" w14:textId="77777777" w:rsidR="00E64A0E" w:rsidRPr="00767966" w:rsidRDefault="00E64A0E" w:rsidP="00E64A0E">
      <w:pPr>
        <w:rPr>
          <w:rFonts w:ascii="Arial" w:hAnsi="Arial" w:cs="Arial"/>
        </w:rPr>
      </w:pPr>
      <w:r w:rsidRPr="00767966">
        <w:rPr>
          <w:rFonts w:ascii="Arial" w:hAnsi="Arial" w:cs="Arial"/>
          <w:b/>
          <w:bCs/>
        </w:rPr>
        <w:t>Environmental Governance:</w:t>
      </w:r>
      <w:r w:rsidRPr="00767966">
        <w:rPr>
          <w:rFonts w:ascii="Arial" w:hAnsi="Arial" w:cs="Arial"/>
        </w:rPr>
        <w:t xml:space="preserve"> The post-Brexit scenario has also led to the loss of the EU’s architecture for enforcing environmental law. The UK no longer benefits from the systematic enforcement mechanisms provided by EU supranational bodies or the technical expertise of specialized EU agencies. This gap is attempted to be filled by the new Office for Environmental Protection (OEP), which is primarily tasked with monitoring and enforcing environmental law in England. However, concerns have been raised about the OEP’s independence and its effectiveness in upholding environmental standards (ClientEarth, 2021).</w:t>
      </w:r>
    </w:p>
    <w:p w14:paraId="36780B3F" w14:textId="77777777" w:rsidR="00E64A0E" w:rsidRPr="00767966" w:rsidRDefault="00E64A0E" w:rsidP="00E64A0E">
      <w:pPr>
        <w:rPr>
          <w:rFonts w:ascii="Arial" w:hAnsi="Arial" w:cs="Arial"/>
        </w:rPr>
      </w:pPr>
    </w:p>
    <w:p w14:paraId="573EDD0A" w14:textId="54659519" w:rsidR="00E64A0E" w:rsidRPr="00767966" w:rsidRDefault="00E64A0E" w:rsidP="00E64A0E">
      <w:pPr>
        <w:rPr>
          <w:rFonts w:ascii="Arial" w:hAnsi="Arial" w:cs="Arial"/>
        </w:rPr>
      </w:pPr>
      <w:r w:rsidRPr="00767966">
        <w:rPr>
          <w:rFonts w:ascii="Arial" w:hAnsi="Arial" w:cs="Arial"/>
          <w:b/>
          <w:bCs/>
        </w:rPr>
        <w:t>Environmental Policy Shifts:</w:t>
      </w:r>
      <w:r w:rsidRPr="00767966">
        <w:rPr>
          <w:rFonts w:ascii="Arial" w:hAnsi="Arial" w:cs="Arial"/>
        </w:rPr>
        <w:t xml:space="preserve"> </w:t>
      </w:r>
      <w:r w:rsidR="00201297">
        <w:rPr>
          <w:rFonts w:ascii="Arial" w:hAnsi="Arial" w:cs="Arial"/>
        </w:rPr>
        <w:t>T</w:t>
      </w:r>
      <w:r w:rsidRPr="00767966">
        <w:rPr>
          <w:rFonts w:ascii="Arial" w:hAnsi="Arial" w:cs="Arial"/>
        </w:rPr>
        <w:t>he challenges in maintaining environmental standards in the UK post-Brexit is its divergence from EU policies on plastic waste exports. The UK’s decision not to follow the EU's ban on exporting plastic waste to non-OECD countries exemplifies the difficulties and potential pitfalls in aligning with global environmental standards and practices. This policy shift, as highlighted by MacLennan &amp; Forwood (2021), raises questions about the UK’s commitment to and capacity for sustaining high environmental protection levels outside the EU framework.</w:t>
      </w:r>
    </w:p>
    <w:p w14:paraId="5E4BFF67" w14:textId="74E1036D" w:rsidR="00E64A0E" w:rsidRPr="00767966" w:rsidRDefault="00E64A0E" w:rsidP="00E64A0E">
      <w:pPr>
        <w:rPr>
          <w:rFonts w:ascii="Arial" w:hAnsi="Arial" w:cs="Arial"/>
        </w:rPr>
      </w:pPr>
      <w:r w:rsidRPr="00767966">
        <w:rPr>
          <w:rFonts w:ascii="Arial" w:hAnsi="Arial" w:cs="Arial"/>
          <w:b/>
          <w:bCs/>
        </w:rPr>
        <w:t>Environmental Principles and Governance Bill:</w:t>
      </w:r>
      <w:r w:rsidRPr="00767966">
        <w:rPr>
          <w:rFonts w:ascii="Arial" w:hAnsi="Arial" w:cs="Arial"/>
        </w:rPr>
        <w:t xml:space="preserve"> In response to these concerns, the UK introduced the Environmental Principles and Governance Bill. This legislation aims to guarantee that environmental protections are not diluted following Brexit. It proposes the establishment of a new body responsible for holding the government accountable for environmental outcomes. This body would provide independent scrutiny and advice on government environmental law and policy. An essential component of the bill is the continuation of adherence to vital environmental principles through a policy statement, subject to Parliamentary scrutiny (GOV.UK, 2018). This bill represents a significant step in structuring the UK's post-Brexit environmental governance framework.</w:t>
      </w:r>
    </w:p>
    <w:p w14:paraId="2491F2DA" w14:textId="77777777" w:rsidR="00E64A0E" w:rsidRDefault="00E64A0E" w:rsidP="00E64A0E">
      <w:pPr>
        <w:rPr>
          <w:rFonts w:ascii="Arial" w:hAnsi="Arial" w:cs="Arial"/>
        </w:rPr>
      </w:pPr>
      <w:r w:rsidRPr="00767966">
        <w:rPr>
          <w:rFonts w:ascii="Arial" w:hAnsi="Arial" w:cs="Arial"/>
          <w:b/>
          <w:bCs/>
        </w:rPr>
        <w:t>Continuing Concerns in Environmental Policy</w:t>
      </w:r>
      <w:r w:rsidRPr="00767966">
        <w:rPr>
          <w:rFonts w:ascii="Arial" w:hAnsi="Arial" w:cs="Arial"/>
        </w:rPr>
        <w:t>: Despite these legislative measures, environmental campaigners have expressed ongoing concerns about the direction of the UK's environmental policy. One of the critical points of contention is the UK’s divergence from the EU’s chemicals legislation (REACH), where the UK’s new system has been criticized for lacking the staffing and comprehensive database of the EU counterpart. Furthermore, the UK’s approach to addressing issues like water pollution and air quality standards appears less ambitious compared to the EU’s. For instance, the UK’s timelines for addressing sewage pollution and setting air quality targets are more extended compared to those of the EU. Concerns also extend to the UK’s regulatory approach to pesticides and nature conservation, as noted by Cater (2023). These issues underscore the challenges faced by the UK in maintaining robust environmental protections and aligning with global standards post-Brexit.</w:t>
      </w:r>
    </w:p>
    <w:p w14:paraId="0F760FBD" w14:textId="77777777" w:rsidR="00767966" w:rsidRPr="00767966" w:rsidRDefault="00767966" w:rsidP="00E64A0E">
      <w:pPr>
        <w:rPr>
          <w:rFonts w:ascii="Arial" w:hAnsi="Arial" w:cs="Arial"/>
        </w:rPr>
      </w:pPr>
    </w:p>
    <w:p w14:paraId="0E1E6645" w14:textId="5CAEBE14" w:rsidR="00E64A0E" w:rsidRPr="00767966" w:rsidRDefault="00E64A0E" w:rsidP="00BD566E">
      <w:pPr>
        <w:pStyle w:val="Heading1"/>
        <w:spacing w:line="276" w:lineRule="auto"/>
        <w:jc w:val="both"/>
        <w:rPr>
          <w:rFonts w:cs="Arial"/>
          <w:b w:val="0"/>
          <w:bCs w:val="0"/>
          <w:color w:val="2F5496" w:themeColor="accent1" w:themeShade="BF"/>
          <w:sz w:val="52"/>
          <w:szCs w:val="52"/>
        </w:rPr>
      </w:pPr>
      <w:bookmarkStart w:id="7" w:name="_Toc157363495"/>
      <w:r w:rsidRPr="00767966">
        <w:rPr>
          <w:rFonts w:cs="Arial"/>
          <w:b w:val="0"/>
          <w:bCs w:val="0"/>
          <w:color w:val="2F5496" w:themeColor="accent1" w:themeShade="BF"/>
          <w:sz w:val="32"/>
          <w:szCs w:val="32"/>
          <w:u w:val="single"/>
        </w:rPr>
        <w:t>Legal Factors:</w:t>
      </w:r>
      <w:bookmarkEnd w:id="7"/>
      <w:r w:rsidRPr="00767966">
        <w:rPr>
          <w:rFonts w:cs="Arial"/>
          <w:b w:val="0"/>
          <w:bCs w:val="0"/>
          <w:color w:val="2F5496" w:themeColor="accent1" w:themeShade="BF"/>
          <w:sz w:val="32"/>
          <w:szCs w:val="32"/>
          <w:u w:val="single"/>
        </w:rPr>
        <w:t xml:space="preserve"> </w:t>
      </w:r>
    </w:p>
    <w:p w14:paraId="3F462D13" w14:textId="77777777" w:rsidR="00E64A0E" w:rsidRPr="00767966" w:rsidRDefault="00E64A0E" w:rsidP="00E64A0E">
      <w:pPr>
        <w:rPr>
          <w:rFonts w:ascii="Arial" w:hAnsi="Arial" w:cs="Arial"/>
        </w:rPr>
      </w:pPr>
    </w:p>
    <w:p w14:paraId="023BFABD" w14:textId="77777777" w:rsidR="00E64A0E" w:rsidRPr="00767966" w:rsidRDefault="00E64A0E" w:rsidP="00E64A0E">
      <w:pPr>
        <w:rPr>
          <w:rFonts w:ascii="Arial" w:hAnsi="Arial" w:cs="Arial"/>
        </w:rPr>
      </w:pPr>
      <w:r w:rsidRPr="00767966">
        <w:rPr>
          <w:rFonts w:ascii="Arial" w:hAnsi="Arial" w:cs="Arial"/>
          <w:b/>
          <w:bCs/>
        </w:rPr>
        <w:t>Regulatory Changes</w:t>
      </w:r>
      <w:r w:rsidRPr="00767966">
        <w:rPr>
          <w:rFonts w:ascii="Arial" w:hAnsi="Arial" w:cs="Arial"/>
        </w:rPr>
        <w:t>: The post-Brexit landscape has been marked by significant regulatory changes, primarily driven by the European Union (Withdrawal) Bill 2017-19, commonly known as the Great Repeal Bill. This legislation played a pivotal role in transitioning the bureaucratic mechanisms of the EU into UK domestic law. A key aspect of this transition was the repatriation of functions from approximately 28 EU agencies to their UK equivalents. This process required the establishment of new remits and regulatory responsibilities within various UK authorities, a formidable task that the Civil Service had to manage (Fieldfisher, 2017). Furthermore, the Civil Service was challenged to incorporate these changes while ensuring continued compliance with necessary EU regulations. The shifting legal and regulatory framework led to the creation of new rules, consultation papers, and raised questions about the future alignment with EU standards (Nguyen, 2021).</w:t>
      </w:r>
    </w:p>
    <w:p w14:paraId="1BF725E1" w14:textId="774D6647" w:rsidR="00E64A0E" w:rsidRPr="00767966" w:rsidRDefault="00E64A0E" w:rsidP="00E64A0E">
      <w:pPr>
        <w:rPr>
          <w:rFonts w:ascii="Arial" w:hAnsi="Arial" w:cs="Arial"/>
        </w:rPr>
      </w:pPr>
      <w:r w:rsidRPr="00767966">
        <w:rPr>
          <w:rFonts w:ascii="Arial" w:hAnsi="Arial" w:cs="Arial"/>
          <w:b/>
          <w:bCs/>
        </w:rPr>
        <w:t>Retained EU Law and Future Uncertainties:</w:t>
      </w:r>
      <w:r w:rsidRPr="00767966">
        <w:rPr>
          <w:rFonts w:ascii="Arial" w:hAnsi="Arial" w:cs="Arial"/>
        </w:rPr>
        <w:t xml:space="preserve"> The UK, in its post-Brexit landscape, has transposed a portion of EU law into its domestic legal framework. However, there are growing uncertainties about how future government plans, particularly concerning the Environment Bill, will uphold environmental protection standards. Notable concerns include the absence of a binding non-regression clause to prevent the lowering of current environmental standards and delays in the passage of the Bill, as highlighted by ClientEarth (2021). These issues point to potential gaps in ensuring the continuity and enhancement of environmental protection post-Brexit.</w:t>
      </w:r>
    </w:p>
    <w:p w14:paraId="65A6D659" w14:textId="5815CC5A" w:rsidR="00E64A0E" w:rsidRPr="00767966" w:rsidRDefault="00E64A0E" w:rsidP="00E64A0E">
      <w:pPr>
        <w:rPr>
          <w:rFonts w:ascii="Arial" w:hAnsi="Arial" w:cs="Arial"/>
        </w:rPr>
      </w:pPr>
      <w:r w:rsidRPr="00767966">
        <w:rPr>
          <w:rFonts w:ascii="Arial" w:hAnsi="Arial" w:cs="Arial"/>
          <w:b/>
          <w:bCs/>
        </w:rPr>
        <w:t>Legal Scrutiny:</w:t>
      </w:r>
      <w:r w:rsidRPr="00767966">
        <w:rPr>
          <w:rFonts w:ascii="Arial" w:hAnsi="Arial" w:cs="Arial"/>
        </w:rPr>
        <w:t xml:space="preserve"> Brexit subjected the UK Civil Service to intense legal scrutiny. The institution’s neutrality was particularly questioned during the Brexit negotiations. This scrutiny intensified due to the perceived partiality of certain institutions, such as the Treasury, which faced criticism for its economic forecasts and analyses during the Brexit referendum campaign. These forecasts were seen as biased by some Brexit supporters (Rutter, 2021b). Additionally, the Civil Service had to navigate a politically divided landscape regarding the implications and execution of Brexit, creating a complex and challenging work environment (Dunton, 2019).</w:t>
      </w:r>
    </w:p>
    <w:p w14:paraId="4C7A04A6" w14:textId="77777777" w:rsidR="00E64A0E" w:rsidRPr="00767966" w:rsidRDefault="00E64A0E" w:rsidP="00E64A0E">
      <w:pPr>
        <w:rPr>
          <w:rFonts w:ascii="Arial" w:hAnsi="Arial" w:cs="Arial"/>
        </w:rPr>
      </w:pPr>
      <w:r w:rsidRPr="00767966">
        <w:rPr>
          <w:rFonts w:ascii="Arial" w:hAnsi="Arial" w:cs="Arial"/>
        </w:rPr>
        <w:t>To adapt to this new reality, the Civil Service underwent significant organizational changes. This included substantial staff increases, notably in departments such as the Department for Environment, Food and Rural Affairs (Defra), and the formation of new government bodies. However, these changes led to the delay of other important domestic policies and exacerbated existing staff turnover issues (Dunton, 2019).</w:t>
      </w:r>
    </w:p>
    <w:p w14:paraId="001138DD" w14:textId="77777777" w:rsidR="00E64A0E" w:rsidRPr="00767966" w:rsidRDefault="00E64A0E" w:rsidP="00E64A0E">
      <w:pPr>
        <w:rPr>
          <w:rFonts w:ascii="Arial" w:hAnsi="Arial" w:cs="Arial"/>
        </w:rPr>
      </w:pPr>
    </w:p>
    <w:p w14:paraId="2D41F8BE" w14:textId="77777777" w:rsidR="0097556E" w:rsidRDefault="0097556E" w:rsidP="00BD566E">
      <w:pPr>
        <w:pStyle w:val="Heading1"/>
        <w:spacing w:line="276" w:lineRule="auto"/>
        <w:jc w:val="both"/>
        <w:rPr>
          <w:rFonts w:cs="Arial"/>
          <w:b w:val="0"/>
          <w:bCs w:val="0"/>
          <w:color w:val="2F5496" w:themeColor="accent1" w:themeShade="BF"/>
          <w:sz w:val="32"/>
          <w:szCs w:val="32"/>
        </w:rPr>
      </w:pPr>
      <w:bookmarkStart w:id="8" w:name="_Toc157363496"/>
    </w:p>
    <w:p w14:paraId="60E72A74" w14:textId="77777777" w:rsidR="0097556E" w:rsidRDefault="0097556E" w:rsidP="00BD566E">
      <w:pPr>
        <w:pStyle w:val="Heading1"/>
        <w:spacing w:line="276" w:lineRule="auto"/>
        <w:jc w:val="both"/>
        <w:rPr>
          <w:rFonts w:cs="Arial"/>
          <w:b w:val="0"/>
          <w:bCs w:val="0"/>
          <w:color w:val="2F5496" w:themeColor="accent1" w:themeShade="BF"/>
          <w:sz w:val="32"/>
          <w:szCs w:val="32"/>
        </w:rPr>
      </w:pPr>
    </w:p>
    <w:p w14:paraId="0BCD25AE" w14:textId="77777777" w:rsidR="0097556E" w:rsidRDefault="0097556E" w:rsidP="00BD566E">
      <w:pPr>
        <w:pStyle w:val="Heading1"/>
        <w:spacing w:line="276" w:lineRule="auto"/>
        <w:jc w:val="both"/>
        <w:rPr>
          <w:rFonts w:cs="Arial"/>
          <w:b w:val="0"/>
          <w:bCs w:val="0"/>
          <w:color w:val="2F5496" w:themeColor="accent1" w:themeShade="BF"/>
          <w:sz w:val="32"/>
          <w:szCs w:val="32"/>
        </w:rPr>
      </w:pPr>
    </w:p>
    <w:p w14:paraId="09263D1F" w14:textId="582B4386" w:rsidR="0097556E" w:rsidRPr="00767966" w:rsidRDefault="00BD566E" w:rsidP="00BD566E">
      <w:pPr>
        <w:pStyle w:val="Heading1"/>
        <w:spacing w:line="276" w:lineRule="auto"/>
        <w:jc w:val="both"/>
        <w:rPr>
          <w:rFonts w:cs="Arial"/>
          <w:b w:val="0"/>
          <w:bCs w:val="0"/>
          <w:color w:val="2F5496" w:themeColor="accent1" w:themeShade="BF"/>
          <w:sz w:val="32"/>
          <w:szCs w:val="32"/>
        </w:rPr>
      </w:pPr>
      <w:r w:rsidRPr="00767966">
        <w:rPr>
          <w:rFonts w:cs="Arial"/>
          <w:b w:val="0"/>
          <w:bCs w:val="0"/>
          <w:color w:val="2F5496" w:themeColor="accent1" w:themeShade="BF"/>
          <w:sz w:val="32"/>
          <w:szCs w:val="32"/>
        </w:rPr>
        <w:t>1.2 Brexit’s</w:t>
      </w:r>
      <w:r w:rsidR="00E64A0E" w:rsidRPr="00767966">
        <w:rPr>
          <w:rFonts w:cs="Arial"/>
          <w:b w:val="0"/>
          <w:bCs w:val="0"/>
          <w:color w:val="2F5496" w:themeColor="accent1" w:themeShade="BF"/>
          <w:sz w:val="32"/>
          <w:szCs w:val="32"/>
        </w:rPr>
        <w:t xml:space="preserve"> Influence on the UK Civil Service: An In-Depth Examination of the Micro-Environment Effects</w:t>
      </w:r>
      <w:bookmarkEnd w:id="8"/>
    </w:p>
    <w:p w14:paraId="1CEF5423" w14:textId="77604FB2" w:rsidR="00E64A0E" w:rsidRPr="0097556E" w:rsidRDefault="00E64A0E" w:rsidP="00E64A0E">
      <w:pPr>
        <w:rPr>
          <w:rFonts w:ascii="Arial" w:hAnsi="Arial" w:cs="Arial"/>
          <w:b/>
          <w:bCs/>
          <w:u w:val="single"/>
        </w:rPr>
      </w:pPr>
      <w:r w:rsidRPr="00767966">
        <w:rPr>
          <w:rFonts w:ascii="Arial" w:hAnsi="Arial" w:cs="Arial"/>
          <w:b/>
          <w:bCs/>
          <w:u w:val="single"/>
        </w:rPr>
        <w:t xml:space="preserve">Leadership Response to </w:t>
      </w:r>
      <w:r w:rsidR="00223C30" w:rsidRPr="00767966">
        <w:rPr>
          <w:rFonts w:ascii="Arial" w:hAnsi="Arial" w:cs="Arial"/>
          <w:b/>
          <w:bCs/>
          <w:u w:val="single"/>
        </w:rPr>
        <w:t>Brexit</w:t>
      </w:r>
      <w:r w:rsidR="00223C30">
        <w:rPr>
          <w:rFonts w:ascii="Arial" w:hAnsi="Arial" w:cs="Arial"/>
          <w:b/>
          <w:bCs/>
          <w:u w:val="single"/>
        </w:rPr>
        <w:t>:</w:t>
      </w:r>
      <w:r w:rsidR="00223C30" w:rsidRPr="00767966">
        <w:rPr>
          <w:rFonts w:ascii="Arial" w:hAnsi="Arial" w:cs="Arial"/>
        </w:rPr>
        <w:t xml:space="preserve"> The</w:t>
      </w:r>
      <w:r w:rsidRPr="00767966">
        <w:rPr>
          <w:rFonts w:ascii="Arial" w:hAnsi="Arial" w:cs="Arial"/>
        </w:rPr>
        <w:t xml:space="preserve"> challenges ushered in by Brexit have placed an unprecedented emphasis on the role of leadership within the Civil Service. Effective leadership has been pivotal in guiding the organization through the myriad uncertainties and complexities that Brexit introduced. As noted by Reland et al. (2022), leaders in the Civil Service have been tasked with a demanding role. They have had to exhibit both adaptability and resilience, ensuring that the Civil Service not only aligns strategically with new governmental policies but also effectively manages the expectations and morale of its workforce. The situation has underscored the necessity for clear, transparent, and consistent leadership. Such leadership qualities are instrumental in determining how effectively the Civil Service adapts and responds to the evolving post-Brexit landscape. A prime example of effective leadership and adaptability within the Civil Service in response to Brexit is the rapid establishment of the Department for International Trade (DIT) following the referendum.</w:t>
      </w:r>
    </w:p>
    <w:p w14:paraId="310FF4DA" w14:textId="5EF7566B" w:rsidR="00E64A0E" w:rsidRPr="00767966" w:rsidRDefault="00E64A0E" w:rsidP="00E64A0E">
      <w:pPr>
        <w:rPr>
          <w:rFonts w:ascii="Arial" w:hAnsi="Arial" w:cs="Arial"/>
        </w:rPr>
      </w:pPr>
      <w:r w:rsidRPr="00767966">
        <w:rPr>
          <w:rFonts w:ascii="Arial" w:hAnsi="Arial" w:cs="Arial"/>
          <w:b/>
          <w:bCs/>
          <w:u w:val="single"/>
        </w:rPr>
        <w:t>Internal Policy Adjustments</w:t>
      </w:r>
      <w:r w:rsidRPr="00767966">
        <w:rPr>
          <w:rFonts w:ascii="Arial" w:hAnsi="Arial" w:cs="Arial"/>
        </w:rPr>
        <w:t xml:space="preserve">: Brexit has been a catalyst for significant changes within the Civil Service, particularly in terms of internal policy adjustments. Key areas such as regulatory frameworks, trade policies, and immigration laws have undergone substantial revisions (Bulmer &amp; Quaglia, 2018). This transition from EU-centric regulations to UK-focused policies necessitated a comprehensive overhaul, demanding exceptional agility and flexibility from the Civil Service. Moreover, the development of new policies tailored to the post-Brexit context has been a major undertaking, significantly affecting the workload and operational focus across various. </w:t>
      </w:r>
    </w:p>
    <w:p w14:paraId="4C31169A" w14:textId="207F7A3F" w:rsidR="00E64A0E" w:rsidRDefault="00E64A0E" w:rsidP="00E64A0E">
      <w:pPr>
        <w:rPr>
          <w:rFonts w:ascii="Arial" w:hAnsi="Arial" w:cs="Arial"/>
        </w:rPr>
      </w:pPr>
      <w:r w:rsidRPr="00767966">
        <w:rPr>
          <w:rFonts w:ascii="Arial" w:hAnsi="Arial" w:cs="Arial"/>
          <w:b/>
          <w:bCs/>
          <w:u w:val="single"/>
        </w:rPr>
        <w:t>Organizational Structure Realignments</w:t>
      </w:r>
      <w:r w:rsidRPr="00767966">
        <w:rPr>
          <w:rFonts w:ascii="Arial" w:hAnsi="Arial" w:cs="Arial"/>
        </w:rPr>
        <w:t xml:space="preserve">: Alongside these policy changes, Brexit has precipitated significant organizational restructuring within the Civil Service. This restructuring was essential to </w:t>
      </w:r>
      <w:r w:rsidR="00320E1F" w:rsidRPr="00767966">
        <w:rPr>
          <w:rFonts w:ascii="Arial" w:hAnsi="Arial" w:cs="Arial"/>
        </w:rPr>
        <w:t>manage</w:t>
      </w:r>
      <w:r w:rsidRPr="00767966">
        <w:rPr>
          <w:rFonts w:ascii="Arial" w:hAnsi="Arial" w:cs="Arial"/>
        </w:rPr>
        <w:t xml:space="preserve"> the increased workload and facilitate a strategic shift from EU-focused policies to ones centred on domestic issues. This realignment brought about major changes in communication channels, decision-making processes, and resource allocation within the Civil Service (Gowland, 2022). Such changes are crucial in ensuring that the Civil Service remains efficient and effective in a landscape markedly different from the pre-Brexit era. A notable example of this organizational restructuring is the merger of the Foreign and Commonwealth Office (FCO) with the Department for International Development (DfID). Announced in 2020, this merger resulted in the creation of the Foreign, Commonwealth &amp; Development Office (FCDO). This decision reflects a strategic move to integrate the UK’s diplomatic and development efforts, aligning them more closely with the country's broader foreign policy objectives in a post-Brexit context (Press Release GOV.UK, 2020).</w:t>
      </w:r>
    </w:p>
    <w:p w14:paraId="10924FD5" w14:textId="77777777" w:rsidR="00383EF0" w:rsidRPr="00383EF0" w:rsidRDefault="00383EF0" w:rsidP="00383EF0">
      <w:pPr>
        <w:rPr>
          <w:rFonts w:ascii="Arial" w:hAnsi="Arial" w:cs="Arial"/>
        </w:rPr>
      </w:pPr>
      <w:r w:rsidRPr="00383EF0">
        <w:rPr>
          <w:rFonts w:ascii="Arial" w:hAnsi="Arial" w:cs="Arial"/>
        </w:rPr>
        <w:t xml:space="preserve">Gaining perspectives directly from those involved in or affected by the UK Civil Service's transition post-Brexit is crucial. In the Canadian context, for instance, the NAFTA renegotiations involved a wide range of stakeholders, including government officials, business communities, and experts from various fields. They provided insights on the potential impacts of trade agreement changes on industries and the economy. Similarly, for the UK Civil Service, gathering insights from civil servants and the public through interviews or surveys could offer a more nuanced understanding of the internal and external challenges faced during Brexit. Understanding how Canadian businesses and policymakers navigated the uncertainties and potential impacts of NAFTA renegotiations could provide a model for engaging diverse stakeholders effectively in the UK. (NAFTA Renegotiations and Their Impact on Canadian Businesses, 2018; </w:t>
      </w:r>
      <w:proofErr w:type="spellStart"/>
      <w:r w:rsidRPr="00383EF0">
        <w:rPr>
          <w:rFonts w:ascii="Arial" w:hAnsi="Arial" w:cs="Arial"/>
        </w:rPr>
        <w:t>Borzykowsk</w:t>
      </w:r>
      <w:proofErr w:type="spellEnd"/>
      <w:r w:rsidRPr="00383EF0">
        <w:rPr>
          <w:rFonts w:ascii="Arial" w:hAnsi="Arial" w:cs="Arial"/>
        </w:rPr>
        <w:t xml:space="preserve"> et al., 2017).</w:t>
      </w:r>
    </w:p>
    <w:p w14:paraId="7DFA7775" w14:textId="77777777" w:rsidR="00383EF0" w:rsidRPr="00767966" w:rsidRDefault="00383EF0" w:rsidP="00E64A0E">
      <w:pPr>
        <w:rPr>
          <w:rFonts w:ascii="Arial" w:hAnsi="Arial" w:cs="Arial"/>
        </w:rPr>
      </w:pPr>
    </w:p>
    <w:p w14:paraId="123CEFC2" w14:textId="77777777" w:rsidR="00E64A0E" w:rsidRPr="00767966" w:rsidRDefault="00E64A0E" w:rsidP="00E64A0E">
      <w:pPr>
        <w:rPr>
          <w:rFonts w:ascii="Arial" w:hAnsi="Arial" w:cs="Arial"/>
          <w:b/>
          <w:bCs/>
          <w:u w:val="single"/>
        </w:rPr>
      </w:pPr>
      <w:r w:rsidRPr="00767966">
        <w:rPr>
          <w:rFonts w:ascii="Arial" w:hAnsi="Arial" w:cs="Arial"/>
          <w:b/>
          <w:bCs/>
          <w:u w:val="single"/>
        </w:rPr>
        <w:t xml:space="preserve">Employee Dynamics and Morale </w:t>
      </w:r>
    </w:p>
    <w:p w14:paraId="4E47FEE5" w14:textId="51BB21E9" w:rsidR="00E64A0E" w:rsidRPr="00767966" w:rsidRDefault="00E64A0E" w:rsidP="00767966">
      <w:pPr>
        <w:ind w:firstLine="720"/>
        <w:rPr>
          <w:rFonts w:ascii="Arial" w:hAnsi="Arial" w:cs="Arial"/>
        </w:rPr>
      </w:pPr>
      <w:r w:rsidRPr="00767966">
        <w:rPr>
          <w:rFonts w:ascii="Arial" w:hAnsi="Arial" w:cs="Arial"/>
          <w:b/>
          <w:bCs/>
        </w:rPr>
        <w:t>Impact of Brexit on Employee Well-being:</w:t>
      </w:r>
      <w:r w:rsidRPr="00767966">
        <w:rPr>
          <w:rFonts w:ascii="Arial" w:hAnsi="Arial" w:cs="Arial"/>
        </w:rPr>
        <w:t xml:space="preserve"> The Brexit transition has significantly impacted the dynamics within the Civil Service, particularly in terms of employee well-being and morale. The uncertainties and increased workload associated with both the preparations and implementation of Brexit have posed substantial challenges. Professor Anand Menon, Director of The UK in a Changing Europe, pinpointed the immense time pressures and intricate administrative burdens that Civil Service officials have had to navigate due to Brexit (Menon, 2017). Additionally, the Institute for Government reported on the considerable strain experienced by government departments, highlighting the potential adverse effects on employee morale (Institute for Government, 2023a).</w:t>
      </w:r>
    </w:p>
    <w:p w14:paraId="1BDB435B" w14:textId="355D55F6" w:rsidR="00E64A0E" w:rsidRPr="00767966" w:rsidRDefault="00E64A0E" w:rsidP="00767966">
      <w:pPr>
        <w:ind w:firstLine="720"/>
        <w:rPr>
          <w:rFonts w:ascii="Arial" w:hAnsi="Arial" w:cs="Arial"/>
        </w:rPr>
      </w:pPr>
      <w:r w:rsidRPr="00767966">
        <w:rPr>
          <w:rFonts w:ascii="Arial" w:hAnsi="Arial" w:cs="Arial"/>
          <w:b/>
          <w:bCs/>
        </w:rPr>
        <w:t>Organizational Changes and Their Effects:</w:t>
      </w:r>
      <w:r w:rsidRPr="00767966">
        <w:rPr>
          <w:rFonts w:ascii="Arial" w:hAnsi="Arial" w:cs="Arial"/>
        </w:rPr>
        <w:t xml:space="preserve"> Jim Dunton's report for the Institute for Government shed light on the profound organizational changes within the Civil Service post-Brexit. The restructuring of departments and a significant increase in staff numbers have placed the service under unprecedented pressure. These changes have consequential impacts on both the morale and job satisfaction of employees (Dunton, 2019). Similarly, Personnel Today's article illuminated how the Civil Service has adapted to the immense workload pressures brought about by Brexit. While this </w:t>
      </w:r>
      <w:r w:rsidR="00320E1F" w:rsidRPr="00767966">
        <w:rPr>
          <w:rFonts w:ascii="Arial" w:hAnsi="Arial" w:cs="Arial"/>
        </w:rPr>
        <w:t>highlights</w:t>
      </w:r>
      <w:r w:rsidRPr="00767966">
        <w:rPr>
          <w:rFonts w:ascii="Arial" w:hAnsi="Arial" w:cs="Arial"/>
        </w:rPr>
        <w:t xml:space="preserve"> the service's agility, it also underscores the strains imposed on workforce morale and well-being (McCulloch, 2020).</w:t>
      </w:r>
    </w:p>
    <w:p w14:paraId="45B3B421" w14:textId="6AE17ADA" w:rsidR="00E64A0E" w:rsidRPr="00767966" w:rsidRDefault="00E64A0E" w:rsidP="00767966">
      <w:pPr>
        <w:ind w:firstLine="720"/>
        <w:rPr>
          <w:rFonts w:ascii="Arial" w:hAnsi="Arial" w:cs="Arial"/>
        </w:rPr>
      </w:pPr>
      <w:r w:rsidRPr="00767966">
        <w:rPr>
          <w:rFonts w:ascii="Arial" w:hAnsi="Arial" w:cs="Arial"/>
          <w:b/>
          <w:bCs/>
        </w:rPr>
        <w:t>Leadership Response to Morale Challenges</w:t>
      </w:r>
      <w:r w:rsidRPr="00767966">
        <w:rPr>
          <w:rFonts w:ascii="Arial" w:hAnsi="Arial" w:cs="Arial"/>
        </w:rPr>
        <w:t>: In response to these challenges, maintaining high employee morale and ensuring the workforce remains engaged and motivated have become pivotal tasks for Civil Service leaders and managers. The analysis from Saïd Business School further highlights the extensive change and uncertainty faced by the British Civil Service in implementing Brexit, emphasizing its direct impact on employee morale and workload (Varano, 2017)</w:t>
      </w:r>
    </w:p>
    <w:p w14:paraId="1A122710" w14:textId="26FFA888" w:rsidR="00E64A0E" w:rsidRPr="00767966" w:rsidRDefault="00E64A0E" w:rsidP="00767966">
      <w:pPr>
        <w:ind w:firstLine="720"/>
        <w:rPr>
          <w:rFonts w:ascii="Arial" w:hAnsi="Arial" w:cs="Arial"/>
        </w:rPr>
      </w:pPr>
      <w:r w:rsidRPr="00767966">
        <w:rPr>
          <w:rFonts w:ascii="Arial" w:hAnsi="Arial" w:cs="Arial"/>
          <w:b/>
          <w:bCs/>
        </w:rPr>
        <w:t>Mental Health Support Services:</w:t>
      </w:r>
      <w:r w:rsidRPr="00767966">
        <w:rPr>
          <w:rFonts w:ascii="Arial" w:hAnsi="Arial" w:cs="Arial"/>
        </w:rPr>
        <w:t xml:space="preserve"> A key response to the challenges of maintaining workforce morale post-Brexit has been the increase in mental health support services for Civil Service employees. As reported by Jones (2019), this initiative underscores the recognition of the heightened stress and mental health challenges faced by employees during this period of significant change and uncertainty. The provision of enhanced mental health support services is a testament to the Civil Service’s commitment to addressing the well-being of its workforce in the face of increased workloads and the pressures brought about by the Brexit transition.</w:t>
      </w:r>
    </w:p>
    <w:p w14:paraId="2869391F" w14:textId="77777777" w:rsidR="00E64A0E" w:rsidRDefault="00E64A0E" w:rsidP="00E64A0E">
      <w:pPr>
        <w:rPr>
          <w:rFonts w:ascii="Arial" w:hAnsi="Arial" w:cs="Arial"/>
        </w:rPr>
      </w:pPr>
      <w:r w:rsidRPr="00767966">
        <w:rPr>
          <w:rFonts w:ascii="Arial" w:hAnsi="Arial" w:cs="Arial"/>
        </w:rPr>
        <w:t>This proactive approach in bolstering mental health support not only addresses immediate concerns but also reflects a broader understanding within the Civil Service leadership of the importance of employee well-being as a cornerstone of organizational health and effectiveness. By prioritizing mental health, the Civil Service demonstrates a recognition of the intricate link between employee morale, well-being, and overall productivity and effectiveness, especially during times of major institutional shifts and changes.</w:t>
      </w:r>
    </w:p>
    <w:p w14:paraId="644981AF" w14:textId="77777777" w:rsidR="0097556E" w:rsidRDefault="0097556E" w:rsidP="00E64A0E">
      <w:pPr>
        <w:rPr>
          <w:rFonts w:ascii="Arial" w:hAnsi="Arial" w:cs="Arial"/>
        </w:rPr>
      </w:pPr>
    </w:p>
    <w:p w14:paraId="0A8927D8" w14:textId="77777777" w:rsidR="0097556E" w:rsidRDefault="0097556E" w:rsidP="00E64A0E">
      <w:pPr>
        <w:rPr>
          <w:rFonts w:ascii="Arial" w:hAnsi="Arial" w:cs="Arial"/>
        </w:rPr>
      </w:pPr>
    </w:p>
    <w:p w14:paraId="4C31DA58" w14:textId="77777777" w:rsidR="0097556E" w:rsidRPr="00767966" w:rsidRDefault="0097556E" w:rsidP="00E64A0E">
      <w:pPr>
        <w:rPr>
          <w:rFonts w:ascii="Arial" w:hAnsi="Arial" w:cs="Arial"/>
        </w:rPr>
      </w:pPr>
    </w:p>
    <w:p w14:paraId="18D34EE6" w14:textId="77777777" w:rsidR="00BD566E" w:rsidRPr="00767966" w:rsidRDefault="00BD566E" w:rsidP="00E64A0E">
      <w:pPr>
        <w:rPr>
          <w:rFonts w:ascii="Arial" w:hAnsi="Arial" w:cs="Arial"/>
        </w:rPr>
      </w:pPr>
    </w:p>
    <w:p w14:paraId="67C12304" w14:textId="4EC05140" w:rsidR="00E64A0E" w:rsidRPr="00767966" w:rsidRDefault="00BD566E" w:rsidP="00BD566E">
      <w:pPr>
        <w:pStyle w:val="Heading1"/>
        <w:spacing w:line="276" w:lineRule="auto"/>
        <w:jc w:val="both"/>
        <w:rPr>
          <w:rFonts w:cs="Arial"/>
          <w:b w:val="0"/>
          <w:bCs w:val="0"/>
          <w:color w:val="2F5496" w:themeColor="accent1" w:themeShade="BF"/>
          <w:sz w:val="32"/>
          <w:szCs w:val="32"/>
        </w:rPr>
      </w:pPr>
      <w:bookmarkStart w:id="9" w:name="_Toc157363497"/>
      <w:r w:rsidRPr="00767966">
        <w:rPr>
          <w:rFonts w:cs="Arial"/>
          <w:b w:val="0"/>
          <w:bCs w:val="0"/>
          <w:color w:val="2F5496" w:themeColor="accent1" w:themeShade="BF"/>
          <w:sz w:val="32"/>
          <w:szCs w:val="32"/>
        </w:rPr>
        <w:t xml:space="preserve">1.3 </w:t>
      </w:r>
      <w:r w:rsidR="00E64A0E" w:rsidRPr="00767966">
        <w:rPr>
          <w:rFonts w:cs="Arial"/>
          <w:b w:val="0"/>
          <w:bCs w:val="0"/>
          <w:color w:val="2F5496" w:themeColor="accent1" w:themeShade="BF"/>
          <w:sz w:val="32"/>
          <w:szCs w:val="32"/>
        </w:rPr>
        <w:t>Porter's Five Forces Analysis in the Context of Brexit</w:t>
      </w:r>
      <w:bookmarkEnd w:id="9"/>
    </w:p>
    <w:p w14:paraId="7769389A" w14:textId="77777777" w:rsidR="00E64A0E" w:rsidRPr="00767966" w:rsidRDefault="00E64A0E" w:rsidP="00E64A0E">
      <w:pPr>
        <w:rPr>
          <w:rFonts w:ascii="Arial" w:hAnsi="Arial" w:cs="Arial"/>
        </w:rPr>
      </w:pPr>
    </w:p>
    <w:p w14:paraId="1AAD5838" w14:textId="77777777" w:rsidR="00E64A0E" w:rsidRPr="00767966" w:rsidRDefault="00E64A0E" w:rsidP="00E64A0E">
      <w:pPr>
        <w:rPr>
          <w:rFonts w:ascii="Arial" w:hAnsi="Arial" w:cs="Arial"/>
        </w:rPr>
      </w:pPr>
      <w:r w:rsidRPr="00767966">
        <w:rPr>
          <w:rFonts w:ascii="Arial" w:hAnsi="Arial" w:cs="Arial"/>
          <w:b/>
          <w:bCs/>
        </w:rPr>
        <w:t>Supplier Power:</w:t>
      </w:r>
      <w:r w:rsidRPr="00767966">
        <w:rPr>
          <w:rFonts w:ascii="Arial" w:hAnsi="Arial" w:cs="Arial"/>
        </w:rPr>
        <w:t xml:space="preserve"> The concept of Supplier Power, within the framework of Porter's Five Forces Analysis, is particularly relevant when examining the Civil Service’s capacity to attract and retain talent post-Brexit. Brexit has significantly altered the dynamics of the Civil Service's human resource supply. Areas that previously relied on EU collaboration and expertise have been most affected. Dhingra and Sampson (2022) discuss the broad economic implications of Brexit, including shifts in labour markets and skill availability. These shifts have a direct impact on the Civil Service’s ability to maintain its supplier power in terms of human resources. The withdrawal from the EU has led to a reconfiguration of labour market dynamics, potentially constraining access to a skilled talent pool that was once readily available through EU networks.</w:t>
      </w:r>
    </w:p>
    <w:p w14:paraId="071E21F5" w14:textId="77777777" w:rsidR="00E64A0E" w:rsidRPr="00767966" w:rsidRDefault="00E64A0E" w:rsidP="00E64A0E">
      <w:pPr>
        <w:rPr>
          <w:rFonts w:ascii="Arial" w:hAnsi="Arial" w:cs="Arial"/>
        </w:rPr>
      </w:pPr>
      <w:r w:rsidRPr="00767966">
        <w:rPr>
          <w:rFonts w:ascii="Arial" w:hAnsi="Arial" w:cs="Arial"/>
        </w:rPr>
        <w:t>The need for new immigration policies and the surrounding uncertainties can exacerbate the challenges in attracting and retaining skilled professionals. Furthermore, the policy and economic uncertainties induced by Brexit could influence strategic planning and operational efficiency within the Civil Service, as highlighted by Dhingra and Sampson (2022). These factors collectively represent a significant challenge in maintaining a robust and skilled workforce.</w:t>
      </w:r>
    </w:p>
    <w:p w14:paraId="2A095DAA" w14:textId="77777777" w:rsidR="00E64A0E" w:rsidRPr="00767966" w:rsidRDefault="00E64A0E" w:rsidP="00E64A0E">
      <w:pPr>
        <w:rPr>
          <w:rFonts w:ascii="Arial" w:hAnsi="Arial" w:cs="Arial"/>
        </w:rPr>
      </w:pPr>
      <w:r w:rsidRPr="00767966">
        <w:rPr>
          <w:rFonts w:ascii="Arial" w:hAnsi="Arial" w:cs="Arial"/>
        </w:rPr>
        <w:t>In response to these challenges, the Civil Service has launched initiatives like the ‘Fast Stream’ program, aimed at attracting young, talented individuals into the Civil Service (Civil Service Fast Stream, 2021). This program is part of a broader strategy to counterbalance the potential loss of talent due to Brexit. By focusing on developing and recruiting homegrown talent, the Civil Service is seeking to mitigate the impacts of reduced access to the broader European labour market and ensure a steady supply of skilled professionals to meet its evolving needs.</w:t>
      </w:r>
    </w:p>
    <w:p w14:paraId="445B1C4C" w14:textId="77777777" w:rsidR="00E64A0E" w:rsidRPr="00767966" w:rsidRDefault="00E64A0E" w:rsidP="00E64A0E">
      <w:pPr>
        <w:rPr>
          <w:rFonts w:ascii="Arial" w:hAnsi="Arial" w:cs="Arial"/>
        </w:rPr>
      </w:pPr>
      <w:r w:rsidRPr="00767966">
        <w:rPr>
          <w:rFonts w:ascii="Arial" w:hAnsi="Arial" w:cs="Arial"/>
          <w:b/>
          <w:bCs/>
        </w:rPr>
        <w:t>Buyer Power:</w:t>
      </w:r>
      <w:r w:rsidRPr="00767966">
        <w:rPr>
          <w:rFonts w:ascii="Arial" w:hAnsi="Arial" w:cs="Arial"/>
        </w:rPr>
        <w:t xml:space="preserve"> In the post-Brexit environment, the notion of Buyer Power becomes highly relevant when considering the demands and expectations of the government and public as the primary ‘buyers’ of outputs from the Civil Service. The complexities ensuing from Brexit – encompassing regulatory, legislative, and international relationship changes – have necessitated a significant realignment of services and priorities within the Civil Service. These shifts have fundamentally altered the landscape of public service delivery, thereby influenced the expectations, and demanded placed upon the Civil Service. Thompson (2021) offers insight into the impact of post-Brexit procedural rules through the lens of Caribbean exports into the UK. While this analysis is specific to a certain area, it highlights the broader implications of Brexit-induced changes in regulations and processes. These changes have directly affected the Civil Service’s ability to meet new regulatory demands and adapt to a rapidly evolving policy environment.</w:t>
      </w:r>
    </w:p>
    <w:p w14:paraId="5F884E70" w14:textId="5B1C9912" w:rsidR="00E64A0E" w:rsidRPr="00767966" w:rsidRDefault="00E64A0E" w:rsidP="00E64A0E">
      <w:pPr>
        <w:rPr>
          <w:rFonts w:ascii="Arial" w:hAnsi="Arial" w:cs="Arial"/>
        </w:rPr>
      </w:pPr>
      <w:r w:rsidRPr="00767966">
        <w:rPr>
          <w:rFonts w:ascii="Arial" w:hAnsi="Arial" w:cs="Arial"/>
          <w:b/>
          <w:bCs/>
        </w:rPr>
        <w:t>Threat of New Entrants:</w:t>
      </w:r>
      <w:r w:rsidRPr="00767966">
        <w:rPr>
          <w:rFonts w:ascii="Arial" w:hAnsi="Arial" w:cs="Arial"/>
        </w:rPr>
        <w:t xml:space="preserve"> In the context of the Civil Service, the traditional notion of the threat of new external entrants is relatively low. However, post-Brexit internal dynamics have created a situation akin to this threat. The need for new skill sets and the adaptation to new roles in the post-Brexit landscape have reshaped the internal competitive environment. The Civil Service has experienced significant changes, including increased staff turnover and a shift in the types of skills and roles needed. This situation is similar to the challenges posed by new entrants in a market, as it forces existing members of the Civil Service to adapt and compete with newly emerging skill sets and roles (Institute for Government, 2023b).</w:t>
      </w:r>
    </w:p>
    <w:p w14:paraId="3457B901" w14:textId="732937DB" w:rsidR="00E64A0E" w:rsidRPr="00767966" w:rsidRDefault="00E64A0E" w:rsidP="00E64A0E">
      <w:pPr>
        <w:rPr>
          <w:rFonts w:ascii="Arial" w:hAnsi="Arial" w:cs="Arial"/>
        </w:rPr>
      </w:pPr>
      <w:r w:rsidRPr="00767966">
        <w:rPr>
          <w:rFonts w:ascii="Arial" w:hAnsi="Arial" w:cs="Arial"/>
          <w:b/>
          <w:bCs/>
        </w:rPr>
        <w:t>Threat of Substitutes:</w:t>
      </w:r>
      <w:r w:rsidRPr="00767966">
        <w:rPr>
          <w:rFonts w:ascii="Arial" w:hAnsi="Arial" w:cs="Arial"/>
        </w:rPr>
        <w:t xml:space="preserve"> The post-Brexit era has also heightened the threat of substitutes, particularly in terms of alternative employment opportunities outside the Civil Service, such as in the private sector. The increased complexity of tasks and projects following Brexit, combined with the high staff turnover, poses a risk of a talent drain. If the Civil Service does not adapt effectively to these new demands and maintain competitive employment conditions, it risks losing talent to these alternative employment opportunities (Institute for Government, 2023a).</w:t>
      </w:r>
    </w:p>
    <w:p w14:paraId="46446081" w14:textId="2F923AC3" w:rsidR="006D29D6" w:rsidRDefault="00E64A0E" w:rsidP="00E64A0E">
      <w:pPr>
        <w:rPr>
          <w:rFonts w:ascii="Arial" w:hAnsi="Arial" w:cs="Arial"/>
        </w:rPr>
      </w:pPr>
      <w:r w:rsidRPr="00767966">
        <w:rPr>
          <w:rFonts w:ascii="Arial" w:hAnsi="Arial" w:cs="Arial"/>
          <w:b/>
          <w:bCs/>
        </w:rPr>
        <w:t>Competitive Rivalry:</w:t>
      </w:r>
      <w:r w:rsidRPr="00767966">
        <w:rPr>
          <w:rFonts w:ascii="Arial" w:hAnsi="Arial" w:cs="Arial"/>
        </w:rPr>
        <w:t xml:space="preserve"> Internally, the competitive environment within the Civil Service has intensified post-Brexit. Various departments have been under increased pressure to adapt quickly to new challenges. This situation has led to heightened competition for limited resources, recognition, and positioning within the new operational landscape. Such internal rivalry can drive innovation and efficiency but also requires careful management to ensure it remains healthy and constructive (Rutter, 2021a).</w:t>
      </w:r>
    </w:p>
    <w:p w14:paraId="48648AEF" w14:textId="77777777" w:rsidR="0097556E" w:rsidRPr="0097556E" w:rsidRDefault="0097556E" w:rsidP="00E64A0E">
      <w:pPr>
        <w:rPr>
          <w:rFonts w:ascii="Arial" w:hAnsi="Arial" w:cs="Arial"/>
        </w:rPr>
      </w:pPr>
    </w:p>
    <w:p w14:paraId="2A9C845D" w14:textId="5C08521B" w:rsidR="00E64A0E" w:rsidRPr="00767966" w:rsidRDefault="00BD566E" w:rsidP="00BD566E">
      <w:pPr>
        <w:pStyle w:val="Heading1"/>
        <w:spacing w:line="276" w:lineRule="auto"/>
        <w:jc w:val="both"/>
        <w:rPr>
          <w:rFonts w:cs="Arial"/>
          <w:b w:val="0"/>
          <w:bCs w:val="0"/>
          <w:color w:val="2F5496" w:themeColor="accent1" w:themeShade="BF"/>
          <w:sz w:val="32"/>
          <w:szCs w:val="32"/>
        </w:rPr>
      </w:pPr>
      <w:bookmarkStart w:id="10" w:name="_Toc157363498"/>
      <w:r w:rsidRPr="00767966">
        <w:rPr>
          <w:rFonts w:cs="Arial"/>
          <w:b w:val="0"/>
          <w:bCs w:val="0"/>
          <w:color w:val="2F5496" w:themeColor="accent1" w:themeShade="BF"/>
          <w:sz w:val="32"/>
          <w:szCs w:val="32"/>
        </w:rPr>
        <w:t xml:space="preserve">1.4 </w:t>
      </w:r>
      <w:r w:rsidR="00E64A0E" w:rsidRPr="00767966">
        <w:rPr>
          <w:rFonts w:cs="Arial"/>
          <w:b w:val="0"/>
          <w:bCs w:val="0"/>
          <w:color w:val="2F5496" w:themeColor="accent1" w:themeShade="BF"/>
          <w:sz w:val="32"/>
          <w:szCs w:val="32"/>
        </w:rPr>
        <w:t>SWOT Analysis of the Civil Service Post-Brexit:</w:t>
      </w:r>
      <w:bookmarkEnd w:id="10"/>
    </w:p>
    <w:p w14:paraId="18B9933C" w14:textId="77777777" w:rsidR="0097556E" w:rsidRDefault="0097556E" w:rsidP="00E64A0E">
      <w:pPr>
        <w:rPr>
          <w:rFonts w:ascii="Arial" w:hAnsi="Arial" w:cs="Arial"/>
          <w:b/>
          <w:bCs/>
          <w:color w:val="2F5496" w:themeColor="accent1" w:themeShade="BF"/>
          <w:sz w:val="28"/>
          <w:szCs w:val="28"/>
          <w:u w:val="single"/>
        </w:rPr>
      </w:pPr>
    </w:p>
    <w:p w14:paraId="6F4460FD" w14:textId="6209456F" w:rsidR="00E64A0E" w:rsidRPr="00767966" w:rsidRDefault="00E64A0E" w:rsidP="00E64A0E">
      <w:pPr>
        <w:rPr>
          <w:rFonts w:ascii="Arial" w:hAnsi="Arial" w:cs="Arial"/>
          <w:b/>
          <w:bCs/>
          <w:color w:val="2F5496" w:themeColor="accent1" w:themeShade="BF"/>
          <w:sz w:val="28"/>
          <w:szCs w:val="28"/>
          <w:u w:val="single"/>
        </w:rPr>
      </w:pPr>
      <w:r w:rsidRPr="00767966">
        <w:rPr>
          <w:rFonts w:ascii="Arial" w:hAnsi="Arial" w:cs="Arial"/>
          <w:b/>
          <w:bCs/>
          <w:color w:val="2F5496" w:themeColor="accent1" w:themeShade="BF"/>
          <w:sz w:val="28"/>
          <w:szCs w:val="28"/>
          <w:u w:val="single"/>
        </w:rPr>
        <w:t>Strengths:</w:t>
      </w:r>
    </w:p>
    <w:p w14:paraId="6BE29ED7" w14:textId="43C4D717" w:rsidR="00767966" w:rsidRDefault="00E64A0E" w:rsidP="00E64A0E">
      <w:pPr>
        <w:rPr>
          <w:rFonts w:ascii="Arial" w:hAnsi="Arial" w:cs="Arial"/>
        </w:rPr>
      </w:pPr>
      <w:r w:rsidRPr="00767966">
        <w:rPr>
          <w:rFonts w:ascii="Arial" w:hAnsi="Arial" w:cs="Arial"/>
          <w:b/>
          <w:bCs/>
        </w:rPr>
        <w:t>Expanded Workforce</w:t>
      </w:r>
      <w:r w:rsidRPr="00767966">
        <w:rPr>
          <w:rFonts w:ascii="Arial" w:hAnsi="Arial" w:cs="Arial"/>
        </w:rPr>
        <w:t>: The Civil Service has undergone significant expansion, with around 30,000 Brexit-related jobs created. This increase in workforce size has contributed to greater agility and enabled the successful delivery of major projects, such as the EU Settled Status scheme (Rutter, 2021a).</w:t>
      </w:r>
    </w:p>
    <w:p w14:paraId="74993119" w14:textId="6EC72E2A" w:rsidR="00E64A0E" w:rsidRPr="00767966" w:rsidRDefault="00E64A0E" w:rsidP="00E64A0E">
      <w:pPr>
        <w:rPr>
          <w:rFonts w:ascii="Arial" w:hAnsi="Arial" w:cs="Arial"/>
          <w:b/>
          <w:bCs/>
          <w:color w:val="2F5496" w:themeColor="accent1" w:themeShade="BF"/>
          <w:sz w:val="28"/>
          <w:szCs w:val="28"/>
          <w:u w:val="single"/>
        </w:rPr>
      </w:pPr>
      <w:r w:rsidRPr="00767966">
        <w:rPr>
          <w:rFonts w:ascii="Arial" w:hAnsi="Arial" w:cs="Arial"/>
          <w:b/>
          <w:bCs/>
          <w:color w:val="2F5496" w:themeColor="accent1" w:themeShade="BF"/>
          <w:sz w:val="28"/>
          <w:szCs w:val="28"/>
          <w:u w:val="single"/>
        </w:rPr>
        <w:t>Weaknesses:</w:t>
      </w:r>
    </w:p>
    <w:p w14:paraId="33FD7429" w14:textId="77777777" w:rsidR="00E64A0E" w:rsidRPr="00767966" w:rsidRDefault="00E64A0E" w:rsidP="00E64A0E">
      <w:pPr>
        <w:rPr>
          <w:rFonts w:ascii="Arial" w:hAnsi="Arial" w:cs="Arial"/>
        </w:rPr>
      </w:pPr>
      <w:r w:rsidRPr="00767966">
        <w:rPr>
          <w:rFonts w:ascii="Arial" w:hAnsi="Arial" w:cs="Arial"/>
          <w:b/>
          <w:bCs/>
        </w:rPr>
        <w:t>High Staff Turnover:</w:t>
      </w:r>
      <w:r w:rsidRPr="00767966">
        <w:rPr>
          <w:rFonts w:ascii="Arial" w:hAnsi="Arial" w:cs="Arial"/>
        </w:rPr>
        <w:t xml:space="preserve"> Between 2021 and 2022, the Civil Service experienced high staff turnover, leading to decreased productivity and a loss of expertise. This turnover is attributed in part to declining staff satisfaction, suggesting deeper issues in civil service management (Institute for Government, 2023b).</w:t>
      </w:r>
    </w:p>
    <w:p w14:paraId="294B56C3" w14:textId="3B77676A" w:rsidR="00767966" w:rsidRPr="00767966" w:rsidRDefault="00E64A0E" w:rsidP="00E64A0E">
      <w:pPr>
        <w:rPr>
          <w:rFonts w:ascii="Arial" w:hAnsi="Arial" w:cs="Arial"/>
        </w:rPr>
      </w:pPr>
      <w:r w:rsidRPr="00767966">
        <w:rPr>
          <w:rFonts w:ascii="Arial" w:hAnsi="Arial" w:cs="Arial"/>
          <w:b/>
          <w:bCs/>
        </w:rPr>
        <w:t>Challenges in Maintaining Impartiality:</w:t>
      </w:r>
      <w:r w:rsidRPr="00767966">
        <w:rPr>
          <w:rFonts w:ascii="Arial" w:hAnsi="Arial" w:cs="Arial"/>
        </w:rPr>
        <w:t xml:space="preserve"> The Civil Service has struggled to maintain its impartiality and neutrality, particularly during periods of intense political turbulence and policy shifts caused by Brexit (Rutter, 2021b).</w:t>
      </w:r>
    </w:p>
    <w:p w14:paraId="442E89A0" w14:textId="12289F64" w:rsidR="00E64A0E" w:rsidRPr="00767966" w:rsidRDefault="00E64A0E" w:rsidP="00E64A0E">
      <w:pPr>
        <w:rPr>
          <w:rFonts w:ascii="Arial" w:hAnsi="Arial" w:cs="Arial"/>
          <w:b/>
          <w:bCs/>
          <w:color w:val="2F5496" w:themeColor="accent1" w:themeShade="BF"/>
          <w:sz w:val="28"/>
          <w:szCs w:val="28"/>
          <w:u w:val="single"/>
        </w:rPr>
      </w:pPr>
      <w:r w:rsidRPr="00767966">
        <w:rPr>
          <w:rFonts w:ascii="Arial" w:hAnsi="Arial" w:cs="Arial"/>
          <w:b/>
          <w:bCs/>
          <w:color w:val="2F5496" w:themeColor="accent1" w:themeShade="BF"/>
          <w:sz w:val="28"/>
          <w:szCs w:val="28"/>
          <w:u w:val="single"/>
        </w:rPr>
        <w:t>Opportunities:</w:t>
      </w:r>
    </w:p>
    <w:p w14:paraId="4862A0AE" w14:textId="77777777" w:rsidR="00E64A0E" w:rsidRPr="00767966" w:rsidRDefault="00E64A0E" w:rsidP="00E64A0E">
      <w:pPr>
        <w:rPr>
          <w:rFonts w:ascii="Arial" w:hAnsi="Arial" w:cs="Arial"/>
        </w:rPr>
      </w:pPr>
      <w:r w:rsidRPr="00767966">
        <w:rPr>
          <w:rFonts w:ascii="Arial" w:hAnsi="Arial" w:cs="Arial"/>
          <w:b/>
          <w:bCs/>
        </w:rPr>
        <w:t>Global Talent Visa:</w:t>
      </w:r>
      <w:r w:rsidRPr="00767966">
        <w:rPr>
          <w:rFonts w:ascii="Arial" w:hAnsi="Arial" w:cs="Arial"/>
        </w:rPr>
        <w:t xml:space="preserve"> The introduction of the UK's Global Talent Visa post-Brexit presents an opportunity to attract international expertise in various fields (UK Visas and Immigration, 2021).</w:t>
      </w:r>
    </w:p>
    <w:p w14:paraId="0ABB2016" w14:textId="77777777" w:rsidR="00E64A0E" w:rsidRPr="00767966" w:rsidRDefault="00E64A0E" w:rsidP="00E64A0E">
      <w:pPr>
        <w:rPr>
          <w:rFonts w:ascii="Arial" w:hAnsi="Arial" w:cs="Arial"/>
        </w:rPr>
      </w:pPr>
      <w:r w:rsidRPr="00767966">
        <w:rPr>
          <w:rFonts w:ascii="Arial" w:hAnsi="Arial" w:cs="Arial"/>
          <w:b/>
          <w:bCs/>
        </w:rPr>
        <w:t>Policy Innovation and International Relations:</w:t>
      </w:r>
      <w:r w:rsidRPr="00767966">
        <w:rPr>
          <w:rFonts w:ascii="Arial" w:hAnsi="Arial" w:cs="Arial"/>
        </w:rPr>
        <w:t xml:space="preserve"> The post-Brexit landscape offers unique opportunities for innovation in policymaking and for developing new international relationships and trade deals (Rutter, 2021a).</w:t>
      </w:r>
    </w:p>
    <w:p w14:paraId="47CA9C8C" w14:textId="77777777" w:rsidR="00E64A0E" w:rsidRPr="00767966" w:rsidRDefault="00E64A0E" w:rsidP="00E64A0E">
      <w:pPr>
        <w:rPr>
          <w:rFonts w:ascii="Arial" w:hAnsi="Arial" w:cs="Arial"/>
        </w:rPr>
      </w:pPr>
      <w:r w:rsidRPr="00767966">
        <w:rPr>
          <w:rFonts w:ascii="Arial" w:hAnsi="Arial" w:cs="Arial"/>
          <w:b/>
          <w:bCs/>
        </w:rPr>
        <w:t>Professional Growth:</w:t>
      </w:r>
      <w:r w:rsidRPr="00767966">
        <w:rPr>
          <w:rFonts w:ascii="Arial" w:hAnsi="Arial" w:cs="Arial"/>
        </w:rPr>
        <w:t xml:space="preserve"> The demand for new skills and expertise, especially in areas such as trade negotiations and international law, opens avenues for professional growth and development within the Civil Service (Rutter, 2021a).</w:t>
      </w:r>
    </w:p>
    <w:p w14:paraId="4A2E01D6" w14:textId="77777777" w:rsidR="0097556E" w:rsidRDefault="0097556E" w:rsidP="00E64A0E">
      <w:pPr>
        <w:rPr>
          <w:rFonts w:ascii="Arial" w:hAnsi="Arial" w:cs="Arial"/>
          <w:b/>
          <w:bCs/>
          <w:color w:val="2F5496" w:themeColor="accent1" w:themeShade="BF"/>
          <w:sz w:val="32"/>
          <w:szCs w:val="32"/>
          <w:u w:val="single"/>
        </w:rPr>
      </w:pPr>
    </w:p>
    <w:p w14:paraId="5175385B" w14:textId="425B7897" w:rsidR="00E64A0E" w:rsidRPr="00767966" w:rsidRDefault="00E64A0E" w:rsidP="00E64A0E">
      <w:pPr>
        <w:rPr>
          <w:rFonts w:ascii="Arial" w:hAnsi="Arial" w:cs="Arial"/>
          <w:b/>
          <w:bCs/>
          <w:color w:val="2F5496" w:themeColor="accent1" w:themeShade="BF"/>
          <w:sz w:val="32"/>
          <w:szCs w:val="32"/>
          <w:u w:val="single"/>
        </w:rPr>
      </w:pPr>
      <w:r w:rsidRPr="00767966">
        <w:rPr>
          <w:rFonts w:ascii="Arial" w:hAnsi="Arial" w:cs="Arial"/>
          <w:b/>
          <w:bCs/>
          <w:color w:val="2F5496" w:themeColor="accent1" w:themeShade="BF"/>
          <w:sz w:val="32"/>
          <w:szCs w:val="32"/>
          <w:u w:val="single"/>
        </w:rPr>
        <w:t>Threats:</w:t>
      </w:r>
    </w:p>
    <w:p w14:paraId="18FFE10A" w14:textId="77777777" w:rsidR="00E64A0E" w:rsidRPr="00767966" w:rsidRDefault="00E64A0E" w:rsidP="00E64A0E">
      <w:pPr>
        <w:rPr>
          <w:rFonts w:ascii="Arial" w:hAnsi="Arial" w:cs="Arial"/>
        </w:rPr>
      </w:pPr>
      <w:r w:rsidRPr="00767966">
        <w:rPr>
          <w:rFonts w:ascii="Arial" w:hAnsi="Arial" w:cs="Arial"/>
          <w:b/>
          <w:bCs/>
        </w:rPr>
        <w:t>Ongoing Uncertainty in UK-EU Relations:</w:t>
      </w:r>
      <w:r w:rsidRPr="00767966">
        <w:rPr>
          <w:rFonts w:ascii="Arial" w:hAnsi="Arial" w:cs="Arial"/>
        </w:rPr>
        <w:t xml:space="preserve"> The continuing uncertainty in relations between the UK and EU, along with internal challenges like increased workloads and resource constraints, poses significant challenges.</w:t>
      </w:r>
    </w:p>
    <w:p w14:paraId="2B68F847" w14:textId="77777777" w:rsidR="00E64A0E" w:rsidRPr="00383EF0" w:rsidRDefault="00E64A0E" w:rsidP="00E64A0E">
      <w:pPr>
        <w:rPr>
          <w:rFonts w:ascii="Arial" w:hAnsi="Arial" w:cs="Arial"/>
        </w:rPr>
      </w:pPr>
      <w:r w:rsidRPr="00767966">
        <w:rPr>
          <w:rFonts w:ascii="Arial" w:hAnsi="Arial" w:cs="Arial"/>
          <w:b/>
          <w:bCs/>
        </w:rPr>
        <w:t>Dependence on External Consultants:</w:t>
      </w:r>
      <w:r w:rsidRPr="00767966">
        <w:rPr>
          <w:rFonts w:ascii="Arial" w:hAnsi="Arial" w:cs="Arial"/>
        </w:rPr>
        <w:t xml:space="preserve"> There is an increasing reliance on external consultants for Brexit-related work, which could potentially weaken internal capabilities and </w:t>
      </w:r>
      <w:r w:rsidRPr="00383EF0">
        <w:rPr>
          <w:rFonts w:ascii="Arial" w:hAnsi="Arial" w:cs="Arial"/>
        </w:rPr>
        <w:t>lead to financial strains (Smith, 2020).</w:t>
      </w:r>
    </w:p>
    <w:p w14:paraId="33B94EF6" w14:textId="77777777" w:rsidR="00383EF0" w:rsidRPr="00383EF0" w:rsidRDefault="00383EF0" w:rsidP="00383EF0">
      <w:pPr>
        <w:rPr>
          <w:rFonts w:ascii="Arial" w:hAnsi="Arial" w:cs="Arial"/>
        </w:rPr>
      </w:pPr>
      <w:r w:rsidRPr="00383EF0">
        <w:rPr>
          <w:rFonts w:ascii="Arial" w:hAnsi="Arial" w:cs="Arial"/>
        </w:rPr>
        <w:t xml:space="preserve">While the application of Porter’s Five Forces and SWOT analyses in the UK Civil Service's post-Brexit scenario provides structured insights, their limitations in a public sector context should be critically evaluated. The Canadian experience during the NAFTA renegotiations highlights that public sector challenges often require considering a broader range of factors beyond those typically covered in these models, such as political dynamics, intergovernmental relationships, and societal impact. The business-focused nature of Porter's Five Forces may not fully capture these aspects, while SWOT could oversimplify complex public sector issues. Therefore, while these models provide a starting point, the UK Civil Service’s analysis could benefit from incorporating additional perspectives and frameworks that address the unique characteristics of public sector organizations and their operational environments​​​​. (NAFTA Renegotiations and Their Impact on Canadian Businesses, 2018; </w:t>
      </w:r>
      <w:proofErr w:type="spellStart"/>
      <w:r w:rsidRPr="00383EF0">
        <w:rPr>
          <w:rFonts w:ascii="Arial" w:hAnsi="Arial" w:cs="Arial"/>
        </w:rPr>
        <w:t>Borzykowsk</w:t>
      </w:r>
      <w:proofErr w:type="spellEnd"/>
      <w:r w:rsidRPr="00383EF0">
        <w:rPr>
          <w:rFonts w:ascii="Arial" w:hAnsi="Arial" w:cs="Arial"/>
        </w:rPr>
        <w:t xml:space="preserve"> et al., 2017).</w:t>
      </w:r>
    </w:p>
    <w:p w14:paraId="095CD4F2" w14:textId="77777777" w:rsidR="00E64A0E" w:rsidRPr="00767966" w:rsidRDefault="00E64A0E" w:rsidP="00E64A0E">
      <w:pPr>
        <w:rPr>
          <w:rFonts w:ascii="Arial" w:hAnsi="Arial" w:cs="Arial"/>
        </w:rPr>
      </w:pPr>
    </w:p>
    <w:p w14:paraId="4961F266" w14:textId="0864577B" w:rsidR="00E64A0E" w:rsidRPr="00767966" w:rsidRDefault="00BD566E" w:rsidP="00BD566E">
      <w:pPr>
        <w:pStyle w:val="Heading1"/>
        <w:spacing w:line="276" w:lineRule="auto"/>
        <w:jc w:val="both"/>
        <w:rPr>
          <w:rFonts w:cs="Arial"/>
          <w:b w:val="0"/>
          <w:bCs w:val="0"/>
          <w:color w:val="2F5496" w:themeColor="accent1" w:themeShade="BF"/>
          <w:sz w:val="32"/>
          <w:szCs w:val="32"/>
        </w:rPr>
      </w:pPr>
      <w:bookmarkStart w:id="11" w:name="_Toc157363499"/>
      <w:r w:rsidRPr="00767966">
        <w:rPr>
          <w:rFonts w:cs="Arial"/>
          <w:b w:val="0"/>
          <w:bCs w:val="0"/>
          <w:color w:val="2F5496" w:themeColor="accent1" w:themeShade="BF"/>
          <w:sz w:val="32"/>
          <w:szCs w:val="32"/>
        </w:rPr>
        <w:t xml:space="preserve">1.5 </w:t>
      </w:r>
      <w:r w:rsidR="00E64A0E" w:rsidRPr="00767966">
        <w:rPr>
          <w:rFonts w:cs="Arial"/>
          <w:b w:val="0"/>
          <w:bCs w:val="0"/>
          <w:color w:val="2F5496" w:themeColor="accent1" w:themeShade="BF"/>
          <w:sz w:val="32"/>
          <w:szCs w:val="32"/>
        </w:rPr>
        <w:t>Impact of Brexit on Workplace Culture and Capability in the UK Civil Service</w:t>
      </w:r>
      <w:bookmarkEnd w:id="11"/>
    </w:p>
    <w:p w14:paraId="4D9D0C85" w14:textId="77777777" w:rsidR="00E64A0E" w:rsidRPr="00767966" w:rsidRDefault="00E64A0E" w:rsidP="00E64A0E">
      <w:pPr>
        <w:rPr>
          <w:rFonts w:ascii="Arial" w:hAnsi="Arial" w:cs="Arial"/>
        </w:rPr>
      </w:pPr>
    </w:p>
    <w:p w14:paraId="2923AC39" w14:textId="3978F501" w:rsidR="00E64A0E" w:rsidRPr="007E512C" w:rsidRDefault="00E64A0E" w:rsidP="00E64A0E">
      <w:pPr>
        <w:rPr>
          <w:rFonts w:ascii="Arial" w:hAnsi="Arial" w:cs="Arial"/>
        </w:rPr>
      </w:pPr>
      <w:r w:rsidRPr="00767966">
        <w:rPr>
          <w:rFonts w:ascii="Arial" w:hAnsi="Arial" w:cs="Arial"/>
          <w:b/>
          <w:bCs/>
        </w:rPr>
        <w:t>Cultural Shift towards Flexibility and Resilience:</w:t>
      </w:r>
      <w:r w:rsidRPr="00767966">
        <w:rPr>
          <w:rFonts w:ascii="Arial" w:hAnsi="Arial" w:cs="Arial"/>
        </w:rPr>
        <w:t xml:space="preserve"> The post-Brexit era has ushered in a significant shift in the workplace culture within the UK Civil Service. This period has required a substantial cultural evolution toward greater flexibility and resilience. The rapid adaptation to new policies and a dynamically changing external environment has been a driving force behind this shift (Institute for Government, 2017). The Civil Service has experienced a paradigm change in both its operational and strategic frameworks, particularly following Brexit. This change highlights the Civil Service's crucial role in supporting the Government through the Brexit negotiations, preparing legislative frameworks for non-membership, and constructing an effective operational infrastructure for the new post-Brexit governance landscape.</w:t>
      </w:r>
    </w:p>
    <w:p w14:paraId="14AF992D" w14:textId="22522B75" w:rsidR="007E512C" w:rsidRPr="0097556E" w:rsidRDefault="00E64A0E" w:rsidP="0097556E">
      <w:pPr>
        <w:rPr>
          <w:rFonts w:ascii="Arial" w:hAnsi="Arial" w:cs="Arial"/>
        </w:rPr>
      </w:pPr>
      <w:r w:rsidRPr="00767966">
        <w:rPr>
          <w:rFonts w:ascii="Arial" w:hAnsi="Arial" w:cs="Arial"/>
          <w:b/>
          <w:bCs/>
        </w:rPr>
        <w:t>Adaptability and Developing New Capabilities:</w:t>
      </w:r>
      <w:r w:rsidRPr="00767966">
        <w:rPr>
          <w:rFonts w:ascii="Arial" w:hAnsi="Arial" w:cs="Arial"/>
        </w:rPr>
        <w:t xml:space="preserve"> Rutter (2021b) emphasizes the significant test of the Civil Service's adaptability during this period. This situation necessitated a strategic approach towards developing new capabilities and capacities. The evolving context of Brexit called for the establishment of new departments and an increased level of agility to effectively </w:t>
      </w:r>
      <w:r w:rsidR="00320E1F" w:rsidRPr="00767966">
        <w:rPr>
          <w:rFonts w:ascii="Arial" w:hAnsi="Arial" w:cs="Arial"/>
        </w:rPr>
        <w:t>manage</w:t>
      </w:r>
      <w:r w:rsidRPr="00767966">
        <w:rPr>
          <w:rFonts w:ascii="Arial" w:hAnsi="Arial" w:cs="Arial"/>
        </w:rPr>
        <w:t xml:space="preserve"> the complexities and uncertainties of Brexit (Rutter, 2021b). This era has been pivotal in testing and enhancing the Civil Service’s capacity to manage these transitions, underscoring the importance of continuous learning and skill development in addressing new challenges. Rutter points out that this adaptation involved not only structural changes but also significant shifts in the cultural and mindset approaches within the Civil Service. For example, the introduction of flexible working policies in the Civil Service post-Brexit (Civil Service, 2019). These policies represent an adjustment to the new challenges and working conditions, reflecting the Civil Service’s commitment to fostering a more adaptable and resilient workforce capable of responding to the changing demands of the post-Brexit environment.</w:t>
      </w:r>
    </w:p>
    <w:p w14:paraId="1F490193" w14:textId="3F29A846" w:rsidR="00332B3C" w:rsidRPr="00767966" w:rsidRDefault="00387786" w:rsidP="00FB5328">
      <w:pPr>
        <w:pStyle w:val="Heading1"/>
        <w:spacing w:line="360" w:lineRule="auto"/>
        <w:jc w:val="both"/>
        <w:rPr>
          <w:rFonts w:cs="Arial"/>
          <w:b w:val="0"/>
          <w:bCs w:val="0"/>
          <w:color w:val="2F5496" w:themeColor="accent1" w:themeShade="BF"/>
          <w:sz w:val="32"/>
          <w:szCs w:val="32"/>
        </w:rPr>
      </w:pPr>
      <w:bookmarkStart w:id="12" w:name="_Toc157363500"/>
      <w:r w:rsidRPr="00767966">
        <w:rPr>
          <w:rFonts w:cs="Arial"/>
          <w:b w:val="0"/>
          <w:bCs w:val="0"/>
          <w:color w:val="2F5496" w:themeColor="accent1" w:themeShade="BF"/>
          <w:sz w:val="32"/>
          <w:szCs w:val="32"/>
        </w:rPr>
        <w:t>2.</w:t>
      </w:r>
      <w:r w:rsidR="000C1B9E" w:rsidRPr="00767966">
        <w:rPr>
          <w:rFonts w:cs="Arial"/>
          <w:b w:val="0"/>
          <w:bCs w:val="0"/>
          <w:color w:val="2F5496" w:themeColor="accent1" w:themeShade="BF"/>
          <w:sz w:val="32"/>
          <w:szCs w:val="32"/>
        </w:rPr>
        <w:t xml:space="preserve"> Evaluate how organisational stakeholders can be efficiently led through complex workplace change</w:t>
      </w:r>
      <w:bookmarkEnd w:id="12"/>
      <w:r w:rsidR="000C1B9E" w:rsidRPr="00767966">
        <w:rPr>
          <w:rFonts w:cs="Arial"/>
          <w:b w:val="0"/>
          <w:bCs w:val="0"/>
          <w:color w:val="2F5496" w:themeColor="accent1" w:themeShade="BF"/>
          <w:sz w:val="32"/>
          <w:szCs w:val="32"/>
        </w:rPr>
        <w:t xml:space="preserve">   </w:t>
      </w:r>
    </w:p>
    <w:p w14:paraId="5B7BFBF0" w14:textId="4783C5FB" w:rsidR="00BD566E" w:rsidRPr="00767966" w:rsidRDefault="008920F3" w:rsidP="008920F3">
      <w:pPr>
        <w:pStyle w:val="Heading1"/>
        <w:spacing w:line="276" w:lineRule="auto"/>
        <w:jc w:val="both"/>
        <w:rPr>
          <w:rFonts w:cs="Arial"/>
          <w:b w:val="0"/>
          <w:bCs w:val="0"/>
          <w:color w:val="2F5496" w:themeColor="accent1" w:themeShade="BF"/>
          <w:sz w:val="32"/>
          <w:szCs w:val="32"/>
        </w:rPr>
      </w:pPr>
      <w:bookmarkStart w:id="13" w:name="_Toc157363501"/>
      <w:r w:rsidRPr="00767966">
        <w:rPr>
          <w:rFonts w:cs="Arial"/>
          <w:b w:val="0"/>
          <w:bCs w:val="0"/>
          <w:color w:val="2F5496" w:themeColor="accent1" w:themeShade="BF"/>
          <w:sz w:val="32"/>
          <w:szCs w:val="32"/>
        </w:rPr>
        <w:t xml:space="preserve">2.1 </w:t>
      </w:r>
      <w:r w:rsidR="00BD566E" w:rsidRPr="00767966">
        <w:rPr>
          <w:rFonts w:cs="Arial"/>
          <w:b w:val="0"/>
          <w:bCs w:val="0"/>
          <w:color w:val="2F5496" w:themeColor="accent1" w:themeShade="BF"/>
          <w:sz w:val="32"/>
          <w:szCs w:val="32"/>
        </w:rPr>
        <w:t>Stakeholder Analysis</w:t>
      </w:r>
      <w:bookmarkEnd w:id="13"/>
    </w:p>
    <w:p w14:paraId="3E7D189A" w14:textId="77777777" w:rsidR="00BD566E" w:rsidRPr="00767966" w:rsidRDefault="00BD566E" w:rsidP="00BD566E">
      <w:pPr>
        <w:rPr>
          <w:rFonts w:ascii="Arial" w:hAnsi="Arial" w:cs="Arial"/>
        </w:rPr>
      </w:pPr>
      <w:r w:rsidRPr="00767966">
        <w:rPr>
          <w:rFonts w:ascii="Arial" w:hAnsi="Arial" w:cs="Arial"/>
        </w:rPr>
        <w:t>In strategic planning, stakeholder analysis is crucial for identifying and assessing the interests and impacts of various stakeholders on change processes (Freeman, 1984). The UK Civil Service, facing a post-Brexit dynamic environment, requires a nuanced approach to understand these stakeholder dynamics, emphasizing the importance of adapting to new political and administrative landscapes (Institute for Government, 2017).</w:t>
      </w:r>
    </w:p>
    <w:p w14:paraId="6025B3CB" w14:textId="77777777" w:rsidR="00BD566E" w:rsidRPr="00767966" w:rsidRDefault="00BD566E" w:rsidP="00BD566E">
      <w:pPr>
        <w:rPr>
          <w:rFonts w:ascii="Arial" w:hAnsi="Arial" w:cs="Arial"/>
        </w:rPr>
      </w:pPr>
    </w:p>
    <w:p w14:paraId="216F6982" w14:textId="77777777" w:rsidR="00BD566E" w:rsidRPr="00767966" w:rsidRDefault="00BD566E" w:rsidP="00BD566E">
      <w:pPr>
        <w:rPr>
          <w:rFonts w:ascii="Arial" w:hAnsi="Arial" w:cs="Arial"/>
          <w:b/>
          <w:bCs/>
          <w:sz w:val="28"/>
          <w:szCs w:val="28"/>
          <w:u w:val="single"/>
        </w:rPr>
      </w:pPr>
      <w:r w:rsidRPr="00767966">
        <w:rPr>
          <w:rFonts w:ascii="Arial" w:hAnsi="Arial" w:cs="Arial"/>
          <w:b/>
          <w:bCs/>
          <w:sz w:val="28"/>
          <w:szCs w:val="28"/>
          <w:u w:val="single"/>
        </w:rPr>
        <w:t>Key Stakeholders and Their Interests</w:t>
      </w:r>
    </w:p>
    <w:p w14:paraId="4A2F763E" w14:textId="77777777" w:rsidR="00BD566E" w:rsidRPr="00767966" w:rsidRDefault="00BD566E" w:rsidP="00BD566E">
      <w:pPr>
        <w:rPr>
          <w:rFonts w:ascii="Arial" w:hAnsi="Arial" w:cs="Arial"/>
        </w:rPr>
      </w:pPr>
    </w:p>
    <w:p w14:paraId="19D81672" w14:textId="77777777" w:rsidR="00BD566E" w:rsidRPr="00767966" w:rsidRDefault="00BD566E" w:rsidP="00BD566E">
      <w:pPr>
        <w:rPr>
          <w:rFonts w:ascii="Arial" w:hAnsi="Arial" w:cs="Arial"/>
          <w:b/>
          <w:bCs/>
        </w:rPr>
      </w:pPr>
      <w:r w:rsidRPr="00767966">
        <w:rPr>
          <w:rFonts w:ascii="Arial" w:hAnsi="Arial" w:cs="Arial"/>
          <w:b/>
          <w:bCs/>
        </w:rPr>
        <w:t>Government Officials (Politicians and Ministers):</w:t>
      </w:r>
    </w:p>
    <w:p w14:paraId="11E1D8CD" w14:textId="141A72D0" w:rsidR="00BD566E" w:rsidRPr="00767966" w:rsidRDefault="00BD566E" w:rsidP="00BD566E">
      <w:pPr>
        <w:rPr>
          <w:rFonts w:ascii="Arial" w:hAnsi="Arial" w:cs="Arial"/>
        </w:rPr>
      </w:pPr>
      <w:r w:rsidRPr="00767966">
        <w:rPr>
          <w:rFonts w:ascii="Arial" w:hAnsi="Arial" w:cs="Arial"/>
        </w:rPr>
        <w:t xml:space="preserve">The </w:t>
      </w:r>
      <w:r w:rsidR="00320E1F" w:rsidRPr="00767966">
        <w:rPr>
          <w:rFonts w:ascii="Arial" w:hAnsi="Arial" w:cs="Arial"/>
        </w:rPr>
        <w:t>major influence</w:t>
      </w:r>
      <w:r w:rsidRPr="00767966">
        <w:rPr>
          <w:rFonts w:ascii="Arial" w:hAnsi="Arial" w:cs="Arial"/>
        </w:rPr>
        <w:t xml:space="preserve"> of government officials in shaping policy and strategic direction is undeniable, particularly in the post-Brexit era. Their alignment with the current government's stance could potentially lead to the politicization of the civil service, a concern reflected in scholarly discourse on public administration (Savoie, 2012; Institute for Government, 2023b). This situation necessitates a careful balance between political objectives and administrative efficacy, raising critical questions about public welfare and policy priorities (Savoie, 2012; Perry &amp; Hondeghem, 2008). Kotter's principles of change management (1996, 2012) offer valuable insights for navigating these complex political influences with effectiveness and integrity.</w:t>
      </w:r>
    </w:p>
    <w:p w14:paraId="2046EB98" w14:textId="77777777" w:rsidR="00BD566E" w:rsidRPr="00767966" w:rsidRDefault="00BD566E" w:rsidP="00BD566E">
      <w:pPr>
        <w:rPr>
          <w:rFonts w:ascii="Arial" w:hAnsi="Arial" w:cs="Arial"/>
          <w:b/>
          <w:bCs/>
        </w:rPr>
      </w:pPr>
      <w:r w:rsidRPr="00767966">
        <w:rPr>
          <w:rFonts w:ascii="Arial" w:hAnsi="Arial" w:cs="Arial"/>
          <w:b/>
          <w:bCs/>
        </w:rPr>
        <w:t>Civil Servants:</w:t>
      </w:r>
    </w:p>
    <w:p w14:paraId="45231E84" w14:textId="5BC54930" w:rsidR="00BD566E" w:rsidRPr="00767966" w:rsidRDefault="00BD566E" w:rsidP="00BD566E">
      <w:pPr>
        <w:rPr>
          <w:rFonts w:ascii="Arial" w:hAnsi="Arial" w:cs="Arial"/>
        </w:rPr>
      </w:pPr>
      <w:r w:rsidRPr="00767966">
        <w:rPr>
          <w:rFonts w:ascii="Arial" w:hAnsi="Arial" w:cs="Arial"/>
        </w:rPr>
        <w:t>Civil servants are integral to implementing changes, especially post-Brexit, with their roles demanding both job security and clear definitions. These challenges are compounded by the need to manage change resistance and maintain morale. The collective action of civil servants is pivotal during such transitions (Thomas, 2020; Smith, 2020). Lewin's change model (1951) provides a framework for navigating these challenges effectively, and insights from Cummings and Worley (2014) on organizational development can further inform strategies in this evolving landscape.</w:t>
      </w:r>
    </w:p>
    <w:p w14:paraId="6F567C07" w14:textId="77777777" w:rsidR="00BD566E" w:rsidRPr="00767966" w:rsidRDefault="00BD566E" w:rsidP="00BD566E">
      <w:pPr>
        <w:rPr>
          <w:rFonts w:ascii="Arial" w:hAnsi="Arial" w:cs="Arial"/>
          <w:b/>
          <w:bCs/>
        </w:rPr>
      </w:pPr>
      <w:r w:rsidRPr="00767966">
        <w:rPr>
          <w:rFonts w:ascii="Arial" w:hAnsi="Arial" w:cs="Arial"/>
          <w:b/>
          <w:bCs/>
        </w:rPr>
        <w:t>Public and Citizens:</w:t>
      </w:r>
    </w:p>
    <w:p w14:paraId="251A78AB" w14:textId="77777777" w:rsidR="0097556E" w:rsidRDefault="00BD566E" w:rsidP="00BD566E">
      <w:pPr>
        <w:rPr>
          <w:rFonts w:ascii="Arial" w:hAnsi="Arial" w:cs="Arial"/>
        </w:rPr>
      </w:pPr>
      <w:r w:rsidRPr="00767966">
        <w:rPr>
          <w:rFonts w:ascii="Arial" w:hAnsi="Arial" w:cs="Arial"/>
        </w:rPr>
        <w:t>The public's demand for efficient service delivery, juxtaposed with their indirect influence through public opinion and media, presents a unique challenge in balancing bureaucratic efficiency and democratic accountability (Hood &amp; Lodge, 2006). Bryson and Crosby’s work (1992) on shared-power leadership, along with Hayes’s (2018) change management theories, are instrumental in guiding the civil service to address these demands effectively, particularly during significant shifts like Brexit.</w:t>
      </w:r>
    </w:p>
    <w:p w14:paraId="077B2A9B" w14:textId="10F5145A" w:rsidR="00BD566E" w:rsidRPr="0097556E" w:rsidRDefault="00BD566E" w:rsidP="00BD566E">
      <w:pPr>
        <w:rPr>
          <w:rFonts w:ascii="Arial" w:hAnsi="Arial" w:cs="Arial"/>
        </w:rPr>
      </w:pPr>
      <w:r w:rsidRPr="00767966">
        <w:rPr>
          <w:rFonts w:ascii="Arial" w:hAnsi="Arial" w:cs="Arial"/>
          <w:b/>
          <w:bCs/>
        </w:rPr>
        <w:t>Trade Unions and Employee Associations:</w:t>
      </w:r>
    </w:p>
    <w:p w14:paraId="1B1E2D64" w14:textId="77777777" w:rsidR="00BD566E" w:rsidRPr="00767966" w:rsidRDefault="00BD566E" w:rsidP="00BD566E">
      <w:pPr>
        <w:rPr>
          <w:rFonts w:ascii="Arial" w:hAnsi="Arial" w:cs="Arial"/>
        </w:rPr>
      </w:pPr>
      <w:r w:rsidRPr="00767966">
        <w:rPr>
          <w:rFonts w:ascii="Arial" w:hAnsi="Arial" w:cs="Arial"/>
        </w:rPr>
        <w:t>Trade unions and employee associations are vital in protecting the rights of civil servants. Their role, characterized by moderate influence but significant impact, feeds into the broader debate around their place in public sector reform (Schmidt et al., 2019). Understanding their complex participation in the change process is essential for ensuring a balanced approach to organizational transformation.</w:t>
      </w:r>
    </w:p>
    <w:p w14:paraId="6FC007D4" w14:textId="77777777" w:rsidR="00BD566E" w:rsidRPr="00767966" w:rsidRDefault="00BD566E" w:rsidP="00BD566E">
      <w:pPr>
        <w:rPr>
          <w:rFonts w:ascii="Arial" w:hAnsi="Arial" w:cs="Arial"/>
          <w:b/>
          <w:bCs/>
        </w:rPr>
      </w:pPr>
      <w:r w:rsidRPr="00767966">
        <w:rPr>
          <w:rFonts w:ascii="Arial" w:hAnsi="Arial" w:cs="Arial"/>
          <w:b/>
          <w:bCs/>
        </w:rPr>
        <w:t>Private Sector Partners and Suppliers:</w:t>
      </w:r>
    </w:p>
    <w:p w14:paraId="583A2C1C" w14:textId="3DE2D3D5" w:rsidR="00BD566E" w:rsidRPr="00767966" w:rsidRDefault="00BD566E" w:rsidP="00BD566E">
      <w:pPr>
        <w:rPr>
          <w:rFonts w:ascii="Arial" w:hAnsi="Arial" w:cs="Arial"/>
        </w:rPr>
      </w:pPr>
      <w:r w:rsidRPr="00767966">
        <w:rPr>
          <w:rFonts w:ascii="Arial" w:hAnsi="Arial" w:cs="Arial"/>
        </w:rPr>
        <w:t>The influence of private sector stakeholders on the UK Civil Service post-Brexit is dynamic, hinging on the specifics of their contractual relationships. This context is well framed by Freeman’s stakeholder theory (1984), which offers a lens to examine and adapt these relationships amid regulatory shifts caused by Brexit (Dhingra et al., 2016).</w:t>
      </w:r>
    </w:p>
    <w:p w14:paraId="4ABB24DC" w14:textId="77777777" w:rsidR="00BD566E" w:rsidRPr="00767966" w:rsidRDefault="00BD566E" w:rsidP="00BD566E">
      <w:pPr>
        <w:rPr>
          <w:rFonts w:ascii="Arial" w:hAnsi="Arial" w:cs="Arial"/>
          <w:b/>
          <w:bCs/>
        </w:rPr>
      </w:pPr>
      <w:r w:rsidRPr="00767966">
        <w:rPr>
          <w:rFonts w:ascii="Arial" w:hAnsi="Arial" w:cs="Arial"/>
          <w:b/>
          <w:bCs/>
        </w:rPr>
        <w:t>International Bodies and Foreign Governments:</w:t>
      </w:r>
    </w:p>
    <w:p w14:paraId="0881DAFA" w14:textId="77777777" w:rsidR="00BD566E" w:rsidRPr="00767966" w:rsidRDefault="00BD566E" w:rsidP="00BD566E">
      <w:pPr>
        <w:rPr>
          <w:rFonts w:ascii="Arial" w:hAnsi="Arial" w:cs="Arial"/>
        </w:rPr>
      </w:pPr>
      <w:r w:rsidRPr="00767966">
        <w:rPr>
          <w:rFonts w:ascii="Arial" w:hAnsi="Arial" w:cs="Arial"/>
        </w:rPr>
        <w:t>The UK's international relations have been significantly reshaped post-Brexit, affecting the Civil Service in indirect yet profound ways. This impact is particularly notable in the realm of compliance with international standards and agreements. Bloom et al. (2015) provides valuable insights into this aspect, emphasizing the macroeconomic implications of such external relationships.</w:t>
      </w:r>
    </w:p>
    <w:p w14:paraId="78BA4E22" w14:textId="04067F16" w:rsidR="00BD566E" w:rsidRPr="00767966" w:rsidRDefault="008920F3" w:rsidP="008920F3">
      <w:pPr>
        <w:pStyle w:val="Heading1"/>
        <w:spacing w:line="276" w:lineRule="auto"/>
        <w:jc w:val="both"/>
        <w:rPr>
          <w:rFonts w:cs="Arial"/>
          <w:b w:val="0"/>
          <w:bCs w:val="0"/>
          <w:color w:val="2F5496" w:themeColor="accent1" w:themeShade="BF"/>
          <w:sz w:val="32"/>
          <w:szCs w:val="32"/>
        </w:rPr>
      </w:pPr>
      <w:bookmarkStart w:id="14" w:name="_Toc157363502"/>
      <w:r w:rsidRPr="00767966">
        <w:rPr>
          <w:rFonts w:cs="Arial"/>
          <w:b w:val="0"/>
          <w:bCs w:val="0"/>
          <w:color w:val="2F5496" w:themeColor="accent1" w:themeShade="BF"/>
          <w:sz w:val="32"/>
          <w:szCs w:val="32"/>
        </w:rPr>
        <w:t>2.2</w:t>
      </w:r>
      <w:r w:rsidR="00BD566E" w:rsidRPr="00767966">
        <w:rPr>
          <w:rFonts w:cs="Arial"/>
          <w:b w:val="0"/>
          <w:bCs w:val="0"/>
          <w:color w:val="2F5496" w:themeColor="accent1" w:themeShade="BF"/>
          <w:sz w:val="32"/>
          <w:szCs w:val="32"/>
        </w:rPr>
        <w:t xml:space="preserve"> Categorization Based on Influence and Impact</w:t>
      </w:r>
      <w:bookmarkEnd w:id="14"/>
    </w:p>
    <w:p w14:paraId="1E5459BA" w14:textId="77777777" w:rsidR="00BD566E" w:rsidRPr="00767966" w:rsidRDefault="00BD566E" w:rsidP="00BD566E">
      <w:pPr>
        <w:rPr>
          <w:rFonts w:ascii="Arial" w:hAnsi="Arial" w:cs="Arial"/>
        </w:rPr>
      </w:pPr>
    </w:p>
    <w:p w14:paraId="7D3C12A1" w14:textId="166C54E3" w:rsidR="00BD566E" w:rsidRPr="00767966" w:rsidRDefault="00BD566E" w:rsidP="00BD566E">
      <w:pPr>
        <w:rPr>
          <w:rFonts w:ascii="Arial" w:hAnsi="Arial" w:cs="Arial"/>
        </w:rPr>
      </w:pPr>
      <w:r w:rsidRPr="00767966">
        <w:rPr>
          <w:rFonts w:ascii="Arial" w:hAnsi="Arial" w:cs="Arial"/>
          <w:b/>
          <w:bCs/>
        </w:rPr>
        <w:t>High Influence and High Impact - Government Officials</w:t>
      </w:r>
      <w:r w:rsidRPr="00767966">
        <w:rPr>
          <w:rFonts w:ascii="Arial" w:hAnsi="Arial" w:cs="Arial"/>
        </w:rPr>
        <w:t>: Their critical role in shaping policies and driving outcomes post-Brexit is highlighted by Russell (2021), who also notes concerns about the potential politicization of the civil service. This dynamic relationship between policy creation and implementation underscores the need for effective leadership in navigating these challenges. Kotter's leadership model (1996, 2012) provides insights into guiding such change.</w:t>
      </w:r>
    </w:p>
    <w:p w14:paraId="15202254" w14:textId="55015198" w:rsidR="00BD566E" w:rsidRPr="00767966" w:rsidRDefault="00BD566E" w:rsidP="00BD566E">
      <w:pPr>
        <w:rPr>
          <w:rFonts w:ascii="Arial" w:hAnsi="Arial" w:cs="Arial"/>
        </w:rPr>
      </w:pPr>
      <w:r w:rsidRPr="00767966">
        <w:rPr>
          <w:rFonts w:ascii="Arial" w:hAnsi="Arial" w:cs="Arial"/>
          <w:b/>
          <w:bCs/>
        </w:rPr>
        <w:t>Moderate Influence, High Impact - Civil Servants:</w:t>
      </w:r>
      <w:r w:rsidRPr="00767966">
        <w:rPr>
          <w:rFonts w:ascii="Arial" w:hAnsi="Arial" w:cs="Arial"/>
        </w:rPr>
        <w:t xml:space="preserve"> Civil servants play a vital role in adapting to and implementing policy changes, particularly in the context of UK social policy post-Brexit (Stewart, Cooper, Shutes, 2020). Their ability to navigate these changes is crucial for mitigating negative impacts on public services. Lewin's change model (1951) offers a framework for understanding their adaptation process.</w:t>
      </w:r>
    </w:p>
    <w:p w14:paraId="0CD1A5B8" w14:textId="77777777" w:rsidR="00BD566E" w:rsidRPr="00767966" w:rsidRDefault="00BD566E" w:rsidP="00BD566E">
      <w:pPr>
        <w:rPr>
          <w:rFonts w:ascii="Arial" w:hAnsi="Arial" w:cs="Arial"/>
        </w:rPr>
      </w:pPr>
      <w:r w:rsidRPr="00767966">
        <w:rPr>
          <w:rFonts w:ascii="Arial" w:hAnsi="Arial" w:cs="Arial"/>
          <w:b/>
          <w:bCs/>
        </w:rPr>
        <w:t>Low Influence but Variable Impact - The Public:</w:t>
      </w:r>
      <w:r w:rsidRPr="00767966">
        <w:rPr>
          <w:rFonts w:ascii="Arial" w:hAnsi="Arial" w:cs="Arial"/>
        </w:rPr>
        <w:t xml:space="preserve"> The public's limited direct influence contrasts with their significant indirect impact through media engagement and public opinion. Yuan et al. (2023) discuss the role of digital platforms in shaping public perception, highlighting the tension in public administration between efficiency and public responsiveness.</w:t>
      </w:r>
    </w:p>
    <w:p w14:paraId="61CF35F8" w14:textId="77777777" w:rsidR="00BD566E" w:rsidRPr="00767966" w:rsidRDefault="00BD566E" w:rsidP="00BD566E">
      <w:pPr>
        <w:rPr>
          <w:rFonts w:ascii="Arial" w:hAnsi="Arial" w:cs="Arial"/>
          <w:b/>
          <w:bCs/>
        </w:rPr>
      </w:pPr>
      <w:r w:rsidRPr="00767966">
        <w:rPr>
          <w:rFonts w:ascii="Arial" w:hAnsi="Arial" w:cs="Arial"/>
          <w:b/>
          <w:bCs/>
        </w:rPr>
        <w:t>Moderate Influence and Impact of Trade Unions and Employee Associations</w:t>
      </w:r>
      <w:r w:rsidRPr="00767966">
        <w:rPr>
          <w:rFonts w:ascii="Arial" w:hAnsi="Arial" w:cs="Arial"/>
        </w:rPr>
        <w:t>: The influence of trade unions and employee associations in the post-Brexit landscape is significant, especially in safeguarding workers' rights. According to a report by Professor Federico Ortino (2020), commissioned by the Trades Union Congress (TUC), these entities played a crucial role in shaping the EU-UK Trade and Cooperation Agreement. The agreement includes commitments to maintain standards of workers' rights as they were when the UK-EU agreement was signed. This demonstrates the unions' strategic advocacy in policy adaptation, consistent with Carew's (2022) analysis of their complex role within the public sector, influenced by historical, political, and cultural factors​​.</w:t>
      </w:r>
    </w:p>
    <w:p w14:paraId="655658C9" w14:textId="77777777" w:rsidR="00BD566E" w:rsidRPr="00767966" w:rsidRDefault="00BD566E" w:rsidP="00BD566E">
      <w:pPr>
        <w:rPr>
          <w:rFonts w:ascii="Arial" w:hAnsi="Arial" w:cs="Arial"/>
        </w:rPr>
      </w:pPr>
      <w:r w:rsidRPr="00767966">
        <w:rPr>
          <w:rFonts w:ascii="Arial" w:hAnsi="Arial" w:cs="Arial"/>
          <w:b/>
          <w:bCs/>
        </w:rPr>
        <w:t>Variable Influence - Private Sector Partners and Suppliers:</w:t>
      </w:r>
      <w:r w:rsidRPr="00767966">
        <w:rPr>
          <w:rFonts w:ascii="Arial" w:hAnsi="Arial" w:cs="Arial"/>
        </w:rPr>
        <w:t xml:space="preserve"> The influence of private sector stakeholders in the Civil Service post-Brexit varied, especially in the context of adapting to new trade regulations. The complexity of renegotiating contracts and partnerships, as necessitated by Brexit, echoes Dhingra et al.'s (2016) emphasis on the importance of strategic partnerships and adaptability. This real-world scenario illustrates the practical application of Freeman’s (1984) stakeholder theory, with the adaptability of these relationships being crucial to regulatory compliance and operational efficiency.</w:t>
      </w:r>
    </w:p>
    <w:p w14:paraId="3C99143A" w14:textId="77777777" w:rsidR="00BD566E" w:rsidRPr="00767966" w:rsidRDefault="00BD566E" w:rsidP="00BD566E">
      <w:pPr>
        <w:rPr>
          <w:rFonts w:ascii="Arial" w:hAnsi="Arial" w:cs="Arial"/>
        </w:rPr>
      </w:pPr>
      <w:r w:rsidRPr="00767966">
        <w:rPr>
          <w:rFonts w:ascii="Arial" w:hAnsi="Arial" w:cs="Arial"/>
          <w:b/>
          <w:bCs/>
        </w:rPr>
        <w:t>International Bodies and Foreign Governments:</w:t>
      </w:r>
      <w:r w:rsidRPr="00767966">
        <w:rPr>
          <w:rFonts w:ascii="Arial" w:hAnsi="Arial" w:cs="Arial"/>
        </w:rPr>
        <w:t xml:space="preserve"> The role of the UK Civil Service in the context of its interactions with international bodies and foreign governments post-Brexit is characterized by variable impact and significant complexity. This impact is contingent on the evolving nature of the UK's foreign policy and its international agreements. The analysis by Bloom et al. (2015) is instrumental in detailing the multifaceted implications of these external relationships, particularly in terms of the civil service's responsibility to uphold international standards amidst domestic policy changes. This scenario, reflecting the dynamic nature of international relations in the post-Brexit landscape, exemplifies the strategic challenges faced by the civil service. In this context, Freeman's (1984) strategic management concepts become particularly relevant. They offer a framework for understanding and navigating the strategic implications of these relationships. Freeman's approach emphasizes the importance of considering various stakeholders' interests and the complex interplay between different external and internal forces. This perspective is crucial for the UK Civil Service in strategizing its international engagements and ensuring that its domestic policies are aligned with its international commitments, thus maintaining a balance between national interests and global responsibilities.</w:t>
      </w:r>
    </w:p>
    <w:p w14:paraId="57A9BC8D" w14:textId="77777777" w:rsidR="00BD566E" w:rsidRPr="00767966" w:rsidRDefault="00BD566E" w:rsidP="00BD566E">
      <w:pPr>
        <w:rPr>
          <w:rFonts w:ascii="Arial" w:hAnsi="Arial" w:cs="Arial"/>
        </w:rPr>
      </w:pPr>
    </w:p>
    <w:p w14:paraId="25B35201" w14:textId="7A3CA271" w:rsidR="00BD566E" w:rsidRPr="002B61C0" w:rsidRDefault="008920F3" w:rsidP="008920F3">
      <w:pPr>
        <w:pStyle w:val="Heading1"/>
        <w:spacing w:line="276" w:lineRule="auto"/>
        <w:jc w:val="both"/>
        <w:rPr>
          <w:rFonts w:cs="Arial"/>
          <w:b w:val="0"/>
          <w:bCs w:val="0"/>
          <w:color w:val="2F5496" w:themeColor="accent1" w:themeShade="BF"/>
          <w:sz w:val="32"/>
          <w:szCs w:val="32"/>
        </w:rPr>
      </w:pPr>
      <w:bookmarkStart w:id="15" w:name="_Toc157363503"/>
      <w:r w:rsidRPr="002B61C0">
        <w:rPr>
          <w:rFonts w:cs="Arial"/>
          <w:b w:val="0"/>
          <w:bCs w:val="0"/>
          <w:color w:val="2F5496" w:themeColor="accent1" w:themeShade="BF"/>
          <w:sz w:val="32"/>
          <w:szCs w:val="32"/>
        </w:rPr>
        <w:t xml:space="preserve">2.3 </w:t>
      </w:r>
      <w:r w:rsidR="00BD566E" w:rsidRPr="002B61C0">
        <w:rPr>
          <w:rFonts w:cs="Arial"/>
          <w:b w:val="0"/>
          <w:bCs w:val="0"/>
          <w:color w:val="2F5496" w:themeColor="accent1" w:themeShade="BF"/>
          <w:sz w:val="32"/>
          <w:szCs w:val="32"/>
        </w:rPr>
        <w:t>Kotter’s 8 Steps of Change Process:</w:t>
      </w:r>
      <w:bookmarkEnd w:id="15"/>
    </w:p>
    <w:p w14:paraId="6B5DAF9A" w14:textId="77777777" w:rsidR="00BD566E" w:rsidRPr="00767966" w:rsidRDefault="00BD566E" w:rsidP="00BD566E">
      <w:pPr>
        <w:rPr>
          <w:rFonts w:ascii="Arial" w:hAnsi="Arial" w:cs="Arial"/>
        </w:rPr>
      </w:pPr>
    </w:p>
    <w:p w14:paraId="55E7DC97" w14:textId="6973008F" w:rsidR="00BD566E" w:rsidRPr="00767966" w:rsidRDefault="00BD566E" w:rsidP="00BD566E">
      <w:pPr>
        <w:rPr>
          <w:rFonts w:ascii="Arial" w:hAnsi="Arial" w:cs="Arial"/>
        </w:rPr>
      </w:pPr>
      <w:r w:rsidRPr="00767966">
        <w:rPr>
          <w:rFonts w:ascii="Arial" w:hAnsi="Arial" w:cs="Arial"/>
          <w:b/>
          <w:bCs/>
        </w:rPr>
        <w:t>Establishing a Sense of Urgency:</w:t>
      </w:r>
      <w:r w:rsidRPr="00767966">
        <w:rPr>
          <w:rFonts w:ascii="Arial" w:hAnsi="Arial" w:cs="Arial"/>
        </w:rPr>
        <w:t xml:space="preserve"> The Brexit referendum created an immediate sense of urgency. McCulloch (2020) discusses how this political decision needed to be translated into actionable steps for the civil service, focusing on the need for rapid adaptation to new policies and international relations. This aligns with Kotter’s emphasis on creating a sense of urgency as the first step in the change process (1996; 2012), reflecting the civil service’s need to quickly adapt to the Brexit decision.</w:t>
      </w:r>
    </w:p>
    <w:p w14:paraId="3B067681" w14:textId="77777777" w:rsidR="00BD566E" w:rsidRPr="00767966" w:rsidRDefault="00BD566E" w:rsidP="00BD566E">
      <w:pPr>
        <w:rPr>
          <w:rFonts w:ascii="Arial" w:hAnsi="Arial" w:cs="Arial"/>
        </w:rPr>
      </w:pPr>
      <w:r w:rsidRPr="00767966">
        <w:rPr>
          <w:rFonts w:ascii="Arial" w:hAnsi="Arial" w:cs="Arial"/>
          <w:b/>
          <w:bCs/>
        </w:rPr>
        <w:t>Forming a Powerful Guiding Coalition:</w:t>
      </w:r>
      <w:r w:rsidRPr="00767966">
        <w:rPr>
          <w:rFonts w:ascii="Arial" w:hAnsi="Arial" w:cs="Arial"/>
        </w:rPr>
        <w:t xml:space="preserve"> The coalition managing Brexit-related changes consisted of leaders from various government departments, reflecting Kotter's emphasis on forming strong leadership coalitions (1996; 2012). Rutter (2021a) highlights the formation of new departments like DExEU and DIT as crucial in spearheading the Brexit process, emphasizing the necessity of strong leadership to navigate transformative changes.</w:t>
      </w:r>
    </w:p>
    <w:p w14:paraId="01FD110D" w14:textId="77777777" w:rsidR="00BD566E" w:rsidRPr="00767966" w:rsidRDefault="00BD566E" w:rsidP="00BD566E">
      <w:pPr>
        <w:rPr>
          <w:rFonts w:ascii="Arial" w:hAnsi="Arial" w:cs="Arial"/>
        </w:rPr>
      </w:pPr>
      <w:r w:rsidRPr="00767966">
        <w:rPr>
          <w:rFonts w:ascii="Arial" w:hAnsi="Arial" w:cs="Arial"/>
          <w:b/>
          <w:bCs/>
        </w:rPr>
        <w:t>Creating a Vision for Change:</w:t>
      </w:r>
      <w:r w:rsidRPr="00767966">
        <w:rPr>
          <w:rFonts w:ascii="Arial" w:hAnsi="Arial" w:cs="Arial"/>
        </w:rPr>
        <w:t xml:space="preserve"> Formulating a vision for post-Brexit operations was intricate, echoing Kotter's emphasis on creating a clear and compelling vision (1996; 2012). Lancefield (2016) discusses the importance of scenario planning in formulating such visions, enabling the analysis of potential outcomes and strategic priorities.</w:t>
      </w:r>
    </w:p>
    <w:p w14:paraId="322467DD" w14:textId="7BE95F63" w:rsidR="00BD566E" w:rsidRPr="00767966" w:rsidRDefault="00BD566E" w:rsidP="00BD566E">
      <w:pPr>
        <w:rPr>
          <w:rFonts w:ascii="Arial" w:hAnsi="Arial" w:cs="Arial"/>
        </w:rPr>
      </w:pPr>
      <w:r w:rsidRPr="00767966">
        <w:rPr>
          <w:rFonts w:ascii="Arial" w:hAnsi="Arial" w:cs="Arial"/>
          <w:b/>
          <w:bCs/>
        </w:rPr>
        <w:t>Communicating the Vision:</w:t>
      </w:r>
      <w:r w:rsidRPr="00767966">
        <w:rPr>
          <w:rFonts w:ascii="Arial" w:hAnsi="Arial" w:cs="Arial"/>
        </w:rPr>
        <w:t xml:space="preserve"> Disseminating this vision across the Civil Service, characterized by its size and diversity, presented substantial challenges. Kotter (1996; 2012) highlights the importance of effective communication in change processes. Reeves (2016) emphasizes the need for clear and consistent communication to navigate uncertainties during transformative periods.</w:t>
      </w:r>
    </w:p>
    <w:p w14:paraId="39B15DE1" w14:textId="77777777" w:rsidR="00BD566E" w:rsidRPr="00767966" w:rsidRDefault="00BD566E" w:rsidP="00BD566E">
      <w:pPr>
        <w:rPr>
          <w:rFonts w:ascii="Arial" w:hAnsi="Arial" w:cs="Arial"/>
        </w:rPr>
      </w:pPr>
      <w:r w:rsidRPr="00767966">
        <w:rPr>
          <w:rFonts w:ascii="Arial" w:hAnsi="Arial" w:cs="Arial"/>
          <w:b/>
          <w:bCs/>
        </w:rPr>
        <w:t>Empowering Employees for Broad-Based Action:</w:t>
      </w:r>
      <w:r w:rsidRPr="00767966">
        <w:rPr>
          <w:rFonts w:ascii="Arial" w:hAnsi="Arial" w:cs="Arial"/>
        </w:rPr>
        <w:t xml:space="preserve"> Empowering employees in the Civil Service to adapt to post-Brexit operations is crucial. Kotter (1996; 2012) stresses the importance of empowering employees for effective change. Rutter (2021a) notes the extensive organizational changes undertaken, such as creating new departments and establishing Brexit teams.</w:t>
      </w:r>
    </w:p>
    <w:p w14:paraId="05E90CA8" w14:textId="42FD5951" w:rsidR="00BD566E" w:rsidRPr="00767966" w:rsidRDefault="00BD566E" w:rsidP="00BD566E">
      <w:pPr>
        <w:rPr>
          <w:rFonts w:ascii="Arial" w:hAnsi="Arial" w:cs="Arial"/>
        </w:rPr>
      </w:pPr>
      <w:r w:rsidRPr="00767966">
        <w:rPr>
          <w:rFonts w:ascii="Arial" w:hAnsi="Arial" w:cs="Arial"/>
          <w:b/>
          <w:bCs/>
        </w:rPr>
        <w:t>Generating Short-Term Wins:</w:t>
      </w:r>
      <w:r w:rsidRPr="00767966">
        <w:rPr>
          <w:rFonts w:ascii="Arial" w:hAnsi="Arial" w:cs="Arial"/>
        </w:rPr>
        <w:t xml:space="preserve"> Identifying short-term wins was essential to maintain momentum, aligning with Kotter’s model which emphasizes celebrating short-term victories (Kotter, 1996; 2012). One notable win was the successful implementation of the EU Settled Status scheme (Rutter, 2021a).</w:t>
      </w:r>
    </w:p>
    <w:p w14:paraId="3D0D37FE" w14:textId="0C58581D" w:rsidR="00BD566E" w:rsidRPr="00767966" w:rsidRDefault="00BD566E" w:rsidP="00BD566E">
      <w:pPr>
        <w:rPr>
          <w:rFonts w:ascii="Arial" w:hAnsi="Arial" w:cs="Arial"/>
        </w:rPr>
      </w:pPr>
      <w:r w:rsidRPr="00767966">
        <w:rPr>
          <w:rFonts w:ascii="Arial" w:hAnsi="Arial" w:cs="Arial"/>
          <w:b/>
          <w:bCs/>
        </w:rPr>
        <w:t>Consolidating Gains and Producing More Change:</w:t>
      </w:r>
      <w:r w:rsidRPr="00767966">
        <w:rPr>
          <w:rFonts w:ascii="Arial" w:hAnsi="Arial" w:cs="Arial"/>
        </w:rPr>
        <w:t xml:space="preserve"> Post-Brexit, the Civil Service needed to consolidate early successes and evolve in response to the changing landscape, consistent with Kotter’s steps of consolidating improvements and producing more change (Kotter, 1996; 2012). The transition from Theresa May to Boris Johnson's government introduced new challenges, including adapting to new political dynamics (Rutter, 2021b).</w:t>
      </w:r>
    </w:p>
    <w:p w14:paraId="46A32B8F" w14:textId="3439024A" w:rsidR="00BD566E" w:rsidRPr="00767966" w:rsidRDefault="00BD566E" w:rsidP="00BD566E">
      <w:pPr>
        <w:rPr>
          <w:rFonts w:ascii="Arial" w:hAnsi="Arial" w:cs="Arial"/>
        </w:rPr>
      </w:pPr>
      <w:r w:rsidRPr="00767966">
        <w:rPr>
          <w:rFonts w:ascii="Arial" w:hAnsi="Arial" w:cs="Arial"/>
          <w:b/>
          <w:bCs/>
        </w:rPr>
        <w:t>Anchoring New Approaches in the Culture:</w:t>
      </w:r>
      <w:r w:rsidRPr="00767966">
        <w:rPr>
          <w:rFonts w:ascii="Arial" w:hAnsi="Arial" w:cs="Arial"/>
        </w:rPr>
        <w:t xml:space="preserve"> The biggest challenge was transforming the entrenched culture of the Civil Service to fully integrate the new operational methods and approaches required post-Brexit. This step aligns with Kotter’s final stage of anchoring new approaches in the organizational culture (Kotter, 1996; 2012). Brexit required the Civil Service to manage massive tasks in a short period, making it a significant challenge (Menon, 2017).</w:t>
      </w:r>
    </w:p>
    <w:p w14:paraId="0EF645B4" w14:textId="0A199BBD" w:rsidR="00BD566E" w:rsidRPr="00767966" w:rsidRDefault="00BD566E" w:rsidP="00BD566E">
      <w:pPr>
        <w:rPr>
          <w:rFonts w:ascii="Arial" w:hAnsi="Arial" w:cs="Arial"/>
        </w:rPr>
      </w:pPr>
      <w:r w:rsidRPr="00767966">
        <w:rPr>
          <w:rFonts w:ascii="Arial" w:hAnsi="Arial" w:cs="Arial"/>
        </w:rPr>
        <w:t>Throughout this process, the Civil Service faced challenges to its impartiality and effectiveness. The institution faced scepticism over its neutrality, especially considering controversies surrounding decisions taken during the Brexit negotiations (Civil Service World). The transition to Boris Johnson's government brought about new priorities and approaches (Institute for Government).</w:t>
      </w:r>
    </w:p>
    <w:p w14:paraId="18DCD21A" w14:textId="77777777" w:rsidR="00BD566E" w:rsidRDefault="00BD566E" w:rsidP="00BD566E">
      <w:pPr>
        <w:rPr>
          <w:rFonts w:ascii="Arial" w:hAnsi="Arial" w:cs="Arial"/>
        </w:rPr>
      </w:pPr>
      <w:r w:rsidRPr="00767966">
        <w:rPr>
          <w:rFonts w:ascii="Arial" w:hAnsi="Arial" w:cs="Arial"/>
        </w:rPr>
        <w:t>Kotter’s 8-Step Change Model provides a robust framework for managing change (Kotter, 2012). Its application in the context of the UK Civil Service’s handling of Brexit shows that while the model’s emphasis on a clear vision, communication, and empowerment is universally applicable, it could benefit from a greater focus on managing political diversity, continuous adaptation, and addressing the psychological impacts of change (Kotter, 1996; Cameron &amp; Green, 2015).</w:t>
      </w:r>
    </w:p>
    <w:p w14:paraId="0D0A7300" w14:textId="77777777" w:rsidR="002B61C0" w:rsidRDefault="002B61C0" w:rsidP="00BD566E">
      <w:pPr>
        <w:rPr>
          <w:rFonts w:ascii="Arial" w:hAnsi="Arial" w:cs="Arial"/>
        </w:rPr>
      </w:pPr>
    </w:p>
    <w:p w14:paraId="10F0DCF0" w14:textId="77777777" w:rsidR="002B61C0" w:rsidRDefault="002B61C0" w:rsidP="00BD566E">
      <w:pPr>
        <w:rPr>
          <w:rFonts w:ascii="Arial" w:hAnsi="Arial" w:cs="Arial"/>
        </w:rPr>
      </w:pPr>
    </w:p>
    <w:p w14:paraId="67FFCA00" w14:textId="77777777" w:rsidR="002B61C0" w:rsidRDefault="002B61C0" w:rsidP="00BD566E">
      <w:pPr>
        <w:rPr>
          <w:rFonts w:ascii="Arial" w:hAnsi="Arial" w:cs="Arial"/>
        </w:rPr>
      </w:pPr>
    </w:p>
    <w:p w14:paraId="5CA6DB54" w14:textId="77777777" w:rsidR="002B61C0" w:rsidRDefault="002B61C0" w:rsidP="00BD566E">
      <w:pPr>
        <w:rPr>
          <w:rFonts w:ascii="Arial" w:hAnsi="Arial" w:cs="Arial"/>
        </w:rPr>
      </w:pPr>
    </w:p>
    <w:p w14:paraId="3593B205" w14:textId="77777777" w:rsidR="002B61C0" w:rsidRDefault="002B61C0" w:rsidP="00BD566E">
      <w:pPr>
        <w:rPr>
          <w:rFonts w:ascii="Arial" w:hAnsi="Arial" w:cs="Arial"/>
        </w:rPr>
      </w:pPr>
    </w:p>
    <w:p w14:paraId="4681B822" w14:textId="77777777" w:rsidR="002B61C0" w:rsidRPr="00767966" w:rsidRDefault="002B61C0" w:rsidP="00BD566E">
      <w:pPr>
        <w:rPr>
          <w:rFonts w:ascii="Arial" w:hAnsi="Arial" w:cs="Arial"/>
        </w:rPr>
      </w:pPr>
    </w:p>
    <w:p w14:paraId="6A74DC66" w14:textId="5E46E977" w:rsidR="00BD566E" w:rsidRPr="002B61C0" w:rsidRDefault="00BD566E" w:rsidP="008920F3">
      <w:pPr>
        <w:pStyle w:val="Heading1"/>
        <w:spacing w:line="276" w:lineRule="auto"/>
        <w:jc w:val="both"/>
        <w:rPr>
          <w:rFonts w:cs="Arial"/>
          <w:b w:val="0"/>
          <w:bCs w:val="0"/>
          <w:color w:val="2F5496" w:themeColor="accent1" w:themeShade="BF"/>
          <w:sz w:val="44"/>
          <w:szCs w:val="44"/>
        </w:rPr>
      </w:pPr>
      <w:bookmarkStart w:id="16" w:name="_Toc157363504"/>
      <w:r w:rsidRPr="002B61C0">
        <w:rPr>
          <w:rFonts w:cs="Arial"/>
          <w:b w:val="0"/>
          <w:bCs w:val="0"/>
          <w:color w:val="2F5496" w:themeColor="accent1" w:themeShade="BF"/>
          <w:sz w:val="32"/>
          <w:szCs w:val="32"/>
        </w:rPr>
        <w:t>Lewin's Change Management Model:</w:t>
      </w:r>
      <w:bookmarkEnd w:id="16"/>
    </w:p>
    <w:p w14:paraId="203834A9" w14:textId="77777777" w:rsidR="00BD566E" w:rsidRPr="00767966" w:rsidRDefault="00BD566E" w:rsidP="00BD566E">
      <w:pPr>
        <w:rPr>
          <w:rFonts w:ascii="Arial" w:hAnsi="Arial" w:cs="Arial"/>
        </w:rPr>
      </w:pPr>
    </w:p>
    <w:p w14:paraId="3552C892" w14:textId="42FB15FF" w:rsidR="00BD566E" w:rsidRPr="00767966" w:rsidRDefault="00BD566E" w:rsidP="00BD566E">
      <w:pPr>
        <w:rPr>
          <w:rFonts w:ascii="Arial" w:hAnsi="Arial" w:cs="Arial"/>
        </w:rPr>
      </w:pPr>
      <w:r w:rsidRPr="00767966">
        <w:rPr>
          <w:rFonts w:ascii="Arial" w:hAnsi="Arial" w:cs="Arial"/>
          <w:b/>
          <w:bCs/>
        </w:rPr>
        <w:t>Unfreeze:</w:t>
      </w:r>
      <w:r w:rsidRPr="00767966">
        <w:rPr>
          <w:rFonts w:ascii="Arial" w:hAnsi="Arial" w:cs="Arial"/>
        </w:rPr>
        <w:t xml:space="preserve"> This stage prepares the organization to acknowledge the necessity of change. Regarding Brexit, this meant recognizing the need to adapt to new political and operational realities. Lewin’s emphasis on the unfreeze phase, which includes establishing a sense of urgency and addressing the emotional aspects of why change is necessary, complements Kotter's initial steps. It involves challenging existing beliefs and values and making staff aware of the impending change, in this case, departing from the EU. Managing emotions like fear, anxiety, and resistance to change is crucial in this stage (Cummings and Worley, 2014; Lewin, 1951). This aligns with the ideas presented by Cameron and Green (2015) about the importance of understanding and managing the emotional journey in change processes.</w:t>
      </w:r>
    </w:p>
    <w:p w14:paraId="4FDE9CA1" w14:textId="3587B90B" w:rsidR="00BD566E" w:rsidRPr="00767966" w:rsidRDefault="00BD566E" w:rsidP="00BD566E">
      <w:pPr>
        <w:rPr>
          <w:rFonts w:ascii="Arial" w:hAnsi="Arial" w:cs="Arial"/>
        </w:rPr>
      </w:pPr>
      <w:r w:rsidRPr="00767966">
        <w:rPr>
          <w:rFonts w:ascii="Arial" w:hAnsi="Arial" w:cs="Arial"/>
          <w:b/>
          <w:bCs/>
        </w:rPr>
        <w:t>Change:</w:t>
      </w:r>
      <w:r w:rsidRPr="00767966">
        <w:rPr>
          <w:rFonts w:ascii="Arial" w:hAnsi="Arial" w:cs="Arial"/>
        </w:rPr>
        <w:t xml:space="preserve"> Once the organization is ready for change, this stage encompasses the actual transition. For the Civil Service, this involved implementing new policies, adapting to international relations, and redefining operational strategies. Lewin’s model aligns with Kotter’s steps such as forming a coalition, creating a vision, communicating this vision, and empowering broad-based action. This phase, crucial for addressing emotions, is where uncertainty and resistance can peak. Lewin's model highlights the importance of effective communication, support, and empowerment during this phase to manage emotional responses and reduce resistance.</w:t>
      </w:r>
    </w:p>
    <w:p w14:paraId="6739DA74" w14:textId="32D2B9EE" w:rsidR="00BD566E" w:rsidRPr="00767966" w:rsidRDefault="00BD566E" w:rsidP="00BD566E">
      <w:pPr>
        <w:rPr>
          <w:rFonts w:ascii="Arial" w:hAnsi="Arial" w:cs="Arial"/>
        </w:rPr>
      </w:pPr>
      <w:r w:rsidRPr="00767966">
        <w:rPr>
          <w:rFonts w:ascii="Arial" w:hAnsi="Arial" w:cs="Arial"/>
          <w:b/>
          <w:bCs/>
        </w:rPr>
        <w:t>Refreeze:</w:t>
      </w:r>
      <w:r w:rsidRPr="00767966">
        <w:rPr>
          <w:rFonts w:ascii="Arial" w:hAnsi="Arial" w:cs="Arial"/>
        </w:rPr>
        <w:t xml:space="preserve"> This stage focuses on stabilizing the organization post-change and embedding new ways of working into the culture. In the Brexit context, this meant consolidating new operational methods and approaches, aligning with Kotter's later steps of consolidating gains and anchoring new approaches in the culture. The refreeze stage is vital in ensuring that the changes are accepted and sustained over time. It is also a period for emotional adjustment to the new normal. By focusing on stabilizing the organization, Lewin’s model aids in providing a sense of normality and security, essential for the emotional well-being of staff.</w:t>
      </w:r>
    </w:p>
    <w:p w14:paraId="5D5EC48C" w14:textId="5933BE9E" w:rsidR="00BD566E" w:rsidRPr="00767966" w:rsidRDefault="00BD566E" w:rsidP="00BD566E">
      <w:pPr>
        <w:rPr>
          <w:rFonts w:ascii="Arial" w:hAnsi="Arial" w:cs="Arial"/>
        </w:rPr>
      </w:pPr>
      <w:r w:rsidRPr="00767966">
        <w:rPr>
          <w:rFonts w:ascii="Arial" w:hAnsi="Arial" w:cs="Arial"/>
        </w:rPr>
        <w:t>Kotter’s model offers a comprehensive strategy for change, spanning from establishing urgency to embedding new practices (Kotter, 1996). Its structured approach provides clarity but may face challenges in adapting to unpredictable events, as seen in the Brexit scenario. In contrast, Lewin’s model adopts a holistic and adaptable approach, better suited for managing the fluidity of political and operational changes.</w:t>
      </w:r>
    </w:p>
    <w:p w14:paraId="17A7221A" w14:textId="77777777" w:rsidR="00BD566E" w:rsidRDefault="00BD566E" w:rsidP="00BD566E">
      <w:pPr>
        <w:rPr>
          <w:rFonts w:ascii="Arial" w:hAnsi="Arial" w:cs="Arial"/>
        </w:rPr>
      </w:pPr>
      <w:r w:rsidRPr="00767966">
        <w:rPr>
          <w:rFonts w:ascii="Arial" w:hAnsi="Arial" w:cs="Arial"/>
        </w:rPr>
        <w:t>Lewin’s Change Management Model, as described by Cummings and Worley (2014), directly emphasizes addressing the emotional aspects of change. This focus is crucial in politically sensitive environments like Brexit. It acknowledges the need to manage emotions, especially fear, anxiety, and resistance, and recognizes the importance of cultural transformation. In comparison, while Kotter’s model is comprehensive in strategic aspects, it is less explicit in guiding organizations through the emotional journey of employees (Cameron &amp; Green, 2015).</w:t>
      </w:r>
    </w:p>
    <w:p w14:paraId="66394191" w14:textId="77777777" w:rsidR="002B61C0" w:rsidRDefault="002B61C0" w:rsidP="00BD566E">
      <w:pPr>
        <w:rPr>
          <w:rFonts w:ascii="Arial" w:hAnsi="Arial" w:cs="Arial"/>
        </w:rPr>
      </w:pPr>
    </w:p>
    <w:p w14:paraId="21D84CC3" w14:textId="77777777" w:rsidR="002B61C0" w:rsidRDefault="002B61C0" w:rsidP="00BD566E">
      <w:pPr>
        <w:rPr>
          <w:rFonts w:ascii="Arial" w:hAnsi="Arial" w:cs="Arial"/>
        </w:rPr>
      </w:pPr>
    </w:p>
    <w:p w14:paraId="2C30FBBC" w14:textId="77777777" w:rsidR="002B61C0" w:rsidRDefault="002B61C0" w:rsidP="00BD566E">
      <w:pPr>
        <w:rPr>
          <w:rFonts w:ascii="Arial" w:hAnsi="Arial" w:cs="Arial"/>
        </w:rPr>
      </w:pPr>
    </w:p>
    <w:p w14:paraId="2C741880" w14:textId="77777777" w:rsidR="002B61C0" w:rsidRPr="00767966" w:rsidRDefault="002B61C0" w:rsidP="00BD566E">
      <w:pPr>
        <w:rPr>
          <w:rFonts w:ascii="Arial" w:hAnsi="Arial" w:cs="Arial"/>
        </w:rPr>
      </w:pPr>
    </w:p>
    <w:p w14:paraId="50E85619" w14:textId="77777777" w:rsidR="008920F3" w:rsidRPr="00767966" w:rsidRDefault="008920F3" w:rsidP="00BD566E">
      <w:pPr>
        <w:rPr>
          <w:rFonts w:ascii="Arial" w:hAnsi="Arial" w:cs="Arial"/>
        </w:rPr>
      </w:pPr>
    </w:p>
    <w:p w14:paraId="01D400DD" w14:textId="0B07E349" w:rsidR="00BD566E" w:rsidRPr="002B61C0" w:rsidRDefault="00BD566E" w:rsidP="008920F3">
      <w:pPr>
        <w:pStyle w:val="Heading1"/>
        <w:spacing w:line="276" w:lineRule="auto"/>
        <w:jc w:val="both"/>
        <w:rPr>
          <w:rFonts w:cs="Arial"/>
          <w:b w:val="0"/>
          <w:bCs w:val="0"/>
          <w:color w:val="2F5496" w:themeColor="accent1" w:themeShade="BF"/>
          <w:sz w:val="44"/>
          <w:szCs w:val="44"/>
        </w:rPr>
      </w:pPr>
      <w:bookmarkStart w:id="17" w:name="_Toc157363505"/>
      <w:r w:rsidRPr="002B61C0">
        <w:rPr>
          <w:rFonts w:cs="Arial"/>
          <w:b w:val="0"/>
          <w:bCs w:val="0"/>
          <w:color w:val="2F5496" w:themeColor="accent1" w:themeShade="BF"/>
          <w:sz w:val="32"/>
          <w:szCs w:val="32"/>
        </w:rPr>
        <w:t>Leading Stakeholders Through Change</w:t>
      </w:r>
      <w:bookmarkEnd w:id="17"/>
    </w:p>
    <w:p w14:paraId="3D31C15A" w14:textId="77777777" w:rsidR="00BD566E" w:rsidRPr="00767966" w:rsidRDefault="00BD566E" w:rsidP="00BD566E">
      <w:pPr>
        <w:rPr>
          <w:rFonts w:ascii="Arial" w:hAnsi="Arial" w:cs="Arial"/>
        </w:rPr>
      </w:pPr>
    </w:p>
    <w:p w14:paraId="230FB6EE" w14:textId="4908CA23" w:rsidR="00BD566E" w:rsidRPr="00767966" w:rsidRDefault="00BD566E" w:rsidP="00BD566E">
      <w:pPr>
        <w:rPr>
          <w:rFonts w:ascii="Arial" w:hAnsi="Arial" w:cs="Arial"/>
        </w:rPr>
      </w:pPr>
      <w:r w:rsidRPr="00767966">
        <w:rPr>
          <w:rFonts w:ascii="Arial" w:hAnsi="Arial" w:cs="Arial"/>
          <w:b/>
          <w:bCs/>
        </w:rPr>
        <w:t>Establish a Compelling Vision:</w:t>
      </w:r>
      <w:r w:rsidRPr="00767966">
        <w:rPr>
          <w:rFonts w:ascii="Arial" w:hAnsi="Arial" w:cs="Arial"/>
        </w:rPr>
        <w:t xml:space="preserve"> One of the initial steps in leading stakeholders through change is to establish a clear and compelling vision for the future. This aligns with Kotter's model of "Creating a Vision for Change" (Kotter, 1996; Cameron &amp; Green, 2015). In the case of Brexit, the vision should encompass not only the administrative and operational aspects but also the broader political and strategic goals. Leaders must articulate this vision in a way that resonates with stakeholders and motivates them to embrace the change.</w:t>
      </w:r>
    </w:p>
    <w:p w14:paraId="161EC286" w14:textId="713F7887" w:rsidR="00BD566E" w:rsidRPr="00767966" w:rsidRDefault="00BD566E" w:rsidP="00BD566E">
      <w:pPr>
        <w:rPr>
          <w:rFonts w:ascii="Arial" w:hAnsi="Arial" w:cs="Arial"/>
        </w:rPr>
      </w:pPr>
      <w:r w:rsidRPr="00767966">
        <w:rPr>
          <w:rFonts w:ascii="Arial" w:hAnsi="Arial" w:cs="Arial"/>
          <w:b/>
          <w:bCs/>
        </w:rPr>
        <w:t>Engage Stakeholders Early:</w:t>
      </w:r>
      <w:r w:rsidRPr="00767966">
        <w:rPr>
          <w:rFonts w:ascii="Arial" w:hAnsi="Arial" w:cs="Arial"/>
        </w:rPr>
        <w:t xml:space="preserve"> In Lewin's model, the "Unfreeze" stage emphasizes the importance of preparing the organization for change. This involves engaging stakeholders early and involving them in the change process. Government officials, civil servants, trade unions, and other key stakeholders should be consulted, and their input valued. This not only provides valuable insights but also fosters a sense of ownership and reduces resistance.</w:t>
      </w:r>
    </w:p>
    <w:p w14:paraId="268FD8BF" w14:textId="2AFFCEC0" w:rsidR="00BD566E" w:rsidRPr="00767966" w:rsidRDefault="00BD566E" w:rsidP="00BD566E">
      <w:pPr>
        <w:rPr>
          <w:rFonts w:ascii="Arial" w:hAnsi="Arial" w:cs="Arial"/>
        </w:rPr>
      </w:pPr>
      <w:r w:rsidRPr="00767966">
        <w:rPr>
          <w:rFonts w:ascii="Arial" w:hAnsi="Arial" w:cs="Arial"/>
          <w:b/>
          <w:bCs/>
        </w:rPr>
        <w:t>Effective Communication:</w:t>
      </w:r>
      <w:r w:rsidRPr="00767966">
        <w:rPr>
          <w:rFonts w:ascii="Arial" w:hAnsi="Arial" w:cs="Arial"/>
        </w:rPr>
        <w:t xml:space="preserve"> Leaders should communicate the vision, objectives, and rationale for change clearly and consistently. Kotter's model emphasizes "Communicating the Vision" as a critical step. It is essential to use multiple channels and formats to reach diverse stakeholders, considering the size and diversity of the Civil Service (Kotter, 1996; Cameron &amp; Green, 2015).</w:t>
      </w:r>
    </w:p>
    <w:p w14:paraId="3F9111C1" w14:textId="2DD2D32F" w:rsidR="00BD566E" w:rsidRPr="00767966" w:rsidRDefault="00BD566E" w:rsidP="00BD566E">
      <w:pPr>
        <w:rPr>
          <w:rFonts w:ascii="Arial" w:hAnsi="Arial" w:cs="Arial"/>
        </w:rPr>
      </w:pPr>
      <w:r w:rsidRPr="00767966">
        <w:rPr>
          <w:rFonts w:ascii="Arial" w:hAnsi="Arial" w:cs="Arial"/>
          <w:b/>
          <w:bCs/>
        </w:rPr>
        <w:t>Address Emotional Responses:</w:t>
      </w:r>
      <w:r w:rsidRPr="00767966">
        <w:rPr>
          <w:rFonts w:ascii="Arial" w:hAnsi="Arial" w:cs="Arial"/>
        </w:rPr>
        <w:t xml:space="preserve"> Change often triggers emotional responses such as fear, uncertainty, and resistance. Lewin's model recognizes this in the "Change" stage, where addressing emotions is crucial (Lewin, 1951). Leaders should acknowledge these emotions and provide support mechanisms. Offering training, counselling, and forums for employees to express concerns can help mitigate emotional resistance (Cummings and Worley, 2014).</w:t>
      </w:r>
    </w:p>
    <w:p w14:paraId="5F73BC46" w14:textId="0BFC7CEE" w:rsidR="00BD566E" w:rsidRPr="00767966" w:rsidRDefault="00BD566E" w:rsidP="00BD566E">
      <w:pPr>
        <w:rPr>
          <w:rFonts w:ascii="Arial" w:hAnsi="Arial" w:cs="Arial"/>
        </w:rPr>
      </w:pPr>
      <w:r w:rsidRPr="00767966">
        <w:rPr>
          <w:rFonts w:ascii="Arial" w:hAnsi="Arial" w:cs="Arial"/>
          <w:b/>
          <w:bCs/>
        </w:rPr>
        <w:t>Empower and Train:</w:t>
      </w:r>
      <w:r w:rsidRPr="00767966">
        <w:rPr>
          <w:rFonts w:ascii="Arial" w:hAnsi="Arial" w:cs="Arial"/>
        </w:rPr>
        <w:t xml:space="preserve"> Kotter's model stresses "Empowering Employees for Broad-Based Action." This involves equipping civil servants with the necessary skills and knowledge for the post-Brexit environment. Training programs, workshops, and continuous learning opportunities are essential. Empowered employees are more likely to embrace change and contribute to its success (Kotter, 1996).</w:t>
      </w:r>
    </w:p>
    <w:p w14:paraId="14FD7383" w14:textId="70517B8B" w:rsidR="00BD566E" w:rsidRPr="00767966" w:rsidRDefault="00BD566E" w:rsidP="00BD566E">
      <w:pPr>
        <w:rPr>
          <w:rFonts w:ascii="Arial" w:hAnsi="Arial" w:cs="Arial"/>
        </w:rPr>
      </w:pPr>
      <w:r w:rsidRPr="00767966">
        <w:rPr>
          <w:rFonts w:ascii="Arial" w:hAnsi="Arial" w:cs="Arial"/>
          <w:b/>
          <w:bCs/>
        </w:rPr>
        <w:t>Create Short-Term Wins:</w:t>
      </w:r>
      <w:r w:rsidRPr="00767966">
        <w:rPr>
          <w:rFonts w:ascii="Arial" w:hAnsi="Arial" w:cs="Arial"/>
        </w:rPr>
        <w:t xml:space="preserve"> Generating short-term wins, as advocated by Kotter, is vital for maintaining momentum and building confidence. Celebrating small victories, successful policy implementations, or regulatory transitions can boost morale and demonstrate progress. These wins serve as tangible evidence of the benefits of change (Kotter, 1996).</w:t>
      </w:r>
    </w:p>
    <w:p w14:paraId="29C2794C" w14:textId="268BECE5" w:rsidR="00BD566E" w:rsidRPr="00767966" w:rsidRDefault="00BD566E" w:rsidP="00BD566E">
      <w:pPr>
        <w:rPr>
          <w:rFonts w:ascii="Arial" w:hAnsi="Arial" w:cs="Arial"/>
        </w:rPr>
      </w:pPr>
      <w:r w:rsidRPr="00767966">
        <w:rPr>
          <w:rFonts w:ascii="Arial" w:hAnsi="Arial" w:cs="Arial"/>
          <w:b/>
          <w:bCs/>
        </w:rPr>
        <w:t>Consolidate and Embed Change:</w:t>
      </w:r>
      <w:r w:rsidRPr="00767966">
        <w:rPr>
          <w:rFonts w:ascii="Arial" w:hAnsi="Arial" w:cs="Arial"/>
        </w:rPr>
        <w:t xml:space="preserve"> Post-Brexit, consolidating gains and embedding </w:t>
      </w:r>
      <w:r w:rsidR="00320E1F" w:rsidRPr="00767966">
        <w:rPr>
          <w:rFonts w:ascii="Arial" w:hAnsi="Arial" w:cs="Arial"/>
        </w:rPr>
        <w:t>innovative approaches</w:t>
      </w:r>
      <w:r w:rsidRPr="00767966">
        <w:rPr>
          <w:rFonts w:ascii="Arial" w:hAnsi="Arial" w:cs="Arial"/>
        </w:rPr>
        <w:t xml:space="preserve"> is critical, as per Kotter's model. This involves making the changes a part of the organization's culture and practices. Leaders should continuously monitor progress and adapt as needed to ensure the changes become ingrained (Kotter, 1996).</w:t>
      </w:r>
    </w:p>
    <w:p w14:paraId="24B4153A" w14:textId="77777777" w:rsidR="00BD566E" w:rsidRPr="00767966" w:rsidRDefault="00BD566E" w:rsidP="00BD566E">
      <w:pPr>
        <w:rPr>
          <w:rFonts w:ascii="Arial" w:hAnsi="Arial" w:cs="Arial"/>
        </w:rPr>
      </w:pPr>
      <w:r w:rsidRPr="00767966">
        <w:rPr>
          <w:rFonts w:ascii="Arial" w:hAnsi="Arial" w:cs="Arial"/>
          <w:b/>
          <w:bCs/>
        </w:rPr>
        <w:t>Supportive Leadership:</w:t>
      </w:r>
      <w:r w:rsidRPr="00767966">
        <w:rPr>
          <w:rFonts w:ascii="Arial" w:hAnsi="Arial" w:cs="Arial"/>
        </w:rPr>
        <w:t xml:space="preserve"> Effective leadership is paramount in managing change. Leaders must guide organizations through transitions, communicate a clear vision for change, and empower employees to embrace new ways of working (Cameron &amp; Green, 2015; Hayes, 2018). Leading change in politically sensitive environments requires special attention to the complexities of the situation (Hayes, 2018). Leaders must navigate political dynamics, address emotional responses, and maintain transparency to build trust with stakeholders (Cameron &amp; Green, 2015).</w:t>
      </w:r>
    </w:p>
    <w:p w14:paraId="2B9F29E3" w14:textId="77777777" w:rsidR="00BD566E" w:rsidRPr="00767966" w:rsidRDefault="00BD566E" w:rsidP="00BD566E">
      <w:pPr>
        <w:rPr>
          <w:rFonts w:ascii="Arial" w:hAnsi="Arial" w:cs="Arial"/>
        </w:rPr>
      </w:pPr>
    </w:p>
    <w:p w14:paraId="47A2E0C4" w14:textId="15AA1EB2" w:rsidR="00BD566E" w:rsidRPr="00767966" w:rsidRDefault="00BD566E" w:rsidP="00BD566E">
      <w:pPr>
        <w:rPr>
          <w:rFonts w:ascii="Arial" w:hAnsi="Arial" w:cs="Arial"/>
        </w:rPr>
      </w:pPr>
      <w:r w:rsidRPr="00767966">
        <w:rPr>
          <w:rFonts w:ascii="Arial" w:hAnsi="Arial" w:cs="Arial"/>
          <w:b/>
          <w:bCs/>
        </w:rPr>
        <w:t>Collaboration and Coalition Building:</w:t>
      </w:r>
      <w:r w:rsidRPr="00767966">
        <w:rPr>
          <w:rFonts w:ascii="Arial" w:hAnsi="Arial" w:cs="Arial"/>
        </w:rPr>
        <w:t xml:space="preserve"> Forming a powerful guiding coalition, as emphasized in Kotter's model, remains relevant throughout the change process. Leaders should foster collaboration among government officials, civil servants, trade unions, and other stakeholders. Building a cohesive coalition ensures that everyone is working toward common goals (Kotter, 1996).</w:t>
      </w:r>
    </w:p>
    <w:p w14:paraId="5E9B2FF5" w14:textId="3A684CCF" w:rsidR="00BD566E" w:rsidRPr="00767966" w:rsidRDefault="00BD566E" w:rsidP="00BD566E">
      <w:pPr>
        <w:rPr>
          <w:rFonts w:ascii="Arial" w:hAnsi="Arial" w:cs="Arial"/>
        </w:rPr>
      </w:pPr>
      <w:r w:rsidRPr="00767966">
        <w:rPr>
          <w:rFonts w:ascii="Arial" w:hAnsi="Arial" w:cs="Arial"/>
          <w:b/>
          <w:bCs/>
        </w:rPr>
        <w:t>External Stakeholder Engagement:</w:t>
      </w:r>
      <w:r w:rsidRPr="00767966">
        <w:rPr>
          <w:rFonts w:ascii="Arial" w:hAnsi="Arial" w:cs="Arial"/>
        </w:rPr>
        <w:t xml:space="preserve"> Given the impact of international bodies and foreign governments, the Civil Service must engage with these external stakeholders effectively. This involves diplomacy, compliance with international standards, and aligning domestic policies with international agreements.</w:t>
      </w:r>
    </w:p>
    <w:p w14:paraId="42E85DD4" w14:textId="4E5784BE" w:rsidR="00BD566E" w:rsidRPr="00767966" w:rsidRDefault="00BD566E" w:rsidP="00BD566E">
      <w:pPr>
        <w:rPr>
          <w:rFonts w:ascii="Arial" w:hAnsi="Arial" w:cs="Arial"/>
        </w:rPr>
      </w:pPr>
      <w:r w:rsidRPr="00767966">
        <w:rPr>
          <w:rFonts w:ascii="Arial" w:hAnsi="Arial" w:cs="Arial"/>
          <w:b/>
          <w:bCs/>
        </w:rPr>
        <w:t>Continuous Evaluation and Adaptation:</w:t>
      </w:r>
      <w:r w:rsidRPr="00767966">
        <w:rPr>
          <w:rFonts w:ascii="Arial" w:hAnsi="Arial" w:cs="Arial"/>
        </w:rPr>
        <w:t xml:space="preserve"> Change is not static, especially in a politically complex environment like Brexit. Leaders should continuously evaluate the effectiveness of change initiatives and adapt as needed. This aligns with Lewin's model's holistic and adaptable approach (Lewin, 1951).</w:t>
      </w:r>
    </w:p>
    <w:p w14:paraId="67647198" w14:textId="77777777" w:rsidR="00BD566E" w:rsidRPr="00767966" w:rsidRDefault="00BD566E" w:rsidP="00BD566E">
      <w:pPr>
        <w:rPr>
          <w:rFonts w:ascii="Arial" w:hAnsi="Arial" w:cs="Arial"/>
        </w:rPr>
      </w:pPr>
      <w:r w:rsidRPr="00767966">
        <w:rPr>
          <w:rFonts w:ascii="Arial" w:hAnsi="Arial" w:cs="Arial"/>
          <w:b/>
          <w:bCs/>
        </w:rPr>
        <w:t>Transparency and Accountability:</w:t>
      </w:r>
      <w:r w:rsidRPr="00767966">
        <w:rPr>
          <w:rFonts w:ascii="Arial" w:hAnsi="Arial" w:cs="Arial"/>
        </w:rPr>
        <w:t xml:space="preserve"> Maintaining transparency and accountability is essential for building trust with stakeholders. Leaders should be transparent about decision-making processes and be accountable for their actions. This transparency can help mitigate scepticism and challenges to the civil service's impartiality.</w:t>
      </w:r>
    </w:p>
    <w:p w14:paraId="1E2CB35C" w14:textId="77777777" w:rsidR="008920F3" w:rsidRPr="00767966" w:rsidRDefault="008920F3" w:rsidP="00BD566E">
      <w:pPr>
        <w:rPr>
          <w:rFonts w:ascii="Arial" w:hAnsi="Arial" w:cs="Arial"/>
        </w:rPr>
      </w:pPr>
    </w:p>
    <w:p w14:paraId="200E64E2" w14:textId="77777777" w:rsidR="008920F3" w:rsidRPr="00767966" w:rsidRDefault="008920F3" w:rsidP="00BD566E">
      <w:pPr>
        <w:rPr>
          <w:rFonts w:ascii="Arial" w:hAnsi="Arial" w:cs="Arial"/>
        </w:rPr>
      </w:pPr>
    </w:p>
    <w:p w14:paraId="509F37CB" w14:textId="77777777" w:rsidR="008920F3" w:rsidRPr="00767966" w:rsidRDefault="008920F3" w:rsidP="00BD566E">
      <w:pPr>
        <w:rPr>
          <w:rFonts w:ascii="Arial" w:hAnsi="Arial" w:cs="Arial"/>
        </w:rPr>
      </w:pPr>
    </w:p>
    <w:p w14:paraId="475A904D" w14:textId="77777777" w:rsidR="008920F3" w:rsidRPr="00767966" w:rsidRDefault="008920F3" w:rsidP="00BD566E">
      <w:pPr>
        <w:rPr>
          <w:rFonts w:ascii="Arial" w:hAnsi="Arial" w:cs="Arial"/>
        </w:rPr>
      </w:pPr>
    </w:p>
    <w:p w14:paraId="6697A80A" w14:textId="77777777" w:rsidR="008920F3" w:rsidRDefault="008920F3" w:rsidP="00BD566E">
      <w:pPr>
        <w:rPr>
          <w:rFonts w:ascii="Arial" w:hAnsi="Arial" w:cs="Arial"/>
        </w:rPr>
      </w:pPr>
    </w:p>
    <w:p w14:paraId="708B7954" w14:textId="77777777" w:rsidR="002B61C0" w:rsidRDefault="002B61C0" w:rsidP="00BD566E">
      <w:pPr>
        <w:rPr>
          <w:rFonts w:ascii="Arial" w:hAnsi="Arial" w:cs="Arial"/>
        </w:rPr>
      </w:pPr>
    </w:p>
    <w:p w14:paraId="5B0DB4EB" w14:textId="77777777" w:rsidR="002B61C0" w:rsidRDefault="002B61C0" w:rsidP="00BD566E">
      <w:pPr>
        <w:rPr>
          <w:rFonts w:ascii="Arial" w:hAnsi="Arial" w:cs="Arial"/>
        </w:rPr>
      </w:pPr>
    </w:p>
    <w:p w14:paraId="08F624EB" w14:textId="77777777" w:rsidR="002B61C0" w:rsidRDefault="002B61C0" w:rsidP="00BD566E">
      <w:pPr>
        <w:rPr>
          <w:rFonts w:ascii="Arial" w:hAnsi="Arial" w:cs="Arial"/>
        </w:rPr>
      </w:pPr>
    </w:p>
    <w:p w14:paraId="35D44041" w14:textId="77777777" w:rsidR="002B61C0" w:rsidRDefault="002B61C0" w:rsidP="00BD566E">
      <w:pPr>
        <w:rPr>
          <w:rFonts w:ascii="Arial" w:hAnsi="Arial" w:cs="Arial"/>
        </w:rPr>
      </w:pPr>
    </w:p>
    <w:p w14:paraId="043BA7F6" w14:textId="77777777" w:rsidR="002B61C0" w:rsidRDefault="002B61C0" w:rsidP="00BD566E">
      <w:pPr>
        <w:rPr>
          <w:rFonts w:ascii="Arial" w:hAnsi="Arial" w:cs="Arial"/>
        </w:rPr>
      </w:pPr>
    </w:p>
    <w:p w14:paraId="4F61AB9D" w14:textId="77777777" w:rsidR="002B61C0" w:rsidRDefault="002B61C0" w:rsidP="00BD566E">
      <w:pPr>
        <w:rPr>
          <w:rFonts w:ascii="Arial" w:hAnsi="Arial" w:cs="Arial"/>
        </w:rPr>
      </w:pPr>
    </w:p>
    <w:p w14:paraId="6040554E" w14:textId="77777777" w:rsidR="002B61C0" w:rsidRDefault="002B61C0" w:rsidP="00BD566E">
      <w:pPr>
        <w:rPr>
          <w:rFonts w:ascii="Arial" w:hAnsi="Arial" w:cs="Arial"/>
        </w:rPr>
      </w:pPr>
    </w:p>
    <w:p w14:paraId="178EC30D" w14:textId="77777777" w:rsidR="002B61C0" w:rsidRDefault="002B61C0" w:rsidP="00BD566E">
      <w:pPr>
        <w:rPr>
          <w:rFonts w:ascii="Arial" w:hAnsi="Arial" w:cs="Arial"/>
        </w:rPr>
      </w:pPr>
    </w:p>
    <w:p w14:paraId="00C5006C" w14:textId="77777777" w:rsidR="002B61C0" w:rsidRDefault="002B61C0" w:rsidP="00BD566E">
      <w:pPr>
        <w:rPr>
          <w:rFonts w:ascii="Arial" w:hAnsi="Arial" w:cs="Arial"/>
        </w:rPr>
      </w:pPr>
    </w:p>
    <w:p w14:paraId="4C4C15DB" w14:textId="77777777" w:rsidR="002B61C0" w:rsidRDefault="002B61C0" w:rsidP="00BD566E">
      <w:pPr>
        <w:rPr>
          <w:rFonts w:ascii="Arial" w:hAnsi="Arial" w:cs="Arial"/>
        </w:rPr>
      </w:pPr>
    </w:p>
    <w:p w14:paraId="00CFC124" w14:textId="77777777" w:rsidR="002B61C0" w:rsidRDefault="002B61C0" w:rsidP="00BD566E">
      <w:pPr>
        <w:rPr>
          <w:rFonts w:ascii="Arial" w:hAnsi="Arial" w:cs="Arial"/>
        </w:rPr>
      </w:pPr>
    </w:p>
    <w:p w14:paraId="26363F5C" w14:textId="77777777" w:rsidR="002B61C0" w:rsidRDefault="002B61C0" w:rsidP="00BD566E">
      <w:pPr>
        <w:rPr>
          <w:rFonts w:ascii="Arial" w:hAnsi="Arial" w:cs="Arial"/>
        </w:rPr>
      </w:pPr>
    </w:p>
    <w:p w14:paraId="75BD2DC2" w14:textId="77777777" w:rsidR="002B61C0" w:rsidRDefault="002B61C0" w:rsidP="00BD566E">
      <w:pPr>
        <w:rPr>
          <w:rFonts w:ascii="Arial" w:hAnsi="Arial" w:cs="Arial"/>
        </w:rPr>
      </w:pPr>
    </w:p>
    <w:p w14:paraId="67751D07" w14:textId="77777777" w:rsidR="002B61C0" w:rsidRDefault="002B61C0" w:rsidP="00BD566E">
      <w:pPr>
        <w:rPr>
          <w:rFonts w:ascii="Arial" w:hAnsi="Arial" w:cs="Arial"/>
        </w:rPr>
      </w:pPr>
    </w:p>
    <w:p w14:paraId="555DC09D" w14:textId="77777777" w:rsidR="002B61C0" w:rsidRPr="00767966" w:rsidRDefault="002B61C0" w:rsidP="00BD566E">
      <w:pPr>
        <w:rPr>
          <w:rFonts w:ascii="Arial" w:hAnsi="Arial" w:cs="Arial"/>
        </w:rPr>
      </w:pPr>
    </w:p>
    <w:p w14:paraId="1837D26B" w14:textId="0E35A911" w:rsidR="00767966" w:rsidRPr="002B61C0" w:rsidRDefault="00767966" w:rsidP="00767966">
      <w:pPr>
        <w:pStyle w:val="Heading1"/>
        <w:jc w:val="both"/>
        <w:rPr>
          <w:rFonts w:cs="Arial"/>
          <w:b w:val="0"/>
          <w:bCs w:val="0"/>
          <w:color w:val="2F5496" w:themeColor="accent1" w:themeShade="BF"/>
          <w:sz w:val="44"/>
          <w:szCs w:val="44"/>
        </w:rPr>
      </w:pPr>
      <w:bookmarkStart w:id="18" w:name="_Toc157363506"/>
      <w:r w:rsidRPr="002B61C0">
        <w:rPr>
          <w:rFonts w:cs="Arial"/>
          <w:b w:val="0"/>
          <w:bCs w:val="0"/>
          <w:color w:val="2F5496" w:themeColor="accent1" w:themeShade="BF"/>
          <w:sz w:val="32"/>
          <w:szCs w:val="32"/>
        </w:rPr>
        <w:t>Conclusion</w:t>
      </w:r>
      <w:bookmarkEnd w:id="18"/>
    </w:p>
    <w:p w14:paraId="3194AB05" w14:textId="77777777" w:rsidR="00767966" w:rsidRPr="00767966" w:rsidRDefault="00767966" w:rsidP="00767966">
      <w:pPr>
        <w:rPr>
          <w:rFonts w:ascii="Arial" w:hAnsi="Arial" w:cs="Arial"/>
        </w:rPr>
      </w:pPr>
      <w:r w:rsidRPr="00767966">
        <w:rPr>
          <w:rFonts w:ascii="Arial" w:hAnsi="Arial" w:cs="Arial"/>
        </w:rPr>
        <w:t>The journey of the UK Civil Service through the Brexit transition is a testament to the resilience and adaptability of public institutions in the face of monumental change. The multi-faceted impact of Brexit on the political, economic, social, technological, and environmental domains has necessitated a comprehensive and strategic response from the Civil Service. This response has involved navigating new political landscapes, adjusting to economic constraints, embracing societal shifts, adapting to technological advancements, and responding to environmental policy changes.</w:t>
      </w:r>
    </w:p>
    <w:p w14:paraId="2F71A4BA" w14:textId="77777777" w:rsidR="00767966" w:rsidRPr="00767966" w:rsidRDefault="00767966" w:rsidP="00767966">
      <w:pPr>
        <w:rPr>
          <w:rFonts w:ascii="Arial" w:hAnsi="Arial" w:cs="Arial"/>
        </w:rPr>
      </w:pPr>
      <w:r w:rsidRPr="00767966">
        <w:rPr>
          <w:rFonts w:ascii="Arial" w:hAnsi="Arial" w:cs="Arial"/>
        </w:rPr>
        <w:t>The Civil Service's ability to adapt and evolve in this complex environment is crucial for maintaining its effectiveness and relevance. The challenges have been numerous and varied, ranging from redefining operational strategies to addressing workforce dynamics and morale. The institution has had to recalibrate its approach to governance, policy development, and service delivery to align with the new realities of a post-Brexit UK.</w:t>
      </w:r>
    </w:p>
    <w:p w14:paraId="35C9501C" w14:textId="77777777" w:rsidR="00767966" w:rsidRPr="00767966" w:rsidRDefault="00767966" w:rsidP="00767966">
      <w:pPr>
        <w:rPr>
          <w:rFonts w:ascii="Arial" w:hAnsi="Arial" w:cs="Arial"/>
        </w:rPr>
      </w:pPr>
      <w:r w:rsidRPr="00767966">
        <w:rPr>
          <w:rFonts w:ascii="Arial" w:hAnsi="Arial" w:cs="Arial"/>
        </w:rPr>
        <w:t>Analysing these changes through the lenses of Porter's Five Forces and SWOT analyses has provided valuable insights into the operational dynamics and strategic positioning of the Civil Service. These frameworks have highlighted the need for a nuanced understanding of the evolving role and challenges faced by this key institution. The Civil Service has demonstrated strengths in its expanded workforce and agility, but it also faces weaknesses such as high staff turnover and challenges in maintaining impartiality. Opportunities for innovation and international relations have emerged, alongside threats from ongoing uncertainties and increased reliance on external consultants.</w:t>
      </w:r>
    </w:p>
    <w:p w14:paraId="0713022A" w14:textId="4D6B9EE1" w:rsidR="00767966" w:rsidRPr="00767966" w:rsidRDefault="00767966" w:rsidP="00767966">
      <w:pPr>
        <w:rPr>
          <w:rFonts w:ascii="Arial" w:hAnsi="Arial" w:cs="Arial"/>
        </w:rPr>
      </w:pPr>
      <w:r w:rsidRPr="00767966">
        <w:rPr>
          <w:rFonts w:ascii="Arial" w:hAnsi="Arial" w:cs="Arial"/>
        </w:rPr>
        <w:t xml:space="preserve">Leading organizational stakeholders through this complex change has been a critical task. The application of Kotter’s 8 Steps of Change Process and Lewin's Change Management Model has provided structured approaches to manage this transition effectively. These models emphasize the importance of establishing a sense of urgency, forming guiding coalitions, creating, and communicating a vision, empowering employees, generating short-term wins, and embedding </w:t>
      </w:r>
      <w:r w:rsidR="00320E1F" w:rsidRPr="00767966">
        <w:rPr>
          <w:rFonts w:ascii="Arial" w:hAnsi="Arial" w:cs="Arial"/>
        </w:rPr>
        <w:t>original approaches</w:t>
      </w:r>
      <w:r w:rsidRPr="00767966">
        <w:rPr>
          <w:rFonts w:ascii="Arial" w:hAnsi="Arial" w:cs="Arial"/>
        </w:rPr>
        <w:t xml:space="preserve"> in the organizational culture.</w:t>
      </w:r>
    </w:p>
    <w:p w14:paraId="7F46BD60" w14:textId="511A4BEA" w:rsidR="00767966" w:rsidRPr="00767966" w:rsidRDefault="00767966" w:rsidP="00767966">
      <w:pPr>
        <w:rPr>
          <w:rFonts w:ascii="Arial" w:hAnsi="Arial" w:cs="Arial"/>
        </w:rPr>
      </w:pPr>
      <w:r w:rsidRPr="00767966">
        <w:rPr>
          <w:rFonts w:ascii="Arial" w:hAnsi="Arial" w:cs="Arial"/>
        </w:rPr>
        <w:t xml:space="preserve">As the UK Civil Service continues to adapt to the post-Brexit landscape, it must remain vigilant and </w:t>
      </w:r>
      <w:r w:rsidR="00320E1F" w:rsidRPr="00767966">
        <w:rPr>
          <w:rFonts w:ascii="Arial" w:hAnsi="Arial" w:cs="Arial"/>
        </w:rPr>
        <w:t>initiative-taking</w:t>
      </w:r>
      <w:r w:rsidRPr="00767966">
        <w:rPr>
          <w:rFonts w:ascii="Arial" w:hAnsi="Arial" w:cs="Arial"/>
        </w:rPr>
        <w:t>. The ongoing uncertainties in UK-EU relations, internal challenges like workload management, and the need for continuous innovation in policy and governance necessitate a dynamic and forward-looking approach. The Civil Service must continue to evolve, enhancing its capabilities and strategies to meet the demands of a rapidly changing world.</w:t>
      </w:r>
    </w:p>
    <w:p w14:paraId="57DC0DF3" w14:textId="77777777" w:rsidR="00767966" w:rsidRPr="00767966" w:rsidRDefault="00767966" w:rsidP="00767966">
      <w:pPr>
        <w:rPr>
          <w:rFonts w:ascii="Arial" w:hAnsi="Arial" w:cs="Arial"/>
        </w:rPr>
      </w:pPr>
      <w:r w:rsidRPr="00767966">
        <w:rPr>
          <w:rFonts w:ascii="Arial" w:hAnsi="Arial" w:cs="Arial"/>
        </w:rPr>
        <w:t>The UK Civil Service's journey through the Brexit transition is a compelling narrative of adaptation and resilience. It underscores the significance of public institutions in navigating national transformations and highlights the complexities of managing change in a politically sensitive environment. The lessons learned from this experience are invaluable, not only for the UK but for public services worldwide facing similar transformative challenges.</w:t>
      </w:r>
    </w:p>
    <w:p w14:paraId="301009B5" w14:textId="77777777" w:rsidR="00767966" w:rsidRDefault="00767966" w:rsidP="00767966">
      <w:pPr>
        <w:rPr>
          <w:b/>
          <w:bCs/>
        </w:rPr>
      </w:pPr>
    </w:p>
    <w:p w14:paraId="6FED8ADD" w14:textId="77777777" w:rsidR="008920F3" w:rsidRDefault="008920F3" w:rsidP="00BD566E">
      <w:pPr>
        <w:rPr>
          <w:rFonts w:ascii="Arial" w:hAnsi="Arial" w:cs="Arial"/>
        </w:rPr>
      </w:pPr>
    </w:p>
    <w:p w14:paraId="078A2640" w14:textId="77777777" w:rsidR="008920F3" w:rsidRPr="00BD566E" w:rsidRDefault="008920F3" w:rsidP="00BD566E">
      <w:pPr>
        <w:rPr>
          <w:rFonts w:ascii="Arial" w:hAnsi="Arial" w:cs="Arial"/>
        </w:rPr>
      </w:pPr>
    </w:p>
    <w:p w14:paraId="31451697" w14:textId="77777777" w:rsidR="00AE3DD1" w:rsidRPr="00FD15CC" w:rsidRDefault="00AE3DD1" w:rsidP="00AE3DD1">
      <w:pPr>
        <w:pStyle w:val="Heading1"/>
        <w:jc w:val="both"/>
        <w:rPr>
          <w:rFonts w:cs="Arial"/>
          <w:b w:val="0"/>
          <w:bCs w:val="0"/>
          <w:color w:val="2E74B5" w:themeColor="accent5" w:themeShade="BF"/>
          <w:sz w:val="32"/>
          <w:szCs w:val="32"/>
        </w:rPr>
      </w:pPr>
    </w:p>
    <w:p w14:paraId="02D326A8" w14:textId="3A01F2A0" w:rsidR="00E04540" w:rsidRPr="00FD15CC" w:rsidRDefault="00785C38" w:rsidP="00EC10E0">
      <w:pPr>
        <w:pStyle w:val="Heading1"/>
        <w:jc w:val="both"/>
        <w:rPr>
          <w:rFonts w:cs="Arial"/>
          <w:b w:val="0"/>
          <w:bCs w:val="0"/>
          <w:color w:val="2E74B5" w:themeColor="accent5" w:themeShade="BF"/>
          <w:sz w:val="32"/>
          <w:szCs w:val="32"/>
        </w:rPr>
      </w:pPr>
      <w:bookmarkStart w:id="19" w:name="_Toc119231277"/>
      <w:bookmarkStart w:id="20" w:name="_Toc157363507"/>
      <w:r w:rsidRPr="00FD15CC">
        <w:rPr>
          <w:rFonts w:cs="Arial"/>
          <w:b w:val="0"/>
          <w:bCs w:val="0"/>
          <w:color w:val="2E74B5" w:themeColor="accent5" w:themeShade="BF"/>
          <w:sz w:val="32"/>
          <w:szCs w:val="32"/>
        </w:rPr>
        <w:t>References</w:t>
      </w:r>
      <w:bookmarkEnd w:id="19"/>
      <w:r w:rsidR="007F38C7" w:rsidRPr="00FD15CC">
        <w:rPr>
          <w:rFonts w:cs="Arial"/>
          <w:b w:val="0"/>
          <w:bCs w:val="0"/>
          <w:color w:val="2E74B5" w:themeColor="accent5" w:themeShade="BF"/>
          <w:sz w:val="32"/>
          <w:szCs w:val="32"/>
        </w:rPr>
        <w:t>.</w:t>
      </w:r>
      <w:bookmarkEnd w:id="20"/>
    </w:p>
    <w:p w14:paraId="629AFAC1"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Begg, I. (2017). Making Sense of the Costs and Benefits of Brexit: Challenges for Economists. Atlantic Economic Journal, 45, 299–315. </w:t>
      </w:r>
      <w:hyperlink r:id="rId9" w:tgtFrame="_new" w:history="1">
        <w:r w:rsidRPr="0087296F">
          <w:rPr>
            <w:rFonts w:ascii="Arial" w:eastAsia="Aptos" w:hAnsi="Arial" w:cs="Arial"/>
            <w:color w:val="467886"/>
            <w:kern w:val="2"/>
            <w:u w:val="single"/>
            <w14:ligatures w14:val="standardContextual"/>
          </w:rPr>
          <w:t>https://doi.org/10.1007/s11293-017-9550-x</w:t>
        </w:r>
      </w:hyperlink>
      <w:r w:rsidRPr="0087296F">
        <w:rPr>
          <w:rFonts w:ascii="Arial" w:eastAsia="Aptos" w:hAnsi="Arial" w:cs="Arial"/>
          <w:kern w:val="2"/>
          <w14:ligatures w14:val="standardContextual"/>
        </w:rPr>
        <w:t>. Accessed on January 18, 2024.</w:t>
      </w:r>
    </w:p>
    <w:p w14:paraId="6E92AD61" w14:textId="77777777" w:rsid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Bloom, D. E., Chatterji, S., Kowal, P., Lloyd-Sherlock, P., McKee, M., Rechel, B., ... &amp; Smith, J. P. (2015). Macroeconomic implications of population ageing and selected policy responses. The Lancet, 385(9968), 649-657. </w:t>
      </w:r>
      <w:hyperlink r:id="rId10" w:tgtFrame="_new" w:history="1">
        <w:r w:rsidRPr="0087296F">
          <w:rPr>
            <w:rFonts w:ascii="Arial" w:eastAsia="Aptos" w:hAnsi="Arial" w:cs="Arial"/>
            <w:color w:val="467886"/>
            <w:kern w:val="2"/>
            <w:u w:val="single"/>
            <w14:ligatures w14:val="standardContextual"/>
          </w:rPr>
          <w:t>https://doi.org/10.1016/S0140-6736(14)61464-1</w:t>
        </w:r>
      </w:hyperlink>
      <w:r w:rsidRPr="0087296F">
        <w:rPr>
          <w:rFonts w:ascii="Arial" w:eastAsia="Aptos" w:hAnsi="Arial" w:cs="Arial"/>
          <w:kern w:val="2"/>
          <w14:ligatures w14:val="standardContextual"/>
        </w:rPr>
        <w:t>. Accessed on January 22, 2024.</w:t>
      </w:r>
    </w:p>
    <w:p w14:paraId="10CAB795" w14:textId="6C85F1F1" w:rsidR="00F36DEC" w:rsidRPr="0087296F" w:rsidRDefault="00F36DEC" w:rsidP="0087296F">
      <w:pPr>
        <w:ind w:left="360"/>
        <w:rPr>
          <w:rFonts w:ascii="Arial" w:eastAsia="Aptos" w:hAnsi="Arial" w:cs="Arial"/>
          <w:kern w:val="2"/>
          <w14:ligatures w14:val="standardContextual"/>
        </w:rPr>
      </w:pPr>
      <w:proofErr w:type="spellStart"/>
      <w:r w:rsidRPr="00F36DEC">
        <w:rPr>
          <w:rFonts w:ascii="Arial" w:eastAsia="Aptos" w:hAnsi="Arial" w:cs="Arial"/>
          <w:kern w:val="2"/>
          <w14:ligatures w14:val="standardContextual"/>
        </w:rPr>
        <w:t>Borzykowsk</w:t>
      </w:r>
      <w:proofErr w:type="spellEnd"/>
      <w:r w:rsidRPr="00F36DEC">
        <w:rPr>
          <w:rFonts w:ascii="Arial" w:eastAsia="Aptos" w:hAnsi="Arial" w:cs="Arial"/>
          <w:kern w:val="2"/>
          <w14:ligatures w14:val="standardContextual"/>
        </w:rPr>
        <w:t xml:space="preserve">, B., Agren, D., &amp; Enochs, L. (2017, August 15). NAFTA Negotiations: Your guide to the players and priorities that matter - Open Canada. Open Canada. Retrieved January 28, 2024, from </w:t>
      </w:r>
      <w:hyperlink r:id="rId11" w:history="1">
        <w:r w:rsidRPr="006E444B">
          <w:rPr>
            <w:rStyle w:val="Hyperlink"/>
            <w:rFonts w:ascii="Arial" w:eastAsia="Aptos" w:hAnsi="Arial" w:cs="Arial"/>
            <w:kern w:val="2"/>
            <w14:ligatures w14:val="standardContextual"/>
          </w:rPr>
          <w:t>https://opencanada.org/nafta-negotiations-your-guide-players-and-priorities-matter/</w:t>
        </w:r>
      </w:hyperlink>
      <w:r>
        <w:rPr>
          <w:rFonts w:ascii="Arial" w:eastAsia="Aptos" w:hAnsi="Arial" w:cs="Arial"/>
          <w:kern w:val="2"/>
          <w14:ligatures w14:val="standardContextual"/>
        </w:rPr>
        <w:t xml:space="preserve"> </w:t>
      </w:r>
    </w:p>
    <w:p w14:paraId="0C125854"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Bryson, J. M., &amp; Crosby, B. C. (1992). Leadership for the common good: Tackling public problems in a shared-power world. Jossey-Bass.</w:t>
      </w:r>
    </w:p>
    <w:p w14:paraId="36D34C2F"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Bulmer, S., &amp; Quaglia, L. (2018). The politics and economics of Brexit. Journal of European Public Policy, 25(8), 1089-1098. </w:t>
      </w:r>
      <w:hyperlink r:id="rId12" w:tgtFrame="_new" w:history="1">
        <w:r w:rsidRPr="0087296F">
          <w:rPr>
            <w:rFonts w:ascii="Arial" w:eastAsia="Aptos" w:hAnsi="Arial" w:cs="Arial"/>
            <w:color w:val="467886"/>
            <w:kern w:val="2"/>
            <w:u w:val="single"/>
            <w14:ligatures w14:val="standardContextual"/>
          </w:rPr>
          <w:t>https://doi.org/10.1080/13501763.2018.1467957</w:t>
        </w:r>
      </w:hyperlink>
      <w:r w:rsidRPr="0087296F">
        <w:rPr>
          <w:rFonts w:ascii="Arial" w:eastAsia="Aptos" w:hAnsi="Arial" w:cs="Arial"/>
          <w:kern w:val="2"/>
          <w14:ligatures w14:val="standardContextual"/>
        </w:rPr>
        <w:t>. Accessed on January 20, 2024.</w:t>
      </w:r>
    </w:p>
    <w:p w14:paraId="631E6D5B"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Cameron, E., &amp; Green, M. (2015). Making sense of change management: A complete guide to the models, tools, and techniques of organizational change. Kogan Page.</w:t>
      </w:r>
    </w:p>
    <w:p w14:paraId="21562470"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Carew, A. (2022). Democracy and Government in European Trade Unions (Vol. 5). Taylor &amp; Francis. </w:t>
      </w:r>
      <w:hyperlink r:id="rId13" w:tgtFrame="_new" w:history="1">
        <w:r w:rsidRPr="0087296F">
          <w:rPr>
            <w:rFonts w:ascii="Arial" w:eastAsia="Aptos" w:hAnsi="Arial" w:cs="Arial"/>
            <w:color w:val="467886"/>
            <w:kern w:val="2"/>
            <w:u w:val="single"/>
            <w14:ligatures w14:val="standardContextual"/>
          </w:rPr>
          <w:t>https://doi.org/10.4324/9781003347880</w:t>
        </w:r>
      </w:hyperlink>
      <w:r w:rsidRPr="0087296F">
        <w:rPr>
          <w:rFonts w:ascii="Arial" w:eastAsia="Aptos" w:hAnsi="Arial" w:cs="Arial"/>
          <w:kern w:val="2"/>
          <w14:ligatures w14:val="standardContextual"/>
        </w:rPr>
        <w:t>. Accessed January 19, 2024.</w:t>
      </w:r>
    </w:p>
    <w:p w14:paraId="00C09124"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Cater, L. (2023, February 18). A post-Brexit regulatory “bonfire” could scorch UK environmental protections. Politico Europe. Retrieved January 26, 2024, from </w:t>
      </w:r>
      <w:hyperlink r:id="rId14" w:tgtFrame="_new" w:history="1">
        <w:r w:rsidRPr="0087296F">
          <w:rPr>
            <w:rFonts w:ascii="Arial" w:eastAsia="Aptos" w:hAnsi="Arial" w:cs="Arial"/>
            <w:color w:val="467886"/>
            <w:kern w:val="2"/>
            <w:u w:val="single"/>
            <w14:ligatures w14:val="standardContextual"/>
          </w:rPr>
          <w:t>https://www.politico.eu/article/post-brexit-regulation-uk-environmental-protection-eu/</w:t>
        </w:r>
      </w:hyperlink>
    </w:p>
    <w:p w14:paraId="768CCB3F"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Civil Service Fast Stream. 2021. Fast Stream Program: Attracting Young Talent. Retrieved from </w:t>
      </w:r>
      <w:hyperlink r:id="rId15" w:tgtFrame="_new" w:history="1">
        <w:r w:rsidRPr="0087296F">
          <w:rPr>
            <w:rFonts w:ascii="Arial" w:eastAsia="Aptos" w:hAnsi="Arial" w:cs="Arial"/>
            <w:color w:val="467886"/>
            <w:kern w:val="2"/>
            <w:u w:val="single"/>
            <w14:ligatures w14:val="standardContextual"/>
          </w:rPr>
          <w:t>https://www.faststream.gov.uk/</w:t>
        </w:r>
      </w:hyperlink>
      <w:r w:rsidRPr="0087296F">
        <w:rPr>
          <w:rFonts w:ascii="Arial" w:eastAsia="Aptos" w:hAnsi="Arial" w:cs="Arial"/>
          <w:kern w:val="2"/>
          <w14:ligatures w14:val="standardContextual"/>
        </w:rPr>
        <w:t>. Accessed on January 09, 2024.</w:t>
      </w:r>
    </w:p>
    <w:p w14:paraId="125E206F"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Civil Service. 2019. Promoting flexible working in the Civil Service. Retrieved from </w:t>
      </w:r>
      <w:hyperlink r:id="rId16" w:tgtFrame="_new" w:history="1">
        <w:r w:rsidRPr="0087296F">
          <w:rPr>
            <w:rFonts w:ascii="Arial" w:eastAsia="Aptos" w:hAnsi="Arial" w:cs="Arial"/>
            <w:color w:val="467886"/>
            <w:kern w:val="2"/>
            <w:u w:val="single"/>
            <w14:ligatures w14:val="standardContextual"/>
          </w:rPr>
          <w:t>https://civilservice.blog.gov.uk/2019/01/17/promoting-flexible-working-in-the-civil-service/</w:t>
        </w:r>
      </w:hyperlink>
      <w:r w:rsidRPr="0087296F">
        <w:rPr>
          <w:rFonts w:ascii="Arial" w:eastAsia="Aptos" w:hAnsi="Arial" w:cs="Arial"/>
          <w:kern w:val="2"/>
          <w14:ligatures w14:val="standardContextual"/>
        </w:rPr>
        <w:t>. Accessed on January 28, 2024.</w:t>
      </w:r>
    </w:p>
    <w:p w14:paraId="400EFA98"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Civil Service. 2020. Race to the Top G6/7 – a network success story. Retrieved from </w:t>
      </w:r>
      <w:hyperlink r:id="rId17" w:tgtFrame="_new" w:history="1">
        <w:r w:rsidRPr="0087296F">
          <w:rPr>
            <w:rFonts w:ascii="Arial" w:eastAsia="Aptos" w:hAnsi="Arial" w:cs="Arial"/>
            <w:color w:val="467886"/>
            <w:kern w:val="2"/>
            <w:u w:val="single"/>
            <w14:ligatures w14:val="standardContextual"/>
          </w:rPr>
          <w:t>https://civilservice.blog.gov.uk/2020/05/27/race-to-the-top-g6-7-a-network-success-story/</w:t>
        </w:r>
      </w:hyperlink>
      <w:r w:rsidRPr="0087296F">
        <w:rPr>
          <w:rFonts w:ascii="Arial" w:eastAsia="Aptos" w:hAnsi="Arial" w:cs="Arial"/>
          <w:kern w:val="2"/>
          <w14:ligatures w14:val="standardContextual"/>
        </w:rPr>
        <w:t>. Accessed on January 18, 2024.</w:t>
      </w:r>
    </w:p>
    <w:p w14:paraId="19B082DF"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ClientEarth. (2021, February 11). Environmental Law &amp; Governance Post-Brexit. </w:t>
      </w:r>
      <w:hyperlink r:id="rId18" w:tgtFrame="_new" w:history="1">
        <w:r w:rsidRPr="0087296F">
          <w:rPr>
            <w:rFonts w:ascii="Arial" w:eastAsia="Aptos" w:hAnsi="Arial" w:cs="Arial"/>
            <w:color w:val="467886"/>
            <w:kern w:val="2"/>
            <w:u w:val="single"/>
            <w14:ligatures w14:val="standardContextual"/>
          </w:rPr>
          <w:t>Www.clientearth.org</w:t>
        </w:r>
      </w:hyperlink>
      <w:r w:rsidRPr="0087296F">
        <w:rPr>
          <w:rFonts w:ascii="Arial" w:eastAsia="Aptos" w:hAnsi="Arial" w:cs="Arial"/>
          <w:kern w:val="2"/>
          <w14:ligatures w14:val="standardContextual"/>
        </w:rPr>
        <w:t xml:space="preserve">. Retrieved January 16, 2024, from </w:t>
      </w:r>
      <w:hyperlink r:id="rId19" w:tgtFrame="_new" w:history="1">
        <w:r w:rsidRPr="0087296F">
          <w:rPr>
            <w:rFonts w:ascii="Arial" w:eastAsia="Aptos" w:hAnsi="Arial" w:cs="Arial"/>
            <w:color w:val="467886"/>
            <w:kern w:val="2"/>
            <w:u w:val="single"/>
            <w14:ligatures w14:val="standardContextual"/>
          </w:rPr>
          <w:t>https://www.clientearth.org/latest/documents/environmental-law-governance-post-brexit/</w:t>
        </w:r>
      </w:hyperlink>
    </w:p>
    <w:p w14:paraId="23995CD6"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Cox, T. H., &amp; Blake, S. (1991). Managing Cultural Diversity: Implications for Organizational Competitiveness. The Executive, 5(3), 45–56. </w:t>
      </w:r>
      <w:hyperlink r:id="rId20" w:tgtFrame="_new" w:history="1">
        <w:r w:rsidRPr="0087296F">
          <w:rPr>
            <w:rFonts w:ascii="Arial" w:eastAsia="Aptos" w:hAnsi="Arial" w:cs="Arial"/>
            <w:color w:val="467886"/>
            <w:kern w:val="2"/>
            <w:u w:val="single"/>
            <w14:ligatures w14:val="standardContextual"/>
          </w:rPr>
          <w:t>http://www.jstor.org/stable/4165021</w:t>
        </w:r>
      </w:hyperlink>
      <w:r w:rsidRPr="0087296F">
        <w:rPr>
          <w:rFonts w:ascii="Arial" w:eastAsia="Aptos" w:hAnsi="Arial" w:cs="Arial"/>
          <w:kern w:val="2"/>
          <w14:ligatures w14:val="standardContextual"/>
        </w:rPr>
        <w:t>. Accessed on January 21, 2024.</w:t>
      </w:r>
    </w:p>
    <w:p w14:paraId="4D8B3D95"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Cummings, T. G., &amp; Worley, C. G. (2014). Organization development and change. Cengage Learning.</w:t>
      </w:r>
    </w:p>
    <w:p w14:paraId="71C64DAD"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Dhingra, S., &amp; Sampson, T. (2022). Expecting Brexit. Annual Review of Economics, 14, 495-519. </w:t>
      </w:r>
      <w:hyperlink r:id="rId21" w:tgtFrame="_new" w:history="1">
        <w:r w:rsidRPr="0087296F">
          <w:rPr>
            <w:rFonts w:ascii="Arial" w:eastAsia="Aptos" w:hAnsi="Arial" w:cs="Arial"/>
            <w:color w:val="467886"/>
            <w:kern w:val="2"/>
            <w:u w:val="single"/>
            <w14:ligatures w14:val="standardContextual"/>
          </w:rPr>
          <w:t>https://doi.org/10.1146/annurev-economics-051420-104231</w:t>
        </w:r>
      </w:hyperlink>
      <w:r w:rsidRPr="0087296F">
        <w:rPr>
          <w:rFonts w:ascii="Arial" w:eastAsia="Aptos" w:hAnsi="Arial" w:cs="Arial"/>
          <w:kern w:val="2"/>
          <w14:ligatures w14:val="standardContextual"/>
        </w:rPr>
        <w:t>. Accessed on January 27, 2024.</w:t>
      </w:r>
    </w:p>
    <w:p w14:paraId="5F9EC9CD"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Dhingra, S., Ottaviano, G. I., Sampson, T., &amp; Van Reenen, J. (2016). The consequences of Brexit for UK trade and living standards. Retrieved January 17, 2024, from </w:t>
      </w:r>
      <w:hyperlink r:id="rId22" w:tgtFrame="_new" w:history="1">
        <w:r w:rsidRPr="0087296F">
          <w:rPr>
            <w:rFonts w:ascii="Arial" w:eastAsia="Aptos" w:hAnsi="Arial" w:cs="Arial"/>
            <w:color w:val="467886"/>
            <w:kern w:val="2"/>
            <w:u w:val="single"/>
            <w14:ligatures w14:val="standardContextual"/>
          </w:rPr>
          <w:t>http://eprints.lse.ac.uk/id/eprint/66144</w:t>
        </w:r>
      </w:hyperlink>
    </w:p>
    <w:p w14:paraId="69B0A34C"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Dunton, J. (2019, March 28). Civil service ‘fundamentally changed’ by Brexit. Civil Service World. Retrieved January 28, 2024, from </w:t>
      </w:r>
      <w:hyperlink r:id="rId23" w:tgtFrame="_new" w:history="1">
        <w:r w:rsidRPr="0087296F">
          <w:rPr>
            <w:rFonts w:ascii="Arial" w:eastAsia="Aptos" w:hAnsi="Arial" w:cs="Arial"/>
            <w:color w:val="467886"/>
            <w:kern w:val="2"/>
            <w:u w:val="single"/>
            <w14:ligatures w14:val="standardContextual"/>
          </w:rPr>
          <w:t>https://www.civilserviceworld.com/professions/article/civil-service-fundamentally-changed-by-brexit</w:t>
        </w:r>
      </w:hyperlink>
    </w:p>
    <w:p w14:paraId="3875950B"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Eatwell, R., &amp; Goodwin, M. (2018). National populism: The revolt against liberal democracy. Penguin UK.</w:t>
      </w:r>
    </w:p>
    <w:p w14:paraId="11E39932"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Fieldfisher. (2017). Transposing the bureaucracy of the EU into the UK civil services. Retrieved January 22, 2024, from </w:t>
      </w:r>
      <w:hyperlink r:id="rId24" w:tgtFrame="_new" w:history="1">
        <w:r w:rsidRPr="0087296F">
          <w:rPr>
            <w:rFonts w:ascii="Arial" w:eastAsia="Aptos" w:hAnsi="Arial" w:cs="Arial"/>
            <w:color w:val="467886"/>
            <w:kern w:val="2"/>
            <w:u w:val="single"/>
            <w14:ligatures w14:val="standardContextual"/>
          </w:rPr>
          <w:t>https://www.fieldfisher.com/en/insights/transposing-the-bureaucracy-of-the-eu-into-the-uk-civil-services</w:t>
        </w:r>
      </w:hyperlink>
    </w:p>
    <w:p w14:paraId="6378D09A"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Freeman, R. E. (1984). Strategic management: A stakeholder approach. Pitman.</w:t>
      </w:r>
    </w:p>
    <w:p w14:paraId="2CE7A20D"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GOV.UK. (2018). New environment law to deliver a Green Brexit. Retrieved January 17, 2024, from </w:t>
      </w:r>
      <w:hyperlink r:id="rId25" w:tgtFrame="_new" w:history="1">
        <w:r w:rsidRPr="0087296F">
          <w:rPr>
            <w:rFonts w:ascii="Arial" w:eastAsia="Aptos" w:hAnsi="Arial" w:cs="Arial"/>
            <w:color w:val="467886"/>
            <w:kern w:val="2"/>
            <w:u w:val="single"/>
            <w14:ligatures w14:val="standardContextual"/>
          </w:rPr>
          <w:t>https://www.gov.uk/government/news/new-environment-law-to-deliver-a-green-brexit</w:t>
        </w:r>
      </w:hyperlink>
    </w:p>
    <w:p w14:paraId="4D409B19"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Gowland, D. (2022). Britain and the European Union. Routledge. </w:t>
      </w:r>
      <w:hyperlink r:id="rId26" w:tgtFrame="_new" w:history="1">
        <w:r w:rsidRPr="0087296F">
          <w:rPr>
            <w:rFonts w:ascii="Arial" w:eastAsia="Aptos" w:hAnsi="Arial" w:cs="Arial"/>
            <w:color w:val="467886"/>
            <w:kern w:val="2"/>
            <w:u w:val="single"/>
            <w14:ligatures w14:val="standardContextual"/>
          </w:rPr>
          <w:t>https://doi.org/10.4324/9781351018340</w:t>
        </w:r>
      </w:hyperlink>
    </w:p>
    <w:p w14:paraId="428AE7C5"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Hayes, J. (2018). The theory and practice of change management. Palgrave.</w:t>
      </w:r>
    </w:p>
    <w:p w14:paraId="65EA5AAA"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Hood, C., &amp; Lodge, M. (2006). The politics of public service bargains: Reward, competency, loyalty-and blame. OUP Oxford.</w:t>
      </w:r>
    </w:p>
    <w:p w14:paraId="6AA50D63"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Independent Review of Governance and Accountability in the Civil Service: The Rt Hon Lord Maude of Horsham. (2023, November). GOV.UK. Retrieved January 24, 2024, from </w:t>
      </w:r>
      <w:hyperlink r:id="rId27" w:tgtFrame="_new" w:history="1">
        <w:r w:rsidRPr="0087296F">
          <w:rPr>
            <w:rFonts w:ascii="Arial" w:eastAsia="Aptos" w:hAnsi="Arial" w:cs="Arial"/>
            <w:color w:val="467886"/>
            <w:kern w:val="2"/>
            <w:u w:val="single"/>
            <w14:ligatures w14:val="standardContextual"/>
          </w:rPr>
          <w:t>https://www.gov.uk/government/publications/review-of-governance-and-accountability/independent-review-of-governance-and-accountability-in-the-civil-service-the-rt-hon-lord-maude-of-horsham-html</w:t>
        </w:r>
      </w:hyperlink>
    </w:p>
    <w:p w14:paraId="58FF82CE"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Information Commissioner’s Office. (2023, May 19). Data protection and the EU in detail. Ico.org.uk. Retrieved January 26, 2024, from </w:t>
      </w:r>
      <w:hyperlink r:id="rId28" w:tgtFrame="_new" w:history="1">
        <w:r w:rsidRPr="0087296F">
          <w:rPr>
            <w:rFonts w:ascii="Arial" w:eastAsia="Aptos" w:hAnsi="Arial" w:cs="Arial"/>
            <w:color w:val="467886"/>
            <w:kern w:val="2"/>
            <w:u w:val="single"/>
            <w14:ligatures w14:val="standardContextual"/>
          </w:rPr>
          <w:t>https://ico.org.uk/for-organisations/data-protection-and-the-eu/data-protection-and-the-eu-in-detail/</w:t>
        </w:r>
      </w:hyperlink>
    </w:p>
    <w:p w14:paraId="5D49EBA1"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Institute for Government. (2017). The civil service after Article 50. [PDF file]. Institute for Government. Retrieved January 24, 2024, from </w:t>
      </w:r>
      <w:hyperlink r:id="rId29" w:tgtFrame="_new" w:history="1">
        <w:r w:rsidRPr="0087296F">
          <w:rPr>
            <w:rFonts w:ascii="Arial" w:eastAsia="Aptos" w:hAnsi="Arial" w:cs="Arial"/>
            <w:color w:val="467886"/>
            <w:kern w:val="2"/>
            <w:u w:val="single"/>
            <w14:ligatures w14:val="standardContextual"/>
          </w:rPr>
          <w:t>https://www.instituteforgovernment.org.uk/sites/default/files/publications/IFGJ5327_Report_Brexit_Civil_Service_080317_WEB.pdf</w:t>
        </w:r>
      </w:hyperlink>
    </w:p>
    <w:p w14:paraId="77E174AC"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Institute for Government. (2023a). Whitehall Monitor 2023 (Part 3): Civil service effectiveness. Retrieved January 28, 2024, from </w:t>
      </w:r>
      <w:hyperlink r:id="rId30" w:tgtFrame="_new" w:history="1">
        <w:r w:rsidRPr="0087296F">
          <w:rPr>
            <w:rFonts w:ascii="Arial" w:eastAsia="Aptos" w:hAnsi="Arial" w:cs="Arial"/>
            <w:color w:val="467886"/>
            <w:kern w:val="2"/>
            <w:u w:val="single"/>
            <w14:ligatures w14:val="standardContextual"/>
          </w:rPr>
          <w:t>https://www.instituteforgovernment.org.uk/publication/whitehall-monitor-2023/civil-service-effectiveness</w:t>
        </w:r>
      </w:hyperlink>
    </w:p>
    <w:p w14:paraId="1F45EDFC"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Institute for Government. (2023b). Whitehall Monitor 2023 (Part 1): The size, cost and make-up of the civil service. Retrieved January 18, 2024, from </w:t>
      </w:r>
      <w:hyperlink r:id="rId31" w:tgtFrame="_new" w:history="1">
        <w:r w:rsidRPr="0087296F">
          <w:rPr>
            <w:rFonts w:ascii="Arial" w:eastAsia="Aptos" w:hAnsi="Arial" w:cs="Arial"/>
            <w:color w:val="467886"/>
            <w:kern w:val="2"/>
            <w:u w:val="single"/>
            <w14:ligatures w14:val="standardContextual"/>
          </w:rPr>
          <w:t>https://www.instituteforgovernment.org.uk/publication/whitehall-monitor-2023/size-cost-make-civil-service</w:t>
        </w:r>
      </w:hyperlink>
    </w:p>
    <w:p w14:paraId="58C7ADFE"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Jones, J. 2019, October 10. Supporting civil servants’ mental health and wellbeing - Civil Service. Civilservice.blog.gov.uk. </w:t>
      </w:r>
      <w:hyperlink r:id="rId32" w:tgtFrame="_new" w:history="1">
        <w:r w:rsidRPr="0087296F">
          <w:rPr>
            <w:rFonts w:ascii="Arial" w:eastAsia="Aptos" w:hAnsi="Arial" w:cs="Arial"/>
            <w:color w:val="467886"/>
            <w:kern w:val="2"/>
            <w:u w:val="single"/>
            <w14:ligatures w14:val="standardContextual"/>
          </w:rPr>
          <w:t>https://civilservice.blog.gov.uk/2019/10/10/supporting-uk-civil-servants-mental-health-and-wellbeing/</w:t>
        </w:r>
      </w:hyperlink>
      <w:r w:rsidRPr="0087296F">
        <w:rPr>
          <w:rFonts w:ascii="Arial" w:eastAsia="Aptos" w:hAnsi="Arial" w:cs="Arial"/>
          <w:kern w:val="2"/>
          <w14:ligatures w14:val="standardContextual"/>
        </w:rPr>
        <w:t>. Accessed on January 12, 2024.</w:t>
      </w:r>
    </w:p>
    <w:p w14:paraId="7F6AD41E"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Karanikolos, M., Mladovsky, P., Cylus, J., Thomson, S., Basu, S., Stuckler, D., Mackenbach, J. P., &amp; McKee, M. (2013). Financial crisis, austerity, and health in Europe. The Lancet, 381(9874), 1323-1331. </w:t>
      </w:r>
      <w:hyperlink r:id="rId33" w:tgtFrame="_new" w:history="1">
        <w:r w:rsidRPr="0087296F">
          <w:rPr>
            <w:rFonts w:ascii="Arial" w:eastAsia="Aptos" w:hAnsi="Arial" w:cs="Arial"/>
            <w:color w:val="467886"/>
            <w:kern w:val="2"/>
            <w:u w:val="single"/>
            <w14:ligatures w14:val="standardContextual"/>
          </w:rPr>
          <w:t>https://doi.org/10.1016/S0140-6736(13)60102-6</w:t>
        </w:r>
      </w:hyperlink>
    </w:p>
    <w:p w14:paraId="405883DA"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Kotter, J. P. (1996). Leading Change. Harvard Business Review Press.</w:t>
      </w:r>
    </w:p>
    <w:p w14:paraId="5546B110"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Kotter, J. P. (2012). Leading change. Harvard Business Review Press.</w:t>
      </w:r>
    </w:p>
    <w:p w14:paraId="1403A707"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Lancefield, D. (2016, November 16). Business Beyond Brexit. Strategy+Business. Retrieved January 28, 2024, from </w:t>
      </w:r>
      <w:hyperlink r:id="rId34" w:tgtFrame="_new" w:history="1">
        <w:r w:rsidRPr="0087296F">
          <w:rPr>
            <w:rFonts w:ascii="Arial" w:eastAsia="Aptos" w:hAnsi="Arial" w:cs="Arial"/>
            <w:color w:val="467886"/>
            <w:kern w:val="2"/>
            <w:u w:val="single"/>
            <w14:ligatures w14:val="standardContextual"/>
          </w:rPr>
          <w:t>https://www.strategy-business.com/article/Business-Beyond-Brexit</w:t>
        </w:r>
      </w:hyperlink>
    </w:p>
    <w:p w14:paraId="6B2B86D1"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Lewin, K. (1951). Field theory in social science: Selected theoretical papers (D. Cartwright, Ed.). Harper &amp; Row.</w:t>
      </w:r>
    </w:p>
    <w:p w14:paraId="7FDFE081"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MacLennan, J., &amp; Forwood, G. (2021, March 9). Environmental law after Brexit. White &amp; Case LLP. Retrieved January 25, 2024, from </w:t>
      </w:r>
      <w:hyperlink r:id="rId35" w:tgtFrame="_new" w:history="1">
        <w:r w:rsidRPr="0087296F">
          <w:rPr>
            <w:rFonts w:ascii="Arial" w:eastAsia="Aptos" w:hAnsi="Arial" w:cs="Arial"/>
            <w:color w:val="467886"/>
            <w:kern w:val="2"/>
            <w:u w:val="single"/>
            <w14:ligatures w14:val="standardContextual"/>
          </w:rPr>
          <w:t>https://www.whitecase.com/insight-alert/environmental-law-after-brexit</w:t>
        </w:r>
      </w:hyperlink>
    </w:p>
    <w:p w14:paraId="4AB4BA4F"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McCulloch, A. (2020, May 18). Civil service praised for agility amid extreme Brexit pressure. Personnel Today. Retrieved January 16, 2024, from </w:t>
      </w:r>
      <w:hyperlink r:id="rId36" w:tgtFrame="_new" w:history="1">
        <w:r w:rsidRPr="0087296F">
          <w:rPr>
            <w:rFonts w:ascii="Arial" w:eastAsia="Aptos" w:hAnsi="Arial" w:cs="Arial"/>
            <w:color w:val="467886"/>
            <w:kern w:val="2"/>
            <w:u w:val="single"/>
            <w14:ligatures w14:val="standardContextual"/>
          </w:rPr>
          <w:t>https://www.personneltoday.com/hr/civil-service-praised-for-agility-amid-extreme-brexit-pressure/</w:t>
        </w:r>
      </w:hyperlink>
    </w:p>
    <w:p w14:paraId="7B57186F" w14:textId="77777777" w:rsidR="0087296F" w:rsidRDefault="0087296F" w:rsidP="0087296F">
      <w:pPr>
        <w:ind w:left="360"/>
        <w:rPr>
          <w:rFonts w:ascii="Arial" w:eastAsia="Aptos" w:hAnsi="Arial" w:cs="Arial"/>
          <w:color w:val="467886"/>
          <w:kern w:val="2"/>
          <w:u w:val="single"/>
          <w14:ligatures w14:val="standardContextual"/>
        </w:rPr>
      </w:pPr>
      <w:r w:rsidRPr="0087296F">
        <w:rPr>
          <w:rFonts w:ascii="Arial" w:eastAsia="Aptos" w:hAnsi="Arial" w:cs="Arial"/>
          <w:kern w:val="2"/>
          <w14:ligatures w14:val="standardContextual"/>
        </w:rPr>
        <w:t xml:space="preserve">Menon, P. A. (2017, January 9). Brexit: the biggest challenge the civil service has ever faced? UK in a Changing Europe. Retrieved January 19, 2024, from </w:t>
      </w:r>
      <w:hyperlink r:id="rId37" w:tgtFrame="_new" w:history="1">
        <w:r w:rsidRPr="0087296F">
          <w:rPr>
            <w:rFonts w:ascii="Arial" w:eastAsia="Aptos" w:hAnsi="Arial" w:cs="Arial"/>
            <w:color w:val="467886"/>
            <w:kern w:val="2"/>
            <w:u w:val="single"/>
            <w14:ligatures w14:val="standardContextual"/>
          </w:rPr>
          <w:t>https://ukandeu.ac.uk/brexit-the-biggest-challenge-the-civil-service-has-ever-faced/</w:t>
        </w:r>
      </w:hyperlink>
    </w:p>
    <w:p w14:paraId="6F7E1A79" w14:textId="36F84EF8" w:rsidR="00F36DEC" w:rsidRPr="0087296F" w:rsidRDefault="00F36DEC" w:rsidP="0087296F">
      <w:pPr>
        <w:ind w:left="360"/>
        <w:rPr>
          <w:rFonts w:ascii="Arial" w:eastAsia="Aptos" w:hAnsi="Arial" w:cs="Arial"/>
          <w:kern w:val="2"/>
          <w14:ligatures w14:val="standardContextual"/>
        </w:rPr>
      </w:pPr>
      <w:r w:rsidRPr="00F36DEC">
        <w:rPr>
          <w:rFonts w:ascii="Arial" w:eastAsia="Aptos" w:hAnsi="Arial" w:cs="Arial"/>
          <w:kern w:val="2"/>
          <w14:ligatures w14:val="standardContextual"/>
        </w:rPr>
        <w:t xml:space="preserve">NAFTA renegotiations and their impact on Canadian businesses. (2018, May 2). Osler, Hoskin &amp; Harcourt LLP. Retrieved January 24, 2024, from </w:t>
      </w:r>
      <w:hyperlink r:id="rId38" w:history="1">
        <w:r w:rsidRPr="006E444B">
          <w:rPr>
            <w:rStyle w:val="Hyperlink"/>
            <w:rFonts w:ascii="Arial" w:eastAsia="Aptos" w:hAnsi="Arial" w:cs="Arial"/>
            <w:kern w:val="2"/>
            <w14:ligatures w14:val="standardContextual"/>
          </w:rPr>
          <w:t>https://www.osler.com/en/resources/cross-border/2018/nafta-renegotiations-and-their-impact-on-canadian-businesses</w:t>
        </w:r>
      </w:hyperlink>
      <w:r>
        <w:rPr>
          <w:rFonts w:ascii="Arial" w:eastAsia="Aptos" w:hAnsi="Arial" w:cs="Arial"/>
          <w:kern w:val="2"/>
          <w14:ligatures w14:val="standardContextual"/>
        </w:rPr>
        <w:t xml:space="preserve"> </w:t>
      </w:r>
    </w:p>
    <w:p w14:paraId="57516504"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Nguyen, L. (2021, August 31). How is Brexit impacting regulatory development and change? Informa Connect. Retrieved January 23, 2024, from </w:t>
      </w:r>
      <w:hyperlink r:id="rId39" w:tgtFrame="_new" w:history="1">
        <w:r w:rsidRPr="0087296F">
          <w:rPr>
            <w:rFonts w:ascii="Arial" w:eastAsia="Aptos" w:hAnsi="Arial" w:cs="Arial"/>
            <w:color w:val="467886"/>
            <w:kern w:val="2"/>
            <w:u w:val="single"/>
            <w14:ligatures w14:val="standardContextual"/>
          </w:rPr>
          <w:t>https://informaconnect.com/how-is-brexit-impacting-regulatory-development-and-change/</w:t>
        </w:r>
      </w:hyperlink>
    </w:p>
    <w:p w14:paraId="689D2CAF" w14:textId="3994D1E5"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ONS. (2019). Living longer - Office for National Statistics. Ons.gov.uk. Retrieved January 27, 2024, from </w:t>
      </w:r>
      <w:hyperlink r:id="rId40" w:tgtFrame="_new" w:history="1">
        <w:r w:rsidRPr="0087296F">
          <w:rPr>
            <w:rFonts w:ascii="Arial" w:eastAsia="Aptos" w:hAnsi="Arial" w:cs="Arial"/>
            <w:color w:val="467886"/>
            <w:kern w:val="2"/>
            <w:u w:val="single"/>
            <w14:ligatures w14:val="standardContextual"/>
          </w:rPr>
          <w:t>https://www.ons.gov.uk/peoplepopulationandcommunity/birthsdeathsandmarriages/ageing/articles/livinglongerhowourpopulationischangingandwhyitmatters/2019-03-15</w:t>
        </w:r>
      </w:hyperlink>
    </w:p>
    <w:p w14:paraId="70C8146E"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Ortino, F. (2020, January 27). Protecting workers’ rights using the EU-UK Trade and Cooperation Agreement - full report. Retrieved January 23, 2024, from </w:t>
      </w:r>
      <w:hyperlink r:id="rId41" w:tgtFrame="_new" w:history="1">
        <w:r w:rsidRPr="0087296F">
          <w:rPr>
            <w:rFonts w:ascii="Arial" w:eastAsia="Aptos" w:hAnsi="Arial" w:cs="Arial"/>
            <w:color w:val="467886"/>
            <w:kern w:val="2"/>
            <w:u w:val="single"/>
            <w14:ligatures w14:val="standardContextual"/>
          </w:rPr>
          <w:t>https://www.tuc.org.uk/research-analysis/reports/protecting-workers-rights-using-eu-uk-trade-and-cooperation-agreement</w:t>
        </w:r>
      </w:hyperlink>
    </w:p>
    <w:p w14:paraId="46C4BE84"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Perry, J. L., &amp; Hondeghem, A. (2008). Building theory and empirical evidence about public service motivation. International Public Management Journal, 11(1), 3-12. </w:t>
      </w:r>
      <w:hyperlink r:id="rId42" w:tgtFrame="_new" w:history="1">
        <w:r w:rsidRPr="0087296F">
          <w:rPr>
            <w:rFonts w:ascii="Arial" w:eastAsia="Aptos" w:hAnsi="Arial" w:cs="Arial"/>
            <w:color w:val="467886"/>
            <w:kern w:val="2"/>
            <w:u w:val="single"/>
            <w14:ligatures w14:val="standardContextual"/>
          </w:rPr>
          <w:t>https://doi-org.ezproxy.uwtsd.ac.uk/10.1080/10967490801887673</w:t>
        </w:r>
      </w:hyperlink>
      <w:r w:rsidRPr="0087296F">
        <w:rPr>
          <w:rFonts w:ascii="Arial" w:eastAsia="Aptos" w:hAnsi="Arial" w:cs="Arial"/>
          <w:kern w:val="2"/>
          <w14:ligatures w14:val="standardContextual"/>
        </w:rPr>
        <w:t>. Accessed January 22, 2024.</w:t>
      </w:r>
    </w:p>
    <w:p w14:paraId="04CD9FDB"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Press Release GOV.UK. 2020. Prime Minister announces merger of Department for International Development and Foreign Office. Retrieved from </w:t>
      </w:r>
      <w:hyperlink r:id="rId43" w:anchor=":~:text=Prime%20Minister%20Boris%20Johnson%20announces,International%20Development%20and%20Foreign%20Office.&amp;text=The%20Prime%20Minister%20has%20announced,brings%20together%20Britain%27s%20international%20effort" w:tgtFrame="_new" w:history="1">
        <w:r w:rsidRPr="0087296F">
          <w:rPr>
            <w:rFonts w:ascii="Arial" w:eastAsia="Aptos" w:hAnsi="Arial" w:cs="Arial"/>
            <w:color w:val="467886"/>
            <w:kern w:val="2"/>
            <w:u w:val="single"/>
            <w14:ligatures w14:val="standardContextual"/>
          </w:rPr>
          <w:t>https://www.gov.uk/government/news/prime-minister-announces-merger-of-department-for-international-development-and-foreign-office#:~:text=Prime%20Minister%20Boris%20Johnson%20announces,International%20Development%20and%20Foreign%20Office.&amp;text=The%20Prime%20Minister%20has%20announced,brings%20together%20Britain%27s%20international%20effort</w:t>
        </w:r>
      </w:hyperlink>
      <w:r w:rsidRPr="0087296F">
        <w:rPr>
          <w:rFonts w:ascii="Arial" w:eastAsia="Aptos" w:hAnsi="Arial" w:cs="Arial"/>
          <w:kern w:val="2"/>
          <w14:ligatures w14:val="standardContextual"/>
        </w:rPr>
        <w:t>. Accessed on January 21, 2024.</w:t>
      </w:r>
    </w:p>
    <w:p w14:paraId="5F7A3620"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Reeves, M. (2016, July 7). A CEO’s Guide to Navigating Brexit. BCG Global. Retrieved January 16, 2024, from </w:t>
      </w:r>
      <w:hyperlink r:id="rId44" w:tgtFrame="_new" w:history="1">
        <w:r w:rsidRPr="0087296F">
          <w:rPr>
            <w:rFonts w:ascii="Arial" w:eastAsia="Aptos" w:hAnsi="Arial" w:cs="Arial"/>
            <w:color w:val="467886"/>
            <w:kern w:val="2"/>
            <w:u w:val="single"/>
            <w14:ligatures w14:val="standardContextual"/>
          </w:rPr>
          <w:t>https://www.bcg.com/publications/2016/strategy-globalization-ceos-guide-to-navigating-brexit</w:t>
        </w:r>
      </w:hyperlink>
    </w:p>
    <w:p w14:paraId="6E7B51D9"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Reland, J., Menon, A., Rutter, J., Winters, L. A., Morita-Jaeger, M., Portes, J., ... &amp; Rajic, I. (2022). Doing things differently? Policy after Brexit. Retrieved January 19, 2024, from </w:t>
      </w:r>
      <w:hyperlink r:id="rId45" w:tgtFrame="_new" w:history="1">
        <w:r w:rsidRPr="0087296F">
          <w:rPr>
            <w:rFonts w:ascii="Arial" w:eastAsia="Aptos" w:hAnsi="Arial" w:cs="Arial"/>
            <w:color w:val="467886"/>
            <w:kern w:val="2"/>
            <w:u w:val="single"/>
            <w14:ligatures w14:val="standardContextual"/>
          </w:rPr>
          <w:t>https://discovery.ucl.ac.uk/id/eprint/10142948/1/UKICE-Policy-Report_FINAL.pdf</w:t>
        </w:r>
      </w:hyperlink>
    </w:p>
    <w:p w14:paraId="0BFFE513"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Russell, M. (2021). Brexit and parliament: The anatomy of a perfect storm. Parliamentary Affairs, 74(2), 443-463. </w:t>
      </w:r>
      <w:hyperlink r:id="rId46" w:tgtFrame="_new" w:history="1">
        <w:r w:rsidRPr="0087296F">
          <w:rPr>
            <w:rFonts w:ascii="Arial" w:eastAsia="Aptos" w:hAnsi="Arial" w:cs="Arial"/>
            <w:color w:val="467886"/>
            <w:kern w:val="2"/>
            <w:u w:val="single"/>
            <w14:ligatures w14:val="standardContextual"/>
          </w:rPr>
          <w:t>https://doi.org/10.1093/pa/gsaa011</w:t>
        </w:r>
      </w:hyperlink>
      <w:r w:rsidRPr="0087296F">
        <w:rPr>
          <w:rFonts w:ascii="Arial" w:eastAsia="Aptos" w:hAnsi="Arial" w:cs="Arial"/>
          <w:kern w:val="2"/>
          <w14:ligatures w14:val="standardContextual"/>
        </w:rPr>
        <w:t>. Accessed January 18, 2024.</w:t>
      </w:r>
    </w:p>
    <w:p w14:paraId="7303CB76"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Rutter, J. (2021a). The civil service post-Brexit: change incoming? UK in a Changing Europe. Retrieved January 21, 2024, from </w:t>
      </w:r>
      <w:hyperlink r:id="rId47" w:tgtFrame="_new" w:history="1">
        <w:r w:rsidRPr="0087296F">
          <w:rPr>
            <w:rFonts w:ascii="Arial" w:eastAsia="Aptos" w:hAnsi="Arial" w:cs="Arial"/>
            <w:color w:val="467886"/>
            <w:kern w:val="2"/>
            <w:u w:val="single"/>
            <w14:ligatures w14:val="standardContextual"/>
          </w:rPr>
          <w:t>https://ukandeu.ac.uk/civil-service-post-brexit/</w:t>
        </w:r>
      </w:hyperlink>
    </w:p>
    <w:p w14:paraId="73A16B98"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Rutter, J. (2021b). The civil service and Brexit. Retrieved January 24, 2024, from </w:t>
      </w:r>
      <w:hyperlink r:id="rId48" w:tgtFrame="_new" w:history="1">
        <w:r w:rsidRPr="0087296F">
          <w:rPr>
            <w:rFonts w:ascii="Arial" w:eastAsia="Aptos" w:hAnsi="Arial" w:cs="Arial"/>
            <w:color w:val="467886"/>
            <w:kern w:val="2"/>
            <w:u w:val="single"/>
            <w14:ligatures w14:val="standardContextual"/>
          </w:rPr>
          <w:t>https://ukandeu.ac.uk/long-read/the-civil-service-and-brexit/</w:t>
        </w:r>
      </w:hyperlink>
    </w:p>
    <w:p w14:paraId="12A99EA2"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Savoie, D. J. (2012). Christopher Pollitt and Geert Bouckaert (2011) Public Management Reform: A Comparative Analysis – New Public Management, Governance, and the Neo–Weberian State. International Review of Administrative Sciences, 78(1), 180–182. </w:t>
      </w:r>
      <w:hyperlink r:id="rId49" w:tgtFrame="_new" w:history="1">
        <w:r w:rsidRPr="0087296F">
          <w:rPr>
            <w:rFonts w:ascii="Arial" w:eastAsia="Aptos" w:hAnsi="Arial" w:cs="Arial"/>
            <w:color w:val="467886"/>
            <w:kern w:val="2"/>
            <w:u w:val="single"/>
            <w14:ligatures w14:val="standardContextual"/>
          </w:rPr>
          <w:t>https://doi.org/10.1177/0020852312437323</w:t>
        </w:r>
      </w:hyperlink>
      <w:r w:rsidRPr="0087296F">
        <w:rPr>
          <w:rFonts w:ascii="Arial" w:eastAsia="Aptos" w:hAnsi="Arial" w:cs="Arial"/>
          <w:kern w:val="2"/>
          <w14:ligatures w14:val="standardContextual"/>
        </w:rPr>
        <w:t>. Accessed January 20, 2024.</w:t>
      </w:r>
    </w:p>
    <w:p w14:paraId="10375C6F"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Schmidt, W., Müller, A., Ramos-Vielba, I., Thörnquist, A., &amp; Thörnqvist, C. (2019). Austerity and public sector trade union power: Before and after the crisis. European Journal of Industrial Relations, 25(2), 129-145. </w:t>
      </w:r>
      <w:hyperlink r:id="rId50" w:tgtFrame="_new" w:history="1">
        <w:r w:rsidRPr="0087296F">
          <w:rPr>
            <w:rFonts w:ascii="Arial" w:eastAsia="Aptos" w:hAnsi="Arial" w:cs="Arial"/>
            <w:color w:val="467886"/>
            <w:kern w:val="2"/>
            <w:u w:val="single"/>
            <w14:ligatures w14:val="standardContextual"/>
          </w:rPr>
          <w:t>https://doi-org.ezproxy.uwtsd.ac.uk/10.1177/09596801187711</w:t>
        </w:r>
      </w:hyperlink>
      <w:r w:rsidRPr="0087296F">
        <w:rPr>
          <w:rFonts w:ascii="Arial" w:eastAsia="Aptos" w:hAnsi="Arial" w:cs="Arial"/>
          <w:kern w:val="2"/>
          <w14:ligatures w14:val="standardContextual"/>
        </w:rPr>
        <w:t>. Accessed January 26, 2024.</w:t>
      </w:r>
    </w:p>
    <w:p w14:paraId="36E1CEEA"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Smith, B. (2020, June 25). Ready, aim, hire: how is Brexit reshaping the civil service? Civil Service World. Retrieved January 22, 2024, from </w:t>
      </w:r>
      <w:hyperlink r:id="rId51" w:tgtFrame="_new" w:history="1">
        <w:r w:rsidRPr="0087296F">
          <w:rPr>
            <w:rFonts w:ascii="Arial" w:eastAsia="Aptos" w:hAnsi="Arial" w:cs="Arial"/>
            <w:color w:val="467886"/>
            <w:kern w:val="2"/>
            <w:u w:val="single"/>
            <w14:ligatures w14:val="standardContextual"/>
          </w:rPr>
          <w:t>https://www.civilserviceworld.com/in-depth/article/ready-aim-hire-how-is-brexit-reshaping-the-civil-service</w:t>
        </w:r>
      </w:hyperlink>
    </w:p>
    <w:p w14:paraId="0FCBB084"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Somai, M. (2018). BREXIT: CHALLENGES FOR EUROPE 1. Global Economic Observer, 6(2), 119-128. </w:t>
      </w:r>
      <w:hyperlink r:id="rId52" w:tgtFrame="_new" w:history="1">
        <w:r w:rsidRPr="0087296F">
          <w:rPr>
            <w:rFonts w:ascii="Arial" w:eastAsia="Aptos" w:hAnsi="Arial" w:cs="Arial"/>
            <w:color w:val="467886"/>
            <w:kern w:val="2"/>
            <w:u w:val="single"/>
            <w14:ligatures w14:val="standardContextual"/>
          </w:rPr>
          <w:t>https://www.proquest.com/scholarly-journals/brexit-challenges-europe-1/docview/2176180837/se-2</w:t>
        </w:r>
      </w:hyperlink>
    </w:p>
    <w:p w14:paraId="143F72B3"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Stewart, K., Cooper, K., &amp; Shutes, I. (2019, February 26). What does Brexit mean for social policy in the UK? An exploration of the potential consequences of the 2016 referendum for public services, inequalities and social rights. Retrieved January 21, 2024, from </w:t>
      </w:r>
      <w:hyperlink r:id="rId53" w:tgtFrame="_new" w:history="1">
        <w:r w:rsidRPr="0087296F">
          <w:rPr>
            <w:rFonts w:ascii="Arial" w:eastAsia="Aptos" w:hAnsi="Arial" w:cs="Arial"/>
            <w:color w:val="467886"/>
            <w:kern w:val="2"/>
            <w:u w:val="single"/>
            <w14:ligatures w14:val="standardContextual"/>
          </w:rPr>
          <w:t>https://sticerd.lse.ac.uk/CASE/_NEW/PUBLICATIONS/abstract/?index=6148</w:t>
        </w:r>
      </w:hyperlink>
    </w:p>
    <w:p w14:paraId="61200016"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Stewart, K., Cooper, K., &amp; Shutes, I. (2020). What will ‘taking back control’ mean for social policy in the UK? Brexit, public services and social rights. Journal of European Social Policy, 30(4), 509-517. </w:t>
      </w:r>
      <w:hyperlink r:id="rId54" w:tgtFrame="_new" w:history="1">
        <w:r w:rsidRPr="0087296F">
          <w:rPr>
            <w:rFonts w:ascii="Arial" w:eastAsia="Aptos" w:hAnsi="Arial" w:cs="Arial"/>
            <w:color w:val="467886"/>
            <w:kern w:val="2"/>
            <w:u w:val="single"/>
            <w14:ligatures w14:val="standardContextual"/>
          </w:rPr>
          <w:t>https://doi-org.ezproxy.uwtsd.ac.uk/10.1177/0958928720949</w:t>
        </w:r>
      </w:hyperlink>
      <w:r w:rsidRPr="0087296F">
        <w:rPr>
          <w:rFonts w:ascii="Arial" w:eastAsia="Aptos" w:hAnsi="Arial" w:cs="Arial"/>
          <w:kern w:val="2"/>
          <w14:ligatures w14:val="standardContextual"/>
        </w:rPr>
        <w:t>. Accessed January 24, 2024.</w:t>
      </w:r>
    </w:p>
    <w:p w14:paraId="23B03BA3"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Taylor, R. (2018, February 2). Brexit 'ultras' are undermining the integrity of the Civil Service. The consequences could be grave. LSE BREXIT. Retrieved January 26, 2024, from </w:t>
      </w:r>
      <w:hyperlink r:id="rId55" w:tgtFrame="_new" w:history="1">
        <w:r w:rsidRPr="0087296F">
          <w:rPr>
            <w:rFonts w:ascii="Arial" w:eastAsia="Aptos" w:hAnsi="Arial" w:cs="Arial"/>
            <w:color w:val="467886"/>
            <w:kern w:val="2"/>
            <w:u w:val="single"/>
            <w14:ligatures w14:val="standardContextual"/>
          </w:rPr>
          <w:t>https://blogs.lse.ac.uk/brexit/2018/02/02/brexit-ultras-are-undermining-the-integrity-of-the-civil-service-the-consequences-could-be-grave/</w:t>
        </w:r>
      </w:hyperlink>
    </w:p>
    <w:p w14:paraId="3AECA86B"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Thomas, A. (2020, January 15). Has the civil service been resisting Brexit? Institute for Government. Retrieved January 18, 2024, from </w:t>
      </w:r>
      <w:hyperlink r:id="rId56" w:tgtFrame="_new" w:history="1">
        <w:r w:rsidRPr="0087296F">
          <w:rPr>
            <w:rFonts w:ascii="Arial" w:eastAsia="Aptos" w:hAnsi="Arial" w:cs="Arial"/>
            <w:color w:val="467886"/>
            <w:kern w:val="2"/>
            <w:u w:val="single"/>
            <w14:ligatures w14:val="standardContextual"/>
          </w:rPr>
          <w:t>https://www.instituteforgovernment.org.uk/article/comment/has-civil-service-been-resisting-brexit</w:t>
        </w:r>
      </w:hyperlink>
    </w:p>
    <w:p w14:paraId="2405E04C"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Thomas, A. (2022, July 5). After Boris Johnson: What now for the civil service? Institute for Government. Retrieved January 17, 2024, from </w:t>
      </w:r>
      <w:hyperlink r:id="rId57" w:tgtFrame="_new" w:history="1">
        <w:r w:rsidRPr="0087296F">
          <w:rPr>
            <w:rFonts w:ascii="Arial" w:eastAsia="Aptos" w:hAnsi="Arial" w:cs="Arial"/>
            <w:color w:val="467886"/>
            <w:kern w:val="2"/>
            <w:u w:val="single"/>
            <w14:ligatures w14:val="standardContextual"/>
          </w:rPr>
          <w:t>https://www.instituteforgovernment.org.uk/publications/after-boris-johnson-civil-service</w:t>
        </w:r>
      </w:hyperlink>
    </w:p>
    <w:p w14:paraId="107A8BC5"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Thompson, K. A. (2021). Impact of Post-Brexit Procedural Rules for Caribbean Exports into the UK. Retrieved January 27, 2024, from </w:t>
      </w:r>
      <w:hyperlink r:id="rId58" w:tgtFrame="_new" w:history="1">
        <w:r w:rsidRPr="0087296F">
          <w:rPr>
            <w:rFonts w:ascii="Arial" w:eastAsia="Aptos" w:hAnsi="Arial" w:cs="Arial"/>
            <w:color w:val="467886"/>
            <w:kern w:val="2"/>
            <w:u w:val="single"/>
            <w14:ligatures w14:val="standardContextual"/>
          </w:rPr>
          <w:t>https://production-new-commonwealth-files.s3.eu-west-2.amazonaws.com/migrated/inline/TCBP_2021-04_UPDF.pdf</w:t>
        </w:r>
      </w:hyperlink>
    </w:p>
    <w:p w14:paraId="4850B4F8"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UK Visas and Immigration. 2021. Global Talent Visa: Attracting International Expertise. Retrieved from </w:t>
      </w:r>
      <w:hyperlink r:id="rId59" w:tgtFrame="_new" w:history="1">
        <w:r w:rsidRPr="0087296F">
          <w:rPr>
            <w:rFonts w:ascii="Arial" w:eastAsia="Aptos" w:hAnsi="Arial" w:cs="Arial"/>
            <w:color w:val="467886"/>
            <w:kern w:val="2"/>
            <w:u w:val="single"/>
            <w14:ligatures w14:val="standardContextual"/>
          </w:rPr>
          <w:t>https://www.gov.uk/global-talent</w:t>
        </w:r>
      </w:hyperlink>
      <w:r w:rsidRPr="0087296F">
        <w:rPr>
          <w:rFonts w:ascii="Arial" w:eastAsia="Aptos" w:hAnsi="Arial" w:cs="Arial"/>
          <w:kern w:val="2"/>
          <w14:ligatures w14:val="standardContextual"/>
        </w:rPr>
        <w:t>. Accessed on January 04, 2024.</w:t>
      </w:r>
    </w:p>
    <w:p w14:paraId="500480A5" w14:textId="77777777" w:rsidR="008D2CE2" w:rsidRPr="008D2CE2" w:rsidRDefault="0087296F" w:rsidP="0087296F">
      <w:pPr>
        <w:ind w:left="360"/>
        <w:rPr>
          <w:rFonts w:ascii="Arial" w:hAnsi="Arial" w:cs="Arial"/>
        </w:rPr>
      </w:pPr>
      <w:r w:rsidRPr="008D2CE2">
        <w:rPr>
          <w:rFonts w:ascii="Arial" w:eastAsia="Aptos" w:hAnsi="Arial" w:cs="Arial"/>
          <w:kern w:val="2"/>
          <w14:ligatures w14:val="standardContextual"/>
        </w:rPr>
        <w:t xml:space="preserve">Varano, J. (2017, June 23). Tasked with implementing Brexit, the British civil service faces immense change and uncertainty. The Conversation. Retrieved January 25, 2024, from </w:t>
      </w:r>
      <w:hyperlink r:id="rId60" w:history="1">
        <w:r w:rsidR="008D2CE2" w:rsidRPr="008D2CE2">
          <w:rPr>
            <w:rStyle w:val="Hyperlink"/>
            <w:rFonts w:ascii="Arial" w:hAnsi="Arial" w:cs="Arial"/>
          </w:rPr>
          <w:t>https://www.sbs.ox.ac.uk/news/tasked-implementing-brexit-british-civil-service-faces-immense-change-and-uncertainty</w:t>
        </w:r>
      </w:hyperlink>
      <w:r w:rsidR="008D2CE2" w:rsidRPr="008D2CE2">
        <w:rPr>
          <w:rFonts w:ascii="Arial" w:hAnsi="Arial" w:cs="Arial"/>
        </w:rPr>
        <w:t xml:space="preserve"> </w:t>
      </w:r>
    </w:p>
    <w:p w14:paraId="130336FF" w14:textId="059569B2"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Warner, S., Richards, D., &amp; Smith, M. (2023). The United Kingdom: permanent revolution or muddling through? In Handbook of Public Administration Reform (pp. 311-329). Edward Elgar Publishing. </w:t>
      </w:r>
      <w:hyperlink r:id="rId61" w:tgtFrame="_new" w:history="1">
        <w:r w:rsidRPr="0087296F">
          <w:rPr>
            <w:rFonts w:ascii="Arial" w:eastAsia="Aptos" w:hAnsi="Arial" w:cs="Arial"/>
            <w:color w:val="467886"/>
            <w:kern w:val="2"/>
            <w:u w:val="single"/>
            <w14:ligatures w14:val="standardContextual"/>
          </w:rPr>
          <w:t>https://doi.org/10.4337/9781800376748.00021</w:t>
        </w:r>
      </w:hyperlink>
    </w:p>
    <w:p w14:paraId="7D619380"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World news story GOV.UK. 2020. UK and Japan sign free trade agreement. Retrieved from </w:t>
      </w:r>
      <w:hyperlink r:id="rId62" w:tgtFrame="_new" w:history="1">
        <w:r w:rsidRPr="0087296F">
          <w:rPr>
            <w:rFonts w:ascii="Arial" w:eastAsia="Aptos" w:hAnsi="Arial" w:cs="Arial"/>
            <w:color w:val="467886"/>
            <w:kern w:val="2"/>
            <w:u w:val="single"/>
            <w14:ligatures w14:val="standardContextual"/>
          </w:rPr>
          <w:t>https://www.gov.uk/government/news/uk-and-japan-sign-free-trade-agreement</w:t>
        </w:r>
      </w:hyperlink>
      <w:r w:rsidRPr="0087296F">
        <w:rPr>
          <w:rFonts w:ascii="Arial" w:eastAsia="Aptos" w:hAnsi="Arial" w:cs="Arial"/>
          <w:kern w:val="2"/>
          <w14:ligatures w14:val="standardContextual"/>
        </w:rPr>
        <w:t>. Accessed on January 15, 2024.</w:t>
      </w:r>
    </w:p>
    <w:p w14:paraId="23647E8D" w14:textId="77777777" w:rsidR="0087296F" w:rsidRPr="0087296F" w:rsidRDefault="0087296F" w:rsidP="0087296F">
      <w:pPr>
        <w:ind w:left="360"/>
        <w:rPr>
          <w:rFonts w:ascii="Arial" w:eastAsia="Aptos" w:hAnsi="Arial" w:cs="Arial"/>
          <w:kern w:val="2"/>
          <w14:ligatures w14:val="standardContextual"/>
        </w:rPr>
      </w:pPr>
      <w:r w:rsidRPr="0087296F">
        <w:rPr>
          <w:rFonts w:ascii="Arial" w:eastAsia="Aptos" w:hAnsi="Arial" w:cs="Arial"/>
          <w:kern w:val="2"/>
          <w14:ligatures w14:val="standardContextual"/>
        </w:rPr>
        <w:t xml:space="preserve">Yuan, Y. P., Dwivedi, Y. K., Tan, G. W. H., Cham, T. H., Ooi, K. B., Aw, E. C. X., &amp; Currie, W. (2023). Government digital transformation: understanding the role of government social media. Government Information Quarterly, 40(1), 101775. </w:t>
      </w:r>
      <w:hyperlink r:id="rId63" w:tgtFrame="_new" w:history="1">
        <w:r w:rsidRPr="0087296F">
          <w:rPr>
            <w:rFonts w:ascii="Arial" w:eastAsia="Aptos" w:hAnsi="Arial" w:cs="Arial"/>
            <w:color w:val="467886"/>
            <w:kern w:val="2"/>
            <w:u w:val="single"/>
            <w14:ligatures w14:val="standardContextual"/>
          </w:rPr>
          <w:t>https://doi.org/10.1016/j.giq.2022.101775</w:t>
        </w:r>
      </w:hyperlink>
      <w:r w:rsidRPr="0087296F">
        <w:rPr>
          <w:rFonts w:ascii="Arial" w:eastAsia="Aptos" w:hAnsi="Arial" w:cs="Arial"/>
          <w:kern w:val="2"/>
          <w14:ligatures w14:val="standardContextual"/>
        </w:rPr>
        <w:t>. Accessed January 17, 2024.</w:t>
      </w:r>
    </w:p>
    <w:p w14:paraId="2B08F42C" w14:textId="77777777" w:rsidR="00EC10E0" w:rsidRPr="00FD15CC" w:rsidRDefault="00EC10E0" w:rsidP="00EC10E0">
      <w:pPr>
        <w:rPr>
          <w:rFonts w:ascii="Arial" w:hAnsi="Arial" w:cs="Arial"/>
          <w:color w:val="2E74B5" w:themeColor="accent5" w:themeShade="BF"/>
          <w:sz w:val="32"/>
          <w:szCs w:val="32"/>
        </w:rPr>
      </w:pPr>
    </w:p>
    <w:p w14:paraId="77ACC7E8" w14:textId="77777777" w:rsidR="00E838B2" w:rsidRPr="00FD15CC" w:rsidRDefault="00E838B2" w:rsidP="00401FA1">
      <w:pPr>
        <w:spacing w:line="360" w:lineRule="auto"/>
        <w:jc w:val="both"/>
        <w:rPr>
          <w:rFonts w:ascii="Arial" w:hAnsi="Arial" w:cs="Arial"/>
          <w:color w:val="2E74B5" w:themeColor="accent5" w:themeShade="BF"/>
          <w:sz w:val="32"/>
          <w:szCs w:val="32"/>
        </w:rPr>
      </w:pPr>
    </w:p>
    <w:p w14:paraId="1223DD3E" w14:textId="77777777" w:rsidR="00E838B2" w:rsidRDefault="00E838B2" w:rsidP="00401FA1">
      <w:pPr>
        <w:spacing w:line="360" w:lineRule="auto"/>
        <w:jc w:val="both"/>
        <w:rPr>
          <w:rFonts w:ascii="Arial" w:hAnsi="Arial" w:cs="Arial"/>
          <w:color w:val="2E74B5" w:themeColor="accent5" w:themeShade="BF"/>
          <w:sz w:val="32"/>
          <w:szCs w:val="32"/>
        </w:rPr>
      </w:pPr>
    </w:p>
    <w:p w14:paraId="6A803527" w14:textId="77777777" w:rsidR="0087296F" w:rsidRDefault="0087296F" w:rsidP="00401FA1">
      <w:pPr>
        <w:spacing w:line="360" w:lineRule="auto"/>
        <w:jc w:val="both"/>
        <w:rPr>
          <w:rFonts w:ascii="Arial" w:hAnsi="Arial" w:cs="Arial"/>
          <w:color w:val="2E74B5" w:themeColor="accent5" w:themeShade="BF"/>
          <w:sz w:val="32"/>
          <w:szCs w:val="32"/>
        </w:rPr>
      </w:pPr>
    </w:p>
    <w:p w14:paraId="60B310DC" w14:textId="77777777" w:rsidR="0097556E" w:rsidRDefault="0097556E" w:rsidP="004921D0">
      <w:pPr>
        <w:pStyle w:val="Heading1"/>
        <w:jc w:val="both"/>
        <w:rPr>
          <w:rFonts w:cs="Arial"/>
          <w:b w:val="0"/>
          <w:bCs w:val="0"/>
          <w:color w:val="2E74B5" w:themeColor="accent5" w:themeShade="BF"/>
          <w:sz w:val="32"/>
          <w:szCs w:val="32"/>
        </w:rPr>
      </w:pPr>
      <w:bookmarkStart w:id="21" w:name="_Toc157363508"/>
    </w:p>
    <w:p w14:paraId="63DA6F19" w14:textId="039405E7" w:rsidR="00E62ECE" w:rsidRPr="004921D0" w:rsidRDefault="00387786" w:rsidP="004921D0">
      <w:pPr>
        <w:pStyle w:val="Heading1"/>
        <w:jc w:val="both"/>
        <w:rPr>
          <w:rFonts w:cs="Arial"/>
          <w:b w:val="0"/>
          <w:bCs w:val="0"/>
          <w:color w:val="2E74B5" w:themeColor="accent5" w:themeShade="BF"/>
          <w:sz w:val="32"/>
          <w:szCs w:val="32"/>
        </w:rPr>
        <w:sectPr w:rsidR="00E62ECE" w:rsidRPr="004921D0" w:rsidSect="002B6F83">
          <w:footerReference w:type="default" r:id="rId64"/>
          <w:pgSz w:w="11906" w:h="16838"/>
          <w:pgMar w:top="1440" w:right="1440" w:bottom="1440" w:left="1440" w:header="708" w:footer="708" w:gutter="0"/>
          <w:cols w:space="708"/>
          <w:docGrid w:linePitch="360"/>
        </w:sectPr>
      </w:pPr>
      <w:r w:rsidRPr="00FD15CC">
        <w:rPr>
          <w:rFonts w:cs="Arial"/>
          <w:b w:val="0"/>
          <w:bCs w:val="0"/>
          <w:color w:val="2E74B5" w:themeColor="accent5" w:themeShade="BF"/>
          <w:sz w:val="32"/>
          <w:szCs w:val="32"/>
        </w:rPr>
        <w:t>Appendix</w:t>
      </w:r>
      <w:bookmarkEnd w:id="21"/>
    </w:p>
    <w:p w14:paraId="17A62F96" w14:textId="77777777" w:rsidR="00E62ECE" w:rsidRPr="00401FA1" w:rsidRDefault="00E62ECE" w:rsidP="00785C38">
      <w:pPr>
        <w:pStyle w:val="Heading1"/>
        <w:jc w:val="both"/>
        <w:rPr>
          <w:rFonts w:cs="Arial"/>
          <w:b w:val="0"/>
          <w:bCs w:val="0"/>
          <w:sz w:val="32"/>
          <w:szCs w:val="32"/>
        </w:rPr>
      </w:pPr>
    </w:p>
    <w:sectPr w:rsidR="00E62ECE" w:rsidRPr="00401FA1">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E82B8" w14:textId="77777777" w:rsidR="002B6F83" w:rsidRDefault="002B6F83" w:rsidP="004D6CCD">
      <w:pPr>
        <w:spacing w:after="0" w:line="240" w:lineRule="auto"/>
      </w:pPr>
      <w:r>
        <w:separator/>
      </w:r>
    </w:p>
  </w:endnote>
  <w:endnote w:type="continuationSeparator" w:id="0">
    <w:p w14:paraId="1AEF4FD3" w14:textId="77777777" w:rsidR="002B6F83" w:rsidRDefault="002B6F83" w:rsidP="004D6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0813047"/>
      <w:docPartObj>
        <w:docPartGallery w:val="Page Numbers (Bottom of Page)"/>
        <w:docPartUnique/>
      </w:docPartObj>
    </w:sdtPr>
    <w:sdtEndPr/>
    <w:sdtContent>
      <w:p w14:paraId="3DF83009" w14:textId="2A175973" w:rsidR="006678BF" w:rsidRDefault="006678BF">
        <w:pPr>
          <w:pStyle w:val="Footer"/>
          <w:jc w:val="right"/>
        </w:pPr>
        <w:r>
          <w:fldChar w:fldCharType="begin"/>
        </w:r>
        <w:r>
          <w:instrText>PAGE   \* MERGEFORMAT</w:instrText>
        </w:r>
        <w:r>
          <w:fldChar w:fldCharType="separate"/>
        </w:r>
        <w:r>
          <w:t>2</w:t>
        </w:r>
        <w:r>
          <w:fldChar w:fldCharType="end"/>
        </w:r>
      </w:p>
    </w:sdtContent>
  </w:sdt>
  <w:p w14:paraId="0D4E7A31" w14:textId="77777777" w:rsidR="006678BF" w:rsidRDefault="006678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1130743"/>
      <w:docPartObj>
        <w:docPartGallery w:val="Page Numbers (Bottom of Page)"/>
        <w:docPartUnique/>
      </w:docPartObj>
    </w:sdtPr>
    <w:sdtEndPr>
      <w:rPr>
        <w:noProof/>
      </w:rPr>
    </w:sdtEndPr>
    <w:sdtContent>
      <w:p w14:paraId="7E23131D" w14:textId="2081371D" w:rsidR="004D6CCD" w:rsidRDefault="004D6C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044000" w14:textId="77777777" w:rsidR="004D6CCD" w:rsidRDefault="004D6C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080E0" w14:textId="77777777" w:rsidR="002B6F83" w:rsidRDefault="002B6F83" w:rsidP="004D6CCD">
      <w:pPr>
        <w:spacing w:after="0" w:line="240" w:lineRule="auto"/>
      </w:pPr>
      <w:r>
        <w:separator/>
      </w:r>
    </w:p>
  </w:footnote>
  <w:footnote w:type="continuationSeparator" w:id="0">
    <w:p w14:paraId="1093C8C8" w14:textId="77777777" w:rsidR="002B6F83" w:rsidRDefault="002B6F83" w:rsidP="004D6C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76817"/>
    <w:multiLevelType w:val="multilevel"/>
    <w:tmpl w:val="274026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1EC6440F"/>
    <w:multiLevelType w:val="hybridMultilevel"/>
    <w:tmpl w:val="07C423BE"/>
    <w:lvl w:ilvl="0" w:tplc="ECD660E0">
      <w:start w:val="1"/>
      <w:numFmt w:val="lowerLetter"/>
      <w:lvlText w:val="%1."/>
      <w:lvlJc w:val="left"/>
      <w:pPr>
        <w:ind w:left="720" w:hanging="360"/>
      </w:pPr>
      <w:rPr>
        <w:rFonts w:hint="default"/>
        <w:color w:val="4472C4" w:themeColor="accent1"/>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2F10F2"/>
    <w:multiLevelType w:val="hybridMultilevel"/>
    <w:tmpl w:val="D0F28154"/>
    <w:lvl w:ilvl="0" w:tplc="13782640">
      <w:start w:val="1"/>
      <w:numFmt w:val="upperLetter"/>
      <w:lvlText w:val="%1."/>
      <w:lvlJc w:val="left"/>
      <w:pPr>
        <w:ind w:left="720" w:hanging="360"/>
      </w:pPr>
      <w:rPr>
        <w:rFonts w:hint="default"/>
        <w:b/>
        <w:color w:val="4472C4" w:themeColor="accent1"/>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4B39FC"/>
    <w:multiLevelType w:val="multilevel"/>
    <w:tmpl w:val="69FC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393C2E"/>
    <w:multiLevelType w:val="multilevel"/>
    <w:tmpl w:val="E954BC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6B74F5"/>
    <w:multiLevelType w:val="multilevel"/>
    <w:tmpl w:val="48CE7B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3EB8643A"/>
    <w:multiLevelType w:val="multilevel"/>
    <w:tmpl w:val="C3425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4E7407"/>
    <w:multiLevelType w:val="multilevel"/>
    <w:tmpl w:val="F0245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5342DC"/>
    <w:multiLevelType w:val="multilevel"/>
    <w:tmpl w:val="7820D096"/>
    <w:lvl w:ilvl="0">
      <w:start w:val="1"/>
      <w:numFmt w:val="decimal"/>
      <w:lvlText w:val="%1"/>
      <w:lvlJc w:val="left"/>
      <w:pPr>
        <w:ind w:left="525" w:hanging="52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16cid:durableId="1217205702">
    <w:abstractNumId w:val="4"/>
  </w:num>
  <w:num w:numId="2" w16cid:durableId="1203401434">
    <w:abstractNumId w:val="6"/>
  </w:num>
  <w:num w:numId="3" w16cid:durableId="1426220762">
    <w:abstractNumId w:val="3"/>
  </w:num>
  <w:num w:numId="4" w16cid:durableId="1415785516">
    <w:abstractNumId w:val="0"/>
  </w:num>
  <w:num w:numId="5" w16cid:durableId="587497201">
    <w:abstractNumId w:val="7"/>
  </w:num>
  <w:num w:numId="6" w16cid:durableId="950669610">
    <w:abstractNumId w:val="5"/>
  </w:num>
  <w:num w:numId="7" w16cid:durableId="415832875">
    <w:abstractNumId w:val="1"/>
  </w:num>
  <w:num w:numId="8" w16cid:durableId="902563623">
    <w:abstractNumId w:val="2"/>
  </w:num>
  <w:num w:numId="9" w16cid:durableId="16713302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A24"/>
    <w:rsid w:val="000133E9"/>
    <w:rsid w:val="00031842"/>
    <w:rsid w:val="00033A27"/>
    <w:rsid w:val="00057A24"/>
    <w:rsid w:val="000677D4"/>
    <w:rsid w:val="00077300"/>
    <w:rsid w:val="00090467"/>
    <w:rsid w:val="000C1B9E"/>
    <w:rsid w:val="000E1322"/>
    <w:rsid w:val="000F1E1B"/>
    <w:rsid w:val="00137935"/>
    <w:rsid w:val="00137DE2"/>
    <w:rsid w:val="00177996"/>
    <w:rsid w:val="0018503F"/>
    <w:rsid w:val="001D5212"/>
    <w:rsid w:val="001F4184"/>
    <w:rsid w:val="00201297"/>
    <w:rsid w:val="00223C30"/>
    <w:rsid w:val="00230232"/>
    <w:rsid w:val="00293B0B"/>
    <w:rsid w:val="002B61C0"/>
    <w:rsid w:val="002B6F83"/>
    <w:rsid w:val="002D1945"/>
    <w:rsid w:val="003159AF"/>
    <w:rsid w:val="00320E1F"/>
    <w:rsid w:val="00332B3C"/>
    <w:rsid w:val="003366D7"/>
    <w:rsid w:val="00383EF0"/>
    <w:rsid w:val="00387786"/>
    <w:rsid w:val="00393152"/>
    <w:rsid w:val="003D0351"/>
    <w:rsid w:val="003F376D"/>
    <w:rsid w:val="004012C3"/>
    <w:rsid w:val="00401FA1"/>
    <w:rsid w:val="00462ACD"/>
    <w:rsid w:val="004706A4"/>
    <w:rsid w:val="004921D0"/>
    <w:rsid w:val="004D6CCD"/>
    <w:rsid w:val="004E75BC"/>
    <w:rsid w:val="00563547"/>
    <w:rsid w:val="00581786"/>
    <w:rsid w:val="00595324"/>
    <w:rsid w:val="005A75CA"/>
    <w:rsid w:val="005A7C2A"/>
    <w:rsid w:val="005B39E7"/>
    <w:rsid w:val="005C0DD1"/>
    <w:rsid w:val="005F56B9"/>
    <w:rsid w:val="0064268B"/>
    <w:rsid w:val="00654BCB"/>
    <w:rsid w:val="006678BF"/>
    <w:rsid w:val="006A4D4C"/>
    <w:rsid w:val="006A760D"/>
    <w:rsid w:val="006D29D6"/>
    <w:rsid w:val="00700800"/>
    <w:rsid w:val="00720809"/>
    <w:rsid w:val="00767966"/>
    <w:rsid w:val="00785C38"/>
    <w:rsid w:val="007E512C"/>
    <w:rsid w:val="007F33EF"/>
    <w:rsid w:val="007F38C7"/>
    <w:rsid w:val="00803C07"/>
    <w:rsid w:val="00825A55"/>
    <w:rsid w:val="0087296F"/>
    <w:rsid w:val="008920F3"/>
    <w:rsid w:val="008A5DFD"/>
    <w:rsid w:val="008C45E8"/>
    <w:rsid w:val="008C78B5"/>
    <w:rsid w:val="008D19D9"/>
    <w:rsid w:val="008D2CE2"/>
    <w:rsid w:val="008E22E1"/>
    <w:rsid w:val="008F1EDB"/>
    <w:rsid w:val="00900813"/>
    <w:rsid w:val="0094656F"/>
    <w:rsid w:val="00954B3B"/>
    <w:rsid w:val="0097556E"/>
    <w:rsid w:val="00997F42"/>
    <w:rsid w:val="009A2FBC"/>
    <w:rsid w:val="009D4B51"/>
    <w:rsid w:val="00A37AE7"/>
    <w:rsid w:val="00A423C8"/>
    <w:rsid w:val="00AE3DD1"/>
    <w:rsid w:val="00AE6E7F"/>
    <w:rsid w:val="00AE7E68"/>
    <w:rsid w:val="00B03FDF"/>
    <w:rsid w:val="00B25A9B"/>
    <w:rsid w:val="00B26C68"/>
    <w:rsid w:val="00BB156E"/>
    <w:rsid w:val="00BB215A"/>
    <w:rsid w:val="00BC6174"/>
    <w:rsid w:val="00BD566E"/>
    <w:rsid w:val="00C06943"/>
    <w:rsid w:val="00C118D0"/>
    <w:rsid w:val="00C972D9"/>
    <w:rsid w:val="00CD090F"/>
    <w:rsid w:val="00CD7864"/>
    <w:rsid w:val="00CE7E89"/>
    <w:rsid w:val="00DA36AC"/>
    <w:rsid w:val="00DD2573"/>
    <w:rsid w:val="00E04540"/>
    <w:rsid w:val="00E341C2"/>
    <w:rsid w:val="00E62ECE"/>
    <w:rsid w:val="00E64A0E"/>
    <w:rsid w:val="00E838B2"/>
    <w:rsid w:val="00EC10E0"/>
    <w:rsid w:val="00F0075F"/>
    <w:rsid w:val="00F06CD6"/>
    <w:rsid w:val="00F11F08"/>
    <w:rsid w:val="00F36DEC"/>
    <w:rsid w:val="00F54116"/>
    <w:rsid w:val="00FB5328"/>
    <w:rsid w:val="00FD15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7A26A"/>
  <w15:chartTrackingRefBased/>
  <w15:docId w15:val="{76EB44A2-1F9D-4C3F-A0DE-41AAE62AB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85C38"/>
    <w:pPr>
      <w:spacing w:before="100" w:beforeAutospacing="1" w:after="100" w:afterAutospacing="1" w:line="240" w:lineRule="auto"/>
      <w:outlineLvl w:val="0"/>
    </w:pPr>
    <w:rPr>
      <w:rFonts w:ascii="Arial" w:eastAsia="Times New Roman" w:hAnsi="Arial" w:cs="Times New Roman"/>
      <w:b/>
      <w:bCs/>
      <w:color w:val="4472C4" w:themeColor="accent1"/>
      <w:kern w:val="36"/>
      <w:sz w:val="28"/>
      <w:szCs w:val="48"/>
      <w:lang w:eastAsia="en-GB"/>
    </w:rPr>
  </w:style>
  <w:style w:type="paragraph" w:styleId="Heading2">
    <w:name w:val="heading 2"/>
    <w:basedOn w:val="Normal"/>
    <w:next w:val="Normal"/>
    <w:link w:val="Heading2Char"/>
    <w:uiPriority w:val="9"/>
    <w:semiHidden/>
    <w:unhideWhenUsed/>
    <w:qFormat/>
    <w:rsid w:val="004E75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E75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90467"/>
    <w:pPr>
      <w:keepNext/>
      <w:tabs>
        <w:tab w:val="num" w:pos="2880"/>
      </w:tabs>
      <w:spacing w:before="240" w:after="60" w:line="240" w:lineRule="auto"/>
      <w:ind w:left="2880" w:hanging="720"/>
      <w:outlineLvl w:val="3"/>
    </w:pPr>
    <w:rPr>
      <w:rFonts w:eastAsiaTheme="minorEastAsia"/>
      <w:b/>
      <w:bCs/>
      <w:sz w:val="28"/>
      <w:szCs w:val="28"/>
      <w:lang w:val="en-US"/>
    </w:rPr>
  </w:style>
  <w:style w:type="paragraph" w:styleId="Heading5">
    <w:name w:val="heading 5"/>
    <w:basedOn w:val="Normal"/>
    <w:next w:val="Normal"/>
    <w:link w:val="Heading5Char"/>
    <w:uiPriority w:val="9"/>
    <w:semiHidden/>
    <w:unhideWhenUsed/>
    <w:qFormat/>
    <w:rsid w:val="00090467"/>
    <w:pPr>
      <w:tabs>
        <w:tab w:val="num" w:pos="3600"/>
      </w:tabs>
      <w:spacing w:before="240" w:after="60" w:line="240" w:lineRule="auto"/>
      <w:ind w:left="3600" w:hanging="720"/>
      <w:outlineLvl w:val="4"/>
    </w:pPr>
    <w:rPr>
      <w:rFonts w:eastAsiaTheme="minorEastAsia"/>
      <w:b/>
      <w:bCs/>
      <w:i/>
      <w:iCs/>
      <w:sz w:val="26"/>
      <w:szCs w:val="26"/>
      <w:lang w:val="en-US"/>
    </w:rPr>
  </w:style>
  <w:style w:type="paragraph" w:styleId="Heading6">
    <w:name w:val="heading 6"/>
    <w:basedOn w:val="Normal"/>
    <w:next w:val="Normal"/>
    <w:link w:val="Heading6Char"/>
    <w:qFormat/>
    <w:rsid w:val="00090467"/>
    <w:pPr>
      <w:tabs>
        <w:tab w:val="num" w:pos="4320"/>
      </w:tabs>
      <w:spacing w:before="240" w:after="60" w:line="240" w:lineRule="auto"/>
      <w:ind w:left="4320" w:hanging="720"/>
      <w:outlineLvl w:val="5"/>
    </w:pPr>
    <w:rPr>
      <w:rFonts w:ascii="Times New Roman" w:eastAsia="Times New Roman" w:hAnsi="Times New Roman" w:cs="Times New Roman"/>
      <w:b/>
      <w:bCs/>
      <w:lang w:val="en-US"/>
    </w:rPr>
  </w:style>
  <w:style w:type="paragraph" w:styleId="Heading7">
    <w:name w:val="heading 7"/>
    <w:basedOn w:val="Normal"/>
    <w:next w:val="Normal"/>
    <w:link w:val="Heading7Char"/>
    <w:uiPriority w:val="9"/>
    <w:semiHidden/>
    <w:unhideWhenUsed/>
    <w:qFormat/>
    <w:rsid w:val="00090467"/>
    <w:pPr>
      <w:tabs>
        <w:tab w:val="num" w:pos="5040"/>
      </w:tabs>
      <w:spacing w:before="240" w:after="60" w:line="240" w:lineRule="auto"/>
      <w:ind w:left="5040" w:hanging="720"/>
      <w:outlineLvl w:val="6"/>
    </w:pPr>
    <w:rPr>
      <w:rFonts w:eastAsiaTheme="minorEastAsia"/>
      <w:sz w:val="24"/>
      <w:szCs w:val="24"/>
      <w:lang w:val="en-US"/>
    </w:rPr>
  </w:style>
  <w:style w:type="paragraph" w:styleId="Heading8">
    <w:name w:val="heading 8"/>
    <w:basedOn w:val="Normal"/>
    <w:next w:val="Normal"/>
    <w:link w:val="Heading8Char"/>
    <w:uiPriority w:val="9"/>
    <w:semiHidden/>
    <w:unhideWhenUsed/>
    <w:qFormat/>
    <w:rsid w:val="00090467"/>
    <w:pPr>
      <w:tabs>
        <w:tab w:val="num" w:pos="5760"/>
      </w:tabs>
      <w:spacing w:before="240" w:after="60" w:line="240" w:lineRule="auto"/>
      <w:ind w:left="5760" w:hanging="720"/>
      <w:outlineLvl w:val="7"/>
    </w:pPr>
    <w:rPr>
      <w:rFonts w:eastAsiaTheme="minorEastAsia"/>
      <w:i/>
      <w:iCs/>
      <w:sz w:val="24"/>
      <w:szCs w:val="24"/>
      <w:lang w:val="en-US"/>
    </w:rPr>
  </w:style>
  <w:style w:type="paragraph" w:styleId="Heading9">
    <w:name w:val="heading 9"/>
    <w:basedOn w:val="Normal"/>
    <w:next w:val="Normal"/>
    <w:link w:val="Heading9Char"/>
    <w:uiPriority w:val="9"/>
    <w:semiHidden/>
    <w:unhideWhenUsed/>
    <w:qFormat/>
    <w:rsid w:val="00090467"/>
    <w:pPr>
      <w:tabs>
        <w:tab w:val="num" w:pos="6480"/>
      </w:tabs>
      <w:spacing w:before="240" w:after="60" w:line="240" w:lineRule="auto"/>
      <w:ind w:left="6480" w:hanging="720"/>
      <w:outlineLvl w:val="8"/>
    </w:pPr>
    <w:rPr>
      <w:rFonts w:asciiTheme="majorHAnsi" w:eastAsiaTheme="majorEastAsia" w:hAnsiTheme="majorHAnsi" w:cstheme="majorBid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25">
    <w:name w:val="mb-2.5"/>
    <w:basedOn w:val="Normal"/>
    <w:rsid w:val="008F1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A75CA"/>
    <w:rPr>
      <w:color w:val="0563C1" w:themeColor="hyperlink"/>
      <w:u w:val="single"/>
    </w:rPr>
  </w:style>
  <w:style w:type="character" w:styleId="UnresolvedMention">
    <w:name w:val="Unresolved Mention"/>
    <w:basedOn w:val="DefaultParagraphFont"/>
    <w:uiPriority w:val="99"/>
    <w:semiHidden/>
    <w:unhideWhenUsed/>
    <w:rsid w:val="005A75CA"/>
    <w:rPr>
      <w:color w:val="605E5C"/>
      <w:shd w:val="clear" w:color="auto" w:fill="E1DFDD"/>
    </w:rPr>
  </w:style>
  <w:style w:type="character" w:customStyle="1" w:styleId="Heading1Char">
    <w:name w:val="Heading 1 Char"/>
    <w:basedOn w:val="DefaultParagraphFont"/>
    <w:link w:val="Heading1"/>
    <w:uiPriority w:val="9"/>
    <w:rsid w:val="00785C38"/>
    <w:rPr>
      <w:rFonts w:ascii="Arial" w:eastAsia="Times New Roman" w:hAnsi="Arial" w:cs="Times New Roman"/>
      <w:b/>
      <w:bCs/>
      <w:color w:val="4472C4" w:themeColor="accent1"/>
      <w:kern w:val="36"/>
      <w:sz w:val="28"/>
      <w:szCs w:val="48"/>
      <w:lang w:eastAsia="en-GB"/>
    </w:rPr>
  </w:style>
  <w:style w:type="character" w:styleId="FollowedHyperlink">
    <w:name w:val="FollowedHyperlink"/>
    <w:basedOn w:val="DefaultParagraphFont"/>
    <w:uiPriority w:val="99"/>
    <w:semiHidden/>
    <w:unhideWhenUsed/>
    <w:rsid w:val="00C06943"/>
    <w:rPr>
      <w:color w:val="954F72" w:themeColor="followedHyperlink"/>
      <w:u w:val="single"/>
    </w:rPr>
  </w:style>
  <w:style w:type="paragraph" w:styleId="NormalWeb">
    <w:name w:val="Normal (Web)"/>
    <w:basedOn w:val="Normal"/>
    <w:uiPriority w:val="99"/>
    <w:unhideWhenUsed/>
    <w:rsid w:val="00C0694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37D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ssue-underline">
    <w:name w:val="issue-underline"/>
    <w:basedOn w:val="DefaultParagraphFont"/>
    <w:rsid w:val="000133E9"/>
  </w:style>
  <w:style w:type="paragraph" w:styleId="TOCHeading">
    <w:name w:val="TOC Heading"/>
    <w:basedOn w:val="Heading1"/>
    <w:next w:val="Normal"/>
    <w:uiPriority w:val="39"/>
    <w:unhideWhenUsed/>
    <w:qFormat/>
    <w:rsid w:val="0007730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077300"/>
    <w:pPr>
      <w:tabs>
        <w:tab w:val="right" w:leader="dot" w:pos="9350"/>
      </w:tabs>
      <w:spacing w:after="100"/>
      <w:ind w:left="220"/>
    </w:pPr>
    <w:rPr>
      <w:rFonts w:asciiTheme="majorHAnsi" w:hAnsiTheme="majorHAnsi" w:cstheme="majorHAnsi"/>
      <w:noProof/>
    </w:rPr>
  </w:style>
  <w:style w:type="paragraph" w:styleId="TOC1">
    <w:name w:val="toc 1"/>
    <w:basedOn w:val="Normal"/>
    <w:next w:val="Normal"/>
    <w:autoRedefine/>
    <w:uiPriority w:val="39"/>
    <w:unhideWhenUsed/>
    <w:rsid w:val="00077300"/>
    <w:pPr>
      <w:tabs>
        <w:tab w:val="right" w:leader="dot" w:pos="9350"/>
      </w:tabs>
      <w:spacing w:after="100"/>
    </w:pPr>
    <w:rPr>
      <w:rFonts w:asciiTheme="majorHAnsi" w:hAnsiTheme="majorHAnsi" w:cstheme="majorHAnsi"/>
      <w:b/>
      <w:bCs/>
      <w:noProof/>
    </w:rPr>
  </w:style>
  <w:style w:type="paragraph" w:styleId="Header">
    <w:name w:val="header"/>
    <w:basedOn w:val="Normal"/>
    <w:link w:val="HeaderChar"/>
    <w:uiPriority w:val="99"/>
    <w:unhideWhenUsed/>
    <w:rsid w:val="004D6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CCD"/>
  </w:style>
  <w:style w:type="paragraph" w:styleId="Footer">
    <w:name w:val="footer"/>
    <w:basedOn w:val="Normal"/>
    <w:link w:val="FooterChar"/>
    <w:uiPriority w:val="99"/>
    <w:unhideWhenUsed/>
    <w:rsid w:val="004D6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CCD"/>
  </w:style>
  <w:style w:type="character" w:customStyle="1" w:styleId="Heading2Char">
    <w:name w:val="Heading 2 Char"/>
    <w:basedOn w:val="DefaultParagraphFont"/>
    <w:link w:val="Heading2"/>
    <w:uiPriority w:val="9"/>
    <w:semiHidden/>
    <w:rsid w:val="004E75B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E75BC"/>
    <w:rPr>
      <w:rFonts w:asciiTheme="majorHAnsi" w:eastAsiaTheme="majorEastAsia" w:hAnsiTheme="majorHAnsi" w:cstheme="majorBidi"/>
      <w:color w:val="1F3763" w:themeColor="accent1" w:themeShade="7F"/>
      <w:sz w:val="24"/>
      <w:szCs w:val="24"/>
    </w:rPr>
  </w:style>
  <w:style w:type="numbering" w:customStyle="1" w:styleId="NoList1">
    <w:name w:val="No List1"/>
    <w:next w:val="NoList"/>
    <w:uiPriority w:val="99"/>
    <w:semiHidden/>
    <w:unhideWhenUsed/>
    <w:rsid w:val="00A423C8"/>
  </w:style>
  <w:style w:type="character" w:styleId="Strong">
    <w:name w:val="Strong"/>
    <w:uiPriority w:val="22"/>
    <w:qFormat/>
    <w:rsid w:val="00A423C8"/>
    <w:rPr>
      <w:b/>
      <w:bCs/>
    </w:rPr>
  </w:style>
  <w:style w:type="paragraph" w:styleId="z-TopofForm">
    <w:name w:val="HTML Top of Form"/>
    <w:basedOn w:val="Normal"/>
    <w:next w:val="Normal"/>
    <w:link w:val="z-TopofFormChar"/>
    <w:hidden/>
    <w:uiPriority w:val="99"/>
    <w:semiHidden/>
    <w:unhideWhenUsed/>
    <w:rsid w:val="00A423C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A423C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unhideWhenUsed/>
    <w:rsid w:val="00A423C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rsid w:val="00A423C8"/>
    <w:rPr>
      <w:rFonts w:ascii="Arial" w:eastAsia="Times New Roman" w:hAnsi="Arial" w:cs="Arial"/>
      <w:vanish/>
      <w:sz w:val="16"/>
      <w:szCs w:val="16"/>
      <w:lang w:eastAsia="en-GB"/>
    </w:rPr>
  </w:style>
  <w:style w:type="paragraph" w:customStyle="1" w:styleId="pb-2">
    <w:name w:val="pb-2"/>
    <w:basedOn w:val="Normal"/>
    <w:rsid w:val="00AE6E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E6E7F"/>
    <w:rPr>
      <w:i/>
      <w:iCs/>
    </w:rPr>
  </w:style>
  <w:style w:type="character" w:customStyle="1" w:styleId="Heading4Char">
    <w:name w:val="Heading 4 Char"/>
    <w:basedOn w:val="DefaultParagraphFont"/>
    <w:link w:val="Heading4"/>
    <w:uiPriority w:val="9"/>
    <w:semiHidden/>
    <w:rsid w:val="00090467"/>
    <w:rPr>
      <w:rFonts w:eastAsiaTheme="minorEastAsia"/>
      <w:b/>
      <w:bCs/>
      <w:sz w:val="28"/>
      <w:szCs w:val="28"/>
      <w:lang w:val="en-US"/>
    </w:rPr>
  </w:style>
  <w:style w:type="character" w:customStyle="1" w:styleId="Heading5Char">
    <w:name w:val="Heading 5 Char"/>
    <w:basedOn w:val="DefaultParagraphFont"/>
    <w:link w:val="Heading5"/>
    <w:uiPriority w:val="9"/>
    <w:semiHidden/>
    <w:rsid w:val="00090467"/>
    <w:rPr>
      <w:rFonts w:eastAsiaTheme="minorEastAsia"/>
      <w:b/>
      <w:bCs/>
      <w:i/>
      <w:iCs/>
      <w:sz w:val="26"/>
      <w:szCs w:val="26"/>
      <w:lang w:val="en-US"/>
    </w:rPr>
  </w:style>
  <w:style w:type="character" w:customStyle="1" w:styleId="Heading6Char">
    <w:name w:val="Heading 6 Char"/>
    <w:basedOn w:val="DefaultParagraphFont"/>
    <w:link w:val="Heading6"/>
    <w:rsid w:val="00090467"/>
    <w:rPr>
      <w:rFonts w:ascii="Times New Roman" w:eastAsia="Times New Roman" w:hAnsi="Times New Roman" w:cs="Times New Roman"/>
      <w:b/>
      <w:bCs/>
      <w:lang w:val="en-US"/>
    </w:rPr>
  </w:style>
  <w:style w:type="character" w:customStyle="1" w:styleId="Heading7Char">
    <w:name w:val="Heading 7 Char"/>
    <w:basedOn w:val="DefaultParagraphFont"/>
    <w:link w:val="Heading7"/>
    <w:uiPriority w:val="9"/>
    <w:semiHidden/>
    <w:rsid w:val="00090467"/>
    <w:rPr>
      <w:rFonts w:eastAsiaTheme="minorEastAsia"/>
      <w:sz w:val="24"/>
      <w:szCs w:val="24"/>
      <w:lang w:val="en-US"/>
    </w:rPr>
  </w:style>
  <w:style w:type="character" w:customStyle="1" w:styleId="Heading8Char">
    <w:name w:val="Heading 8 Char"/>
    <w:basedOn w:val="DefaultParagraphFont"/>
    <w:link w:val="Heading8"/>
    <w:uiPriority w:val="9"/>
    <w:semiHidden/>
    <w:rsid w:val="00090467"/>
    <w:rPr>
      <w:rFonts w:eastAsiaTheme="minorEastAsia"/>
      <w:i/>
      <w:iCs/>
      <w:sz w:val="24"/>
      <w:szCs w:val="24"/>
      <w:lang w:val="en-US"/>
    </w:rPr>
  </w:style>
  <w:style w:type="character" w:customStyle="1" w:styleId="Heading9Char">
    <w:name w:val="Heading 9 Char"/>
    <w:basedOn w:val="DefaultParagraphFont"/>
    <w:link w:val="Heading9"/>
    <w:uiPriority w:val="9"/>
    <w:semiHidden/>
    <w:rsid w:val="00090467"/>
    <w:rPr>
      <w:rFonts w:asciiTheme="majorHAnsi" w:eastAsiaTheme="majorEastAsia" w:hAnsiTheme="majorHAnsi" w:cstheme="majorBidi"/>
      <w:lang w:val="en-US"/>
    </w:rPr>
  </w:style>
  <w:style w:type="table" w:customStyle="1" w:styleId="Style1">
    <w:name w:val="Style1"/>
    <w:basedOn w:val="TableNormal"/>
    <w:uiPriority w:val="99"/>
    <w:rsid w:val="00090467"/>
    <w:pPr>
      <w:spacing w:after="0" w:line="240" w:lineRule="auto"/>
    </w:pPr>
    <w:rPr>
      <w:rFonts w:ascii="Times New Roman" w:eastAsia="Times New Roman" w:hAnsi="Times New Roman" w:cs="Times New Roman"/>
      <w:sz w:val="20"/>
      <w:szCs w:val="20"/>
      <w:lang w:val="en-US"/>
    </w:rPr>
    <w:tblPr/>
  </w:style>
  <w:style w:type="paragraph" w:styleId="BalloonText">
    <w:name w:val="Balloon Text"/>
    <w:basedOn w:val="Normal"/>
    <w:link w:val="BalloonTextChar"/>
    <w:uiPriority w:val="99"/>
    <w:semiHidden/>
    <w:unhideWhenUsed/>
    <w:rsid w:val="00090467"/>
    <w:pPr>
      <w:spacing w:after="0" w:line="240" w:lineRule="auto"/>
    </w:pPr>
    <w:rPr>
      <w:rFonts w:ascii="Segoe UI" w:eastAsia="Times New Roman" w:hAnsi="Segoe UI" w:cs="Segoe UI"/>
      <w:sz w:val="18"/>
      <w:szCs w:val="18"/>
      <w:lang w:val="en-US"/>
    </w:rPr>
  </w:style>
  <w:style w:type="character" w:customStyle="1" w:styleId="BalloonTextChar">
    <w:name w:val="Balloon Text Char"/>
    <w:basedOn w:val="DefaultParagraphFont"/>
    <w:link w:val="BalloonText"/>
    <w:uiPriority w:val="99"/>
    <w:semiHidden/>
    <w:rsid w:val="00090467"/>
    <w:rPr>
      <w:rFonts w:ascii="Segoe UI" w:eastAsia="Times New Roman"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717489">
      <w:bodyDiv w:val="1"/>
      <w:marLeft w:val="0"/>
      <w:marRight w:val="0"/>
      <w:marTop w:val="0"/>
      <w:marBottom w:val="0"/>
      <w:divBdr>
        <w:top w:val="none" w:sz="0" w:space="0" w:color="auto"/>
        <w:left w:val="none" w:sz="0" w:space="0" w:color="auto"/>
        <w:bottom w:val="none" w:sz="0" w:space="0" w:color="auto"/>
        <w:right w:val="none" w:sz="0" w:space="0" w:color="auto"/>
      </w:divBdr>
    </w:div>
    <w:div w:id="332535494">
      <w:bodyDiv w:val="1"/>
      <w:marLeft w:val="0"/>
      <w:marRight w:val="0"/>
      <w:marTop w:val="0"/>
      <w:marBottom w:val="0"/>
      <w:divBdr>
        <w:top w:val="none" w:sz="0" w:space="0" w:color="auto"/>
        <w:left w:val="none" w:sz="0" w:space="0" w:color="auto"/>
        <w:bottom w:val="none" w:sz="0" w:space="0" w:color="auto"/>
        <w:right w:val="none" w:sz="0" w:space="0" w:color="auto"/>
      </w:divBdr>
    </w:div>
    <w:div w:id="760613471">
      <w:bodyDiv w:val="1"/>
      <w:marLeft w:val="0"/>
      <w:marRight w:val="0"/>
      <w:marTop w:val="0"/>
      <w:marBottom w:val="0"/>
      <w:divBdr>
        <w:top w:val="none" w:sz="0" w:space="0" w:color="auto"/>
        <w:left w:val="none" w:sz="0" w:space="0" w:color="auto"/>
        <w:bottom w:val="none" w:sz="0" w:space="0" w:color="auto"/>
        <w:right w:val="none" w:sz="0" w:space="0" w:color="auto"/>
      </w:divBdr>
    </w:div>
    <w:div w:id="1013997164">
      <w:bodyDiv w:val="1"/>
      <w:marLeft w:val="0"/>
      <w:marRight w:val="0"/>
      <w:marTop w:val="0"/>
      <w:marBottom w:val="0"/>
      <w:divBdr>
        <w:top w:val="none" w:sz="0" w:space="0" w:color="auto"/>
        <w:left w:val="none" w:sz="0" w:space="0" w:color="auto"/>
        <w:bottom w:val="none" w:sz="0" w:space="0" w:color="auto"/>
        <w:right w:val="none" w:sz="0" w:space="0" w:color="auto"/>
      </w:divBdr>
    </w:div>
    <w:div w:id="1058743733">
      <w:bodyDiv w:val="1"/>
      <w:marLeft w:val="0"/>
      <w:marRight w:val="0"/>
      <w:marTop w:val="0"/>
      <w:marBottom w:val="0"/>
      <w:divBdr>
        <w:top w:val="none" w:sz="0" w:space="0" w:color="auto"/>
        <w:left w:val="none" w:sz="0" w:space="0" w:color="auto"/>
        <w:bottom w:val="none" w:sz="0" w:space="0" w:color="auto"/>
        <w:right w:val="none" w:sz="0" w:space="0" w:color="auto"/>
      </w:divBdr>
    </w:div>
    <w:div w:id="1291209683">
      <w:bodyDiv w:val="1"/>
      <w:marLeft w:val="0"/>
      <w:marRight w:val="0"/>
      <w:marTop w:val="0"/>
      <w:marBottom w:val="0"/>
      <w:divBdr>
        <w:top w:val="none" w:sz="0" w:space="0" w:color="auto"/>
        <w:left w:val="none" w:sz="0" w:space="0" w:color="auto"/>
        <w:bottom w:val="none" w:sz="0" w:space="0" w:color="auto"/>
        <w:right w:val="none" w:sz="0" w:space="0" w:color="auto"/>
      </w:divBdr>
    </w:div>
    <w:div w:id="1414160773">
      <w:bodyDiv w:val="1"/>
      <w:marLeft w:val="0"/>
      <w:marRight w:val="0"/>
      <w:marTop w:val="0"/>
      <w:marBottom w:val="0"/>
      <w:divBdr>
        <w:top w:val="none" w:sz="0" w:space="0" w:color="auto"/>
        <w:left w:val="none" w:sz="0" w:space="0" w:color="auto"/>
        <w:bottom w:val="none" w:sz="0" w:space="0" w:color="auto"/>
        <w:right w:val="none" w:sz="0" w:space="0" w:color="auto"/>
      </w:divBdr>
    </w:div>
    <w:div w:id="1487938497">
      <w:bodyDiv w:val="1"/>
      <w:marLeft w:val="0"/>
      <w:marRight w:val="0"/>
      <w:marTop w:val="0"/>
      <w:marBottom w:val="0"/>
      <w:divBdr>
        <w:top w:val="none" w:sz="0" w:space="0" w:color="auto"/>
        <w:left w:val="none" w:sz="0" w:space="0" w:color="auto"/>
        <w:bottom w:val="none" w:sz="0" w:space="0" w:color="auto"/>
        <w:right w:val="none" w:sz="0" w:space="0" w:color="auto"/>
      </w:divBdr>
    </w:div>
    <w:div w:id="1642731895">
      <w:bodyDiv w:val="1"/>
      <w:marLeft w:val="0"/>
      <w:marRight w:val="0"/>
      <w:marTop w:val="0"/>
      <w:marBottom w:val="0"/>
      <w:divBdr>
        <w:top w:val="none" w:sz="0" w:space="0" w:color="auto"/>
        <w:left w:val="none" w:sz="0" w:space="0" w:color="auto"/>
        <w:bottom w:val="none" w:sz="0" w:space="0" w:color="auto"/>
        <w:right w:val="none" w:sz="0" w:space="0" w:color="auto"/>
      </w:divBdr>
    </w:div>
    <w:div w:id="1672560789">
      <w:bodyDiv w:val="1"/>
      <w:marLeft w:val="0"/>
      <w:marRight w:val="0"/>
      <w:marTop w:val="0"/>
      <w:marBottom w:val="0"/>
      <w:divBdr>
        <w:top w:val="none" w:sz="0" w:space="0" w:color="auto"/>
        <w:left w:val="none" w:sz="0" w:space="0" w:color="auto"/>
        <w:bottom w:val="none" w:sz="0" w:space="0" w:color="auto"/>
        <w:right w:val="none" w:sz="0" w:space="0" w:color="auto"/>
      </w:divBdr>
    </w:div>
    <w:div w:id="1889142862">
      <w:bodyDiv w:val="1"/>
      <w:marLeft w:val="0"/>
      <w:marRight w:val="0"/>
      <w:marTop w:val="0"/>
      <w:marBottom w:val="0"/>
      <w:divBdr>
        <w:top w:val="none" w:sz="0" w:space="0" w:color="auto"/>
        <w:left w:val="none" w:sz="0" w:space="0" w:color="auto"/>
        <w:bottom w:val="none" w:sz="0" w:space="0" w:color="auto"/>
        <w:right w:val="none" w:sz="0" w:space="0" w:color="auto"/>
      </w:divBdr>
    </w:div>
    <w:div w:id="1889409611">
      <w:bodyDiv w:val="1"/>
      <w:marLeft w:val="0"/>
      <w:marRight w:val="0"/>
      <w:marTop w:val="0"/>
      <w:marBottom w:val="0"/>
      <w:divBdr>
        <w:top w:val="none" w:sz="0" w:space="0" w:color="auto"/>
        <w:left w:val="none" w:sz="0" w:space="0" w:color="auto"/>
        <w:bottom w:val="none" w:sz="0" w:space="0" w:color="auto"/>
        <w:right w:val="none" w:sz="0" w:space="0" w:color="auto"/>
      </w:divBdr>
    </w:div>
    <w:div w:id="1909461428">
      <w:bodyDiv w:val="1"/>
      <w:marLeft w:val="0"/>
      <w:marRight w:val="0"/>
      <w:marTop w:val="0"/>
      <w:marBottom w:val="0"/>
      <w:divBdr>
        <w:top w:val="none" w:sz="0" w:space="0" w:color="auto"/>
        <w:left w:val="none" w:sz="0" w:space="0" w:color="auto"/>
        <w:bottom w:val="none" w:sz="0" w:space="0" w:color="auto"/>
        <w:right w:val="none" w:sz="0" w:space="0" w:color="auto"/>
      </w:divBdr>
      <w:divsChild>
        <w:div w:id="1226722088">
          <w:marLeft w:val="0"/>
          <w:marRight w:val="0"/>
          <w:marTop w:val="0"/>
          <w:marBottom w:val="0"/>
          <w:divBdr>
            <w:top w:val="none" w:sz="0" w:space="0" w:color="auto"/>
            <w:left w:val="none" w:sz="0" w:space="0" w:color="auto"/>
            <w:bottom w:val="none" w:sz="0" w:space="0" w:color="auto"/>
            <w:right w:val="none" w:sz="0" w:space="0" w:color="auto"/>
          </w:divBdr>
        </w:div>
        <w:div w:id="1594319747">
          <w:marLeft w:val="0"/>
          <w:marRight w:val="0"/>
          <w:marTop w:val="0"/>
          <w:marBottom w:val="0"/>
          <w:divBdr>
            <w:top w:val="none" w:sz="0" w:space="0" w:color="auto"/>
            <w:left w:val="none" w:sz="0" w:space="0" w:color="auto"/>
            <w:bottom w:val="none" w:sz="0" w:space="0" w:color="auto"/>
            <w:right w:val="none" w:sz="0" w:space="0" w:color="auto"/>
          </w:divBdr>
        </w:div>
        <w:div w:id="8887646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4324/9781351018340" TargetMode="External"/><Relationship Id="rId21" Type="http://schemas.openxmlformats.org/officeDocument/2006/relationships/hyperlink" Target="https://doi.org/10.1146/annurev-economics-051420-104231" TargetMode="External"/><Relationship Id="rId34" Type="http://schemas.openxmlformats.org/officeDocument/2006/relationships/hyperlink" Target="https://www.strategy-business.com/article/Business-Beyond-Brexit" TargetMode="External"/><Relationship Id="rId42" Type="http://schemas.openxmlformats.org/officeDocument/2006/relationships/hyperlink" Target="https://doi-org.ezproxy.uwtsd.ac.uk/10.1080/10967490801887673" TargetMode="External"/><Relationship Id="rId47" Type="http://schemas.openxmlformats.org/officeDocument/2006/relationships/hyperlink" Target="https://ukandeu.ac.uk/civil-service-post-brexit/" TargetMode="External"/><Relationship Id="rId50" Type="http://schemas.openxmlformats.org/officeDocument/2006/relationships/hyperlink" Target="https://doi-org.ezproxy.uwtsd.ac.uk/10.1177/09596801187711" TargetMode="External"/><Relationship Id="rId55" Type="http://schemas.openxmlformats.org/officeDocument/2006/relationships/hyperlink" Target="https://blogs.lse.ac.uk/brexit/2018/02/02/brexit-ultras-are-undermining-the-integrity-of-the-civil-service-the-consequences-could-be-grave/" TargetMode="External"/><Relationship Id="rId63" Type="http://schemas.openxmlformats.org/officeDocument/2006/relationships/hyperlink" Target="https://doi.org/10.1016/j.giq.2022.10177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ivilservice.blog.gov.uk/2019/01/17/promoting-flexible-working-in-the-civil-service/" TargetMode="External"/><Relationship Id="rId29" Type="http://schemas.openxmlformats.org/officeDocument/2006/relationships/hyperlink" Target="https://www.instituteforgovernment.org.uk/sites/default/files/publications/IFGJ5327_Report_Brexit_Civil_Service_080317_WEB.pdf" TargetMode="External"/><Relationship Id="rId11" Type="http://schemas.openxmlformats.org/officeDocument/2006/relationships/hyperlink" Target="https://opencanada.org/nafta-negotiations-your-guide-players-and-priorities-matter/" TargetMode="External"/><Relationship Id="rId24" Type="http://schemas.openxmlformats.org/officeDocument/2006/relationships/hyperlink" Target="https://www.fieldfisher.com/en/insights/transposing-the-bureaucracy-of-the-eu-into-the-uk-civil-services" TargetMode="External"/><Relationship Id="rId32" Type="http://schemas.openxmlformats.org/officeDocument/2006/relationships/hyperlink" Target="https://civilservice.blog.gov.uk/2019/10/10/supporting-uk-civil-servants-mental-health-and-wellbeing/" TargetMode="External"/><Relationship Id="rId37" Type="http://schemas.openxmlformats.org/officeDocument/2006/relationships/hyperlink" Target="https://ukandeu.ac.uk/brexit-the-biggest-challenge-the-civil-service-has-ever-faced/" TargetMode="External"/><Relationship Id="rId40" Type="http://schemas.openxmlformats.org/officeDocument/2006/relationships/hyperlink" Target="https://www.ons.gov.uk/peoplepopulationandcommunity/birthsdeathsandmarriages/ageing/articles/livinglongerhowourpopulationischangingandwhyitmatters/2019-03-15" TargetMode="External"/><Relationship Id="rId45" Type="http://schemas.openxmlformats.org/officeDocument/2006/relationships/hyperlink" Target="https://discovery.ucl.ac.uk/id/eprint/10142948/1/UKICE-Policy-Report_FINAL.pdf" TargetMode="External"/><Relationship Id="rId53" Type="http://schemas.openxmlformats.org/officeDocument/2006/relationships/hyperlink" Target="https://sticerd.lse.ac.uk/CASE/_NEW/PUBLICATIONS/abstract/?index=6148" TargetMode="External"/><Relationship Id="rId58" Type="http://schemas.openxmlformats.org/officeDocument/2006/relationships/hyperlink" Target="https://production-new-commonwealth-files.s3.eu-west-2.amazonaws.com/migrated/inline/TCBP_2021-04_UPDF.pdf"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4337/9781800376748.00021" TargetMode="External"/><Relationship Id="rId19" Type="http://schemas.openxmlformats.org/officeDocument/2006/relationships/hyperlink" Target="https://www.clientearth.org/latest/documents/environmental-law-governance-post-brexit/" TargetMode="External"/><Relationship Id="rId14" Type="http://schemas.openxmlformats.org/officeDocument/2006/relationships/hyperlink" Target="https://www.politico.eu/article/post-brexit-regulation-uk-environmental-protection-eu/" TargetMode="External"/><Relationship Id="rId22" Type="http://schemas.openxmlformats.org/officeDocument/2006/relationships/hyperlink" Target="http://eprints.lse.ac.uk/id/eprint/66144" TargetMode="External"/><Relationship Id="rId27" Type="http://schemas.openxmlformats.org/officeDocument/2006/relationships/hyperlink" Target="https://www.gov.uk/government/publications/review-of-governance-and-accountability/independent-review-of-governance-and-accountability-in-the-civil-service-the-rt-hon-lord-maude-of-horsham-html" TargetMode="External"/><Relationship Id="rId30" Type="http://schemas.openxmlformats.org/officeDocument/2006/relationships/hyperlink" Target="https://www.instituteforgovernment.org.uk/publication/whitehall-monitor-2023/civil-service-effectiveness" TargetMode="External"/><Relationship Id="rId35" Type="http://schemas.openxmlformats.org/officeDocument/2006/relationships/hyperlink" Target="https://www.whitecase.com/insight-alert/environmental-law-after-brexit" TargetMode="External"/><Relationship Id="rId43" Type="http://schemas.openxmlformats.org/officeDocument/2006/relationships/hyperlink" Target="https://www.gov.uk/government/news/prime-minister-announces-merger-of-department-for-international-development-and-foreign-office" TargetMode="External"/><Relationship Id="rId48" Type="http://schemas.openxmlformats.org/officeDocument/2006/relationships/hyperlink" Target="https://ukandeu.ac.uk/long-read/the-civil-service-and-brexit/" TargetMode="External"/><Relationship Id="rId56" Type="http://schemas.openxmlformats.org/officeDocument/2006/relationships/hyperlink" Target="https://www.instituteforgovernment.org.uk/article/comment/has-civil-service-been-resisting-brexit" TargetMode="External"/><Relationship Id="rId64"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www.civilserviceworld.com/in-depth/article/ready-aim-hire-how-is-brexit-reshaping-the-civil-service" TargetMode="External"/><Relationship Id="rId3" Type="http://schemas.openxmlformats.org/officeDocument/2006/relationships/styles" Target="styles.xml"/><Relationship Id="rId12" Type="http://schemas.openxmlformats.org/officeDocument/2006/relationships/hyperlink" Target="https://doi.org/10.1080/13501763.2018.1467957" TargetMode="External"/><Relationship Id="rId17" Type="http://schemas.openxmlformats.org/officeDocument/2006/relationships/hyperlink" Target="https://civilservice.blog.gov.uk/2020/05/27/race-to-the-top-g6-7-a-network-success-story/" TargetMode="External"/><Relationship Id="rId25" Type="http://schemas.openxmlformats.org/officeDocument/2006/relationships/hyperlink" Target="https://www.gov.uk/government/news/new-environment-law-to-deliver-a-green-brexit" TargetMode="External"/><Relationship Id="rId33" Type="http://schemas.openxmlformats.org/officeDocument/2006/relationships/hyperlink" Target="https://doi.org/10.1016/S0140-6736(13)60102-6" TargetMode="External"/><Relationship Id="rId38" Type="http://schemas.openxmlformats.org/officeDocument/2006/relationships/hyperlink" Target="https://www.osler.com/en/resources/cross-border/2018/nafta-renegotiations-and-their-impact-on-canadian-businesses" TargetMode="External"/><Relationship Id="rId46" Type="http://schemas.openxmlformats.org/officeDocument/2006/relationships/hyperlink" Target="https://doi.org/10.1093/pa/gsaa011" TargetMode="External"/><Relationship Id="rId59" Type="http://schemas.openxmlformats.org/officeDocument/2006/relationships/hyperlink" Target="https://www.gov.uk/global-talent" TargetMode="External"/><Relationship Id="rId67" Type="http://schemas.openxmlformats.org/officeDocument/2006/relationships/theme" Target="theme/theme1.xml"/><Relationship Id="rId20" Type="http://schemas.openxmlformats.org/officeDocument/2006/relationships/hyperlink" Target="http://www.jstor.org/stable/4165021" TargetMode="External"/><Relationship Id="rId41" Type="http://schemas.openxmlformats.org/officeDocument/2006/relationships/hyperlink" Target="https://www.tuc.org.uk/research-analysis/reports/protecting-workers-rights-using-eu-uk-trade-and-cooperation-agreement" TargetMode="External"/><Relationship Id="rId54" Type="http://schemas.openxmlformats.org/officeDocument/2006/relationships/hyperlink" Target="https://doi-org.ezproxy.uwtsd.ac.uk/10.1177/0958928720949" TargetMode="External"/><Relationship Id="rId62" Type="http://schemas.openxmlformats.org/officeDocument/2006/relationships/hyperlink" Target="https://www.gov.uk/government/news/uk-and-japan-sign-free-trade-agreemen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faststream.gov.uk/" TargetMode="External"/><Relationship Id="rId23" Type="http://schemas.openxmlformats.org/officeDocument/2006/relationships/hyperlink" Target="https://www.civilserviceworld.com/professions/article/civil-service-fundamentally-changed-by-brexit" TargetMode="External"/><Relationship Id="rId28" Type="http://schemas.openxmlformats.org/officeDocument/2006/relationships/hyperlink" Target="https://ico.org.uk/for-organisations/data-protection-and-the-eu/data-protection-and-the-eu-in-detail/" TargetMode="External"/><Relationship Id="rId36" Type="http://schemas.openxmlformats.org/officeDocument/2006/relationships/hyperlink" Target="https://www.personneltoday.com/hr/civil-service-praised-for-agility-amid-extreme-brexit-pressure/" TargetMode="External"/><Relationship Id="rId49" Type="http://schemas.openxmlformats.org/officeDocument/2006/relationships/hyperlink" Target="https://doi.org/10.1177/0020852312437323" TargetMode="External"/><Relationship Id="rId57" Type="http://schemas.openxmlformats.org/officeDocument/2006/relationships/hyperlink" Target="https://www.instituteforgovernment.org.uk/publications/after-boris-johnson-civil-service" TargetMode="External"/><Relationship Id="rId10" Type="http://schemas.openxmlformats.org/officeDocument/2006/relationships/hyperlink" Target="https://doi.org/10.1016/S0140-6736(14)61464-1" TargetMode="External"/><Relationship Id="rId31" Type="http://schemas.openxmlformats.org/officeDocument/2006/relationships/hyperlink" Target="https://www.instituteforgovernment.org.uk/publication/whitehall-monitor-2023/size-cost-make-civil-service" TargetMode="External"/><Relationship Id="rId44" Type="http://schemas.openxmlformats.org/officeDocument/2006/relationships/hyperlink" Target="https://www.bcg.com/publications/2016/strategy-globalization-ceos-guide-to-navigating-brexit" TargetMode="External"/><Relationship Id="rId52" Type="http://schemas.openxmlformats.org/officeDocument/2006/relationships/hyperlink" Target="https://www.proquest.com/scholarly-journals/brexit-challenges-europe-1/docview/2176180837/se-2" TargetMode="External"/><Relationship Id="rId60" Type="http://schemas.openxmlformats.org/officeDocument/2006/relationships/hyperlink" Target="https://www.sbs.ox.ac.uk/news/tasked-implementing-brexit-british-civil-service-faces-immense-change-and-uncertainty" TargetMode="External"/><Relationship Id="rId65"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oi.org/10.1007/s11293-017-9550-x" TargetMode="External"/><Relationship Id="rId13" Type="http://schemas.openxmlformats.org/officeDocument/2006/relationships/hyperlink" Target="https://doi.org/10.4324/9781003347880" TargetMode="External"/><Relationship Id="rId18" Type="http://schemas.openxmlformats.org/officeDocument/2006/relationships/hyperlink" Target="http://www.clientearth.org/" TargetMode="External"/><Relationship Id="rId39" Type="http://schemas.openxmlformats.org/officeDocument/2006/relationships/hyperlink" Target="https://informaconnect.com/how-is-brexit-impacting-regulatory-development-and-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0DCF5-8F0D-4B4F-B414-D2CB0B20A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13460</Words>
  <Characters>76728</Characters>
  <Application>Microsoft Office Word</Application>
  <DocSecurity>0</DocSecurity>
  <Lines>639</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chirila</dc:creator>
  <cp:keywords/>
  <dc:description/>
  <cp:lastModifiedBy>Andrew Maund</cp:lastModifiedBy>
  <cp:revision>2</cp:revision>
  <dcterms:created xsi:type="dcterms:W3CDTF">2024-02-18T11:03:00Z</dcterms:created>
  <dcterms:modified xsi:type="dcterms:W3CDTF">2024-02-18T11:03:00Z</dcterms:modified>
</cp:coreProperties>
</file>