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9EFEA" w14:textId="77777777" w:rsidR="0081036A" w:rsidRDefault="0081036A" w:rsidP="0081036A">
      <w:pPr>
        <w:spacing w:after="120" w:line="360" w:lineRule="auto"/>
        <w:jc w:val="left"/>
        <w:rPr>
          <w:b/>
        </w:rPr>
      </w:pPr>
    </w:p>
    <w:p w14:paraId="3605A80B" w14:textId="77777777" w:rsidR="0081036A" w:rsidRDefault="0081036A" w:rsidP="0081036A">
      <w:pPr>
        <w:spacing w:after="120" w:line="360" w:lineRule="auto"/>
        <w:jc w:val="left"/>
        <w:rPr>
          <w:b/>
        </w:rPr>
      </w:pPr>
      <w:r w:rsidRPr="00A406E5">
        <w:rPr>
          <w:rFonts w:cs="Arial"/>
          <w:noProof/>
        </w:rPr>
        <w:drawing>
          <wp:anchor distT="0" distB="0" distL="114300" distR="114300" simplePos="0" relativeHeight="251659264" behindDoc="0" locked="0" layoutInCell="1" allowOverlap="1" wp14:anchorId="3F8C59C6" wp14:editId="065CD753">
            <wp:simplePos x="0" y="0"/>
            <wp:positionH relativeFrom="column">
              <wp:posOffset>0</wp:posOffset>
            </wp:positionH>
            <wp:positionV relativeFrom="paragraph">
              <wp:posOffset>315595</wp:posOffset>
            </wp:positionV>
            <wp:extent cx="1809750" cy="723900"/>
            <wp:effectExtent l="0" t="0" r="0" b="0"/>
            <wp:wrapTopAndBottom/>
            <wp:docPr id="15" name="Picture 1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20C8524" w14:textId="77777777" w:rsidR="0081036A" w:rsidRDefault="0081036A" w:rsidP="0081036A">
      <w:pPr>
        <w:spacing w:after="120" w:line="360" w:lineRule="auto"/>
        <w:jc w:val="left"/>
        <w:rPr>
          <w:b/>
        </w:rPr>
      </w:pPr>
    </w:p>
    <w:p w14:paraId="055C7313" w14:textId="77777777" w:rsidR="00DF134C" w:rsidRDefault="009870AF" w:rsidP="0081036A">
      <w:pPr>
        <w:spacing w:after="120" w:line="360" w:lineRule="auto"/>
        <w:jc w:val="left"/>
      </w:pPr>
      <w:r>
        <w:rPr>
          <w:b/>
        </w:rPr>
        <w:t>LCHS7002 Case Study Analysis Report</w:t>
      </w:r>
    </w:p>
    <w:p w14:paraId="46B74DD5" w14:textId="77777777" w:rsidR="00DF134C" w:rsidRDefault="009870AF" w:rsidP="0081036A">
      <w:pPr>
        <w:spacing w:after="120" w:line="360" w:lineRule="auto"/>
        <w:jc w:val="left"/>
      </w:pPr>
      <w:r>
        <w:rPr>
          <w:b/>
        </w:rPr>
        <w:t>Dementia: Leadership and Management in Community-Based Care</w:t>
      </w:r>
    </w:p>
    <w:p w14:paraId="0131CB7C" w14:textId="77777777" w:rsidR="0081036A" w:rsidRDefault="0081036A" w:rsidP="0081036A">
      <w:pPr>
        <w:spacing w:after="80" w:line="360" w:lineRule="auto"/>
      </w:pPr>
      <w:r>
        <w:rPr>
          <w:b/>
          <w:bCs/>
        </w:rPr>
        <w:t>Module:</w:t>
      </w:r>
      <w:r>
        <w:t xml:space="preserve"> Community Care and Management of Longer-Term Conditions.</w:t>
      </w:r>
    </w:p>
    <w:p w14:paraId="6E58051F" w14:textId="77777777" w:rsidR="0081036A" w:rsidRDefault="0081036A" w:rsidP="0081036A">
      <w:pPr>
        <w:spacing w:after="80" w:line="360" w:lineRule="auto"/>
      </w:pPr>
      <w:r>
        <w:rPr>
          <w:b/>
          <w:bCs/>
        </w:rPr>
        <w:t>Module</w:t>
      </w:r>
      <w:r>
        <w:t xml:space="preserve"> </w:t>
      </w:r>
      <w:r w:rsidR="00117D03">
        <w:rPr>
          <w:b/>
          <w:bCs/>
        </w:rPr>
        <w:t>code</w:t>
      </w:r>
      <w:r w:rsidR="00117D03">
        <w:t>:</w:t>
      </w:r>
      <w:r>
        <w:t xml:space="preserve"> LCHS700</w:t>
      </w:r>
      <w:r w:rsidR="00117D03">
        <w:t>2</w:t>
      </w:r>
      <w:r>
        <w:t>.</w:t>
      </w:r>
    </w:p>
    <w:p w14:paraId="41C9757E" w14:textId="77777777" w:rsidR="0081036A" w:rsidRDefault="0081036A" w:rsidP="0081036A">
      <w:pPr>
        <w:spacing w:after="80" w:line="360" w:lineRule="auto"/>
      </w:pPr>
      <w:r>
        <w:rPr>
          <w:b/>
          <w:bCs/>
        </w:rPr>
        <w:t>Assignment title:</w:t>
      </w:r>
      <w:r>
        <w:t xml:space="preserve"> </w:t>
      </w:r>
      <w:r w:rsidR="00117D03" w:rsidRPr="00117D03">
        <w:t>Case Study Analysis Report</w:t>
      </w:r>
    </w:p>
    <w:p w14:paraId="68AD321F" w14:textId="28D2B848" w:rsidR="0081036A" w:rsidRDefault="0081036A" w:rsidP="0081036A">
      <w:pPr>
        <w:spacing w:after="80" w:line="360" w:lineRule="auto"/>
      </w:pPr>
      <w:r>
        <w:rPr>
          <w:b/>
          <w:bCs/>
        </w:rPr>
        <w:t>Lecturer’s name:</w:t>
      </w:r>
      <w:r>
        <w:t xml:space="preserve"> </w:t>
      </w:r>
      <w:r w:rsidR="0026408A">
        <w:t>Fahad Khan</w:t>
      </w:r>
    </w:p>
    <w:p w14:paraId="5768B6D0" w14:textId="77777777" w:rsidR="0081036A" w:rsidRDefault="0081036A" w:rsidP="0081036A">
      <w:pPr>
        <w:spacing w:after="80" w:line="360" w:lineRule="auto"/>
      </w:pPr>
      <w:r>
        <w:rPr>
          <w:b/>
          <w:bCs/>
        </w:rPr>
        <w:t>Student name:</w:t>
      </w:r>
      <w:r>
        <w:t xml:space="preserve"> </w:t>
      </w:r>
      <w:proofErr w:type="spellStart"/>
      <w:r>
        <w:t>Mst</w:t>
      </w:r>
      <w:proofErr w:type="spellEnd"/>
      <w:r>
        <w:t xml:space="preserve"> </w:t>
      </w:r>
      <w:proofErr w:type="spellStart"/>
      <w:r>
        <w:t>Sharmin</w:t>
      </w:r>
      <w:proofErr w:type="spellEnd"/>
      <w:r>
        <w:t xml:space="preserve"> Sultana </w:t>
      </w:r>
      <w:proofErr w:type="spellStart"/>
      <w:r>
        <w:t>Mitu</w:t>
      </w:r>
      <w:proofErr w:type="spellEnd"/>
    </w:p>
    <w:p w14:paraId="673A2473" w14:textId="77777777" w:rsidR="0081036A" w:rsidRDefault="0081036A" w:rsidP="0081036A">
      <w:pPr>
        <w:spacing w:after="80" w:line="360" w:lineRule="auto"/>
      </w:pPr>
      <w:r>
        <w:rPr>
          <w:b/>
          <w:bCs/>
        </w:rPr>
        <w:t>Student ID:</w:t>
      </w:r>
      <w:r>
        <w:t xml:space="preserve"> 2524666</w:t>
      </w:r>
    </w:p>
    <w:p w14:paraId="3C953648" w14:textId="77777777" w:rsidR="0081036A" w:rsidRDefault="0081036A" w:rsidP="0081036A">
      <w:pPr>
        <w:spacing w:after="120" w:line="360" w:lineRule="auto"/>
        <w:jc w:val="left"/>
      </w:pPr>
      <w:r>
        <w:rPr>
          <w:b/>
          <w:bCs/>
        </w:rPr>
        <w:t>Date:</w:t>
      </w:r>
      <w:r>
        <w:t xml:space="preserve"> 26/02/2026</w:t>
      </w:r>
    </w:p>
    <w:p w14:paraId="43502E37" w14:textId="77777777" w:rsidR="0081036A" w:rsidRDefault="0081036A">
      <w:pPr>
        <w:jc w:val="left"/>
      </w:pPr>
      <w:r>
        <w:br w:type="page"/>
      </w:r>
    </w:p>
    <w:sdt>
      <w:sdtPr>
        <w:rPr>
          <w:b w:val="0"/>
        </w:rPr>
        <w:id w:val="618185910"/>
        <w:docPartObj>
          <w:docPartGallery w:val="Table of Contents"/>
          <w:docPartUnique/>
        </w:docPartObj>
      </w:sdtPr>
      <w:sdtEndPr>
        <w:rPr>
          <w:bCs/>
          <w:noProof/>
        </w:rPr>
      </w:sdtEndPr>
      <w:sdtContent>
        <w:p w14:paraId="7609C773" w14:textId="77777777" w:rsidR="0081036A" w:rsidRDefault="0081036A" w:rsidP="0081036A">
          <w:pPr>
            <w:pStyle w:val="TOCHeading"/>
            <w:jc w:val="center"/>
          </w:pPr>
          <w:r>
            <w:t>Table of Contents</w:t>
          </w:r>
        </w:p>
        <w:p w14:paraId="592EB9D7" w14:textId="286C483B" w:rsidR="00F25181" w:rsidRDefault="0081036A">
          <w:pPr>
            <w:pStyle w:val="TOC1"/>
            <w:tabs>
              <w:tab w:val="right" w:leader="dot" w:pos="8630"/>
            </w:tabs>
            <w:rPr>
              <w:rFonts w:asciiTheme="minorHAnsi" w:eastAsiaTheme="minorEastAsia" w:hAnsiTheme="minorHAnsi"/>
              <w:noProof/>
            </w:rPr>
          </w:pPr>
          <w:r>
            <w:fldChar w:fldCharType="begin"/>
          </w:r>
          <w:r>
            <w:instrText xml:space="preserve"> TOC \o "1-3" \h \z \u </w:instrText>
          </w:r>
          <w:r>
            <w:fldChar w:fldCharType="separate"/>
          </w:r>
          <w:hyperlink w:anchor="_Toc225143520" w:history="1">
            <w:r w:rsidR="00F25181" w:rsidRPr="007B49F3">
              <w:rPr>
                <w:rStyle w:val="Hyperlink"/>
                <w:noProof/>
              </w:rPr>
              <w:t>1. Introduction</w:t>
            </w:r>
            <w:r w:rsidR="00F25181">
              <w:rPr>
                <w:noProof/>
                <w:webHidden/>
              </w:rPr>
              <w:tab/>
            </w:r>
            <w:r w:rsidR="00F25181">
              <w:rPr>
                <w:noProof/>
                <w:webHidden/>
              </w:rPr>
              <w:fldChar w:fldCharType="begin"/>
            </w:r>
            <w:r w:rsidR="00F25181">
              <w:rPr>
                <w:noProof/>
                <w:webHidden/>
              </w:rPr>
              <w:instrText xml:space="preserve"> PAGEREF _Toc225143520 \h </w:instrText>
            </w:r>
            <w:r w:rsidR="00F25181">
              <w:rPr>
                <w:noProof/>
                <w:webHidden/>
              </w:rPr>
            </w:r>
            <w:r w:rsidR="00F25181">
              <w:rPr>
                <w:noProof/>
                <w:webHidden/>
              </w:rPr>
              <w:fldChar w:fldCharType="separate"/>
            </w:r>
            <w:r w:rsidR="00F25181">
              <w:rPr>
                <w:noProof/>
                <w:webHidden/>
              </w:rPr>
              <w:t>3</w:t>
            </w:r>
            <w:r w:rsidR="00F25181">
              <w:rPr>
                <w:noProof/>
                <w:webHidden/>
              </w:rPr>
              <w:fldChar w:fldCharType="end"/>
            </w:r>
          </w:hyperlink>
        </w:p>
        <w:p w14:paraId="709C5EFE" w14:textId="27B7CDF8" w:rsidR="00F25181" w:rsidRDefault="009D2A6F">
          <w:pPr>
            <w:pStyle w:val="TOC1"/>
            <w:tabs>
              <w:tab w:val="right" w:leader="dot" w:pos="8630"/>
            </w:tabs>
            <w:rPr>
              <w:rFonts w:asciiTheme="minorHAnsi" w:eastAsiaTheme="minorEastAsia" w:hAnsiTheme="minorHAnsi"/>
              <w:noProof/>
            </w:rPr>
          </w:pPr>
          <w:hyperlink w:anchor="_Toc225143521" w:history="1">
            <w:r w:rsidR="00F25181" w:rsidRPr="007B49F3">
              <w:rPr>
                <w:rStyle w:val="Hyperlink"/>
                <w:noProof/>
              </w:rPr>
              <w:t>2. Main Body and Analysis</w:t>
            </w:r>
            <w:r w:rsidR="00F25181">
              <w:rPr>
                <w:noProof/>
                <w:webHidden/>
              </w:rPr>
              <w:tab/>
            </w:r>
            <w:r w:rsidR="00F25181">
              <w:rPr>
                <w:noProof/>
                <w:webHidden/>
              </w:rPr>
              <w:fldChar w:fldCharType="begin"/>
            </w:r>
            <w:r w:rsidR="00F25181">
              <w:rPr>
                <w:noProof/>
                <w:webHidden/>
              </w:rPr>
              <w:instrText xml:space="preserve"> PAGEREF _Toc225143521 \h </w:instrText>
            </w:r>
            <w:r w:rsidR="00F25181">
              <w:rPr>
                <w:noProof/>
                <w:webHidden/>
              </w:rPr>
            </w:r>
            <w:r w:rsidR="00F25181">
              <w:rPr>
                <w:noProof/>
                <w:webHidden/>
              </w:rPr>
              <w:fldChar w:fldCharType="separate"/>
            </w:r>
            <w:r w:rsidR="00F25181">
              <w:rPr>
                <w:noProof/>
                <w:webHidden/>
              </w:rPr>
              <w:t>4</w:t>
            </w:r>
            <w:r w:rsidR="00F25181">
              <w:rPr>
                <w:noProof/>
                <w:webHidden/>
              </w:rPr>
              <w:fldChar w:fldCharType="end"/>
            </w:r>
          </w:hyperlink>
        </w:p>
        <w:p w14:paraId="39F53A13" w14:textId="06347E10" w:rsidR="00F25181" w:rsidRDefault="009D2A6F">
          <w:pPr>
            <w:pStyle w:val="TOC2"/>
            <w:tabs>
              <w:tab w:val="right" w:leader="dot" w:pos="8630"/>
            </w:tabs>
            <w:rPr>
              <w:rFonts w:asciiTheme="minorHAnsi" w:eastAsiaTheme="minorEastAsia" w:hAnsiTheme="minorHAnsi"/>
              <w:noProof/>
            </w:rPr>
          </w:pPr>
          <w:hyperlink w:anchor="_Toc225143522" w:history="1">
            <w:r w:rsidR="00F25181" w:rsidRPr="007B49F3">
              <w:rPr>
                <w:rStyle w:val="Hyperlink"/>
                <w:noProof/>
              </w:rPr>
              <w:t>2a. Systems Thinking, Rich Picture</w:t>
            </w:r>
            <w:r w:rsidR="00F25181">
              <w:rPr>
                <w:noProof/>
                <w:webHidden/>
              </w:rPr>
              <w:tab/>
            </w:r>
            <w:r w:rsidR="00F25181">
              <w:rPr>
                <w:noProof/>
                <w:webHidden/>
              </w:rPr>
              <w:fldChar w:fldCharType="begin"/>
            </w:r>
            <w:r w:rsidR="00F25181">
              <w:rPr>
                <w:noProof/>
                <w:webHidden/>
              </w:rPr>
              <w:instrText xml:space="preserve"> PAGEREF _Toc225143522 \h </w:instrText>
            </w:r>
            <w:r w:rsidR="00F25181">
              <w:rPr>
                <w:noProof/>
                <w:webHidden/>
              </w:rPr>
            </w:r>
            <w:r w:rsidR="00F25181">
              <w:rPr>
                <w:noProof/>
                <w:webHidden/>
              </w:rPr>
              <w:fldChar w:fldCharType="separate"/>
            </w:r>
            <w:r w:rsidR="00F25181">
              <w:rPr>
                <w:noProof/>
                <w:webHidden/>
              </w:rPr>
              <w:t>4</w:t>
            </w:r>
            <w:r w:rsidR="00F25181">
              <w:rPr>
                <w:noProof/>
                <w:webHidden/>
              </w:rPr>
              <w:fldChar w:fldCharType="end"/>
            </w:r>
          </w:hyperlink>
        </w:p>
        <w:p w14:paraId="0FC1B1DD" w14:textId="2B78ED75" w:rsidR="00F25181" w:rsidRDefault="009D2A6F">
          <w:pPr>
            <w:pStyle w:val="TOC2"/>
            <w:tabs>
              <w:tab w:val="right" w:leader="dot" w:pos="8630"/>
            </w:tabs>
            <w:rPr>
              <w:rFonts w:asciiTheme="minorHAnsi" w:eastAsiaTheme="minorEastAsia" w:hAnsiTheme="minorHAnsi"/>
              <w:noProof/>
            </w:rPr>
          </w:pPr>
          <w:hyperlink w:anchor="_Toc225143523" w:history="1">
            <w:r w:rsidR="00F25181" w:rsidRPr="007B49F3">
              <w:rPr>
                <w:rStyle w:val="Hyperlink"/>
                <w:noProof/>
              </w:rPr>
              <w:t>2b. Centralisation vs Decentralisation</w:t>
            </w:r>
            <w:r w:rsidR="00F25181">
              <w:rPr>
                <w:noProof/>
                <w:webHidden/>
              </w:rPr>
              <w:tab/>
            </w:r>
            <w:r w:rsidR="00F25181">
              <w:rPr>
                <w:noProof/>
                <w:webHidden/>
              </w:rPr>
              <w:fldChar w:fldCharType="begin"/>
            </w:r>
            <w:r w:rsidR="00F25181">
              <w:rPr>
                <w:noProof/>
                <w:webHidden/>
              </w:rPr>
              <w:instrText xml:space="preserve"> PAGEREF _Toc225143523 \h </w:instrText>
            </w:r>
            <w:r w:rsidR="00F25181">
              <w:rPr>
                <w:noProof/>
                <w:webHidden/>
              </w:rPr>
            </w:r>
            <w:r w:rsidR="00F25181">
              <w:rPr>
                <w:noProof/>
                <w:webHidden/>
              </w:rPr>
              <w:fldChar w:fldCharType="separate"/>
            </w:r>
            <w:r w:rsidR="00F25181">
              <w:rPr>
                <w:noProof/>
                <w:webHidden/>
              </w:rPr>
              <w:t>8</w:t>
            </w:r>
            <w:r w:rsidR="00F25181">
              <w:rPr>
                <w:noProof/>
                <w:webHidden/>
              </w:rPr>
              <w:fldChar w:fldCharType="end"/>
            </w:r>
          </w:hyperlink>
        </w:p>
        <w:p w14:paraId="14D11F4A" w14:textId="31FE6151" w:rsidR="00F25181" w:rsidRDefault="009D2A6F">
          <w:pPr>
            <w:pStyle w:val="TOC2"/>
            <w:tabs>
              <w:tab w:val="right" w:leader="dot" w:pos="8630"/>
            </w:tabs>
            <w:rPr>
              <w:rFonts w:asciiTheme="minorHAnsi" w:eastAsiaTheme="minorEastAsia" w:hAnsiTheme="minorHAnsi"/>
              <w:noProof/>
            </w:rPr>
          </w:pPr>
          <w:hyperlink w:anchor="_Toc225143524" w:history="1">
            <w:r w:rsidR="00F25181" w:rsidRPr="007B49F3">
              <w:rPr>
                <w:rStyle w:val="Hyperlink"/>
                <w:noProof/>
              </w:rPr>
              <w:t>2c. Leadership Theories: Application and Critical Analysis</w:t>
            </w:r>
            <w:r w:rsidR="00F25181">
              <w:rPr>
                <w:noProof/>
                <w:webHidden/>
              </w:rPr>
              <w:tab/>
            </w:r>
            <w:r w:rsidR="00F25181">
              <w:rPr>
                <w:noProof/>
                <w:webHidden/>
              </w:rPr>
              <w:fldChar w:fldCharType="begin"/>
            </w:r>
            <w:r w:rsidR="00F25181">
              <w:rPr>
                <w:noProof/>
                <w:webHidden/>
              </w:rPr>
              <w:instrText xml:space="preserve"> PAGEREF _Toc225143524 \h </w:instrText>
            </w:r>
            <w:r w:rsidR="00F25181">
              <w:rPr>
                <w:noProof/>
                <w:webHidden/>
              </w:rPr>
            </w:r>
            <w:r w:rsidR="00F25181">
              <w:rPr>
                <w:noProof/>
                <w:webHidden/>
              </w:rPr>
              <w:fldChar w:fldCharType="separate"/>
            </w:r>
            <w:r w:rsidR="00F25181">
              <w:rPr>
                <w:noProof/>
                <w:webHidden/>
              </w:rPr>
              <w:t>11</w:t>
            </w:r>
            <w:r w:rsidR="00F25181">
              <w:rPr>
                <w:noProof/>
                <w:webHidden/>
              </w:rPr>
              <w:fldChar w:fldCharType="end"/>
            </w:r>
          </w:hyperlink>
        </w:p>
        <w:p w14:paraId="35AA0F9B" w14:textId="5F39D6C2" w:rsidR="00F25181" w:rsidRDefault="009D2A6F">
          <w:pPr>
            <w:pStyle w:val="TOC2"/>
            <w:tabs>
              <w:tab w:val="right" w:leader="dot" w:pos="8630"/>
            </w:tabs>
            <w:rPr>
              <w:rFonts w:asciiTheme="minorHAnsi" w:eastAsiaTheme="minorEastAsia" w:hAnsiTheme="minorHAnsi"/>
              <w:noProof/>
            </w:rPr>
          </w:pPr>
          <w:hyperlink w:anchor="_Toc225143525" w:history="1">
            <w:r w:rsidR="00F25181" w:rsidRPr="007B49F3">
              <w:rPr>
                <w:rStyle w:val="Hyperlink"/>
                <w:noProof/>
              </w:rPr>
              <w:t>2d. Critique, Improvements and Lessons Learned</w:t>
            </w:r>
            <w:r w:rsidR="00F25181">
              <w:rPr>
                <w:noProof/>
                <w:webHidden/>
              </w:rPr>
              <w:tab/>
            </w:r>
            <w:r w:rsidR="00F25181">
              <w:rPr>
                <w:noProof/>
                <w:webHidden/>
              </w:rPr>
              <w:fldChar w:fldCharType="begin"/>
            </w:r>
            <w:r w:rsidR="00F25181">
              <w:rPr>
                <w:noProof/>
                <w:webHidden/>
              </w:rPr>
              <w:instrText xml:space="preserve"> PAGEREF _Toc225143525 \h </w:instrText>
            </w:r>
            <w:r w:rsidR="00F25181">
              <w:rPr>
                <w:noProof/>
                <w:webHidden/>
              </w:rPr>
            </w:r>
            <w:r w:rsidR="00F25181">
              <w:rPr>
                <w:noProof/>
                <w:webHidden/>
              </w:rPr>
              <w:fldChar w:fldCharType="separate"/>
            </w:r>
            <w:r w:rsidR="00F25181">
              <w:rPr>
                <w:noProof/>
                <w:webHidden/>
              </w:rPr>
              <w:t>13</w:t>
            </w:r>
            <w:r w:rsidR="00F25181">
              <w:rPr>
                <w:noProof/>
                <w:webHidden/>
              </w:rPr>
              <w:fldChar w:fldCharType="end"/>
            </w:r>
          </w:hyperlink>
        </w:p>
        <w:p w14:paraId="58259036" w14:textId="0B38500C" w:rsidR="00F25181" w:rsidRDefault="009D2A6F">
          <w:pPr>
            <w:pStyle w:val="TOC1"/>
            <w:tabs>
              <w:tab w:val="right" w:leader="dot" w:pos="8630"/>
            </w:tabs>
            <w:rPr>
              <w:rFonts w:asciiTheme="minorHAnsi" w:eastAsiaTheme="minorEastAsia" w:hAnsiTheme="minorHAnsi"/>
              <w:noProof/>
            </w:rPr>
          </w:pPr>
          <w:hyperlink w:anchor="_Toc225143526" w:history="1">
            <w:r w:rsidR="00F25181" w:rsidRPr="007B49F3">
              <w:rPr>
                <w:rStyle w:val="Hyperlink"/>
                <w:noProof/>
              </w:rPr>
              <w:t>3. Recommendations</w:t>
            </w:r>
            <w:r w:rsidR="00F25181">
              <w:rPr>
                <w:noProof/>
                <w:webHidden/>
              </w:rPr>
              <w:tab/>
            </w:r>
            <w:r w:rsidR="00F25181">
              <w:rPr>
                <w:noProof/>
                <w:webHidden/>
              </w:rPr>
              <w:fldChar w:fldCharType="begin"/>
            </w:r>
            <w:r w:rsidR="00F25181">
              <w:rPr>
                <w:noProof/>
                <w:webHidden/>
              </w:rPr>
              <w:instrText xml:space="preserve"> PAGEREF _Toc225143526 \h </w:instrText>
            </w:r>
            <w:r w:rsidR="00F25181">
              <w:rPr>
                <w:noProof/>
                <w:webHidden/>
              </w:rPr>
            </w:r>
            <w:r w:rsidR="00F25181">
              <w:rPr>
                <w:noProof/>
                <w:webHidden/>
              </w:rPr>
              <w:fldChar w:fldCharType="separate"/>
            </w:r>
            <w:r w:rsidR="00F25181">
              <w:rPr>
                <w:noProof/>
                <w:webHidden/>
              </w:rPr>
              <w:t>16</w:t>
            </w:r>
            <w:r w:rsidR="00F25181">
              <w:rPr>
                <w:noProof/>
                <w:webHidden/>
              </w:rPr>
              <w:fldChar w:fldCharType="end"/>
            </w:r>
          </w:hyperlink>
        </w:p>
        <w:p w14:paraId="341A5ED4" w14:textId="50B1BDFB" w:rsidR="00F25181" w:rsidRDefault="009D2A6F">
          <w:pPr>
            <w:pStyle w:val="TOC1"/>
            <w:tabs>
              <w:tab w:val="right" w:leader="dot" w:pos="8630"/>
            </w:tabs>
            <w:rPr>
              <w:rFonts w:asciiTheme="minorHAnsi" w:eastAsiaTheme="minorEastAsia" w:hAnsiTheme="minorHAnsi"/>
              <w:noProof/>
            </w:rPr>
          </w:pPr>
          <w:hyperlink w:anchor="_Toc225143527" w:history="1">
            <w:r w:rsidR="00F25181" w:rsidRPr="007B49F3">
              <w:rPr>
                <w:rStyle w:val="Hyperlink"/>
                <w:noProof/>
              </w:rPr>
              <w:t>4. Conclusion</w:t>
            </w:r>
            <w:r w:rsidR="00F25181">
              <w:rPr>
                <w:noProof/>
                <w:webHidden/>
              </w:rPr>
              <w:tab/>
            </w:r>
            <w:r w:rsidR="00F25181">
              <w:rPr>
                <w:noProof/>
                <w:webHidden/>
              </w:rPr>
              <w:fldChar w:fldCharType="begin"/>
            </w:r>
            <w:r w:rsidR="00F25181">
              <w:rPr>
                <w:noProof/>
                <w:webHidden/>
              </w:rPr>
              <w:instrText xml:space="preserve"> PAGEREF _Toc225143527 \h </w:instrText>
            </w:r>
            <w:r w:rsidR="00F25181">
              <w:rPr>
                <w:noProof/>
                <w:webHidden/>
              </w:rPr>
            </w:r>
            <w:r w:rsidR="00F25181">
              <w:rPr>
                <w:noProof/>
                <w:webHidden/>
              </w:rPr>
              <w:fldChar w:fldCharType="separate"/>
            </w:r>
            <w:r w:rsidR="00F25181">
              <w:rPr>
                <w:noProof/>
                <w:webHidden/>
              </w:rPr>
              <w:t>18</w:t>
            </w:r>
            <w:r w:rsidR="00F25181">
              <w:rPr>
                <w:noProof/>
                <w:webHidden/>
              </w:rPr>
              <w:fldChar w:fldCharType="end"/>
            </w:r>
          </w:hyperlink>
        </w:p>
        <w:p w14:paraId="72B4C47A" w14:textId="64870A76" w:rsidR="00F25181" w:rsidRDefault="009D2A6F">
          <w:pPr>
            <w:pStyle w:val="TOC1"/>
            <w:tabs>
              <w:tab w:val="right" w:leader="dot" w:pos="8630"/>
            </w:tabs>
            <w:rPr>
              <w:rFonts w:asciiTheme="minorHAnsi" w:eastAsiaTheme="minorEastAsia" w:hAnsiTheme="minorHAnsi"/>
              <w:noProof/>
            </w:rPr>
          </w:pPr>
          <w:hyperlink w:anchor="_Toc225143528" w:history="1">
            <w:r w:rsidR="00F25181" w:rsidRPr="007B49F3">
              <w:rPr>
                <w:rStyle w:val="Hyperlink"/>
                <w:noProof/>
              </w:rPr>
              <w:t>References</w:t>
            </w:r>
            <w:r w:rsidR="00F25181">
              <w:rPr>
                <w:noProof/>
                <w:webHidden/>
              </w:rPr>
              <w:tab/>
            </w:r>
            <w:r w:rsidR="00F25181">
              <w:rPr>
                <w:noProof/>
                <w:webHidden/>
              </w:rPr>
              <w:fldChar w:fldCharType="begin"/>
            </w:r>
            <w:r w:rsidR="00F25181">
              <w:rPr>
                <w:noProof/>
                <w:webHidden/>
              </w:rPr>
              <w:instrText xml:space="preserve"> PAGEREF _Toc225143528 \h </w:instrText>
            </w:r>
            <w:r w:rsidR="00F25181">
              <w:rPr>
                <w:noProof/>
                <w:webHidden/>
              </w:rPr>
            </w:r>
            <w:r w:rsidR="00F25181">
              <w:rPr>
                <w:noProof/>
                <w:webHidden/>
              </w:rPr>
              <w:fldChar w:fldCharType="separate"/>
            </w:r>
            <w:r w:rsidR="00F25181">
              <w:rPr>
                <w:noProof/>
                <w:webHidden/>
              </w:rPr>
              <w:t>20</w:t>
            </w:r>
            <w:r w:rsidR="00F25181">
              <w:rPr>
                <w:noProof/>
                <w:webHidden/>
              </w:rPr>
              <w:fldChar w:fldCharType="end"/>
            </w:r>
          </w:hyperlink>
        </w:p>
        <w:p w14:paraId="5109F87B" w14:textId="1BE277E1" w:rsidR="0081036A" w:rsidRDefault="0081036A">
          <w:r>
            <w:rPr>
              <w:b/>
              <w:bCs/>
              <w:noProof/>
            </w:rPr>
            <w:fldChar w:fldCharType="end"/>
          </w:r>
        </w:p>
      </w:sdtContent>
    </w:sdt>
    <w:p w14:paraId="068E6911" w14:textId="77777777" w:rsidR="00DF134C" w:rsidRDefault="00DF134C" w:rsidP="0081036A">
      <w:pPr>
        <w:spacing w:after="120" w:line="360" w:lineRule="auto"/>
        <w:jc w:val="left"/>
      </w:pPr>
    </w:p>
    <w:p w14:paraId="2061779C" w14:textId="77777777" w:rsidR="00DF134C" w:rsidRDefault="009870AF">
      <w:pPr>
        <w:spacing w:after="120" w:line="360" w:lineRule="auto"/>
      </w:pPr>
      <w:r>
        <w:br w:type="page"/>
      </w:r>
    </w:p>
    <w:p w14:paraId="56366B9F" w14:textId="77777777" w:rsidR="00DF134C" w:rsidRDefault="009870AF" w:rsidP="000733FE">
      <w:pPr>
        <w:pStyle w:val="Heading1"/>
      </w:pPr>
      <w:bookmarkStart w:id="0" w:name="_Toc225143520"/>
      <w:r>
        <w:lastRenderedPageBreak/>
        <w:t>1. Introduction</w:t>
      </w:r>
      <w:bookmarkEnd w:id="0"/>
    </w:p>
    <w:p w14:paraId="00CB8556" w14:textId="77777777" w:rsidR="0037343B" w:rsidRDefault="0037343B" w:rsidP="0037343B">
      <w:pPr>
        <w:spacing w:after="120" w:line="360" w:lineRule="auto"/>
      </w:pPr>
      <w:r>
        <w:t xml:space="preserve">Dementia is a progressive syndrome that entails impaired memory, thinking, </w:t>
      </w:r>
      <w:proofErr w:type="spellStart"/>
      <w:r>
        <w:t>behaviour</w:t>
      </w:r>
      <w:proofErr w:type="spellEnd"/>
      <w:r>
        <w:t xml:space="preserve">, and daily activities. It is also an important leadership and management concern because long-term dementia care is delivered across clinical services, social care </w:t>
      </w:r>
      <w:proofErr w:type="spellStart"/>
      <w:r>
        <w:t>organisations</w:t>
      </w:r>
      <w:proofErr w:type="spellEnd"/>
      <w:r>
        <w:t xml:space="preserve">, communities and households rather than by one service alone. The World Health Organization reported that 57 million people were living with dementia in 2021 and that there are nearly 10 million new cases each year, while </w:t>
      </w:r>
      <w:proofErr w:type="spellStart"/>
      <w:r>
        <w:t>Wimo</w:t>
      </w:r>
      <w:proofErr w:type="spellEnd"/>
      <w:r>
        <w:t xml:space="preserve"> et al. (2023) estimated global dementia costs at US$1,313.4 billion in 2019, of which US$651.4 billion, or 50%, came from informal care. When support systems are absent or poorly coordinated, caregiver stress rises, health declines and avoidable crises place further pressure on services (Lazarus and Folkman, 1984; World Health Organization, 2017; </w:t>
      </w:r>
      <w:proofErr w:type="spellStart"/>
      <w:r>
        <w:t>Brodaty</w:t>
      </w:r>
      <w:proofErr w:type="spellEnd"/>
      <w:r>
        <w:t xml:space="preserve"> and Donkin, 2009; </w:t>
      </w:r>
      <w:proofErr w:type="spellStart"/>
      <w:r>
        <w:t>Wimo</w:t>
      </w:r>
      <w:proofErr w:type="spellEnd"/>
      <w:r>
        <w:t xml:space="preserve"> et al., 2023).</w:t>
      </w:r>
    </w:p>
    <w:p w14:paraId="1AC6EE2A" w14:textId="77777777" w:rsidR="0037343B" w:rsidRDefault="0037343B" w:rsidP="0037343B">
      <w:pPr>
        <w:spacing w:after="120" w:line="360" w:lineRule="auto"/>
      </w:pPr>
      <w:r>
        <w:t xml:space="preserve">The report is a case study analysis using data from a specialist outpatient dementia clinic in southern Taiwan (Liu et al., 2020). In that case, caregiver stress increased with </w:t>
      </w:r>
      <w:proofErr w:type="spellStart"/>
      <w:r>
        <w:t>behavioural</w:t>
      </w:r>
      <w:proofErr w:type="spellEnd"/>
      <w:r>
        <w:t xml:space="preserve"> severity (r = 0.319, p &lt; 0.01) and </w:t>
      </w:r>
      <w:proofErr w:type="spellStart"/>
      <w:r>
        <w:t>behavioural</w:t>
      </w:r>
      <w:proofErr w:type="spellEnd"/>
      <w:r>
        <w:t xml:space="preserve"> frequency (r = 0.317, p &lt; 0.01), while needs in the social care system were negatively associated with stress (r = -0.118, p &lt; 0.05) (Liu et al., 2020). The wider point is not only that symptoms matter. Leadership and management decisions about service design, coordination, accountability and governance can either strengthen or weaken the system's ability to buffer that stress along the care pathway.</w:t>
      </w:r>
    </w:p>
    <w:p w14:paraId="5CAB8465" w14:textId="77777777" w:rsidR="0037343B" w:rsidRDefault="0037343B" w:rsidP="0037343B">
      <w:pPr>
        <w:spacing w:after="120" w:line="360" w:lineRule="auto"/>
      </w:pPr>
      <w:r>
        <w:t xml:space="preserve">Leadership concepts play a key role in this analysis as leadership determines priorities, communication, coordination, decision-making, and responsiveness of services to alterations in needs. The report also looks at </w:t>
      </w:r>
      <w:proofErr w:type="spellStart"/>
      <w:r>
        <w:t>centralisation</w:t>
      </w:r>
      <w:proofErr w:type="spellEnd"/>
      <w:r>
        <w:t xml:space="preserve"> and </w:t>
      </w:r>
      <w:proofErr w:type="spellStart"/>
      <w:r>
        <w:t>decentralisation</w:t>
      </w:r>
      <w:proofErr w:type="spellEnd"/>
      <w:r>
        <w:t xml:space="preserve"> in the provision of dementia care. </w:t>
      </w:r>
      <w:proofErr w:type="spellStart"/>
      <w:r>
        <w:t>Centralisation</w:t>
      </w:r>
      <w:proofErr w:type="spellEnd"/>
      <w:r>
        <w:t xml:space="preserve"> is the term used when decision-making, control, and standard-setting are concentrated at the higher levels of the system and could help to maintain consistency, oversight, and accountability. </w:t>
      </w:r>
      <w:proofErr w:type="spellStart"/>
      <w:r>
        <w:t>Decentralisation</w:t>
      </w:r>
      <w:proofErr w:type="spellEnd"/>
      <w:r>
        <w:t xml:space="preserve"> is where responsibility and action are dispersed nearer to frontline professionals, local services, communities and families, possibly increasing responsiveness, flexibility and adaptation to individual needs. In dementia care, neither of the approaches is sufficient on its own. Excessive </w:t>
      </w:r>
      <w:proofErr w:type="spellStart"/>
      <w:r>
        <w:t>centralisation</w:t>
      </w:r>
      <w:proofErr w:type="spellEnd"/>
      <w:r>
        <w:t xml:space="preserve"> may result in rigid pathways and slow </w:t>
      </w:r>
      <w:proofErr w:type="spellStart"/>
      <w:r>
        <w:t>individualised</w:t>
      </w:r>
      <w:proofErr w:type="spellEnd"/>
      <w:r>
        <w:t xml:space="preserve"> attention, whereas excessive </w:t>
      </w:r>
      <w:proofErr w:type="spellStart"/>
      <w:r>
        <w:t>decentralisation</w:t>
      </w:r>
      <w:proofErr w:type="spellEnd"/>
      <w:r>
        <w:t xml:space="preserve"> may cause fragmentation of services, uneven support, and lack of responsibility.</w:t>
      </w:r>
    </w:p>
    <w:p w14:paraId="3B02F271" w14:textId="77777777" w:rsidR="00DF134C" w:rsidRDefault="0037343B" w:rsidP="0037343B">
      <w:pPr>
        <w:spacing w:after="120" w:line="360" w:lineRule="auto"/>
      </w:pPr>
      <w:r>
        <w:lastRenderedPageBreak/>
        <w:t xml:space="preserve">The report suggests a comprehensive caregiver support transformation </w:t>
      </w:r>
      <w:proofErr w:type="spellStart"/>
      <w:r>
        <w:t>programme</w:t>
      </w:r>
      <w:proofErr w:type="spellEnd"/>
      <w:r>
        <w:t xml:space="preserve"> that entails the </w:t>
      </w:r>
      <w:proofErr w:type="spellStart"/>
      <w:r>
        <w:t>organisation</w:t>
      </w:r>
      <w:proofErr w:type="spellEnd"/>
      <w:r>
        <w:t xml:space="preserve"> and the network of partners. Systems thinking is applied in the main body in order to describe the broader system and feedback loops that determine the results. It illustrates the complexity of the problem with the help of a Rich Picture. The report then critically evaluates </w:t>
      </w:r>
      <w:proofErr w:type="spellStart"/>
      <w:r>
        <w:t>centralisation</w:t>
      </w:r>
      <w:proofErr w:type="spellEnd"/>
      <w:r>
        <w:t xml:space="preserve"> and </w:t>
      </w:r>
      <w:proofErr w:type="spellStart"/>
      <w:r>
        <w:t>decentralisation</w:t>
      </w:r>
      <w:proofErr w:type="spellEnd"/>
      <w:r>
        <w:t xml:space="preserve">, uses leadership theories in the discussion, and examines the role of leadership and system failures in the development of caregiver stress with national and international evidence. It then gives recommendations in the area of leadership and system improvement after which it gives the conclusions of the essential findings and leadership lessons. There are numerous dementia pathways that are more effective in diagnosis than in continuous community assistance. On the whole, the report discusses leadership and management as key leverage points for sustainable improvement and relates theory to action, system redesign, and accountability (Boamah et al., 2018; </w:t>
      </w:r>
      <w:proofErr w:type="spellStart"/>
      <w:r>
        <w:t>Checkland</w:t>
      </w:r>
      <w:proofErr w:type="spellEnd"/>
      <w:r>
        <w:t>, 2000; Senge, 1990).</w:t>
      </w:r>
    </w:p>
    <w:p w14:paraId="7B1BAFD1" w14:textId="77777777" w:rsidR="00DF134C" w:rsidRDefault="009870AF" w:rsidP="000733FE">
      <w:pPr>
        <w:pStyle w:val="Heading1"/>
      </w:pPr>
      <w:bookmarkStart w:id="1" w:name="_Toc225143521"/>
      <w:r>
        <w:t>2. Main Body and Analysis</w:t>
      </w:r>
      <w:bookmarkEnd w:id="1"/>
    </w:p>
    <w:p w14:paraId="7034CBCD" w14:textId="77777777" w:rsidR="00DF134C" w:rsidRDefault="002776E6">
      <w:pPr>
        <w:spacing w:after="120" w:line="360" w:lineRule="auto"/>
      </w:pPr>
      <w:r>
        <w:t xml:space="preserve">The case shows a measurable relationship between dementia related </w:t>
      </w:r>
      <w:proofErr w:type="spellStart"/>
      <w:r>
        <w:t>behavioural</w:t>
      </w:r>
      <w:proofErr w:type="spellEnd"/>
      <w:r>
        <w:t xml:space="preserve"> symptoms, caregiver stress and the availability of support. The analysis therefore treats caregiver stress as a performance outcome that leaders can influence through pathway design, service integration, delegated authority and </w:t>
      </w:r>
      <w:proofErr w:type="spellStart"/>
      <w:r>
        <w:t>organisational</w:t>
      </w:r>
      <w:proofErr w:type="spellEnd"/>
      <w:r>
        <w:t xml:space="preserve"> culture. The discussion moves from system diagnosis to </w:t>
      </w:r>
      <w:proofErr w:type="spellStart"/>
      <w:r>
        <w:t>organisational</w:t>
      </w:r>
      <w:proofErr w:type="spellEnd"/>
      <w:r>
        <w:t xml:space="preserve"> design, then to leadership theory, and finally to improvement actions and learning. The focus throughout is on leadership and management decisions that reduce risk, improve coordination and build sustainable </w:t>
      </w:r>
      <w:proofErr w:type="gramStart"/>
      <w:r>
        <w:t>community based</w:t>
      </w:r>
      <w:proofErr w:type="gramEnd"/>
      <w:r>
        <w:t xml:space="preserve"> dementia care for patients, </w:t>
      </w:r>
      <w:proofErr w:type="spellStart"/>
      <w:r>
        <w:t>carers</w:t>
      </w:r>
      <w:proofErr w:type="spellEnd"/>
      <w:r>
        <w:t xml:space="preserve"> and services (</w:t>
      </w:r>
      <w:proofErr w:type="spellStart"/>
      <w:r>
        <w:t>Leutz</w:t>
      </w:r>
      <w:proofErr w:type="spellEnd"/>
      <w:r>
        <w:t>, 1999).</w:t>
      </w:r>
    </w:p>
    <w:p w14:paraId="347B6073" w14:textId="77777777" w:rsidR="00DF134C" w:rsidRDefault="009870AF" w:rsidP="0081036A">
      <w:pPr>
        <w:pStyle w:val="Heading2"/>
      </w:pPr>
      <w:bookmarkStart w:id="2" w:name="_Toc225143522"/>
      <w:r>
        <w:t>2a. Systems Thinking, Rich Picture</w:t>
      </w:r>
      <w:bookmarkEnd w:id="2"/>
    </w:p>
    <w:p w14:paraId="7C2FE1AF" w14:textId="77777777" w:rsidR="00DF134C" w:rsidRPr="000733FE" w:rsidRDefault="009870AF">
      <w:pPr>
        <w:spacing w:after="120" w:line="360" w:lineRule="auto"/>
        <w:rPr>
          <w:b/>
          <w:bCs/>
        </w:rPr>
      </w:pPr>
      <w:r w:rsidRPr="000733FE">
        <w:rPr>
          <w:b/>
          <w:bCs/>
        </w:rPr>
        <w:t>Problem definition and case evidence</w:t>
      </w:r>
    </w:p>
    <w:p w14:paraId="53F1E278" w14:textId="77777777" w:rsidR="00DF134C" w:rsidRDefault="002776E6">
      <w:pPr>
        <w:spacing w:after="120" w:line="360" w:lineRule="auto"/>
      </w:pPr>
      <w:r>
        <w:t xml:space="preserve">The main issue in the case is the </w:t>
      </w:r>
      <w:proofErr w:type="spellStart"/>
      <w:r>
        <w:t>build up</w:t>
      </w:r>
      <w:proofErr w:type="spellEnd"/>
      <w:r>
        <w:t xml:space="preserve"> of caregiver stress when </w:t>
      </w:r>
      <w:proofErr w:type="spellStart"/>
      <w:r>
        <w:t>behavioural</w:t>
      </w:r>
      <w:proofErr w:type="spellEnd"/>
      <w:r>
        <w:t xml:space="preserve"> symptoms in dementia are not matched by timely, coordinated and adequately intensive support. Liu et al. (2020) </w:t>
      </w:r>
      <w:proofErr w:type="spellStart"/>
      <w:r>
        <w:t>analysed</w:t>
      </w:r>
      <w:proofErr w:type="spellEnd"/>
      <w:r>
        <w:t xml:space="preserve"> 279 patient-caregiver pairs from a specialist outpatient dementia clinic in southern Taiwan. In that sample, caregiver stress was positively correlated with severity of patient </w:t>
      </w:r>
      <w:proofErr w:type="spellStart"/>
      <w:r>
        <w:t>behaviours</w:t>
      </w:r>
      <w:proofErr w:type="spellEnd"/>
      <w:r>
        <w:t xml:space="preserve"> (r = 0.319, p &lt; 0.01) and frequency of patient </w:t>
      </w:r>
      <w:proofErr w:type="spellStart"/>
      <w:r>
        <w:t>behaviours</w:t>
      </w:r>
      <w:proofErr w:type="spellEnd"/>
      <w:r>
        <w:t xml:space="preserve"> (r = 0.317, p &lt; 0.01), while needs in the social care system showed a weaker but still negative association with caregiver stress (r = -0.118, p &lt; 0.05). The average caregiver stress score was 1.28, but the highest domain score was social life stress at 2.26 (SD = </w:t>
      </w:r>
      <w:r>
        <w:lastRenderedPageBreak/>
        <w:t>1.510), which shows that caregiving pressure is affecting normal routines, participation and relationships, not only emotional strain (Liu et al., 2020; Wilks and Croom, 2008).</w:t>
      </w:r>
    </w:p>
    <w:p w14:paraId="018A0504" w14:textId="77777777" w:rsidR="00E712EF" w:rsidRDefault="00E712EF">
      <w:pPr>
        <w:spacing w:after="120" w:line="360" w:lineRule="auto"/>
      </w:pPr>
      <w:r w:rsidRPr="00E712EF">
        <w:t>The broader framework of dementia care also reveals that the issue of caregiver burden is not a family issue only, but also a system issue accessing health services, social care, and unpaid care.</w:t>
      </w:r>
    </w:p>
    <w:p w14:paraId="26EF21C1" w14:textId="77777777" w:rsidR="00E712EF" w:rsidRDefault="00E712EF" w:rsidP="00E712EF">
      <w:pPr>
        <w:keepNext/>
        <w:spacing w:after="120" w:line="360" w:lineRule="auto"/>
      </w:pPr>
      <w:r w:rsidRPr="00E712EF">
        <w:rPr>
          <w:noProof/>
        </w:rPr>
        <w:drawing>
          <wp:inline distT="0" distB="0" distL="0" distR="0" wp14:anchorId="32BD4F30" wp14:editId="2393BB95">
            <wp:extent cx="5486400" cy="2880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clrChange>
                        <a:clrFrom>
                          <a:srgbClr val="FFFFFF"/>
                        </a:clrFrom>
                        <a:clrTo>
                          <a:srgbClr val="FFFFFF">
                            <a:alpha val="0"/>
                          </a:srgbClr>
                        </a:clrTo>
                      </a:clrChange>
                    </a:blip>
                    <a:stretch>
                      <a:fillRect/>
                    </a:stretch>
                  </pic:blipFill>
                  <pic:spPr>
                    <a:xfrm>
                      <a:off x="0" y="0"/>
                      <a:ext cx="5486400" cy="2880360"/>
                    </a:xfrm>
                    <a:prstGeom prst="rect">
                      <a:avLst/>
                    </a:prstGeom>
                  </pic:spPr>
                </pic:pic>
              </a:graphicData>
            </a:graphic>
          </wp:inline>
        </w:drawing>
      </w:r>
    </w:p>
    <w:p w14:paraId="3EEE9E8A" w14:textId="77777777" w:rsidR="00E712EF" w:rsidRDefault="00E712EF" w:rsidP="00E712EF">
      <w:r>
        <w:t xml:space="preserve">Figure </w:t>
      </w:r>
      <w:fldSimple w:instr=" SEQ Figure \* ARABIC ">
        <w:r>
          <w:rPr>
            <w:noProof/>
          </w:rPr>
          <w:t>1</w:t>
        </w:r>
      </w:fldSimple>
      <w:r>
        <w:t xml:space="preserve">: </w:t>
      </w:r>
      <w:r w:rsidRPr="00371BBF">
        <w:t>Breakdown of total costs of dementia care in the four countries of the UK, 2019. Source: Care Policy and Evaluation Centre (CPEC) models, reproduced in Alzheimer’s Society (2019).</w:t>
      </w:r>
    </w:p>
    <w:p w14:paraId="6344E6AA" w14:textId="77777777" w:rsidR="00DF134C" w:rsidRDefault="00E712EF">
      <w:pPr>
        <w:spacing w:after="120" w:line="360" w:lineRule="auto"/>
      </w:pPr>
      <w:r>
        <w:t xml:space="preserve">Figure 1 reinforces the systems argument because it shows that dementia care costs do not sit inside clinical services alone. In the UK analysis reproduced by Alzheimer’s Society (2019), unpaid and social care together dominate total costs, which supports the point that family and community capacity are not peripheral to dementia care but central to it. A system that measures clinic activity while under-supporting </w:t>
      </w:r>
      <w:proofErr w:type="spellStart"/>
      <w:r>
        <w:t>carers</w:t>
      </w:r>
      <w:proofErr w:type="spellEnd"/>
      <w:r>
        <w:t xml:space="preserve"> is therefore shifting work and risk outwards rather than solving the problem.</w:t>
      </w:r>
    </w:p>
    <w:p w14:paraId="6551F7B3" w14:textId="77777777" w:rsidR="00DF134C" w:rsidRPr="000733FE" w:rsidRDefault="009870AF">
      <w:pPr>
        <w:spacing w:after="120" w:line="360" w:lineRule="auto"/>
        <w:rPr>
          <w:b/>
          <w:bCs/>
        </w:rPr>
      </w:pPr>
      <w:r w:rsidRPr="000733FE">
        <w:rPr>
          <w:b/>
          <w:bCs/>
        </w:rPr>
        <w:t>Causal structure and feedback loops</w:t>
      </w:r>
    </w:p>
    <w:p w14:paraId="1498761B" w14:textId="77777777" w:rsidR="002776E6" w:rsidRDefault="002776E6" w:rsidP="002776E6">
      <w:pPr>
        <w:spacing w:after="120" w:line="360" w:lineRule="auto"/>
      </w:pPr>
      <w:r>
        <w:t xml:space="preserve">Feedback loops are one of the useful ways to interpret the results of the case. The former is a reinforcing feedback loop of symptom burden. The more the </w:t>
      </w:r>
      <w:proofErr w:type="spellStart"/>
      <w:r>
        <w:t>behavioural</w:t>
      </w:r>
      <w:proofErr w:type="spellEnd"/>
      <w:r>
        <w:t xml:space="preserve"> symptoms, the more time the caregivers need to supervise, calm and manage safety and sleep disturbances. The work overload and emotional burden decrease the ability to cope and patience. Caregivers can be more reactive and this can make patients feel more distress </w:t>
      </w:r>
      <w:r>
        <w:lastRenderedPageBreak/>
        <w:t xml:space="preserve">and develop further symptoms. This cycle is congruent with the positive relationship between symptom measures and stress in the instance (Liu et al., 2020; </w:t>
      </w:r>
      <w:proofErr w:type="spellStart"/>
      <w:r>
        <w:t>Pearlin</w:t>
      </w:r>
      <w:proofErr w:type="spellEnd"/>
      <w:r>
        <w:t xml:space="preserve"> et al., 1990).</w:t>
      </w:r>
    </w:p>
    <w:p w14:paraId="37F7A8C0" w14:textId="77777777" w:rsidR="002776E6" w:rsidRDefault="002776E6" w:rsidP="002776E6">
      <w:pPr>
        <w:spacing w:after="120" w:line="360" w:lineRule="auto"/>
      </w:pPr>
      <w:r>
        <w:t>The second loop is a buffering support loop. When caregivers receive practical advice, care assistance, respite and accompaniment, burden can be shared and capability can improve. The case regression analysis showed lower caregiver stress where someone assisted in caring for the patient (β = 0.279, p = 0.001) and where someone advised on methods of care (β = 0.220, p = 0.012). By contrast, stress was higher when no one could assist with errands or shopping (β = -0.253, p = 0.002) or accompany the caregiver or patient (β = -0.234, p = 0.005) (Liu et al., 2020). Delays, low awareness, difficult access or weak coordination can therefore weaken a support loop that is already modest.</w:t>
      </w:r>
    </w:p>
    <w:p w14:paraId="33119768" w14:textId="77777777" w:rsidR="00DF134C" w:rsidRDefault="002776E6" w:rsidP="002776E6">
      <w:pPr>
        <w:spacing w:after="120" w:line="360" w:lineRule="auto"/>
      </w:pPr>
      <w:r>
        <w:t>The third loop links governance to front-line experience. Workforce capacity and respite availability as well as the ease of navigation between services are determined as policy and commissioning decisions. In case of fragmentation of services, caregivers hold off seeking help until crisis. The increase in costs and pressure on the services posed by crisis further intensifies the situation, decreasing time on proactive support, reinforcing the symptom burden loop. The issue of leadership is important in this case since leaders determine what to measure and invest in. Caregiver stress as an outcome remains untracked, which makes it an invisible failure mode.</w:t>
      </w:r>
    </w:p>
    <w:p w14:paraId="44EA3976" w14:textId="77777777" w:rsidR="00DF134C" w:rsidRPr="000733FE" w:rsidRDefault="009870AF">
      <w:pPr>
        <w:spacing w:after="120" w:line="360" w:lineRule="auto"/>
        <w:rPr>
          <w:b/>
          <w:bCs/>
        </w:rPr>
      </w:pPr>
      <w:r w:rsidRPr="000733FE">
        <w:rPr>
          <w:b/>
          <w:bCs/>
        </w:rPr>
        <w:t>Rich Picture</w:t>
      </w:r>
    </w:p>
    <w:p w14:paraId="68AB450C" w14:textId="77777777" w:rsidR="00DF134C" w:rsidRDefault="002776E6">
      <w:pPr>
        <w:spacing w:after="120" w:line="360" w:lineRule="auto"/>
      </w:pPr>
      <w:r>
        <w:t>The caregiving system is represented in the Rich Picture in Figure 2. It brings together the person with dementia, the caregiver, the clinic, the home setting, community services and governance levers. It also reflects the emotional dimension, especially loss of social life, which was the highest stress domain in the case at 2.26 (Liu et al., 2020). In Soft Systems Methodology, a Rich Picture helps leaders capture competing views, informal workarounds and points where small coordination failures accumulate into major downstream effects.</w:t>
      </w:r>
    </w:p>
    <w:p w14:paraId="0D84CDC1" w14:textId="51F4C5AA" w:rsidR="00291FE1" w:rsidRDefault="00634C62" w:rsidP="00291FE1">
      <w:pPr>
        <w:keepNext/>
        <w:spacing w:after="120" w:line="360" w:lineRule="auto"/>
      </w:pPr>
      <w:r>
        <w:rPr>
          <w:noProof/>
        </w:rPr>
        <w:lastRenderedPageBreak/>
        <w:drawing>
          <wp:inline distT="0" distB="0" distL="0" distR="0" wp14:anchorId="7E2ECF45" wp14:editId="32D9F834">
            <wp:extent cx="5486400" cy="30626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062605"/>
                    </a:xfrm>
                    <a:prstGeom prst="rect">
                      <a:avLst/>
                    </a:prstGeom>
                    <a:noFill/>
                    <a:ln>
                      <a:noFill/>
                    </a:ln>
                  </pic:spPr>
                </pic:pic>
              </a:graphicData>
            </a:graphic>
          </wp:inline>
        </w:drawing>
      </w:r>
    </w:p>
    <w:p w14:paraId="3AD62A46" w14:textId="77777777" w:rsidR="00291FE1" w:rsidRDefault="00291FE1" w:rsidP="00291FE1">
      <w:pPr>
        <w:spacing w:after="120" w:line="360" w:lineRule="auto"/>
      </w:pPr>
      <w:r>
        <w:t>Figure 2: Rich Picture of the dementia caregiving stress system and leadership leverage points.</w:t>
      </w:r>
    </w:p>
    <w:p w14:paraId="45208C02" w14:textId="77777777" w:rsidR="00DF134C" w:rsidRPr="000733FE" w:rsidRDefault="009870AF">
      <w:pPr>
        <w:spacing w:after="120" w:line="360" w:lineRule="auto"/>
        <w:rPr>
          <w:b/>
          <w:bCs/>
        </w:rPr>
      </w:pPr>
      <w:r w:rsidRPr="000733FE">
        <w:rPr>
          <w:b/>
          <w:bCs/>
        </w:rPr>
        <w:t>Root causes from a system view</w:t>
      </w:r>
    </w:p>
    <w:p w14:paraId="0CA7F4A2" w14:textId="77777777" w:rsidR="002776E6" w:rsidRDefault="002776E6" w:rsidP="002776E6">
      <w:pPr>
        <w:spacing w:after="120" w:line="360" w:lineRule="auto"/>
      </w:pPr>
      <w:r>
        <w:t xml:space="preserve">The case indicates that symptoms are a strong driver of stress, while the support buffer is present but weak. From a system perspective, this points to three managerial root causes. First, caregiver support appears to sit too close to the status of an optional add on rather than a compulsory pathway component, despite the fact that 75.3% of caregivers in the sample lived with the patient and 52.16% had already been providing care for more than 3 years (Liu et al., 2020). Second, ownership of caregiver outcomes is diffuse, so clinic assessment is not reliably converted into community support </w:t>
      </w:r>
      <w:proofErr w:type="spellStart"/>
      <w:r>
        <w:t>mobilisation</w:t>
      </w:r>
      <w:proofErr w:type="spellEnd"/>
      <w:r>
        <w:t>. Third, the system measures diagnosis and clinic activity more readily than caregiver strain, even though the social life stress domain recorded the highest mean score at 2.26. Leadership improvement should therefore strengthen the support loop by making help predictable, early and easy to activate, and by assigning explicit ownership of caregiver outcomes.</w:t>
      </w:r>
    </w:p>
    <w:p w14:paraId="22609E68" w14:textId="77777777" w:rsidR="00DF134C" w:rsidRDefault="002776E6" w:rsidP="002776E6">
      <w:pPr>
        <w:spacing w:after="120" w:line="360" w:lineRule="auto"/>
      </w:pPr>
      <w:r>
        <w:t xml:space="preserve">This interpretation is also consistent with Taiwan's policy direction. The 2018-2025 Dementia Plan 2.0 and Long-term Care Plan 2.0 </w:t>
      </w:r>
      <w:proofErr w:type="spellStart"/>
      <w:r>
        <w:t>emphasise</w:t>
      </w:r>
      <w:proofErr w:type="spellEnd"/>
      <w:r>
        <w:t xml:space="preserve"> caregiver support, community case management, referral pathways, helplines and integrated dementia services, which means a leadership response can be justified through both case data and policy, not only general principle (Executive Yuan, n.d.; Ministry of Health and Welfare, 2018; Hsiao et al., 2019).</w:t>
      </w:r>
    </w:p>
    <w:p w14:paraId="6FA9AE0E" w14:textId="77777777" w:rsidR="00DF134C" w:rsidRDefault="009870AF" w:rsidP="000733FE">
      <w:pPr>
        <w:pStyle w:val="Heading2"/>
      </w:pPr>
      <w:bookmarkStart w:id="3" w:name="_Toc225143523"/>
      <w:r>
        <w:lastRenderedPageBreak/>
        <w:t xml:space="preserve">2b. </w:t>
      </w:r>
      <w:proofErr w:type="spellStart"/>
      <w:r>
        <w:t>Centralisation</w:t>
      </w:r>
      <w:proofErr w:type="spellEnd"/>
      <w:r>
        <w:t xml:space="preserve"> vs </w:t>
      </w:r>
      <w:proofErr w:type="spellStart"/>
      <w:r>
        <w:t>Decentralisation</w:t>
      </w:r>
      <w:bookmarkEnd w:id="3"/>
      <w:proofErr w:type="spellEnd"/>
    </w:p>
    <w:p w14:paraId="5B874AB7" w14:textId="77777777" w:rsidR="00DF134C" w:rsidRPr="000733FE" w:rsidRDefault="009870AF">
      <w:pPr>
        <w:spacing w:after="120" w:line="360" w:lineRule="auto"/>
        <w:rPr>
          <w:b/>
          <w:bCs/>
        </w:rPr>
      </w:pPr>
      <w:r w:rsidRPr="000733FE">
        <w:rPr>
          <w:b/>
          <w:bCs/>
        </w:rPr>
        <w:t>Concepts and relevance</w:t>
      </w:r>
    </w:p>
    <w:p w14:paraId="704A4397" w14:textId="77777777" w:rsidR="00DF134C" w:rsidRDefault="00761147">
      <w:pPr>
        <w:spacing w:after="120" w:line="360" w:lineRule="auto"/>
      </w:pPr>
      <w:proofErr w:type="spellStart"/>
      <w:r>
        <w:t>Centralisation</w:t>
      </w:r>
      <w:proofErr w:type="spellEnd"/>
      <w:r>
        <w:t xml:space="preserve"> and </w:t>
      </w:r>
      <w:proofErr w:type="spellStart"/>
      <w:r>
        <w:t>decentralisation</w:t>
      </w:r>
      <w:proofErr w:type="spellEnd"/>
      <w:r>
        <w:t xml:space="preserve"> should be evaluated in policy terms, not only as abstract structures. In dementia care, </w:t>
      </w:r>
      <w:proofErr w:type="spellStart"/>
      <w:r>
        <w:t>centralisation</w:t>
      </w:r>
      <w:proofErr w:type="spellEnd"/>
      <w:r>
        <w:t xml:space="preserve"> concerns who defines entitlement, who funds the support package, who sets minimum service standards, who owns caregiver outcome data, and who </w:t>
      </w:r>
      <w:proofErr w:type="spellStart"/>
      <w:r>
        <w:t>authorises</w:t>
      </w:r>
      <w:proofErr w:type="spellEnd"/>
      <w:r>
        <w:t xml:space="preserve"> escalation when community support is insufficient. </w:t>
      </w:r>
      <w:proofErr w:type="spellStart"/>
      <w:r>
        <w:t>Decentralisation</w:t>
      </w:r>
      <w:proofErr w:type="spellEnd"/>
      <w:r>
        <w:t xml:space="preserve"> concerns who </w:t>
      </w:r>
      <w:proofErr w:type="gramStart"/>
      <w:r>
        <w:t>adapts</w:t>
      </w:r>
      <w:proofErr w:type="gramEnd"/>
      <w:r>
        <w:t xml:space="preserve"> the care plan near the home, who </w:t>
      </w:r>
      <w:proofErr w:type="spellStart"/>
      <w:r>
        <w:t>mobilises</w:t>
      </w:r>
      <w:proofErr w:type="spellEnd"/>
      <w:r>
        <w:t xml:space="preserve"> local services quickly, and what discretion front-line coordinators have once entitlement and standards are set. Taiwan's dementia policy illustrates this mix: Long-term Care Plan 2.0 created a </w:t>
      </w:r>
      <w:proofErr w:type="gramStart"/>
      <w:r>
        <w:t>three tier</w:t>
      </w:r>
      <w:proofErr w:type="gramEnd"/>
      <w:r>
        <w:t xml:space="preserve"> community system, linked services to subsidy schedules and care plans, and extended coverage to people aged 50 and above with dementia, while Dementia Plan 2.0 set national principles, targets and service expectations for local implementation (Executive Yuan, n.d.; Hsiao et al., 2019; Ministry of Health and Welfare, 2018). The leadership question in this case is therefore not whether the system should be </w:t>
      </w:r>
      <w:proofErr w:type="spellStart"/>
      <w:r>
        <w:t>centralised</w:t>
      </w:r>
      <w:proofErr w:type="spellEnd"/>
      <w:r>
        <w:t xml:space="preserve"> or </w:t>
      </w:r>
      <w:proofErr w:type="spellStart"/>
      <w:r>
        <w:t>decentralised</w:t>
      </w:r>
      <w:proofErr w:type="spellEnd"/>
      <w:r>
        <w:t xml:space="preserve">, but which decisions should sit at the </w:t>
      </w:r>
      <w:proofErr w:type="spellStart"/>
      <w:r>
        <w:t>centre</w:t>
      </w:r>
      <w:proofErr w:type="spellEnd"/>
      <w:r>
        <w:t xml:space="preserve"> and which should be delegated locally.</w:t>
      </w:r>
    </w:p>
    <w:p w14:paraId="6C0FF462" w14:textId="77777777" w:rsidR="00DF134C" w:rsidRPr="000733FE" w:rsidRDefault="009870AF">
      <w:pPr>
        <w:spacing w:after="120" w:line="360" w:lineRule="auto"/>
        <w:rPr>
          <w:b/>
          <w:bCs/>
        </w:rPr>
      </w:pPr>
      <w:r w:rsidRPr="000733FE">
        <w:rPr>
          <w:b/>
          <w:bCs/>
        </w:rPr>
        <w:t xml:space="preserve">How the case reflects a </w:t>
      </w:r>
      <w:proofErr w:type="spellStart"/>
      <w:r w:rsidRPr="000733FE">
        <w:rPr>
          <w:b/>
          <w:bCs/>
        </w:rPr>
        <w:t>decentralised</w:t>
      </w:r>
      <w:proofErr w:type="spellEnd"/>
      <w:r w:rsidRPr="000733FE">
        <w:rPr>
          <w:b/>
          <w:bCs/>
        </w:rPr>
        <w:t xml:space="preserve"> care reality</w:t>
      </w:r>
    </w:p>
    <w:p w14:paraId="3B1F4F9C" w14:textId="77777777" w:rsidR="00DF134C" w:rsidRDefault="00761147">
      <w:pPr>
        <w:spacing w:after="120" w:line="360" w:lineRule="auto"/>
      </w:pPr>
      <w:r>
        <w:t xml:space="preserve">The case reflects a clearly </w:t>
      </w:r>
      <w:proofErr w:type="spellStart"/>
      <w:r>
        <w:t>decentralised</w:t>
      </w:r>
      <w:proofErr w:type="spellEnd"/>
      <w:r>
        <w:t xml:space="preserve"> care reality. In Liu et al. (2020), 75.3% of caregivers lived with the patient, 47.0% of caregiving relationships were children caring for a parent, the average caregiver age was 53.1 years, and 52.16% had been providing care for more than 3 years. These figures matter because 75.3% co-residence shows that routine dementia care tasks are being carried inside households, often by middle aged family members balancing work and family responsibilities over long periods. Policy evaluation must therefore start from the fact that day to day authority is already </w:t>
      </w:r>
      <w:proofErr w:type="spellStart"/>
      <w:r>
        <w:t>decentralised</w:t>
      </w:r>
      <w:proofErr w:type="spellEnd"/>
      <w:r>
        <w:t xml:space="preserve"> to families, whether or not formal services are strong enough to support them.</w:t>
      </w:r>
    </w:p>
    <w:p w14:paraId="3B3DDED3" w14:textId="77777777" w:rsidR="00DF134C" w:rsidRPr="000733FE" w:rsidRDefault="009870AF">
      <w:pPr>
        <w:spacing w:after="120" w:line="360" w:lineRule="auto"/>
        <w:rPr>
          <w:b/>
          <w:bCs/>
        </w:rPr>
      </w:pPr>
      <w:r w:rsidRPr="000733FE">
        <w:rPr>
          <w:b/>
          <w:bCs/>
        </w:rPr>
        <w:t xml:space="preserve">Benefits of </w:t>
      </w:r>
      <w:proofErr w:type="spellStart"/>
      <w:r w:rsidRPr="000733FE">
        <w:rPr>
          <w:b/>
          <w:bCs/>
        </w:rPr>
        <w:t>centralised</w:t>
      </w:r>
      <w:proofErr w:type="spellEnd"/>
      <w:r w:rsidRPr="000733FE">
        <w:rPr>
          <w:b/>
          <w:bCs/>
        </w:rPr>
        <w:t xml:space="preserve"> elements</w:t>
      </w:r>
    </w:p>
    <w:p w14:paraId="4F9A259C" w14:textId="77777777" w:rsidR="00DF134C" w:rsidRDefault="00761147">
      <w:pPr>
        <w:spacing w:after="120" w:line="360" w:lineRule="auto"/>
      </w:pPr>
      <w:proofErr w:type="spellStart"/>
      <w:r>
        <w:t>Centralised</w:t>
      </w:r>
      <w:proofErr w:type="spellEnd"/>
      <w:r>
        <w:t xml:space="preserve"> elements are still essential. The outpatient clinic in the case could measure symptoms and caregiver stress systematically, which is exactly what a central specialist function should do. National policy in Taiwan also </w:t>
      </w:r>
      <w:proofErr w:type="spellStart"/>
      <w:r>
        <w:t>centralises</w:t>
      </w:r>
      <w:proofErr w:type="spellEnd"/>
      <w:r>
        <w:t xml:space="preserve"> important foundations: people aged 50 and above with dementia are eligible for Long-term Care 2.0 services, the community system is structured through Tier A, B and C providers, and dementia policy </w:t>
      </w:r>
      <w:r>
        <w:lastRenderedPageBreak/>
        <w:t xml:space="preserve">set up integrated care </w:t>
      </w:r>
      <w:proofErr w:type="spellStart"/>
      <w:r>
        <w:t>centres</w:t>
      </w:r>
      <w:proofErr w:type="spellEnd"/>
      <w:r>
        <w:t xml:space="preserve"> and community service sites to connect diagnosis, guidance and referral (Executive Yuan, n.d.; Hsiao et al., 2019). In 2018, Taiwan established 73 Dementia Integrated Care Centers and 350 Dementia Community Service Sites (Hsiao et al., 2019). </w:t>
      </w:r>
      <w:proofErr w:type="spellStart"/>
      <w:r>
        <w:t>Centralisation</w:t>
      </w:r>
      <w:proofErr w:type="spellEnd"/>
      <w:r>
        <w:t xml:space="preserve"> is therefore valuable when it </w:t>
      </w:r>
      <w:proofErr w:type="spellStart"/>
      <w:r>
        <w:t>standardises</w:t>
      </w:r>
      <w:proofErr w:type="spellEnd"/>
      <w:r>
        <w:t xml:space="preserve"> who is eligible, what minimum support should exist, how risk is measured and who is accountable for results.</w:t>
      </w:r>
    </w:p>
    <w:p w14:paraId="67A1AD28" w14:textId="77777777" w:rsidR="00DF134C" w:rsidRPr="000733FE" w:rsidRDefault="009870AF">
      <w:pPr>
        <w:spacing w:after="120" w:line="360" w:lineRule="auto"/>
        <w:rPr>
          <w:b/>
          <w:bCs/>
        </w:rPr>
      </w:pPr>
      <w:r w:rsidRPr="000733FE">
        <w:rPr>
          <w:b/>
          <w:bCs/>
        </w:rPr>
        <w:t xml:space="preserve">Risks of </w:t>
      </w:r>
      <w:proofErr w:type="spellStart"/>
      <w:r w:rsidRPr="000733FE">
        <w:rPr>
          <w:b/>
          <w:bCs/>
        </w:rPr>
        <w:t>centralised</w:t>
      </w:r>
      <w:proofErr w:type="spellEnd"/>
      <w:r w:rsidRPr="000733FE">
        <w:rPr>
          <w:b/>
          <w:bCs/>
        </w:rPr>
        <w:t xml:space="preserve"> dominance</w:t>
      </w:r>
    </w:p>
    <w:p w14:paraId="407CCF6B" w14:textId="77777777" w:rsidR="00DF134C" w:rsidRDefault="00761147">
      <w:pPr>
        <w:spacing w:after="120" w:line="360" w:lineRule="auto"/>
      </w:pPr>
      <w:r>
        <w:t xml:space="preserve">The risk begins when </w:t>
      </w:r>
      <w:proofErr w:type="spellStart"/>
      <w:r>
        <w:t>centralisation</w:t>
      </w:r>
      <w:proofErr w:type="spellEnd"/>
      <w:r>
        <w:t xml:space="preserve"> stops at specialist assessment and does not secure continuous support between appointments. Policy itself </w:t>
      </w:r>
      <w:proofErr w:type="spellStart"/>
      <w:r>
        <w:t>recognises</w:t>
      </w:r>
      <w:proofErr w:type="spellEnd"/>
      <w:r>
        <w:t xml:space="preserve"> this problem. Taiwan's dementia plan treats community-based living and family caregiving as core realities of dementia support and warns that respite services requiring advance booking may fail to meet the emergency needs of family </w:t>
      </w:r>
      <w:proofErr w:type="spellStart"/>
      <w:r>
        <w:t>carers</w:t>
      </w:r>
      <w:proofErr w:type="spellEnd"/>
      <w:r>
        <w:t xml:space="preserve"> (Ministry of Health and Welfare, 2018). At the same time, national policy sets the entitlement and subsidy framework, while local care managers and community providers </w:t>
      </w:r>
      <w:proofErr w:type="spellStart"/>
      <w:r>
        <w:t>organise</w:t>
      </w:r>
      <w:proofErr w:type="spellEnd"/>
      <w:r>
        <w:t xml:space="preserve"> delivery and referral in practice (Executive Yuan, n.d.; Hsiao et al., 2019). In the case, the highest caregiver stress domain was social life stress at 2.26, which is consistent with support gaps in ordinary daily life rather than diagnostic failure. A leadership model that </w:t>
      </w:r>
      <w:proofErr w:type="spellStart"/>
      <w:r>
        <w:t>centralises</w:t>
      </w:r>
      <w:proofErr w:type="spellEnd"/>
      <w:r>
        <w:t xml:space="preserve"> expertise but does not </w:t>
      </w:r>
      <w:proofErr w:type="spellStart"/>
      <w:r>
        <w:t>centralise</w:t>
      </w:r>
      <w:proofErr w:type="spellEnd"/>
      <w:r>
        <w:t xml:space="preserve"> minimum response standards, funded respite capacity, coordination and escalation creates expertise without reach.</w:t>
      </w:r>
    </w:p>
    <w:p w14:paraId="0F2E0754" w14:textId="77777777" w:rsidR="00DF134C" w:rsidRPr="000733FE" w:rsidRDefault="009870AF">
      <w:pPr>
        <w:spacing w:after="120" w:line="360" w:lineRule="auto"/>
        <w:rPr>
          <w:b/>
          <w:bCs/>
        </w:rPr>
      </w:pPr>
      <w:r w:rsidRPr="000733FE">
        <w:rPr>
          <w:b/>
          <w:bCs/>
        </w:rPr>
        <w:t xml:space="preserve">Benefits of </w:t>
      </w:r>
      <w:proofErr w:type="spellStart"/>
      <w:r w:rsidRPr="000733FE">
        <w:rPr>
          <w:b/>
          <w:bCs/>
        </w:rPr>
        <w:t>decentralised</w:t>
      </w:r>
      <w:proofErr w:type="spellEnd"/>
      <w:r w:rsidRPr="000733FE">
        <w:rPr>
          <w:b/>
          <w:bCs/>
        </w:rPr>
        <w:t xml:space="preserve"> elements</w:t>
      </w:r>
    </w:p>
    <w:p w14:paraId="73DBD19E" w14:textId="77777777" w:rsidR="00DF134C" w:rsidRDefault="00761147">
      <w:pPr>
        <w:spacing w:after="120" w:line="360" w:lineRule="auto"/>
      </w:pPr>
      <w:proofErr w:type="spellStart"/>
      <w:r>
        <w:t>Decentralised</w:t>
      </w:r>
      <w:proofErr w:type="spellEnd"/>
      <w:r>
        <w:t xml:space="preserve"> elements are also beneficial when they are properly supported. Taiwan's policy allows municipalities flexibility to develop local dementia implementation plans around their own cultural and geographic needs, and the broader long-term care system is built around community based integrated service centers, combined service centers and alley and lane stations close to home (Executive Yuan, n.d.; Hsiao et al., 2019). This is appropriate for dementia care because familiar settings can reduce distress, local staff can observe real household problems, and support can be adapted to the caregiver's schedule, transport constraints and </w:t>
      </w:r>
      <w:proofErr w:type="spellStart"/>
      <w:r>
        <w:t>neighbourhood</w:t>
      </w:r>
      <w:proofErr w:type="spellEnd"/>
      <w:r>
        <w:t xml:space="preserve"> resources.</w:t>
      </w:r>
    </w:p>
    <w:p w14:paraId="53058BC4" w14:textId="77777777" w:rsidR="00DF134C" w:rsidRPr="000733FE" w:rsidRDefault="009870AF">
      <w:pPr>
        <w:spacing w:after="120" w:line="360" w:lineRule="auto"/>
        <w:rPr>
          <w:b/>
          <w:bCs/>
        </w:rPr>
      </w:pPr>
      <w:r w:rsidRPr="000733FE">
        <w:rPr>
          <w:b/>
          <w:bCs/>
        </w:rPr>
        <w:t xml:space="preserve">Risks of unsupported </w:t>
      </w:r>
      <w:proofErr w:type="spellStart"/>
      <w:r w:rsidRPr="000733FE">
        <w:rPr>
          <w:b/>
          <w:bCs/>
        </w:rPr>
        <w:t>decentralisation</w:t>
      </w:r>
      <w:proofErr w:type="spellEnd"/>
    </w:p>
    <w:p w14:paraId="16CFB14D" w14:textId="77777777" w:rsidR="00DF134C" w:rsidRDefault="00761147">
      <w:pPr>
        <w:spacing w:after="120" w:line="360" w:lineRule="auto"/>
      </w:pPr>
      <w:r>
        <w:t xml:space="preserve">The risk of unsupported </w:t>
      </w:r>
      <w:proofErr w:type="spellStart"/>
      <w:r>
        <w:t>decentralisation</w:t>
      </w:r>
      <w:proofErr w:type="spellEnd"/>
      <w:r>
        <w:t xml:space="preserve"> is especially important here. Unsupported </w:t>
      </w:r>
      <w:proofErr w:type="spellStart"/>
      <w:r>
        <w:t>decentralisation</w:t>
      </w:r>
      <w:proofErr w:type="spellEnd"/>
      <w:r>
        <w:t xml:space="preserve"> means that daily responsibility is pushed downward to families without guaranteeing the practical support, coordination and minimum standards needed to carry that responsibility safely. The case data show why this is risky. Social life stress had the </w:t>
      </w:r>
      <w:r>
        <w:lastRenderedPageBreak/>
        <w:t xml:space="preserve">highest mean score at 2.26, overall caregiver stress averaged 1.28, and regression analysis showed higher stress where no one could assist with errands or shopping (β = -0.253, p = 0.002) or provide accompaniment (β = -0.234, p = 0.005) (Liu et al., 2020). In policy terms, that means outcomes are becoming dependent on informal network strength and local service availability rather than on a guaranteed support offer. That is not responsive </w:t>
      </w:r>
      <w:proofErr w:type="spellStart"/>
      <w:r>
        <w:t>decentralisation</w:t>
      </w:r>
      <w:proofErr w:type="spellEnd"/>
      <w:r>
        <w:t xml:space="preserve">. It is inequitable </w:t>
      </w:r>
      <w:proofErr w:type="spellStart"/>
      <w:r>
        <w:t>decentralisation</w:t>
      </w:r>
      <w:proofErr w:type="spellEnd"/>
      <w:r>
        <w:t>.</w:t>
      </w:r>
    </w:p>
    <w:p w14:paraId="38D19B4F" w14:textId="77777777" w:rsidR="00DF134C" w:rsidRPr="000733FE" w:rsidRDefault="009870AF">
      <w:pPr>
        <w:spacing w:after="120" w:line="360" w:lineRule="auto"/>
        <w:rPr>
          <w:b/>
          <w:bCs/>
        </w:rPr>
      </w:pPr>
      <w:r w:rsidRPr="000733FE">
        <w:rPr>
          <w:b/>
          <w:bCs/>
        </w:rPr>
        <w:t>Accountability and decision rights</w:t>
      </w:r>
    </w:p>
    <w:p w14:paraId="5C3FF259" w14:textId="77777777" w:rsidR="00DF134C" w:rsidRDefault="00761147">
      <w:pPr>
        <w:spacing w:after="120" w:line="360" w:lineRule="auto"/>
      </w:pPr>
      <w:r>
        <w:t xml:space="preserve">Clear decision rights are therefore crucial. Some functions should remain </w:t>
      </w:r>
      <w:proofErr w:type="spellStart"/>
      <w:r>
        <w:t>centralised</w:t>
      </w:r>
      <w:proofErr w:type="spellEnd"/>
      <w:r>
        <w:t xml:space="preserve"> by policy: minimum service standards, eligibility criteria, target response times, shared outcome measures, data reporting and escalation rules. Other functions should be </w:t>
      </w:r>
      <w:proofErr w:type="spellStart"/>
      <w:r>
        <w:t>decentralised</w:t>
      </w:r>
      <w:proofErr w:type="spellEnd"/>
      <w:r>
        <w:t xml:space="preserve">: home assessment, tailoring of support, rapid activation of practical help and ongoing contact with caregivers. This split is already consistent with Taiwan's direction of travel, where local governments are expected to connect hospitals with community care and long-term care management </w:t>
      </w:r>
      <w:proofErr w:type="spellStart"/>
      <w:r>
        <w:t>centres</w:t>
      </w:r>
      <w:proofErr w:type="spellEnd"/>
      <w:r>
        <w:t xml:space="preserve"> operate across all 22 cities and counties (Ministry of Health and Welfare, 2018). In the case system, leaders should make caregiver outcomes a named responsibility and delegate limited authority to coordinators so that respite, training and practical support can be activated without repeated approvals.</w:t>
      </w:r>
    </w:p>
    <w:p w14:paraId="1C413992" w14:textId="77777777" w:rsidR="00DF134C" w:rsidRPr="000733FE" w:rsidRDefault="009870AF">
      <w:pPr>
        <w:spacing w:after="120" w:line="360" w:lineRule="auto"/>
        <w:rPr>
          <w:b/>
          <w:bCs/>
        </w:rPr>
      </w:pPr>
      <w:r w:rsidRPr="000733FE">
        <w:rPr>
          <w:b/>
          <w:bCs/>
        </w:rPr>
        <w:t>Coordination mechanisms as the bridge</w:t>
      </w:r>
    </w:p>
    <w:p w14:paraId="0D4A4579" w14:textId="77777777" w:rsidR="00DF134C" w:rsidRDefault="00761147">
      <w:pPr>
        <w:spacing w:after="120" w:line="360" w:lineRule="auto"/>
      </w:pPr>
      <w:r>
        <w:t xml:space="preserve">Coordination is the bridge between the two. Effective dementia care needs central rules and local action connected by concrete mechanisms. These should include one referral pathway from clinic to community support, one shared care plan, clear information sharing rules, and one visible access route for families such as Taiwan's 1966 long-term care helpline and dementia care helplines (Ministry of Health and Welfare, 2018). Hsiao et al. (2019) also show that care managers in integrated dementia services can schedule follow up, manage comorbidity and refer clients to long-term care and community </w:t>
      </w:r>
      <w:proofErr w:type="spellStart"/>
      <w:r>
        <w:t>programmes</w:t>
      </w:r>
      <w:proofErr w:type="spellEnd"/>
      <w:r>
        <w:t>. In other words, policy already points toward the kind of coordination architecture that this case needs.</w:t>
      </w:r>
    </w:p>
    <w:p w14:paraId="7557E59B" w14:textId="77777777" w:rsidR="00DF134C" w:rsidRPr="000733FE" w:rsidRDefault="009870AF">
      <w:pPr>
        <w:spacing w:after="120" w:line="360" w:lineRule="auto"/>
        <w:rPr>
          <w:b/>
          <w:bCs/>
        </w:rPr>
      </w:pPr>
      <w:r w:rsidRPr="000733FE">
        <w:rPr>
          <w:b/>
          <w:bCs/>
        </w:rPr>
        <w:t>Critical evaluation for the case system</w:t>
      </w:r>
    </w:p>
    <w:p w14:paraId="4810636B" w14:textId="77777777" w:rsidR="00225B4E" w:rsidRDefault="00225B4E" w:rsidP="00225B4E">
      <w:pPr>
        <w:spacing w:after="120" w:line="360" w:lineRule="auto"/>
      </w:pPr>
      <w:r>
        <w:t xml:space="preserve">Overall, the case system appears stronger at central measurement than at </w:t>
      </w:r>
      <w:proofErr w:type="spellStart"/>
      <w:r>
        <w:t>decentralised</w:t>
      </w:r>
      <w:proofErr w:type="spellEnd"/>
      <w:r>
        <w:t xml:space="preserve"> buffering. The clinic captured caregiver stress and patient </w:t>
      </w:r>
      <w:proofErr w:type="spellStart"/>
      <w:r>
        <w:t>behaviour</w:t>
      </w:r>
      <w:proofErr w:type="spellEnd"/>
      <w:r>
        <w:t xml:space="preserve">, but the statistical relationship between social care system support and caregiver stress was weak (r = -0.118, p &lt; 0.05), and the most stressed domain was social life (mean = 2.26) (Liu et al., </w:t>
      </w:r>
      <w:r>
        <w:lastRenderedPageBreak/>
        <w:t xml:space="preserve">2020). This suggests that the </w:t>
      </w:r>
      <w:proofErr w:type="spellStart"/>
      <w:r>
        <w:t>decentralised</w:t>
      </w:r>
      <w:proofErr w:type="spellEnd"/>
      <w:r>
        <w:t xml:space="preserve"> side of the system exists, but it is not yet strong enough, rapid enough or consistent enough to absorb the daily burden carried by families. The most defensible policy position is therefore a hybrid model: </w:t>
      </w:r>
      <w:proofErr w:type="spellStart"/>
      <w:r>
        <w:t>centralise</w:t>
      </w:r>
      <w:proofErr w:type="spellEnd"/>
      <w:r>
        <w:t xml:space="preserve"> standards, entitlement, data and accountability; </w:t>
      </w:r>
      <w:proofErr w:type="spellStart"/>
      <w:r>
        <w:t>decentralise</w:t>
      </w:r>
      <w:proofErr w:type="spellEnd"/>
      <w:r>
        <w:t xml:space="preserve"> delivery, adaptation and rapid response.</w:t>
      </w:r>
    </w:p>
    <w:p w14:paraId="37C2E04E" w14:textId="77777777" w:rsidR="00DF134C" w:rsidRDefault="00225B4E" w:rsidP="00225B4E">
      <w:pPr>
        <w:spacing w:after="120" w:line="360" w:lineRule="auto"/>
      </w:pPr>
      <w:r>
        <w:t xml:space="preserve">That hybrid model should be monitored through explicit policy metrics rather than broad aspiration. Suitable indicators include time from diagnosis to first coordinator contact, time from referral to respite activation, the percentage of caregivers receiving structured education within an agreed pathway timeframe, the percentage of high-risk dyads reviewed within an agreed escalation timeframe, change in caregiver stress scores over time, and emergency visits linked to </w:t>
      </w:r>
      <w:proofErr w:type="spellStart"/>
      <w:r>
        <w:t>behavioural</w:t>
      </w:r>
      <w:proofErr w:type="spellEnd"/>
      <w:r>
        <w:t xml:space="preserve"> crisis. These measures make </w:t>
      </w:r>
      <w:proofErr w:type="spellStart"/>
      <w:r>
        <w:t>decentralised</w:t>
      </w:r>
      <w:proofErr w:type="spellEnd"/>
      <w:r>
        <w:t xml:space="preserve"> performance visible and allow leaders at the </w:t>
      </w:r>
      <w:proofErr w:type="spellStart"/>
      <w:r>
        <w:t>centre</w:t>
      </w:r>
      <w:proofErr w:type="spellEnd"/>
      <w:r>
        <w:t xml:space="preserve"> to correct inequity without suppressing local flexibility.</w:t>
      </w:r>
    </w:p>
    <w:p w14:paraId="4A23E168" w14:textId="77777777" w:rsidR="00DF134C" w:rsidRDefault="009870AF" w:rsidP="0081036A">
      <w:pPr>
        <w:pStyle w:val="Heading2"/>
      </w:pPr>
      <w:bookmarkStart w:id="4" w:name="_Toc225143524"/>
      <w:r>
        <w:t>2c. Leadership Theories: Application and Critical Analysis</w:t>
      </w:r>
      <w:bookmarkEnd w:id="4"/>
    </w:p>
    <w:p w14:paraId="5D8B4126" w14:textId="77777777" w:rsidR="008B765A" w:rsidRDefault="00D961A8" w:rsidP="008B765A">
      <w:pPr>
        <w:spacing w:after="120" w:line="360" w:lineRule="auto"/>
      </w:pPr>
      <w:r>
        <w:t xml:space="preserve">The leadership problem in this case is not simply that caregivers are stressed. It is that a system which can measure burden does not consistently convert that knowledge into timely, practical and coordinated support. The empirical pattern is clear: in a sample of 279 dyads, caregiver stress rose with </w:t>
      </w:r>
      <w:proofErr w:type="spellStart"/>
      <w:r>
        <w:t>behavioural</w:t>
      </w:r>
      <w:proofErr w:type="spellEnd"/>
      <w:r>
        <w:t xml:space="preserve"> severity (r = 0.319, p &lt; 0.01) and </w:t>
      </w:r>
      <w:proofErr w:type="spellStart"/>
      <w:r>
        <w:t>behavioural</w:t>
      </w:r>
      <w:proofErr w:type="spellEnd"/>
      <w:r>
        <w:t xml:space="preserve"> frequency (r = 0.317, p &lt; 0.01), while support variables offered only a modest protective effect (Liu et al., 2020). Because care is spread across clinics, community services and households, leadership has to work across </w:t>
      </w:r>
      <w:proofErr w:type="spellStart"/>
      <w:r>
        <w:t>organisational</w:t>
      </w:r>
      <w:proofErr w:type="spellEnd"/>
      <w:r>
        <w:t xml:space="preserve"> boundaries. A single heroic leader cannot solve a structurally distributed problem.</w:t>
      </w:r>
    </w:p>
    <w:p w14:paraId="424F3E00" w14:textId="77777777" w:rsidR="008B765A" w:rsidRDefault="008B765A" w:rsidP="008B765A">
      <w:pPr>
        <w:spacing w:after="120" w:line="360" w:lineRule="auto"/>
      </w:pPr>
      <w:r>
        <w:t xml:space="preserve">Great Man and trait approaches are therefore not suitable as the main analytical lens, although they still explain part of what good practice looks like. Trait-based leadership highlights qualities such as empathy, integrity, emotional control and credibility, all of which matter when </w:t>
      </w:r>
      <w:proofErr w:type="spellStart"/>
      <w:r>
        <w:t>carers</w:t>
      </w:r>
      <w:proofErr w:type="spellEnd"/>
      <w:r>
        <w:t xml:space="preserve"> are distressed and reluctant to ask for help (</w:t>
      </w:r>
      <w:proofErr w:type="spellStart"/>
      <w:r>
        <w:t>Zaccaro</w:t>
      </w:r>
      <w:proofErr w:type="spellEnd"/>
      <w:r>
        <w:t xml:space="preserve">, 2007). However, the main weakness in this case is not a shortage of admirable personalities. It is a shortage of dependable system connection between assessment, referral, respite and follow up. For that reason, Great Man and trait theories are too narrow to lead the analysis. </w:t>
      </w:r>
      <w:proofErr w:type="spellStart"/>
      <w:r>
        <w:t>Behavioural</w:t>
      </w:r>
      <w:proofErr w:type="spellEnd"/>
      <w:r>
        <w:t xml:space="preserve"> theory is more useful because it directs attention to what leaders must actually do: set referral rules, </w:t>
      </w:r>
      <w:proofErr w:type="spellStart"/>
      <w:r>
        <w:t>standardise</w:t>
      </w:r>
      <w:proofErr w:type="spellEnd"/>
      <w:r>
        <w:t xml:space="preserve"> education, monitor response times, clarify escalation and support staff </w:t>
      </w:r>
      <w:proofErr w:type="spellStart"/>
      <w:r>
        <w:t>behaviour</w:t>
      </w:r>
      <w:proofErr w:type="spellEnd"/>
      <w:r>
        <w:t xml:space="preserve"> toward families. Its limitation is that good </w:t>
      </w:r>
      <w:proofErr w:type="spellStart"/>
      <w:r>
        <w:lastRenderedPageBreak/>
        <w:t>behaviours</w:t>
      </w:r>
      <w:proofErr w:type="spellEnd"/>
      <w:r>
        <w:t xml:space="preserve"> alone do not remove resource constraints or solve cross boundary fragmentation.</w:t>
      </w:r>
    </w:p>
    <w:p w14:paraId="750A4EC1" w14:textId="77777777" w:rsidR="008B765A" w:rsidRDefault="008B765A" w:rsidP="008B765A">
      <w:pPr>
        <w:spacing w:after="120" w:line="360" w:lineRule="auto"/>
      </w:pPr>
      <w:r>
        <w:t xml:space="preserve">Contingency and situational theories are more convincing here because caregiver needs clearly vary by risk and context. Fiedler's contingency approach is relevant because leadership effectiveness depends on the fit between style, task and context (Fiedler, 1964). Likewise, situational leadership is attractive because new or overwhelmed caregivers may need more directive structure, while experienced caregivers may benefit more from coaching and shared planning (Hersey and Blanchard, 1969). The case supports this logic: support cannot be one size fits all when symptom severity and frequency both predict stress. The critique, however, is important. Situational leadership has been </w:t>
      </w:r>
      <w:proofErr w:type="spellStart"/>
      <w:r>
        <w:t>criticised</w:t>
      </w:r>
      <w:proofErr w:type="spellEnd"/>
      <w:r>
        <w:t xml:space="preserve"> for conceptual ambiguity and weak empirical precision, so it should guide judgement rather than be treated as a complete operating model (</w:t>
      </w:r>
      <w:proofErr w:type="spellStart"/>
      <w:r>
        <w:t>Graeff</w:t>
      </w:r>
      <w:proofErr w:type="spellEnd"/>
      <w:r>
        <w:t>, 1997).</w:t>
      </w:r>
    </w:p>
    <w:p w14:paraId="277C2A44" w14:textId="77777777" w:rsidR="008B765A" w:rsidRDefault="008B765A" w:rsidP="008B765A">
      <w:pPr>
        <w:spacing w:after="120" w:line="360" w:lineRule="auto"/>
      </w:pPr>
      <w:r>
        <w:t xml:space="preserve">The Tannenbaum and Schmidt continuum also helps interpret the case because it focuses on how much decision space leaders retain or share (Tannenbaum and Schmidt, 1958). A highly leader </w:t>
      </w:r>
      <w:proofErr w:type="spellStart"/>
      <w:r>
        <w:t>centred</w:t>
      </w:r>
      <w:proofErr w:type="spellEnd"/>
      <w:r>
        <w:t xml:space="preserve"> model would underuse caregiver knowledge about routines, triggers and workable strategies at home. A highly hands off model would shift responsibility to families without adequate backup. Shared decision making is therefore preferable, but only within clear boundaries. Caregivers should shape the plan, yet professionals still need to guarantee safety, minimum support and escalation. This is the strength of the continuum in this case. Its weakness is that participation alone does not guarantee equity. Families with less confidence or weaker networks can still be left behind.</w:t>
      </w:r>
    </w:p>
    <w:p w14:paraId="616E38C2" w14:textId="77777777" w:rsidR="008B765A" w:rsidRDefault="008B765A" w:rsidP="008B765A">
      <w:pPr>
        <w:spacing w:after="120" w:line="360" w:lineRule="auto"/>
      </w:pPr>
      <w:r>
        <w:t>Transactional and transformational theories explain another essential part of the problem. Transactional leadership is needed because dementia pathways still depend on reliability: someone must set service standards, track whether referrals are completed and intervene when the system varies. Transformational leadership is also needed because caregiver wellbeing must be reframed from a private family matter into a core quality outcome across services (Bass, 1985; Boamah et al., 2018). Each theory also has limits. Transactional leadership can become bureaucratic and emotionally thin if it only values compliance. Transformational leadership can produce vision and commitment, but vision on its own will not create respite capacity or delegated authority.</w:t>
      </w:r>
    </w:p>
    <w:p w14:paraId="5C84644F" w14:textId="77777777" w:rsidR="008B765A" w:rsidRDefault="008B765A" w:rsidP="008B765A">
      <w:pPr>
        <w:spacing w:after="120" w:line="360" w:lineRule="auto"/>
      </w:pPr>
      <w:r>
        <w:t xml:space="preserve">Distributed leadership is the most convincing theory for the case once those other insights are combined. Dementia care happens across clinics, local governments, community agencies and households, so leadership has to be exercised by several actors, not only </w:t>
      </w:r>
      <w:r>
        <w:lastRenderedPageBreak/>
        <w:t>by one senior figure (</w:t>
      </w:r>
      <w:proofErr w:type="spellStart"/>
      <w:r>
        <w:t>Gronn</w:t>
      </w:r>
      <w:proofErr w:type="spellEnd"/>
      <w:r>
        <w:t>, 2002). Taiwan's integrated dementia services already rely on care managers, community sites and local coordination, which fits this logic (Hsiao et al., 2019). Distributed leadership is especially useful when rapid local action is needed near the home. Its critique is equally important: if roles, metrics and accountability are unclear, distributed leadership can collapse into blurred responsibility. It only works when a central governance layer defines who owns which outcome.</w:t>
      </w:r>
    </w:p>
    <w:p w14:paraId="5E0911E0" w14:textId="77777777" w:rsidR="00DF134C" w:rsidRDefault="008B765A" w:rsidP="008B765A">
      <w:pPr>
        <w:spacing w:after="120" w:line="360" w:lineRule="auto"/>
      </w:pPr>
      <w:r>
        <w:t xml:space="preserve">For this reason, the strongest theoretical position is not to choose one theory and ignore the rest. The main framework should combine contingency thinking for risk matching, distributed leadership for cross boundary action, and transactional and transformational leadership for reliability and system change. Great Man and trait theories should not be used as primary theories because the case is not about charismatic rescue. </w:t>
      </w:r>
      <w:proofErr w:type="spellStart"/>
      <w:r>
        <w:t>Behavioural</w:t>
      </w:r>
      <w:proofErr w:type="spellEnd"/>
      <w:r>
        <w:t xml:space="preserve"> theory should inform implementation, but not stand alone, because the central problem is structural coordination as well as leader conduct. That combination answers the case more directly and also justifies why alternative theories are secondary rather than primary.</w:t>
      </w:r>
    </w:p>
    <w:p w14:paraId="1CFF9CCA" w14:textId="77777777" w:rsidR="00DF134C" w:rsidRDefault="009870AF" w:rsidP="0081036A">
      <w:pPr>
        <w:pStyle w:val="Heading2"/>
      </w:pPr>
      <w:bookmarkStart w:id="5" w:name="_Toc225143525"/>
      <w:r>
        <w:t>2d. Critique, Improvements and Lessons Learned</w:t>
      </w:r>
      <w:bookmarkEnd w:id="5"/>
    </w:p>
    <w:p w14:paraId="152E9FC4" w14:textId="77777777" w:rsidR="00DF134C" w:rsidRPr="000733FE" w:rsidRDefault="009870AF">
      <w:pPr>
        <w:spacing w:after="120" w:line="360" w:lineRule="auto"/>
        <w:rPr>
          <w:b/>
          <w:bCs/>
        </w:rPr>
      </w:pPr>
      <w:r w:rsidRPr="000733FE">
        <w:rPr>
          <w:b/>
          <w:bCs/>
        </w:rPr>
        <w:t>Critique of current system performance</w:t>
      </w:r>
    </w:p>
    <w:p w14:paraId="38B3E663" w14:textId="77777777" w:rsidR="00DF134C" w:rsidRDefault="00D20A9A">
      <w:pPr>
        <w:spacing w:after="120" w:line="360" w:lineRule="auto"/>
      </w:pPr>
      <w:r>
        <w:t xml:space="preserve">The current system can be </w:t>
      </w:r>
      <w:proofErr w:type="spellStart"/>
      <w:r>
        <w:t>criticised</w:t>
      </w:r>
      <w:proofErr w:type="spellEnd"/>
      <w:r>
        <w:t xml:space="preserve"> with more precision. In the case, caregiver stress increased with </w:t>
      </w:r>
      <w:proofErr w:type="spellStart"/>
      <w:r>
        <w:t>behavioural</w:t>
      </w:r>
      <w:proofErr w:type="spellEnd"/>
      <w:r>
        <w:t xml:space="preserve"> severity (r = 0.319) and frequency (r = 0.317), while the social care system score had only a weak negative association with stress (r = -0.118) (Liu et al., 2020). The overall caregiver stress mean was 1.28, but social life stress was markedly higher at 2.26, compared with 1.50 for mental and physical stress and 0.16 for finance. This pattern suggests that the system is better at identifying clinical burden than at protecting ordinary life, time and participation. Leadership is therefore underperforming not because the problem is invisible, but because the response is still too weak, too late or too inconsistent.</w:t>
      </w:r>
    </w:p>
    <w:p w14:paraId="689A490A" w14:textId="77777777" w:rsidR="00DF134C" w:rsidRPr="000733FE" w:rsidRDefault="009870AF">
      <w:pPr>
        <w:spacing w:after="120" w:line="360" w:lineRule="auto"/>
        <w:rPr>
          <w:b/>
          <w:bCs/>
        </w:rPr>
      </w:pPr>
      <w:r w:rsidRPr="000733FE">
        <w:rPr>
          <w:b/>
          <w:bCs/>
        </w:rPr>
        <w:t xml:space="preserve">Transformation </w:t>
      </w:r>
      <w:proofErr w:type="gramStart"/>
      <w:r w:rsidRPr="000733FE">
        <w:rPr>
          <w:b/>
          <w:bCs/>
        </w:rPr>
        <w:t>aim</w:t>
      </w:r>
      <w:proofErr w:type="gramEnd"/>
      <w:r w:rsidRPr="000733FE">
        <w:rPr>
          <w:b/>
          <w:bCs/>
        </w:rPr>
        <w:t xml:space="preserve"> and design principles</w:t>
      </w:r>
    </w:p>
    <w:p w14:paraId="01F1061D" w14:textId="77777777" w:rsidR="00DF134C" w:rsidRDefault="00D20A9A">
      <w:pPr>
        <w:spacing w:after="120" w:line="360" w:lineRule="auto"/>
      </w:pPr>
      <w:r>
        <w:t xml:space="preserve">The proposed change is an integrated caregiver support pathway led by the medical </w:t>
      </w:r>
      <w:proofErr w:type="spellStart"/>
      <w:r>
        <w:t>centre</w:t>
      </w:r>
      <w:proofErr w:type="spellEnd"/>
      <w:r>
        <w:t xml:space="preserve"> with community partners and aligned to Taiwan's policy architecture. Its purpose is to reduce stress, </w:t>
      </w:r>
      <w:proofErr w:type="spellStart"/>
      <w:r>
        <w:t>stabilise</w:t>
      </w:r>
      <w:proofErr w:type="spellEnd"/>
      <w:r>
        <w:t xml:space="preserve"> home care and lower crisis driven demand. The design should follow five principles: support should start at diagnosis, intensity should be stratified by measured risk, each family should know who coordinates care, practical support should be easy to activate, and learning should be based on outcomes rather than assumptions.</w:t>
      </w:r>
    </w:p>
    <w:p w14:paraId="16843538" w14:textId="77777777" w:rsidR="00DF134C" w:rsidRPr="000733FE" w:rsidRDefault="009870AF">
      <w:pPr>
        <w:spacing w:after="120" w:line="360" w:lineRule="auto"/>
        <w:rPr>
          <w:b/>
          <w:bCs/>
        </w:rPr>
      </w:pPr>
      <w:r w:rsidRPr="000733FE">
        <w:rPr>
          <w:b/>
          <w:bCs/>
        </w:rPr>
        <w:lastRenderedPageBreak/>
        <w:t>Improvement actions linked to system loops</w:t>
      </w:r>
    </w:p>
    <w:p w14:paraId="68FA5F0A" w14:textId="77777777" w:rsidR="00D20A9A" w:rsidRDefault="00D20A9A" w:rsidP="00D20A9A">
      <w:pPr>
        <w:spacing w:after="120" w:line="360" w:lineRule="auto"/>
      </w:pPr>
      <w:r>
        <w:t xml:space="preserve">Action 1: There should be </w:t>
      </w:r>
      <w:proofErr w:type="spellStart"/>
      <w:r>
        <w:t>standardised</w:t>
      </w:r>
      <w:proofErr w:type="spellEnd"/>
      <w:r>
        <w:t xml:space="preserve"> caregiver needs assessment and stress screening. The clinic is required to evaluate caregiver strain and </w:t>
      </w:r>
      <w:proofErr w:type="spellStart"/>
      <w:r>
        <w:t>behavioural</w:t>
      </w:r>
      <w:proofErr w:type="spellEnd"/>
      <w:r>
        <w:t xml:space="preserve"> symptoms at the time of diagnosis and at each subsequent follow up, through the use of structured instruments and a brief discussion. This is right to the point of delay in identifying increasing stress and reinforces early intervention.</w:t>
      </w:r>
    </w:p>
    <w:p w14:paraId="681CEE3A" w14:textId="77777777" w:rsidR="00D20A9A" w:rsidRDefault="00D20A9A" w:rsidP="00D20A9A">
      <w:pPr>
        <w:spacing w:after="120" w:line="360" w:lineRule="auto"/>
      </w:pPr>
      <w:r>
        <w:t xml:space="preserve">Action 2: Make caregiver education a core pathway step. Education should cover </w:t>
      </w:r>
      <w:proofErr w:type="spellStart"/>
      <w:r>
        <w:t>behaviour</w:t>
      </w:r>
      <w:proofErr w:type="spellEnd"/>
      <w:r>
        <w:t xml:space="preserve"> triggers, </w:t>
      </w:r>
      <w:proofErr w:type="spellStart"/>
      <w:r>
        <w:t>de escalation</w:t>
      </w:r>
      <w:proofErr w:type="spellEnd"/>
      <w:r>
        <w:t>, communication, safety planning and how to access help. This action is justified by the case evidence that advice on methods for caring for patients was associated with lower caregiver stress (β = 0.220, p = 0.012) (Liu et al., 2020). Leaders should therefore define education as a minimum offer, not an optional extra, and provide it in short, repeatable formats such as brief sessions, group teaching and telephone support.</w:t>
      </w:r>
    </w:p>
    <w:p w14:paraId="38EC20FB" w14:textId="77777777" w:rsidR="00D20A9A" w:rsidRDefault="00D20A9A" w:rsidP="00D20A9A">
      <w:pPr>
        <w:spacing w:after="120" w:line="360" w:lineRule="auto"/>
      </w:pPr>
      <w:r>
        <w:t xml:space="preserve">Action 3: Create a single point of coordination with delegated authority. A named coordinator should connect clinic findings to community resources, arrange transport, activate respite and navigate referrals. This is also consistent with Taiwan's integrated dementia model, where care managers link </w:t>
      </w:r>
      <w:proofErr w:type="gramStart"/>
      <w:r>
        <w:t>follow</w:t>
      </w:r>
      <w:proofErr w:type="gramEnd"/>
      <w:r>
        <w:t xml:space="preserve"> up, comorbidity management and referral to long-term care and community </w:t>
      </w:r>
      <w:proofErr w:type="spellStart"/>
      <w:r>
        <w:t>programmes</w:t>
      </w:r>
      <w:proofErr w:type="spellEnd"/>
      <w:r>
        <w:t xml:space="preserve"> (Hsiao et al., 2019). Delegated authority matters because unsupported </w:t>
      </w:r>
      <w:proofErr w:type="spellStart"/>
      <w:r>
        <w:t>decentralisation</w:t>
      </w:r>
      <w:proofErr w:type="spellEnd"/>
      <w:r>
        <w:t xml:space="preserve"> fails precisely when staff near the family can see the problem but cannot act quickly.</w:t>
      </w:r>
    </w:p>
    <w:p w14:paraId="55BA04F7" w14:textId="77777777" w:rsidR="00D20A9A" w:rsidRDefault="00D20A9A" w:rsidP="00D20A9A">
      <w:pPr>
        <w:spacing w:after="120" w:line="360" w:lineRule="auto"/>
      </w:pPr>
      <w:r>
        <w:t xml:space="preserve">Action 4: Expand respite, accompaniment and errands support. This action should be </w:t>
      </w:r>
      <w:proofErr w:type="spellStart"/>
      <w:r>
        <w:t>prioritised</w:t>
      </w:r>
      <w:proofErr w:type="spellEnd"/>
      <w:r>
        <w:t xml:space="preserve"> because social life stress was the highest stress domain in the case at 2.26, while respite care had the lowest mean score within the social care system at 1.40 (Liu et al., 2020). Regression analysis also linked lower stress to practical assistance in caring, accompaniment and advice. Leaders should therefore commission supports that directly protect time, mobility and participation, including short breaks, volunteer accompaniment, shopping assistance and flexible community respite.</w:t>
      </w:r>
    </w:p>
    <w:p w14:paraId="5C5D5205" w14:textId="77777777" w:rsidR="00DF134C" w:rsidRDefault="00D20A9A" w:rsidP="00D20A9A">
      <w:pPr>
        <w:spacing w:after="120" w:line="360" w:lineRule="auto"/>
      </w:pPr>
      <w:r>
        <w:t xml:space="preserve">Action 5: Prevention and speedy reaction to crisis. There should be an established route of escalation to </w:t>
      </w:r>
      <w:proofErr w:type="gramStart"/>
      <w:r>
        <w:t>high risk</w:t>
      </w:r>
      <w:proofErr w:type="gramEnd"/>
      <w:r>
        <w:t xml:space="preserve"> dyads such as phone advice and short notice respite. This disrupts the vicious cycle of reinforcing symptom burden and decreases the emergency demand.</w:t>
      </w:r>
    </w:p>
    <w:p w14:paraId="03205EF0" w14:textId="77777777" w:rsidR="00DF134C" w:rsidRPr="000733FE" w:rsidRDefault="009870AF">
      <w:pPr>
        <w:spacing w:after="120" w:line="360" w:lineRule="auto"/>
        <w:rPr>
          <w:b/>
          <w:bCs/>
        </w:rPr>
      </w:pPr>
      <w:r w:rsidRPr="000733FE">
        <w:rPr>
          <w:b/>
          <w:bCs/>
        </w:rPr>
        <w:t>Leadership and management roles in implementation</w:t>
      </w:r>
    </w:p>
    <w:p w14:paraId="0BE6DDDB" w14:textId="77777777" w:rsidR="00DF134C" w:rsidRDefault="00D20A9A">
      <w:pPr>
        <w:spacing w:after="120" w:line="360" w:lineRule="auto"/>
      </w:pPr>
      <w:r>
        <w:lastRenderedPageBreak/>
        <w:t xml:space="preserve">Implementation requires a deliberate blend of theories rather than a single style. Transformational leadership is needed to make caregiver wellbeing a shared strategic outcome. Transactional leadership is needed to set response standards and audit variation. Contingency and situational thinking are needed so support intensity matches </w:t>
      </w:r>
      <w:proofErr w:type="spellStart"/>
      <w:r>
        <w:t>behavioural</w:t>
      </w:r>
      <w:proofErr w:type="spellEnd"/>
      <w:r>
        <w:t xml:space="preserve"> risk and caregiver capability. Distributed leadership is needed so community staff can act near the home. Great Man and pure trait approaches are not enough for implementation because this </w:t>
      </w:r>
      <w:proofErr w:type="spellStart"/>
      <w:r>
        <w:t>programme</w:t>
      </w:r>
      <w:proofErr w:type="spellEnd"/>
      <w:r>
        <w:t xml:space="preserve"> depends more on roles, delegated authority and coordination than on the charisma of any one leader.</w:t>
      </w:r>
    </w:p>
    <w:p w14:paraId="32D9C4AC" w14:textId="77777777" w:rsidR="00DF134C" w:rsidRPr="000733FE" w:rsidRDefault="009870AF">
      <w:pPr>
        <w:spacing w:after="120" w:line="360" w:lineRule="auto"/>
        <w:rPr>
          <w:b/>
          <w:bCs/>
        </w:rPr>
      </w:pPr>
      <w:r w:rsidRPr="000733FE">
        <w:rPr>
          <w:b/>
          <w:bCs/>
        </w:rPr>
        <w:t>Risks and mitigation</w:t>
      </w:r>
    </w:p>
    <w:p w14:paraId="675AC819" w14:textId="77777777" w:rsidR="00DF134C" w:rsidRDefault="00D20A9A">
      <w:pPr>
        <w:spacing w:after="120" w:line="360" w:lineRule="auto"/>
      </w:pPr>
      <w:r w:rsidRPr="00D20A9A">
        <w:t xml:space="preserve">There are foreseeable risks of the transformation. Demand may exceed available capacity, creating waiting lists that frustrate families. Expansion of respite may be limited by workforce shortages. Systems and governance arrangements may also restrict information sharing across </w:t>
      </w:r>
      <w:proofErr w:type="spellStart"/>
      <w:r w:rsidRPr="00D20A9A">
        <w:t>organisations</w:t>
      </w:r>
      <w:proofErr w:type="spellEnd"/>
      <w:r w:rsidRPr="00D20A9A">
        <w:t>. Leaders can reduce these risks by phasing implementation, targeting higher risk families first, educating caregivers in groups and using tele-support to extend reach, while also developing effective information governance for shared care plans. Managers are also advised to make achievable service commitments and communicate them openly.</w:t>
      </w:r>
    </w:p>
    <w:p w14:paraId="20BB5EEF" w14:textId="77777777" w:rsidR="00DF134C" w:rsidRPr="000733FE" w:rsidRDefault="009870AF">
      <w:pPr>
        <w:spacing w:after="120" w:line="360" w:lineRule="auto"/>
        <w:rPr>
          <w:b/>
          <w:bCs/>
        </w:rPr>
      </w:pPr>
      <w:r w:rsidRPr="000733FE">
        <w:rPr>
          <w:b/>
          <w:bCs/>
        </w:rPr>
        <w:t>Evaluation and learning</w:t>
      </w:r>
    </w:p>
    <w:p w14:paraId="4F35AB93" w14:textId="77777777" w:rsidR="00DF134C" w:rsidRDefault="00D20A9A">
      <w:pPr>
        <w:spacing w:after="120" w:line="360" w:lineRule="auto"/>
      </w:pPr>
      <w:r w:rsidRPr="00D20A9A">
        <w:t xml:space="preserve">Leaders are to consider the outcomes and the process. Outcome measures would entail caregiver stress measures, caregiver social participation, preventable emergency visits due to </w:t>
      </w:r>
      <w:proofErr w:type="spellStart"/>
      <w:r w:rsidRPr="00D20A9A">
        <w:t>behavioural</w:t>
      </w:r>
      <w:proofErr w:type="spellEnd"/>
      <w:r w:rsidRPr="00D20A9A">
        <w:t xml:space="preserve"> crises and home care continuity. Process measures are to be time from diagnosis to first contact with coordinators, time from referral to respite activation and percentage of caregivers that receive training. Data and feedback on caregivers and staff experience should be reviewed through regular learning cycles, and the pathway should be revised.</w:t>
      </w:r>
    </w:p>
    <w:p w14:paraId="5903FB72" w14:textId="77777777" w:rsidR="001F381E" w:rsidRDefault="001F381E">
      <w:pPr>
        <w:spacing w:after="120" w:line="360" w:lineRule="auto"/>
        <w:rPr>
          <w:b/>
          <w:bCs/>
        </w:rPr>
      </w:pPr>
    </w:p>
    <w:p w14:paraId="08D2247A" w14:textId="77777777" w:rsidR="00DF134C" w:rsidRPr="000733FE" w:rsidRDefault="009870AF">
      <w:pPr>
        <w:spacing w:after="120" w:line="360" w:lineRule="auto"/>
        <w:rPr>
          <w:b/>
          <w:bCs/>
        </w:rPr>
      </w:pPr>
      <w:r w:rsidRPr="000733FE">
        <w:rPr>
          <w:b/>
          <w:bCs/>
        </w:rPr>
        <w:t>Lessons learned</w:t>
      </w:r>
    </w:p>
    <w:p w14:paraId="00CE0A8E" w14:textId="77777777" w:rsidR="00D20A9A" w:rsidRDefault="00D20A9A" w:rsidP="00D20A9A">
      <w:pPr>
        <w:spacing w:after="120" w:line="360" w:lineRule="auto"/>
      </w:pPr>
      <w:r>
        <w:t xml:space="preserve">Three lessons are transferable. First, caregiver stress is a measurable system outcome, not a private side effect of family life. Second, </w:t>
      </w:r>
      <w:proofErr w:type="spellStart"/>
      <w:r>
        <w:t>decentralised</w:t>
      </w:r>
      <w:proofErr w:type="spellEnd"/>
      <w:r>
        <w:t xml:space="preserve"> home care is only defensible when central policy fixes minimum standards, clear entitlements and visible accountability. Third, practical supports such as respite, accompaniment, advice and coordination are not peripheral because the case shows that they sit closest to the pressure points that raise </w:t>
      </w:r>
      <w:r>
        <w:lastRenderedPageBreak/>
        <w:t>or reduce stress. Sustainable improvement therefore depends on leadership and management acting on evidence and policy together.</w:t>
      </w:r>
    </w:p>
    <w:p w14:paraId="7B779FD5" w14:textId="77777777" w:rsidR="00DF134C" w:rsidRDefault="00D20A9A" w:rsidP="00D20A9A">
      <w:pPr>
        <w:spacing w:after="120" w:line="360" w:lineRule="auto"/>
      </w:pPr>
      <w:r>
        <w:t xml:space="preserve">The implementation approach that can be employed is Soft Systems Methodology. The leaders are advised to gather stakeholders such as caregivers and agree on the problematic situation, polish the Rich Picture, and experiment with various perspectives regarding what good support is. A root definition may then be converted into a conceptual activity model e.g.: identify risk, educate, coordinate, provide respite, review outcomes and improve. The model can be aligned to the present practice in order to detect the changes to be made and then implemented and assessed in a cyclic manner. The governance needs to have a joint steering group between the medical </w:t>
      </w:r>
      <w:proofErr w:type="spellStart"/>
      <w:r>
        <w:t>centre</w:t>
      </w:r>
      <w:proofErr w:type="spellEnd"/>
      <w:r>
        <w:t xml:space="preserve"> and community partners, with the caregiver outcomes and the escalation of non-conformance with the standards well owned. Ethical leadership is as well necessary since caregivers can feel guilt when taking respite. Leaders are to communicate the fact that respite is a safety intervention, not a failure and make access something fair and transparent. The training is to cover stigma, safeguarding in home visits, and cultural expectations of filial duty, whereby the staff must be respectful of the families but at the same time focus on wellbeing and safety (</w:t>
      </w:r>
      <w:proofErr w:type="spellStart"/>
      <w:r>
        <w:t>Checkland</w:t>
      </w:r>
      <w:proofErr w:type="spellEnd"/>
      <w:r>
        <w:t xml:space="preserve"> and Poulter, 2006).</w:t>
      </w:r>
    </w:p>
    <w:p w14:paraId="373B9BB4" w14:textId="77777777" w:rsidR="00DF134C" w:rsidRDefault="009870AF" w:rsidP="0081036A">
      <w:pPr>
        <w:pStyle w:val="Heading1"/>
      </w:pPr>
      <w:bookmarkStart w:id="6" w:name="_Toc225143526"/>
      <w:r>
        <w:t>3. Recommendations</w:t>
      </w:r>
      <w:bookmarkEnd w:id="6"/>
    </w:p>
    <w:p w14:paraId="04D10802" w14:textId="77777777" w:rsidR="00DF134C" w:rsidRPr="000733FE" w:rsidRDefault="009870AF">
      <w:pPr>
        <w:spacing w:after="120" w:line="360" w:lineRule="auto"/>
        <w:rPr>
          <w:b/>
          <w:bCs/>
        </w:rPr>
      </w:pPr>
      <w:r w:rsidRPr="000733FE">
        <w:rPr>
          <w:b/>
          <w:bCs/>
        </w:rPr>
        <w:t>Make caregiver wellbeing a formal quality outcome</w:t>
      </w:r>
    </w:p>
    <w:p w14:paraId="622CF05E" w14:textId="77777777" w:rsidR="00DF134C" w:rsidRDefault="00D20A9A">
      <w:pPr>
        <w:spacing w:after="120" w:line="360" w:lineRule="auto"/>
      </w:pPr>
      <w:r>
        <w:t>Make caregiver stress and caregiver quality of life formal outcome measures for the dementia pathway. Report them alongside clinical outcomes at joint governance meetings and assign them to a named executive owner. Use a standard measure, review it at regular governance intervals and compare it with service process data. This recommendation is justified by the case itself, where overall caregiver stress averaged 1.28 and social life stress reached 2.26, making strain visible enough to be managed rather than ignored (Liu et al., 2020).</w:t>
      </w:r>
    </w:p>
    <w:p w14:paraId="710E3677" w14:textId="77777777" w:rsidR="00DF134C" w:rsidRPr="000733FE" w:rsidRDefault="009870AF">
      <w:pPr>
        <w:spacing w:after="120" w:line="360" w:lineRule="auto"/>
        <w:rPr>
          <w:b/>
          <w:bCs/>
        </w:rPr>
      </w:pPr>
      <w:r w:rsidRPr="000733FE">
        <w:rPr>
          <w:b/>
          <w:bCs/>
        </w:rPr>
        <w:t>Trigger a standard supported caregiving package at diagnosis</w:t>
      </w:r>
    </w:p>
    <w:p w14:paraId="494C57C9" w14:textId="77777777" w:rsidR="00DF134C" w:rsidRDefault="00D20A9A">
      <w:pPr>
        <w:spacing w:after="120" w:line="360" w:lineRule="auto"/>
      </w:pPr>
      <w:r>
        <w:t xml:space="preserve">Offer a structured support package at diagnosis consisting of initial </w:t>
      </w:r>
      <w:proofErr w:type="spellStart"/>
      <w:r>
        <w:t>behaviour</w:t>
      </w:r>
      <w:proofErr w:type="spellEnd"/>
      <w:r>
        <w:t xml:space="preserve"> management teaching, a written escalation plan and coordinator contact details. Review caregiver wellbeing again early in the pathway and repeat it at clinic follow up. This timetable should be defined in local policy rather than left discretionary and is consistent with the case evidence that practical advice and assistance are associated with lower </w:t>
      </w:r>
      <w:r>
        <w:lastRenderedPageBreak/>
        <w:t>stress (Liu et al., 2020). Materials should be practical, concise and directly linked to common problems such as delusions, agitation and night disturbance.</w:t>
      </w:r>
    </w:p>
    <w:p w14:paraId="10D08ADF" w14:textId="77777777" w:rsidR="00DF134C" w:rsidRPr="000733FE" w:rsidRDefault="009870AF">
      <w:pPr>
        <w:spacing w:after="120" w:line="360" w:lineRule="auto"/>
        <w:rPr>
          <w:b/>
          <w:bCs/>
        </w:rPr>
      </w:pPr>
      <w:r w:rsidRPr="000733FE">
        <w:rPr>
          <w:b/>
          <w:bCs/>
        </w:rPr>
        <w:t>Establish a single point of coordination with delegated authority</w:t>
      </w:r>
    </w:p>
    <w:p w14:paraId="2B6C401D" w14:textId="77777777" w:rsidR="00DF134C" w:rsidRDefault="00D20A9A">
      <w:pPr>
        <w:spacing w:after="120" w:line="360" w:lineRule="auto"/>
      </w:pPr>
      <w:r>
        <w:t>Give each patient-caregiver dyad a designated care coordinator with delegated authority to arrange respite, transport and practical support within clear eligibility and budget rules. Train coordinators to apply contingency based judgement so that the intensity of support matches symptom risk, caregiver confidence and available family help. Require coordinators to document actions and outcomes in a shared plan so that support is visible across services.</w:t>
      </w:r>
    </w:p>
    <w:p w14:paraId="72E46DBA" w14:textId="77777777" w:rsidR="00DF134C" w:rsidRPr="000733FE" w:rsidRDefault="009870AF">
      <w:pPr>
        <w:spacing w:after="120" w:line="360" w:lineRule="auto"/>
        <w:rPr>
          <w:b/>
          <w:bCs/>
        </w:rPr>
      </w:pPr>
      <w:r w:rsidRPr="000733FE">
        <w:rPr>
          <w:b/>
          <w:bCs/>
        </w:rPr>
        <w:t>Expand respite, accompaniment and errands support</w:t>
      </w:r>
    </w:p>
    <w:p w14:paraId="40526691" w14:textId="77777777" w:rsidR="00DF134C" w:rsidRDefault="00D20A9A">
      <w:pPr>
        <w:spacing w:after="120" w:line="360" w:lineRule="auto"/>
      </w:pPr>
      <w:proofErr w:type="spellStart"/>
      <w:r>
        <w:t>Prioritise</w:t>
      </w:r>
      <w:proofErr w:type="spellEnd"/>
      <w:r>
        <w:t xml:space="preserve"> respite, accompaniment and errands support because the case shows that ordinary life is where stress is concentrated. Social life stress had the highest mean score at 2.26, while regression analysis linked lower stress to accompaniment and practical assistance (Liu et al., 2020). Commission day </w:t>
      </w:r>
      <w:proofErr w:type="spellStart"/>
      <w:r>
        <w:t>programmes</w:t>
      </w:r>
      <w:proofErr w:type="spellEnd"/>
      <w:r>
        <w:t>, short breaks, volunteer accompaniment and practical help with shopping or appointments, and target these first toward caregivers with weak informal networks.</w:t>
      </w:r>
    </w:p>
    <w:p w14:paraId="34359507" w14:textId="77777777" w:rsidR="00DF134C" w:rsidRPr="000733FE" w:rsidRDefault="009870AF">
      <w:pPr>
        <w:spacing w:after="120" w:line="360" w:lineRule="auto"/>
        <w:rPr>
          <w:b/>
          <w:bCs/>
        </w:rPr>
      </w:pPr>
      <w:r w:rsidRPr="000733FE">
        <w:rPr>
          <w:b/>
          <w:bCs/>
        </w:rPr>
        <w:t>Create an integrated referral and information pathway</w:t>
      </w:r>
    </w:p>
    <w:p w14:paraId="06A30AE8" w14:textId="77777777" w:rsidR="00DF134C" w:rsidRDefault="00D20A9A">
      <w:pPr>
        <w:spacing w:after="120" w:line="360" w:lineRule="auto"/>
      </w:pPr>
      <w:r>
        <w:t xml:space="preserve">Create one clinic to community referral pathway with agreed response times, feedback loops and shared care planning. Staff should be able to explain options clearly, use a basic directory of local services and escalate failed referrals. This recommendation follows the policy logic of Taiwan's integrated dementia and long-term care system, which already </w:t>
      </w:r>
      <w:proofErr w:type="spellStart"/>
      <w:r>
        <w:t>emphasises</w:t>
      </w:r>
      <w:proofErr w:type="spellEnd"/>
      <w:r>
        <w:t xml:space="preserve"> care management, helplines and connection between hospitals and community services (Executive Yuan, n.d.; Ministry of Health and Welfare, 2018; Hsiao et al., 2019).</w:t>
      </w:r>
    </w:p>
    <w:p w14:paraId="37E62632" w14:textId="77777777" w:rsidR="00DF134C" w:rsidRPr="000733FE" w:rsidRDefault="009870AF">
      <w:pPr>
        <w:spacing w:after="120" w:line="360" w:lineRule="auto"/>
        <w:rPr>
          <w:b/>
          <w:bCs/>
        </w:rPr>
      </w:pPr>
      <w:r w:rsidRPr="000733FE">
        <w:rPr>
          <w:b/>
          <w:bCs/>
        </w:rPr>
        <w:t>Build psychological safety and stigma reduction into routine practice</w:t>
      </w:r>
    </w:p>
    <w:p w14:paraId="135423AF" w14:textId="77777777" w:rsidR="00DF134C" w:rsidRDefault="00D20A9A">
      <w:pPr>
        <w:spacing w:after="120" w:line="360" w:lineRule="auto"/>
      </w:pPr>
      <w:proofErr w:type="spellStart"/>
      <w:r w:rsidRPr="00D20A9A">
        <w:t>Normalise</w:t>
      </w:r>
      <w:proofErr w:type="spellEnd"/>
      <w:r w:rsidRPr="00D20A9A">
        <w:t xml:space="preserve"> caregiver stress screening and develop non </w:t>
      </w:r>
      <w:proofErr w:type="spellStart"/>
      <w:r w:rsidRPr="00D20A9A">
        <w:t>judgemental</w:t>
      </w:r>
      <w:proofErr w:type="spellEnd"/>
      <w:r w:rsidRPr="00D20A9A">
        <w:t xml:space="preserve"> discussions which facilitate early disclosure. Train staff in empathic communication and cultural sensitivity understanding that caregivers will have some guilt about accepting respite. Even after disclosure, give quick follow up and peer support groups as a way of reducing isolation. The leaders are advised to set a good example in the use of respectful language and use caregiver feedback as a safety signal.</w:t>
      </w:r>
    </w:p>
    <w:p w14:paraId="1DE9AA0C" w14:textId="77777777" w:rsidR="00DF134C" w:rsidRPr="000733FE" w:rsidRDefault="009870AF">
      <w:pPr>
        <w:spacing w:after="120" w:line="360" w:lineRule="auto"/>
        <w:rPr>
          <w:b/>
          <w:bCs/>
        </w:rPr>
      </w:pPr>
      <w:r w:rsidRPr="000733FE">
        <w:rPr>
          <w:b/>
          <w:bCs/>
        </w:rPr>
        <w:lastRenderedPageBreak/>
        <w:t>Develop workforce capability and distributed leadership</w:t>
      </w:r>
    </w:p>
    <w:p w14:paraId="282D4E0D" w14:textId="77777777" w:rsidR="00DF134C" w:rsidRDefault="00D20A9A">
      <w:pPr>
        <w:spacing w:after="120" w:line="360" w:lineRule="auto"/>
      </w:pPr>
      <w:r>
        <w:t xml:space="preserve">Provide </w:t>
      </w:r>
      <w:proofErr w:type="gramStart"/>
      <w:r>
        <w:t>competency based</w:t>
      </w:r>
      <w:proofErr w:type="gramEnd"/>
      <w:r>
        <w:t xml:space="preserve"> training to community staff and coordinators in dementia </w:t>
      </w:r>
      <w:proofErr w:type="spellStart"/>
      <w:r>
        <w:t>behaviours</w:t>
      </w:r>
      <w:proofErr w:type="spellEnd"/>
      <w:r>
        <w:t xml:space="preserve">, </w:t>
      </w:r>
      <w:proofErr w:type="spellStart"/>
      <w:r>
        <w:t>de escalation</w:t>
      </w:r>
      <w:proofErr w:type="spellEnd"/>
      <w:r>
        <w:t xml:space="preserve">, safeguarding during home visits and caregiver coaching. Expand distributed leadership by giving frontline personnel authority to resolve local issues while keeping them accountable to central standards and outcome measures. Staff support should be included as a retention measure because unstable community capacity will weaken the </w:t>
      </w:r>
      <w:proofErr w:type="spellStart"/>
      <w:r>
        <w:t>decentralised</w:t>
      </w:r>
      <w:proofErr w:type="spellEnd"/>
      <w:r>
        <w:t xml:space="preserve"> side of the pathway.</w:t>
      </w:r>
    </w:p>
    <w:p w14:paraId="6D180B55" w14:textId="77777777" w:rsidR="00DF134C" w:rsidRPr="000733FE" w:rsidRDefault="009870AF">
      <w:pPr>
        <w:spacing w:after="120" w:line="360" w:lineRule="auto"/>
        <w:rPr>
          <w:b/>
          <w:bCs/>
        </w:rPr>
      </w:pPr>
      <w:r w:rsidRPr="000733FE">
        <w:rPr>
          <w:b/>
          <w:bCs/>
        </w:rPr>
        <w:t>Use transactional controls to ensure reliability</w:t>
      </w:r>
    </w:p>
    <w:p w14:paraId="4E77A813" w14:textId="77777777" w:rsidR="00DF134C" w:rsidRDefault="00D20A9A">
      <w:pPr>
        <w:spacing w:after="120" w:line="360" w:lineRule="auto"/>
      </w:pPr>
      <w:r>
        <w:t>Set explicit service benchmarks, such as maximum time to first coordinator contact and maximum time from referral to respite activation, then audit performance regularly. Use transactional controls to correct variation early, but keep them lean so they improve reliability without creating bureaucratic delay.</w:t>
      </w:r>
    </w:p>
    <w:p w14:paraId="5F77C5D4" w14:textId="77777777" w:rsidR="00DF134C" w:rsidRPr="000733FE" w:rsidRDefault="009870AF">
      <w:pPr>
        <w:spacing w:after="120" w:line="360" w:lineRule="auto"/>
        <w:rPr>
          <w:b/>
          <w:bCs/>
        </w:rPr>
      </w:pPr>
      <w:r w:rsidRPr="000733FE">
        <w:rPr>
          <w:b/>
          <w:bCs/>
        </w:rPr>
        <w:t>Sustain change through transformational leadership and continuous improvement</w:t>
      </w:r>
    </w:p>
    <w:p w14:paraId="10ED498F" w14:textId="77777777" w:rsidR="00DF134C" w:rsidRDefault="00D20A9A">
      <w:pPr>
        <w:spacing w:after="120" w:line="360" w:lineRule="auto"/>
      </w:pPr>
      <w:r>
        <w:t xml:space="preserve">Communicate a clear vision that caregiver wellbeing is a prerequisite for safe </w:t>
      </w:r>
      <w:proofErr w:type="gramStart"/>
      <w:r>
        <w:t>home based</w:t>
      </w:r>
      <w:proofErr w:type="gramEnd"/>
      <w:r>
        <w:t xml:space="preserve"> dementia care. Use regular learning cycles with caregivers, community staff and clinic teams to refine the pathway over a defined implementation period. Celebrate improvements, surface constraints honestly and use data to decide where the next adjustments should be made.</w:t>
      </w:r>
    </w:p>
    <w:p w14:paraId="7A2BA9DE" w14:textId="77777777" w:rsidR="00DF134C" w:rsidRDefault="009870AF" w:rsidP="0081036A">
      <w:pPr>
        <w:pStyle w:val="Heading1"/>
      </w:pPr>
      <w:bookmarkStart w:id="7" w:name="_Toc225143527"/>
      <w:r>
        <w:t>4. Conclusion</w:t>
      </w:r>
      <w:bookmarkEnd w:id="7"/>
    </w:p>
    <w:p w14:paraId="7820AF51" w14:textId="77777777" w:rsidR="00D20A9A" w:rsidRDefault="00D20A9A" w:rsidP="00D20A9A">
      <w:pPr>
        <w:spacing w:after="120" w:line="360" w:lineRule="auto"/>
      </w:pPr>
      <w:r>
        <w:t xml:space="preserve">This case study </w:t>
      </w:r>
      <w:proofErr w:type="spellStart"/>
      <w:r>
        <w:t>analysed</w:t>
      </w:r>
      <w:proofErr w:type="spellEnd"/>
      <w:r>
        <w:t xml:space="preserve"> leadership and management in </w:t>
      </w:r>
      <w:proofErr w:type="gramStart"/>
      <w:r>
        <w:t>community based</w:t>
      </w:r>
      <w:proofErr w:type="gramEnd"/>
      <w:r>
        <w:t xml:space="preserve"> dementia care using evidence from 279 patient-caregiver pairs in southern Taiwan. The case showed that caregiver stress increased with </w:t>
      </w:r>
      <w:proofErr w:type="spellStart"/>
      <w:r>
        <w:t>behavioural</w:t>
      </w:r>
      <w:proofErr w:type="spellEnd"/>
      <w:r>
        <w:t xml:space="preserve"> severity (r = 0.319, p &lt; 0.01) and frequency (r = 0.317, p &lt; 0.01), while social care system support had only a weak negative association with stress (r = -0.118, p &lt; 0.05) (Liu et al., 2020). Systems thinking explains why </w:t>
      </w:r>
      <w:proofErr w:type="gramStart"/>
      <w:r>
        <w:t>this matters</w:t>
      </w:r>
      <w:proofErr w:type="gramEnd"/>
      <w:r>
        <w:t>: symptom burden reinforces stress, while the support loop exists but is not yet strong enough to offset it reliably.</w:t>
      </w:r>
    </w:p>
    <w:p w14:paraId="18F2B86E" w14:textId="77777777" w:rsidR="00D20A9A" w:rsidRDefault="00D20A9A" w:rsidP="00D20A9A">
      <w:pPr>
        <w:spacing w:after="120" w:line="360" w:lineRule="auto"/>
      </w:pPr>
      <w:r>
        <w:t xml:space="preserve">The </w:t>
      </w:r>
      <w:proofErr w:type="spellStart"/>
      <w:r>
        <w:t>organisational</w:t>
      </w:r>
      <w:proofErr w:type="spellEnd"/>
      <w:r>
        <w:t xml:space="preserve"> analysis showed that dementia care is already </w:t>
      </w:r>
      <w:proofErr w:type="spellStart"/>
      <w:r>
        <w:t>decentralised</w:t>
      </w:r>
      <w:proofErr w:type="spellEnd"/>
      <w:r>
        <w:t xml:space="preserve"> in practice because 75.3% of caregivers in the case lived with the patient and 52.16% had been caring for more than 3 years. Yet policy, specialist assessment and much of the formal authority remain </w:t>
      </w:r>
      <w:proofErr w:type="spellStart"/>
      <w:r>
        <w:t>centralised</w:t>
      </w:r>
      <w:proofErr w:type="spellEnd"/>
      <w:r>
        <w:t xml:space="preserve">. Without strong coordination, </w:t>
      </w:r>
      <w:proofErr w:type="spellStart"/>
      <w:r>
        <w:t>decentralisation</w:t>
      </w:r>
      <w:proofErr w:type="spellEnd"/>
      <w:r>
        <w:t xml:space="preserve"> becomes responsibility without support and </w:t>
      </w:r>
      <w:proofErr w:type="spellStart"/>
      <w:r>
        <w:t>centralisation</w:t>
      </w:r>
      <w:proofErr w:type="spellEnd"/>
      <w:r>
        <w:t xml:space="preserve"> becomes expertise without reach. The </w:t>
      </w:r>
      <w:r>
        <w:lastRenderedPageBreak/>
        <w:t xml:space="preserve">defensible model is therefore a hybrid one that </w:t>
      </w:r>
      <w:proofErr w:type="spellStart"/>
      <w:r>
        <w:t>centralises</w:t>
      </w:r>
      <w:proofErr w:type="spellEnd"/>
      <w:r>
        <w:t xml:space="preserve"> standards, entitlement, data and accountability while </w:t>
      </w:r>
      <w:proofErr w:type="spellStart"/>
      <w:r>
        <w:t>decentralising</w:t>
      </w:r>
      <w:proofErr w:type="spellEnd"/>
      <w:r>
        <w:t xml:space="preserve"> delivery and rapid response.</w:t>
      </w:r>
    </w:p>
    <w:p w14:paraId="329A0D22" w14:textId="77777777" w:rsidR="00D20A9A" w:rsidRDefault="00D20A9A" w:rsidP="00D20A9A">
      <w:pPr>
        <w:spacing w:after="120" w:line="360" w:lineRule="auto"/>
      </w:pPr>
      <w:r>
        <w:t xml:space="preserve">The theory analysis also becomes clearer when weak fits are ruled out. Great Man and trait theories help explain why empathy and credibility matter, but they are not strong enough as primary theories because the problem is structural and cross boundary. </w:t>
      </w:r>
      <w:proofErr w:type="spellStart"/>
      <w:r>
        <w:t>Behavioural</w:t>
      </w:r>
      <w:proofErr w:type="spellEnd"/>
      <w:r>
        <w:t xml:space="preserve"> theory helps specify what leaders must do, but by itself it does not solve fragmentation. The strongest explanation combines contingency and situational thinking for risk matching, transactional and transformational leadership for reliability and change, and distributed leadership for coordinated action near the home.</w:t>
      </w:r>
    </w:p>
    <w:p w14:paraId="5AF69B87" w14:textId="77777777" w:rsidR="00D20A9A" w:rsidRDefault="00D20A9A" w:rsidP="00D20A9A">
      <w:pPr>
        <w:spacing w:after="120" w:line="360" w:lineRule="auto"/>
      </w:pPr>
      <w:r>
        <w:t xml:space="preserve">The proposed transformation </w:t>
      </w:r>
      <w:proofErr w:type="spellStart"/>
      <w:r>
        <w:t>programme</w:t>
      </w:r>
      <w:proofErr w:type="spellEnd"/>
      <w:r>
        <w:t xml:space="preserve"> addresses the case through early screening, structured education, named coordination, practical support and stronger respite access. These actions are justified by the evidence that social life stress was the highest stress domain at 2.26 and that practical support variables were among the clearest predictors of lower stress (Liu et al., 2020).</w:t>
      </w:r>
    </w:p>
    <w:p w14:paraId="41B98380" w14:textId="77777777" w:rsidR="00DF134C" w:rsidRDefault="00D20A9A" w:rsidP="00D20A9A">
      <w:pPr>
        <w:spacing w:after="120" w:line="360" w:lineRule="auto"/>
      </w:pPr>
      <w:r>
        <w:t>Caregiver outcomes should therefore be assigned to a named owner, reviewed through a shared dashboard and used to drive improvement. When leaders redesign standards, pathways, decision rights and local support capacity, caregiver stress can be treated as a measurable performance issue rather than an invisible cost shifted to families.</w:t>
      </w:r>
    </w:p>
    <w:p w14:paraId="04F6B034" w14:textId="77777777" w:rsidR="009870AF" w:rsidRDefault="009870AF">
      <w:pPr>
        <w:jc w:val="left"/>
        <w:rPr>
          <w:b/>
        </w:rPr>
      </w:pPr>
      <w:r>
        <w:rPr>
          <w:b/>
        </w:rPr>
        <w:br w:type="page"/>
      </w:r>
    </w:p>
    <w:p w14:paraId="06D2612F" w14:textId="77777777" w:rsidR="00DF134C" w:rsidRPr="0081036A" w:rsidRDefault="009870AF" w:rsidP="0081036A">
      <w:pPr>
        <w:pStyle w:val="Heading1"/>
      </w:pPr>
      <w:bookmarkStart w:id="8" w:name="_Toc225143528"/>
      <w:r>
        <w:lastRenderedPageBreak/>
        <w:t>References</w:t>
      </w:r>
      <w:bookmarkEnd w:id="8"/>
    </w:p>
    <w:p w14:paraId="4FE6F495" w14:textId="77777777" w:rsidR="0028462B" w:rsidRDefault="0028462B" w:rsidP="0028462B">
      <w:pPr>
        <w:pStyle w:val="NormalWeb"/>
        <w:spacing w:line="360" w:lineRule="auto"/>
        <w:ind w:left="720" w:hanging="720"/>
        <w:jc w:val="both"/>
      </w:pPr>
      <w:r>
        <w:t>Alzheimer’s Society (2019) Projections of older people with dementia and costs of dementia care in the United Kingdom, 2019-2040. London: Alzheimer’s Society. Available at: https://www.alzheimers.org.uk/sites/default/files/2019-11/cpec_report_november_2019.pdf (Accessed: 19 March 2026).</w:t>
      </w:r>
    </w:p>
    <w:p w14:paraId="6A41CDEB" w14:textId="77777777" w:rsidR="0028462B" w:rsidRDefault="0028462B" w:rsidP="0028462B">
      <w:pPr>
        <w:pStyle w:val="NormalWeb"/>
        <w:spacing w:line="360" w:lineRule="auto"/>
        <w:ind w:left="720" w:hanging="720"/>
        <w:jc w:val="both"/>
      </w:pPr>
      <w:r>
        <w:t>Bass, B.M. (1985) Leadership and Performance beyond Expectations. New York: Free Press.</w:t>
      </w:r>
    </w:p>
    <w:p w14:paraId="7985AFBF" w14:textId="77777777" w:rsidR="0028462B" w:rsidRDefault="0028462B" w:rsidP="0028462B">
      <w:pPr>
        <w:pStyle w:val="NormalWeb"/>
        <w:spacing w:line="360" w:lineRule="auto"/>
        <w:ind w:left="720" w:hanging="720"/>
        <w:jc w:val="both"/>
      </w:pPr>
      <w:r>
        <w:t>Boamah, S.A. et al. (2018) ‘Effect of transformational leadership on job satisfaction and patient safety outcomes’, Nursing Outlook, 66(2), pp. 180-189. Available at: https://doi.org/10.1016/j.outlook.2017.10.004</w:t>
      </w:r>
    </w:p>
    <w:p w14:paraId="18B42A80" w14:textId="77777777" w:rsidR="0028462B" w:rsidRDefault="0028462B" w:rsidP="0028462B">
      <w:pPr>
        <w:pStyle w:val="NormalWeb"/>
        <w:spacing w:line="360" w:lineRule="auto"/>
        <w:ind w:left="720" w:hanging="720"/>
        <w:jc w:val="both"/>
      </w:pPr>
      <w:proofErr w:type="spellStart"/>
      <w:r>
        <w:t>Brodaty</w:t>
      </w:r>
      <w:proofErr w:type="spellEnd"/>
      <w:r>
        <w:t>, H. and Donkin, M. (2009) ‘Family caregivers of people with dementia’, Dialogues in Clinical Neuroscience, 11(2), pp. 217-228. Available at: https://doi.org/10.31887/DCNS.2009.11.2/hbrodaty</w:t>
      </w:r>
    </w:p>
    <w:p w14:paraId="52CF2A92" w14:textId="77777777" w:rsidR="0028462B" w:rsidRDefault="0028462B" w:rsidP="0028462B">
      <w:pPr>
        <w:pStyle w:val="NormalWeb"/>
        <w:spacing w:line="360" w:lineRule="auto"/>
        <w:ind w:left="720" w:hanging="720"/>
        <w:jc w:val="both"/>
      </w:pPr>
      <w:proofErr w:type="spellStart"/>
      <w:r>
        <w:t>Checkland</w:t>
      </w:r>
      <w:proofErr w:type="spellEnd"/>
      <w:r>
        <w:t xml:space="preserve">, P. (2000) ‘Soft systems methodology: a </w:t>
      </w:r>
      <w:proofErr w:type="gramStart"/>
      <w:r>
        <w:t>thirty year</w:t>
      </w:r>
      <w:proofErr w:type="gramEnd"/>
      <w:r>
        <w:t xml:space="preserve"> retrospective’, Systems Research and Behavioral Science, 17(S1), pp. S11-S58. Available at: https://doi.org/10.1002/1099-1743(200011)17:1+%3C::AID-SRES374%3E3.0.CO;2-O</w:t>
      </w:r>
    </w:p>
    <w:p w14:paraId="70A0F41C" w14:textId="77777777" w:rsidR="0028462B" w:rsidRDefault="0028462B" w:rsidP="0028462B">
      <w:pPr>
        <w:pStyle w:val="NormalWeb"/>
        <w:spacing w:line="360" w:lineRule="auto"/>
        <w:ind w:left="720" w:hanging="720"/>
        <w:jc w:val="both"/>
      </w:pPr>
      <w:proofErr w:type="spellStart"/>
      <w:r>
        <w:t>Checkland</w:t>
      </w:r>
      <w:proofErr w:type="spellEnd"/>
      <w:r>
        <w:t>, P. and Poulter, J. (2006) Learning for Action: A Short Definitive Account of Soft Systems Methodology and Its Use for Practitioners, Teachers and Students. Hoboken, NJ: Wiley.</w:t>
      </w:r>
    </w:p>
    <w:p w14:paraId="69C1C48A" w14:textId="77777777" w:rsidR="0028462B" w:rsidRDefault="0028462B" w:rsidP="0028462B">
      <w:pPr>
        <w:pStyle w:val="NormalWeb"/>
        <w:spacing w:line="360" w:lineRule="auto"/>
        <w:ind w:left="720" w:hanging="720"/>
        <w:jc w:val="both"/>
      </w:pPr>
      <w:r>
        <w:t>Executive Yuan (n.d.) Long-term Care Plan 2.0. Available at: https://english.ey.gov.tw/News3/9E5540D592A5FECD/332a78c0-0c8e-4064-bd71-8c22477dae75 (Accessed: 19 March 2026).</w:t>
      </w:r>
    </w:p>
    <w:p w14:paraId="499DD167" w14:textId="77777777" w:rsidR="0028462B" w:rsidRDefault="0028462B" w:rsidP="0028462B">
      <w:pPr>
        <w:pStyle w:val="NormalWeb"/>
        <w:spacing w:line="360" w:lineRule="auto"/>
        <w:ind w:left="720" w:hanging="720"/>
        <w:jc w:val="both"/>
      </w:pPr>
      <w:r>
        <w:t>Fiedler, F.E. (1964) ‘A contingency model of leadership effectiveness’, Advances in Experimental Social Psychology, 1, pp. 149-190. Available at: https://doi.org/10.1016/S0065-2601(08)60051-9</w:t>
      </w:r>
    </w:p>
    <w:p w14:paraId="46772C24" w14:textId="77777777" w:rsidR="0028462B" w:rsidRDefault="0028462B" w:rsidP="0028462B">
      <w:pPr>
        <w:pStyle w:val="NormalWeb"/>
        <w:spacing w:line="360" w:lineRule="auto"/>
        <w:ind w:left="720" w:hanging="720"/>
        <w:jc w:val="both"/>
      </w:pPr>
      <w:proofErr w:type="spellStart"/>
      <w:r>
        <w:lastRenderedPageBreak/>
        <w:t>Graeff</w:t>
      </w:r>
      <w:proofErr w:type="spellEnd"/>
      <w:r>
        <w:t>, C.L. (1997) ‘Evolution of situational leadership theory: a critical review’, The Leadership Quarterly, 8(2), pp. 153-170. Available at: https://doi.org/10.1016/S1048-9843(97)90014-X</w:t>
      </w:r>
    </w:p>
    <w:p w14:paraId="64E5451B" w14:textId="77777777" w:rsidR="0028462B" w:rsidRDefault="0028462B" w:rsidP="0028462B">
      <w:pPr>
        <w:pStyle w:val="NormalWeb"/>
        <w:spacing w:line="360" w:lineRule="auto"/>
        <w:ind w:left="720" w:hanging="720"/>
        <w:jc w:val="both"/>
      </w:pPr>
      <w:r>
        <w:t>Greenhalgh, T. et al. (2004) ‘Diffusion of innovations in service organizations: systematic review and recommendations’, The Milbank Quarterly, 82(4), pp. 581-629. Available at: https://doi.org/10.1111/j.0887-378X.2004.00325.x</w:t>
      </w:r>
    </w:p>
    <w:p w14:paraId="4A990974" w14:textId="77777777" w:rsidR="0028462B" w:rsidRDefault="0028462B" w:rsidP="0028462B">
      <w:pPr>
        <w:pStyle w:val="NormalWeb"/>
        <w:spacing w:line="360" w:lineRule="auto"/>
        <w:ind w:left="720" w:hanging="720"/>
        <w:jc w:val="both"/>
      </w:pPr>
      <w:proofErr w:type="spellStart"/>
      <w:r>
        <w:t>Gronn</w:t>
      </w:r>
      <w:proofErr w:type="spellEnd"/>
      <w:r>
        <w:t>, P.C. (2002) ‘Distributed leadership as a unit of analysis’, The Leadership Quarterly, 13(4), pp. 423-451. Available at: https://doi.org/10.1016/S1048-9843(02)00120-0</w:t>
      </w:r>
    </w:p>
    <w:p w14:paraId="6C0C8F83" w14:textId="77777777" w:rsidR="0028462B" w:rsidRDefault="0028462B" w:rsidP="0028462B">
      <w:pPr>
        <w:pStyle w:val="NormalWeb"/>
        <w:spacing w:line="360" w:lineRule="auto"/>
        <w:ind w:left="720" w:hanging="720"/>
        <w:jc w:val="both"/>
      </w:pPr>
      <w:r>
        <w:t>Hersey, P. and Blanchard, K.H. (1969) ‘Life cycle theory of leadership’, Training and Development Journal, 23(5), pp. 26-34.</w:t>
      </w:r>
    </w:p>
    <w:p w14:paraId="38EA95C4" w14:textId="77777777" w:rsidR="0028462B" w:rsidRDefault="0028462B" w:rsidP="0028462B">
      <w:pPr>
        <w:pStyle w:val="NormalWeb"/>
        <w:spacing w:line="360" w:lineRule="auto"/>
        <w:ind w:left="720" w:hanging="720"/>
        <w:jc w:val="both"/>
      </w:pPr>
      <w:r>
        <w:t xml:space="preserve">Hsiao, Y.-H., </w:t>
      </w:r>
      <w:proofErr w:type="spellStart"/>
      <w:r>
        <w:t>Kuo</w:t>
      </w:r>
      <w:proofErr w:type="spellEnd"/>
      <w:r>
        <w:t>, T.A., Tai, C.-J., Lee, S.-S. and Lee, M.-C. (2019) ‘Integrated care for dementia in Taiwan: policy, system and services’, International Journal of Gerontology, 13(S1), pp. S73-S77. Available at: https://doi.org/10.6890/IJGE.201910/SP.0012</w:t>
      </w:r>
    </w:p>
    <w:p w14:paraId="1A805FBD" w14:textId="77777777" w:rsidR="0028462B" w:rsidRDefault="0028462B" w:rsidP="0028462B">
      <w:pPr>
        <w:pStyle w:val="NormalWeb"/>
        <w:spacing w:line="360" w:lineRule="auto"/>
        <w:ind w:left="720" w:hanging="720"/>
        <w:jc w:val="both"/>
      </w:pPr>
      <w:r>
        <w:t>Lazarus, R.S. and Folkman, S. (1984) Stress, Appraisal, and Coping. New York: Springer Publishing Company.</w:t>
      </w:r>
    </w:p>
    <w:p w14:paraId="49E59FD7" w14:textId="77777777" w:rsidR="0028462B" w:rsidRDefault="0028462B" w:rsidP="0028462B">
      <w:pPr>
        <w:pStyle w:val="NormalWeb"/>
        <w:spacing w:line="360" w:lineRule="auto"/>
        <w:ind w:left="720" w:hanging="720"/>
        <w:jc w:val="both"/>
      </w:pPr>
      <w:proofErr w:type="spellStart"/>
      <w:r>
        <w:t>Leutz</w:t>
      </w:r>
      <w:proofErr w:type="spellEnd"/>
      <w:r>
        <w:t>, W.N. (1999) ‘Five laws for integrating medical and social services: lessons from the United States and the United Kingdom’, The Milbank Quarterly, 77(1), pp. 77-110. Available at: https://doi.org/10.1111/1468-0009.00125</w:t>
      </w:r>
    </w:p>
    <w:p w14:paraId="0931CE34" w14:textId="77777777" w:rsidR="0028462B" w:rsidRDefault="0028462B" w:rsidP="0028462B">
      <w:pPr>
        <w:pStyle w:val="NormalWeb"/>
        <w:spacing w:line="360" w:lineRule="auto"/>
        <w:ind w:left="720" w:hanging="720"/>
        <w:jc w:val="both"/>
      </w:pPr>
      <w:r>
        <w:t>Liu, C.-C. et al. (2020) ‘Exploring the relationship between the caregiver’s stress load and dementia patient behavior: a case study of dementia specialist outpatient data from the Southern Medical Center of Taiwan’, International Journal of Environmental Research and Public Health, 17(14), p. 4989. Available at: https://doi.org/10.3390/ijerph17144989</w:t>
      </w:r>
    </w:p>
    <w:p w14:paraId="56C06539" w14:textId="77777777" w:rsidR="0028462B" w:rsidRDefault="0028462B" w:rsidP="0028462B">
      <w:pPr>
        <w:pStyle w:val="NormalWeb"/>
        <w:spacing w:line="360" w:lineRule="auto"/>
        <w:ind w:left="720" w:hanging="720"/>
        <w:jc w:val="both"/>
      </w:pPr>
      <w:r>
        <w:t xml:space="preserve">McMullin, C. and Needham, C. (2018) ‘Co-production in healthcare’, in </w:t>
      </w:r>
      <w:proofErr w:type="spellStart"/>
      <w:r>
        <w:t>Brandsen</w:t>
      </w:r>
      <w:proofErr w:type="spellEnd"/>
      <w:r>
        <w:t xml:space="preserve">, T., Steen, T. and </w:t>
      </w:r>
      <w:proofErr w:type="spellStart"/>
      <w:r>
        <w:t>Verschuere</w:t>
      </w:r>
      <w:proofErr w:type="spellEnd"/>
      <w:r>
        <w:t xml:space="preserve">, B. (eds.) Co-Production and Co-Creation: Engaging </w:t>
      </w:r>
      <w:r>
        <w:lastRenderedPageBreak/>
        <w:t>Citizens in Public Services. New York: Routledge, pp. 151-160. Available at: https://doi.org/10.4324/9781315204956-22</w:t>
      </w:r>
    </w:p>
    <w:p w14:paraId="2DF82EB9" w14:textId="77777777" w:rsidR="0028462B" w:rsidRDefault="0028462B" w:rsidP="00BE24AA">
      <w:pPr>
        <w:spacing w:line="360" w:lineRule="auto"/>
        <w:ind w:left="720" w:hanging="720"/>
      </w:pPr>
      <w:r>
        <w:t>Ministry of Health and Welfare (2018) Dementia Prevention and Care Policy and Action Plan 2.0. Available at: https://www.mohw.gov.tw/dl-51182-b894344f-f241-4f7b-adc2-e3a6644d9fb1.html (Accessed: 19 March 2026).</w:t>
      </w:r>
    </w:p>
    <w:p w14:paraId="25254214" w14:textId="77777777" w:rsidR="001E61BC" w:rsidRDefault="00E84BE4">
      <w:proofErr w:type="spellStart"/>
      <w:r>
        <w:t>Pearlin</w:t>
      </w:r>
      <w:proofErr w:type="spellEnd"/>
      <w:r>
        <w:t>, L.I. et al. (1990) ‘Caregiving and the stress process: an overview of concepts and their measures’, The Gerontologist, 30(5), pp. 583-594. Available at: https://doi.org/10.1093/geront/30.5.583</w:t>
      </w:r>
    </w:p>
    <w:p w14:paraId="2164CF10" w14:textId="77777777" w:rsidR="001E61BC" w:rsidRDefault="00E84BE4">
      <w:r>
        <w:t>Senge, P.M. (1990) The Fifth Discipline: The Art and Practice of the Learning Organization. New York: Currency Doubleday.</w:t>
      </w:r>
    </w:p>
    <w:p w14:paraId="33684B77" w14:textId="77777777" w:rsidR="001E61BC" w:rsidRDefault="00E84BE4">
      <w:r>
        <w:t>Tannenbaum, R. and Schmidt, W.H. (1958) ‘How to choose a leadership pattern’, Harvard Business Review, 36(2), pp. 95-101.</w:t>
      </w:r>
    </w:p>
    <w:p w14:paraId="4323E5FA" w14:textId="77777777" w:rsidR="001E61BC" w:rsidRDefault="00E84BE4">
      <w:r>
        <w:t>Wilks, S.E. and Croom, B. (2008) ‘Perceived stress and resilience in Alzheimer’s disease caregivers: testing moderation and mediation models of social support’, Aging &amp; Mental Health, 12(3), pp. 357-365. Available at: https://doi.org/10.1080/13607860801933323</w:t>
      </w:r>
    </w:p>
    <w:p w14:paraId="533A882D" w14:textId="77777777" w:rsidR="001E61BC" w:rsidRDefault="00E84BE4">
      <w:proofErr w:type="spellStart"/>
      <w:r>
        <w:t>Wimo</w:t>
      </w:r>
      <w:proofErr w:type="spellEnd"/>
      <w:r>
        <w:t>, A. et al. (2023) ‘The worldwide costs of dementia in 2019’, Alzheimer’s &amp; Dementia, 19(7), pp. 2865-2873. Available at: https://doi.org/10.1002/alz.12901</w:t>
      </w:r>
    </w:p>
    <w:p w14:paraId="078716D2" w14:textId="77777777" w:rsidR="001E61BC" w:rsidRDefault="00E84BE4">
      <w:r>
        <w:t>World Health Organization (2017) Global action plan on the public health response to dementia 2017-2025. Geneva: World Health Organization. Available at: https://www.who.int/publications/i/item/global-action-plan-on-the-public-health-response-to-dementia-2017---2025 (Accessed: 19 March 2026).</w:t>
      </w:r>
    </w:p>
    <w:p w14:paraId="64831C0D" w14:textId="77777777" w:rsidR="001E61BC" w:rsidRDefault="00E84BE4">
      <w:r>
        <w:t>World Health Organization (2025) Dementia. Available at: https://www.who.int/news-room/fact-sheets/detail/dementia (Accessed: 19 March 2026).</w:t>
      </w:r>
    </w:p>
    <w:p w14:paraId="14D80D8B" w14:textId="77777777" w:rsidR="001E61BC" w:rsidRDefault="00E84BE4">
      <w:proofErr w:type="spellStart"/>
      <w:r>
        <w:t>Zaccaro</w:t>
      </w:r>
      <w:proofErr w:type="spellEnd"/>
      <w:r>
        <w:t>, S.J. (2007) ‘Trait-based perspectives of leadership’, American Psychologist, 62(1), pp. 6-16. Available at: https://doi.org/10.1037/0003-066X.62.1.6</w:t>
      </w:r>
    </w:p>
    <w:sectPr w:rsidR="001E61B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BF335" w14:textId="77777777" w:rsidR="009D2A6F" w:rsidRDefault="009D2A6F" w:rsidP="00B648FA">
      <w:pPr>
        <w:spacing w:after="0" w:line="240" w:lineRule="auto"/>
      </w:pPr>
      <w:r>
        <w:separator/>
      </w:r>
    </w:p>
  </w:endnote>
  <w:endnote w:type="continuationSeparator" w:id="0">
    <w:p w14:paraId="6A3D4F8C" w14:textId="77777777" w:rsidR="009D2A6F" w:rsidRDefault="009D2A6F" w:rsidP="00B64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F56B" w14:textId="77777777" w:rsidR="009D2A6F" w:rsidRDefault="009D2A6F" w:rsidP="00B648FA">
      <w:pPr>
        <w:spacing w:after="0" w:line="240" w:lineRule="auto"/>
      </w:pPr>
      <w:r>
        <w:separator/>
      </w:r>
    </w:p>
  </w:footnote>
  <w:footnote w:type="continuationSeparator" w:id="0">
    <w:p w14:paraId="4FD455C6" w14:textId="77777777" w:rsidR="009D2A6F" w:rsidRDefault="009D2A6F" w:rsidP="00B64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62804D3"/>
    <w:multiLevelType w:val="hybridMultilevel"/>
    <w:tmpl w:val="8C9CD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3FE"/>
    <w:rsid w:val="000B30C6"/>
    <w:rsid w:val="00117D03"/>
    <w:rsid w:val="0015074B"/>
    <w:rsid w:val="00156874"/>
    <w:rsid w:val="001E61BC"/>
    <w:rsid w:val="001F381E"/>
    <w:rsid w:val="00225B4E"/>
    <w:rsid w:val="00241AC2"/>
    <w:rsid w:val="002632C1"/>
    <w:rsid w:val="0026408A"/>
    <w:rsid w:val="002776E6"/>
    <w:rsid w:val="00281EBB"/>
    <w:rsid w:val="0028462B"/>
    <w:rsid w:val="00291FE1"/>
    <w:rsid w:val="0029639D"/>
    <w:rsid w:val="002B4E0C"/>
    <w:rsid w:val="002F411F"/>
    <w:rsid w:val="003104F8"/>
    <w:rsid w:val="00326F90"/>
    <w:rsid w:val="0037343B"/>
    <w:rsid w:val="003A03C5"/>
    <w:rsid w:val="0045077A"/>
    <w:rsid w:val="00461414"/>
    <w:rsid w:val="004948E8"/>
    <w:rsid w:val="004E5C4E"/>
    <w:rsid w:val="005155DA"/>
    <w:rsid w:val="005214A3"/>
    <w:rsid w:val="005C61CE"/>
    <w:rsid w:val="005F005F"/>
    <w:rsid w:val="00634C62"/>
    <w:rsid w:val="006B2DF6"/>
    <w:rsid w:val="006C4F14"/>
    <w:rsid w:val="006D7BBE"/>
    <w:rsid w:val="006E4C30"/>
    <w:rsid w:val="00761147"/>
    <w:rsid w:val="0081036A"/>
    <w:rsid w:val="008213F6"/>
    <w:rsid w:val="00860FAB"/>
    <w:rsid w:val="008A7890"/>
    <w:rsid w:val="008B765A"/>
    <w:rsid w:val="008D482A"/>
    <w:rsid w:val="009870AF"/>
    <w:rsid w:val="009D2A6F"/>
    <w:rsid w:val="00A357F4"/>
    <w:rsid w:val="00AA1D8D"/>
    <w:rsid w:val="00AE095C"/>
    <w:rsid w:val="00B47730"/>
    <w:rsid w:val="00B648FA"/>
    <w:rsid w:val="00B930D3"/>
    <w:rsid w:val="00BE24AA"/>
    <w:rsid w:val="00BE75A5"/>
    <w:rsid w:val="00C40F02"/>
    <w:rsid w:val="00CB0664"/>
    <w:rsid w:val="00D20A9A"/>
    <w:rsid w:val="00D961A8"/>
    <w:rsid w:val="00DF134C"/>
    <w:rsid w:val="00E712EF"/>
    <w:rsid w:val="00E84BE4"/>
    <w:rsid w:val="00F25181"/>
    <w:rsid w:val="00F739E4"/>
    <w:rsid w:val="00FA67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45CE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3FE"/>
    <w:pPr>
      <w:jc w:val="both"/>
    </w:pPr>
    <w:rPr>
      <w:rFonts w:ascii="Arial" w:eastAsia="Arial" w:hAnsi="Arial"/>
    </w:rPr>
  </w:style>
  <w:style w:type="paragraph" w:styleId="Heading1">
    <w:name w:val="heading 1"/>
    <w:basedOn w:val="Normal"/>
    <w:next w:val="Normal"/>
    <w:link w:val="Heading1Char"/>
    <w:uiPriority w:val="9"/>
    <w:qFormat/>
    <w:rsid w:val="000733FE"/>
    <w:pPr>
      <w:spacing w:after="120" w:line="360" w:lineRule="auto"/>
      <w:outlineLvl w:val="0"/>
    </w:pPr>
    <w:rPr>
      <w:b/>
    </w:rPr>
  </w:style>
  <w:style w:type="paragraph" w:styleId="Heading2">
    <w:name w:val="heading 2"/>
    <w:basedOn w:val="Normal"/>
    <w:next w:val="Normal"/>
    <w:link w:val="Heading2Char"/>
    <w:uiPriority w:val="9"/>
    <w:unhideWhenUsed/>
    <w:qFormat/>
    <w:rsid w:val="000733FE"/>
    <w:pPr>
      <w:spacing w:after="120" w:line="360" w:lineRule="auto"/>
      <w:outlineLvl w:val="1"/>
    </w:pPr>
    <w:rPr>
      <w:b/>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733FE"/>
    <w:rPr>
      <w:rFonts w:ascii="Arial" w:eastAsia="Arial" w:hAnsi="Arial"/>
      <w:b/>
    </w:rPr>
  </w:style>
  <w:style w:type="character" w:customStyle="1" w:styleId="Heading2Char">
    <w:name w:val="Heading 2 Char"/>
    <w:basedOn w:val="DefaultParagraphFont"/>
    <w:link w:val="Heading2"/>
    <w:uiPriority w:val="9"/>
    <w:rsid w:val="000733FE"/>
    <w:rPr>
      <w:rFonts w:ascii="Arial" w:eastAsia="Arial" w:hAnsi="Arial"/>
      <w:b/>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213F6"/>
    <w:rPr>
      <w:color w:val="0000FF"/>
      <w:u w:val="single"/>
    </w:rPr>
  </w:style>
  <w:style w:type="character" w:styleId="FollowedHyperlink">
    <w:name w:val="FollowedHyperlink"/>
    <w:basedOn w:val="DefaultParagraphFont"/>
    <w:uiPriority w:val="99"/>
    <w:semiHidden/>
    <w:unhideWhenUsed/>
    <w:rsid w:val="006B2DF6"/>
    <w:rPr>
      <w:color w:val="800080" w:themeColor="followedHyperlink"/>
      <w:u w:val="single"/>
    </w:rPr>
  </w:style>
  <w:style w:type="paragraph" w:styleId="TOC1">
    <w:name w:val="toc 1"/>
    <w:basedOn w:val="Normal"/>
    <w:next w:val="Normal"/>
    <w:autoRedefine/>
    <w:uiPriority w:val="39"/>
    <w:unhideWhenUsed/>
    <w:rsid w:val="0081036A"/>
    <w:pPr>
      <w:spacing w:after="100"/>
    </w:pPr>
  </w:style>
  <w:style w:type="paragraph" w:styleId="TOC2">
    <w:name w:val="toc 2"/>
    <w:basedOn w:val="Normal"/>
    <w:next w:val="Normal"/>
    <w:autoRedefine/>
    <w:uiPriority w:val="39"/>
    <w:unhideWhenUsed/>
    <w:rsid w:val="0081036A"/>
    <w:pPr>
      <w:spacing w:after="100"/>
      <w:ind w:left="220"/>
    </w:pPr>
  </w:style>
  <w:style w:type="paragraph" w:styleId="NormalWeb">
    <w:name w:val="Normal (Web)"/>
    <w:basedOn w:val="Normal"/>
    <w:uiPriority w:val="99"/>
    <w:semiHidden/>
    <w:unhideWhenUsed/>
    <w:rsid w:val="0028462B"/>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84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43491">
      <w:bodyDiv w:val="1"/>
      <w:marLeft w:val="0"/>
      <w:marRight w:val="0"/>
      <w:marTop w:val="0"/>
      <w:marBottom w:val="0"/>
      <w:divBdr>
        <w:top w:val="none" w:sz="0" w:space="0" w:color="auto"/>
        <w:left w:val="none" w:sz="0" w:space="0" w:color="auto"/>
        <w:bottom w:val="none" w:sz="0" w:space="0" w:color="auto"/>
        <w:right w:val="none" w:sz="0" w:space="0" w:color="auto"/>
      </w:divBdr>
      <w:divsChild>
        <w:div w:id="877472544">
          <w:marLeft w:val="0"/>
          <w:marRight w:val="0"/>
          <w:marTop w:val="0"/>
          <w:marBottom w:val="0"/>
          <w:divBdr>
            <w:top w:val="none" w:sz="0" w:space="0" w:color="auto"/>
            <w:left w:val="none" w:sz="0" w:space="0" w:color="auto"/>
            <w:bottom w:val="none" w:sz="0" w:space="0" w:color="auto"/>
            <w:right w:val="none" w:sz="0" w:space="0" w:color="auto"/>
          </w:divBdr>
          <w:divsChild>
            <w:div w:id="132015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24096">
      <w:bodyDiv w:val="1"/>
      <w:marLeft w:val="0"/>
      <w:marRight w:val="0"/>
      <w:marTop w:val="0"/>
      <w:marBottom w:val="0"/>
      <w:divBdr>
        <w:top w:val="none" w:sz="0" w:space="0" w:color="auto"/>
        <w:left w:val="none" w:sz="0" w:space="0" w:color="auto"/>
        <w:bottom w:val="none" w:sz="0" w:space="0" w:color="auto"/>
        <w:right w:val="none" w:sz="0" w:space="0" w:color="auto"/>
      </w:divBdr>
      <w:divsChild>
        <w:div w:id="1285578039">
          <w:marLeft w:val="0"/>
          <w:marRight w:val="0"/>
          <w:marTop w:val="0"/>
          <w:marBottom w:val="0"/>
          <w:divBdr>
            <w:top w:val="none" w:sz="0" w:space="0" w:color="auto"/>
            <w:left w:val="none" w:sz="0" w:space="0" w:color="auto"/>
            <w:bottom w:val="none" w:sz="0" w:space="0" w:color="auto"/>
            <w:right w:val="none" w:sz="0" w:space="0" w:color="auto"/>
          </w:divBdr>
          <w:divsChild>
            <w:div w:id="2074499012">
              <w:marLeft w:val="0"/>
              <w:marRight w:val="0"/>
              <w:marTop w:val="0"/>
              <w:marBottom w:val="240"/>
              <w:divBdr>
                <w:top w:val="none" w:sz="0" w:space="0" w:color="auto"/>
                <w:left w:val="none" w:sz="0" w:space="0" w:color="auto"/>
                <w:bottom w:val="none" w:sz="0" w:space="0" w:color="auto"/>
                <w:right w:val="none" w:sz="0" w:space="0" w:color="auto"/>
              </w:divBdr>
            </w:div>
            <w:div w:id="345911487">
              <w:marLeft w:val="0"/>
              <w:marRight w:val="0"/>
              <w:marTop w:val="0"/>
              <w:marBottom w:val="240"/>
              <w:divBdr>
                <w:top w:val="none" w:sz="0" w:space="0" w:color="auto"/>
                <w:left w:val="none" w:sz="0" w:space="0" w:color="auto"/>
                <w:bottom w:val="none" w:sz="0" w:space="0" w:color="auto"/>
                <w:right w:val="none" w:sz="0" w:space="0" w:color="auto"/>
              </w:divBdr>
            </w:div>
            <w:div w:id="594216273">
              <w:marLeft w:val="0"/>
              <w:marRight w:val="0"/>
              <w:marTop w:val="0"/>
              <w:marBottom w:val="240"/>
              <w:divBdr>
                <w:top w:val="none" w:sz="0" w:space="0" w:color="auto"/>
                <w:left w:val="none" w:sz="0" w:space="0" w:color="auto"/>
                <w:bottom w:val="none" w:sz="0" w:space="0" w:color="auto"/>
                <w:right w:val="none" w:sz="0" w:space="0" w:color="auto"/>
              </w:divBdr>
            </w:div>
            <w:div w:id="2129808254">
              <w:marLeft w:val="0"/>
              <w:marRight w:val="0"/>
              <w:marTop w:val="0"/>
              <w:marBottom w:val="240"/>
              <w:divBdr>
                <w:top w:val="none" w:sz="0" w:space="0" w:color="auto"/>
                <w:left w:val="none" w:sz="0" w:space="0" w:color="auto"/>
                <w:bottom w:val="none" w:sz="0" w:space="0" w:color="auto"/>
                <w:right w:val="none" w:sz="0" w:space="0" w:color="auto"/>
              </w:divBdr>
            </w:div>
            <w:div w:id="1191338617">
              <w:marLeft w:val="0"/>
              <w:marRight w:val="0"/>
              <w:marTop w:val="0"/>
              <w:marBottom w:val="240"/>
              <w:divBdr>
                <w:top w:val="none" w:sz="0" w:space="0" w:color="auto"/>
                <w:left w:val="none" w:sz="0" w:space="0" w:color="auto"/>
                <w:bottom w:val="none" w:sz="0" w:space="0" w:color="auto"/>
                <w:right w:val="none" w:sz="0" w:space="0" w:color="auto"/>
              </w:divBdr>
            </w:div>
            <w:div w:id="1744376525">
              <w:marLeft w:val="0"/>
              <w:marRight w:val="0"/>
              <w:marTop w:val="0"/>
              <w:marBottom w:val="240"/>
              <w:divBdr>
                <w:top w:val="none" w:sz="0" w:space="0" w:color="auto"/>
                <w:left w:val="none" w:sz="0" w:space="0" w:color="auto"/>
                <w:bottom w:val="none" w:sz="0" w:space="0" w:color="auto"/>
                <w:right w:val="none" w:sz="0" w:space="0" w:color="auto"/>
              </w:divBdr>
            </w:div>
            <w:div w:id="1023675398">
              <w:marLeft w:val="0"/>
              <w:marRight w:val="0"/>
              <w:marTop w:val="0"/>
              <w:marBottom w:val="240"/>
              <w:divBdr>
                <w:top w:val="none" w:sz="0" w:space="0" w:color="auto"/>
                <w:left w:val="none" w:sz="0" w:space="0" w:color="auto"/>
                <w:bottom w:val="none" w:sz="0" w:space="0" w:color="auto"/>
                <w:right w:val="none" w:sz="0" w:space="0" w:color="auto"/>
              </w:divBdr>
            </w:div>
            <w:div w:id="1083407192">
              <w:marLeft w:val="0"/>
              <w:marRight w:val="0"/>
              <w:marTop w:val="0"/>
              <w:marBottom w:val="240"/>
              <w:divBdr>
                <w:top w:val="none" w:sz="0" w:space="0" w:color="auto"/>
                <w:left w:val="none" w:sz="0" w:space="0" w:color="auto"/>
                <w:bottom w:val="none" w:sz="0" w:space="0" w:color="auto"/>
                <w:right w:val="none" w:sz="0" w:space="0" w:color="auto"/>
              </w:divBdr>
            </w:div>
            <w:div w:id="2140148590">
              <w:marLeft w:val="0"/>
              <w:marRight w:val="0"/>
              <w:marTop w:val="0"/>
              <w:marBottom w:val="240"/>
              <w:divBdr>
                <w:top w:val="none" w:sz="0" w:space="0" w:color="auto"/>
                <w:left w:val="none" w:sz="0" w:space="0" w:color="auto"/>
                <w:bottom w:val="none" w:sz="0" w:space="0" w:color="auto"/>
                <w:right w:val="none" w:sz="0" w:space="0" w:color="auto"/>
              </w:divBdr>
            </w:div>
            <w:div w:id="2113014180">
              <w:marLeft w:val="0"/>
              <w:marRight w:val="0"/>
              <w:marTop w:val="0"/>
              <w:marBottom w:val="240"/>
              <w:divBdr>
                <w:top w:val="none" w:sz="0" w:space="0" w:color="auto"/>
                <w:left w:val="none" w:sz="0" w:space="0" w:color="auto"/>
                <w:bottom w:val="none" w:sz="0" w:space="0" w:color="auto"/>
                <w:right w:val="none" w:sz="0" w:space="0" w:color="auto"/>
              </w:divBdr>
            </w:div>
            <w:div w:id="1618102217">
              <w:marLeft w:val="0"/>
              <w:marRight w:val="0"/>
              <w:marTop w:val="0"/>
              <w:marBottom w:val="240"/>
              <w:divBdr>
                <w:top w:val="none" w:sz="0" w:space="0" w:color="auto"/>
                <w:left w:val="none" w:sz="0" w:space="0" w:color="auto"/>
                <w:bottom w:val="none" w:sz="0" w:space="0" w:color="auto"/>
                <w:right w:val="none" w:sz="0" w:space="0" w:color="auto"/>
              </w:divBdr>
            </w:div>
            <w:div w:id="398407198">
              <w:marLeft w:val="0"/>
              <w:marRight w:val="0"/>
              <w:marTop w:val="0"/>
              <w:marBottom w:val="240"/>
              <w:divBdr>
                <w:top w:val="none" w:sz="0" w:space="0" w:color="auto"/>
                <w:left w:val="none" w:sz="0" w:space="0" w:color="auto"/>
                <w:bottom w:val="none" w:sz="0" w:space="0" w:color="auto"/>
                <w:right w:val="none" w:sz="0" w:space="0" w:color="auto"/>
              </w:divBdr>
            </w:div>
            <w:div w:id="880089476">
              <w:marLeft w:val="0"/>
              <w:marRight w:val="0"/>
              <w:marTop w:val="0"/>
              <w:marBottom w:val="240"/>
              <w:divBdr>
                <w:top w:val="none" w:sz="0" w:space="0" w:color="auto"/>
                <w:left w:val="none" w:sz="0" w:space="0" w:color="auto"/>
                <w:bottom w:val="none" w:sz="0" w:space="0" w:color="auto"/>
                <w:right w:val="none" w:sz="0" w:space="0" w:color="auto"/>
              </w:divBdr>
            </w:div>
            <w:div w:id="1591573457">
              <w:marLeft w:val="0"/>
              <w:marRight w:val="0"/>
              <w:marTop w:val="0"/>
              <w:marBottom w:val="240"/>
              <w:divBdr>
                <w:top w:val="none" w:sz="0" w:space="0" w:color="auto"/>
                <w:left w:val="none" w:sz="0" w:space="0" w:color="auto"/>
                <w:bottom w:val="none" w:sz="0" w:space="0" w:color="auto"/>
                <w:right w:val="none" w:sz="0" w:space="0" w:color="auto"/>
              </w:divBdr>
            </w:div>
            <w:div w:id="525564058">
              <w:marLeft w:val="0"/>
              <w:marRight w:val="0"/>
              <w:marTop w:val="0"/>
              <w:marBottom w:val="240"/>
              <w:divBdr>
                <w:top w:val="none" w:sz="0" w:space="0" w:color="auto"/>
                <w:left w:val="none" w:sz="0" w:space="0" w:color="auto"/>
                <w:bottom w:val="none" w:sz="0" w:space="0" w:color="auto"/>
                <w:right w:val="none" w:sz="0" w:space="0" w:color="auto"/>
              </w:divBdr>
            </w:div>
            <w:div w:id="1530605928">
              <w:marLeft w:val="0"/>
              <w:marRight w:val="0"/>
              <w:marTop w:val="0"/>
              <w:marBottom w:val="240"/>
              <w:divBdr>
                <w:top w:val="none" w:sz="0" w:space="0" w:color="auto"/>
                <w:left w:val="none" w:sz="0" w:space="0" w:color="auto"/>
                <w:bottom w:val="none" w:sz="0" w:space="0" w:color="auto"/>
                <w:right w:val="none" w:sz="0" w:space="0" w:color="auto"/>
              </w:divBdr>
            </w:div>
            <w:div w:id="2063864486">
              <w:marLeft w:val="0"/>
              <w:marRight w:val="0"/>
              <w:marTop w:val="0"/>
              <w:marBottom w:val="240"/>
              <w:divBdr>
                <w:top w:val="none" w:sz="0" w:space="0" w:color="auto"/>
                <w:left w:val="none" w:sz="0" w:space="0" w:color="auto"/>
                <w:bottom w:val="none" w:sz="0" w:space="0" w:color="auto"/>
                <w:right w:val="none" w:sz="0" w:space="0" w:color="auto"/>
              </w:divBdr>
            </w:div>
            <w:div w:id="1953778394">
              <w:marLeft w:val="0"/>
              <w:marRight w:val="0"/>
              <w:marTop w:val="0"/>
              <w:marBottom w:val="240"/>
              <w:divBdr>
                <w:top w:val="none" w:sz="0" w:space="0" w:color="auto"/>
                <w:left w:val="none" w:sz="0" w:space="0" w:color="auto"/>
                <w:bottom w:val="none" w:sz="0" w:space="0" w:color="auto"/>
                <w:right w:val="none" w:sz="0" w:space="0" w:color="auto"/>
              </w:divBdr>
            </w:div>
            <w:div w:id="913471744">
              <w:marLeft w:val="0"/>
              <w:marRight w:val="0"/>
              <w:marTop w:val="0"/>
              <w:marBottom w:val="240"/>
              <w:divBdr>
                <w:top w:val="none" w:sz="0" w:space="0" w:color="auto"/>
                <w:left w:val="none" w:sz="0" w:space="0" w:color="auto"/>
                <w:bottom w:val="none" w:sz="0" w:space="0" w:color="auto"/>
                <w:right w:val="none" w:sz="0" w:space="0" w:color="auto"/>
              </w:divBdr>
            </w:div>
            <w:div w:id="723718641">
              <w:marLeft w:val="0"/>
              <w:marRight w:val="0"/>
              <w:marTop w:val="0"/>
              <w:marBottom w:val="240"/>
              <w:divBdr>
                <w:top w:val="none" w:sz="0" w:space="0" w:color="auto"/>
                <w:left w:val="none" w:sz="0" w:space="0" w:color="auto"/>
                <w:bottom w:val="none" w:sz="0" w:space="0" w:color="auto"/>
                <w:right w:val="none" w:sz="0" w:space="0" w:color="auto"/>
              </w:divBdr>
            </w:div>
            <w:div w:id="1176192109">
              <w:marLeft w:val="0"/>
              <w:marRight w:val="0"/>
              <w:marTop w:val="0"/>
              <w:marBottom w:val="240"/>
              <w:divBdr>
                <w:top w:val="none" w:sz="0" w:space="0" w:color="auto"/>
                <w:left w:val="none" w:sz="0" w:space="0" w:color="auto"/>
                <w:bottom w:val="none" w:sz="0" w:space="0" w:color="auto"/>
                <w:right w:val="none" w:sz="0" w:space="0" w:color="auto"/>
              </w:divBdr>
            </w:div>
            <w:div w:id="645746197">
              <w:marLeft w:val="0"/>
              <w:marRight w:val="0"/>
              <w:marTop w:val="0"/>
              <w:marBottom w:val="240"/>
              <w:divBdr>
                <w:top w:val="none" w:sz="0" w:space="0" w:color="auto"/>
                <w:left w:val="none" w:sz="0" w:space="0" w:color="auto"/>
                <w:bottom w:val="none" w:sz="0" w:space="0" w:color="auto"/>
                <w:right w:val="none" w:sz="0" w:space="0" w:color="auto"/>
              </w:divBdr>
            </w:div>
            <w:div w:id="651719639">
              <w:marLeft w:val="0"/>
              <w:marRight w:val="0"/>
              <w:marTop w:val="0"/>
              <w:marBottom w:val="240"/>
              <w:divBdr>
                <w:top w:val="none" w:sz="0" w:space="0" w:color="auto"/>
                <w:left w:val="none" w:sz="0" w:space="0" w:color="auto"/>
                <w:bottom w:val="none" w:sz="0" w:space="0" w:color="auto"/>
                <w:right w:val="none" w:sz="0" w:space="0" w:color="auto"/>
              </w:divBdr>
            </w:div>
            <w:div w:id="969894449">
              <w:marLeft w:val="0"/>
              <w:marRight w:val="0"/>
              <w:marTop w:val="0"/>
              <w:marBottom w:val="240"/>
              <w:divBdr>
                <w:top w:val="none" w:sz="0" w:space="0" w:color="auto"/>
                <w:left w:val="none" w:sz="0" w:space="0" w:color="auto"/>
                <w:bottom w:val="none" w:sz="0" w:space="0" w:color="auto"/>
                <w:right w:val="none" w:sz="0" w:space="0" w:color="auto"/>
              </w:divBdr>
            </w:div>
            <w:div w:id="1996567611">
              <w:marLeft w:val="0"/>
              <w:marRight w:val="0"/>
              <w:marTop w:val="0"/>
              <w:marBottom w:val="240"/>
              <w:divBdr>
                <w:top w:val="none" w:sz="0" w:space="0" w:color="auto"/>
                <w:left w:val="none" w:sz="0" w:space="0" w:color="auto"/>
                <w:bottom w:val="none" w:sz="0" w:space="0" w:color="auto"/>
                <w:right w:val="none" w:sz="0" w:space="0" w:color="auto"/>
              </w:divBdr>
            </w:div>
            <w:div w:id="1259947114">
              <w:marLeft w:val="0"/>
              <w:marRight w:val="0"/>
              <w:marTop w:val="0"/>
              <w:marBottom w:val="240"/>
              <w:divBdr>
                <w:top w:val="none" w:sz="0" w:space="0" w:color="auto"/>
                <w:left w:val="none" w:sz="0" w:space="0" w:color="auto"/>
                <w:bottom w:val="none" w:sz="0" w:space="0" w:color="auto"/>
                <w:right w:val="none" w:sz="0" w:space="0" w:color="auto"/>
              </w:divBdr>
            </w:div>
            <w:div w:id="954946999">
              <w:marLeft w:val="0"/>
              <w:marRight w:val="0"/>
              <w:marTop w:val="0"/>
              <w:marBottom w:val="240"/>
              <w:divBdr>
                <w:top w:val="none" w:sz="0" w:space="0" w:color="auto"/>
                <w:left w:val="none" w:sz="0" w:space="0" w:color="auto"/>
                <w:bottom w:val="none" w:sz="0" w:space="0" w:color="auto"/>
                <w:right w:val="none" w:sz="0" w:space="0" w:color="auto"/>
              </w:divBdr>
            </w:div>
            <w:div w:id="168285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632396">
      <w:bodyDiv w:val="1"/>
      <w:marLeft w:val="0"/>
      <w:marRight w:val="0"/>
      <w:marTop w:val="0"/>
      <w:marBottom w:val="0"/>
      <w:divBdr>
        <w:top w:val="none" w:sz="0" w:space="0" w:color="auto"/>
        <w:left w:val="none" w:sz="0" w:space="0" w:color="auto"/>
        <w:bottom w:val="none" w:sz="0" w:space="0" w:color="auto"/>
        <w:right w:val="none" w:sz="0" w:space="0" w:color="auto"/>
      </w:divBdr>
      <w:divsChild>
        <w:div w:id="851380936">
          <w:marLeft w:val="0"/>
          <w:marRight w:val="0"/>
          <w:marTop w:val="0"/>
          <w:marBottom w:val="0"/>
          <w:divBdr>
            <w:top w:val="none" w:sz="0" w:space="0" w:color="auto"/>
            <w:left w:val="none" w:sz="0" w:space="0" w:color="auto"/>
            <w:bottom w:val="none" w:sz="0" w:space="0" w:color="auto"/>
            <w:right w:val="none" w:sz="0" w:space="0" w:color="auto"/>
          </w:divBdr>
          <w:divsChild>
            <w:div w:id="748187655">
              <w:marLeft w:val="0"/>
              <w:marRight w:val="0"/>
              <w:marTop w:val="0"/>
              <w:marBottom w:val="240"/>
              <w:divBdr>
                <w:top w:val="none" w:sz="0" w:space="0" w:color="auto"/>
                <w:left w:val="none" w:sz="0" w:space="0" w:color="auto"/>
                <w:bottom w:val="none" w:sz="0" w:space="0" w:color="auto"/>
                <w:right w:val="none" w:sz="0" w:space="0" w:color="auto"/>
              </w:divBdr>
            </w:div>
            <w:div w:id="1400862505">
              <w:marLeft w:val="0"/>
              <w:marRight w:val="0"/>
              <w:marTop w:val="0"/>
              <w:marBottom w:val="240"/>
              <w:divBdr>
                <w:top w:val="none" w:sz="0" w:space="0" w:color="auto"/>
                <w:left w:val="none" w:sz="0" w:space="0" w:color="auto"/>
                <w:bottom w:val="none" w:sz="0" w:space="0" w:color="auto"/>
                <w:right w:val="none" w:sz="0" w:space="0" w:color="auto"/>
              </w:divBdr>
            </w:div>
            <w:div w:id="258566449">
              <w:marLeft w:val="0"/>
              <w:marRight w:val="0"/>
              <w:marTop w:val="0"/>
              <w:marBottom w:val="240"/>
              <w:divBdr>
                <w:top w:val="none" w:sz="0" w:space="0" w:color="auto"/>
                <w:left w:val="none" w:sz="0" w:space="0" w:color="auto"/>
                <w:bottom w:val="none" w:sz="0" w:space="0" w:color="auto"/>
                <w:right w:val="none" w:sz="0" w:space="0" w:color="auto"/>
              </w:divBdr>
            </w:div>
            <w:div w:id="306479005">
              <w:marLeft w:val="0"/>
              <w:marRight w:val="0"/>
              <w:marTop w:val="0"/>
              <w:marBottom w:val="240"/>
              <w:divBdr>
                <w:top w:val="none" w:sz="0" w:space="0" w:color="auto"/>
                <w:left w:val="none" w:sz="0" w:space="0" w:color="auto"/>
                <w:bottom w:val="none" w:sz="0" w:space="0" w:color="auto"/>
                <w:right w:val="none" w:sz="0" w:space="0" w:color="auto"/>
              </w:divBdr>
            </w:div>
            <w:div w:id="1498695488">
              <w:marLeft w:val="0"/>
              <w:marRight w:val="0"/>
              <w:marTop w:val="0"/>
              <w:marBottom w:val="240"/>
              <w:divBdr>
                <w:top w:val="none" w:sz="0" w:space="0" w:color="auto"/>
                <w:left w:val="none" w:sz="0" w:space="0" w:color="auto"/>
                <w:bottom w:val="none" w:sz="0" w:space="0" w:color="auto"/>
                <w:right w:val="none" w:sz="0" w:space="0" w:color="auto"/>
              </w:divBdr>
            </w:div>
            <w:div w:id="20828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89350">
      <w:bodyDiv w:val="1"/>
      <w:marLeft w:val="0"/>
      <w:marRight w:val="0"/>
      <w:marTop w:val="0"/>
      <w:marBottom w:val="0"/>
      <w:divBdr>
        <w:top w:val="none" w:sz="0" w:space="0" w:color="auto"/>
        <w:left w:val="none" w:sz="0" w:space="0" w:color="auto"/>
        <w:bottom w:val="none" w:sz="0" w:space="0" w:color="auto"/>
        <w:right w:val="none" w:sz="0" w:space="0" w:color="auto"/>
      </w:divBdr>
    </w:div>
    <w:div w:id="2018725245">
      <w:bodyDiv w:val="1"/>
      <w:marLeft w:val="0"/>
      <w:marRight w:val="0"/>
      <w:marTop w:val="0"/>
      <w:marBottom w:val="0"/>
      <w:divBdr>
        <w:top w:val="none" w:sz="0" w:space="0" w:color="auto"/>
        <w:left w:val="none" w:sz="0" w:space="0" w:color="auto"/>
        <w:bottom w:val="none" w:sz="0" w:space="0" w:color="auto"/>
        <w:right w:val="none" w:sz="0" w:space="0" w:color="auto"/>
      </w:divBdr>
      <w:divsChild>
        <w:div w:id="1764765412">
          <w:marLeft w:val="0"/>
          <w:marRight w:val="0"/>
          <w:marTop w:val="0"/>
          <w:marBottom w:val="0"/>
          <w:divBdr>
            <w:top w:val="none" w:sz="0" w:space="0" w:color="auto"/>
            <w:left w:val="none" w:sz="0" w:space="0" w:color="auto"/>
            <w:bottom w:val="none" w:sz="0" w:space="0" w:color="auto"/>
            <w:right w:val="none" w:sz="0" w:space="0" w:color="auto"/>
          </w:divBdr>
          <w:divsChild>
            <w:div w:id="1252078876">
              <w:marLeft w:val="0"/>
              <w:marRight w:val="0"/>
              <w:marTop w:val="0"/>
              <w:marBottom w:val="240"/>
              <w:divBdr>
                <w:top w:val="none" w:sz="0" w:space="0" w:color="auto"/>
                <w:left w:val="none" w:sz="0" w:space="0" w:color="auto"/>
                <w:bottom w:val="none" w:sz="0" w:space="0" w:color="auto"/>
                <w:right w:val="none" w:sz="0" w:space="0" w:color="auto"/>
              </w:divBdr>
            </w:div>
            <w:div w:id="87704314">
              <w:marLeft w:val="0"/>
              <w:marRight w:val="0"/>
              <w:marTop w:val="0"/>
              <w:marBottom w:val="240"/>
              <w:divBdr>
                <w:top w:val="none" w:sz="0" w:space="0" w:color="auto"/>
                <w:left w:val="none" w:sz="0" w:space="0" w:color="auto"/>
                <w:bottom w:val="none" w:sz="0" w:space="0" w:color="auto"/>
                <w:right w:val="none" w:sz="0" w:space="0" w:color="auto"/>
              </w:divBdr>
            </w:div>
            <w:div w:id="2106529994">
              <w:marLeft w:val="0"/>
              <w:marRight w:val="0"/>
              <w:marTop w:val="0"/>
              <w:marBottom w:val="240"/>
              <w:divBdr>
                <w:top w:val="none" w:sz="0" w:space="0" w:color="auto"/>
                <w:left w:val="none" w:sz="0" w:space="0" w:color="auto"/>
                <w:bottom w:val="none" w:sz="0" w:space="0" w:color="auto"/>
                <w:right w:val="none" w:sz="0" w:space="0" w:color="auto"/>
              </w:divBdr>
            </w:div>
            <w:div w:id="33162874">
              <w:marLeft w:val="0"/>
              <w:marRight w:val="0"/>
              <w:marTop w:val="0"/>
              <w:marBottom w:val="240"/>
              <w:divBdr>
                <w:top w:val="none" w:sz="0" w:space="0" w:color="auto"/>
                <w:left w:val="none" w:sz="0" w:space="0" w:color="auto"/>
                <w:bottom w:val="none" w:sz="0" w:space="0" w:color="auto"/>
                <w:right w:val="none" w:sz="0" w:space="0" w:color="auto"/>
              </w:divBdr>
            </w:div>
            <w:div w:id="1987080721">
              <w:marLeft w:val="0"/>
              <w:marRight w:val="0"/>
              <w:marTop w:val="0"/>
              <w:marBottom w:val="240"/>
              <w:divBdr>
                <w:top w:val="none" w:sz="0" w:space="0" w:color="auto"/>
                <w:left w:val="none" w:sz="0" w:space="0" w:color="auto"/>
                <w:bottom w:val="none" w:sz="0" w:space="0" w:color="auto"/>
                <w:right w:val="none" w:sz="0" w:space="0" w:color="auto"/>
              </w:divBdr>
            </w:div>
            <w:div w:id="299380390">
              <w:marLeft w:val="0"/>
              <w:marRight w:val="0"/>
              <w:marTop w:val="0"/>
              <w:marBottom w:val="240"/>
              <w:divBdr>
                <w:top w:val="none" w:sz="0" w:space="0" w:color="auto"/>
                <w:left w:val="none" w:sz="0" w:space="0" w:color="auto"/>
                <w:bottom w:val="none" w:sz="0" w:space="0" w:color="auto"/>
                <w:right w:val="none" w:sz="0" w:space="0" w:color="auto"/>
              </w:divBdr>
            </w:div>
            <w:div w:id="532116766">
              <w:marLeft w:val="0"/>
              <w:marRight w:val="0"/>
              <w:marTop w:val="0"/>
              <w:marBottom w:val="240"/>
              <w:divBdr>
                <w:top w:val="none" w:sz="0" w:space="0" w:color="auto"/>
                <w:left w:val="none" w:sz="0" w:space="0" w:color="auto"/>
                <w:bottom w:val="none" w:sz="0" w:space="0" w:color="auto"/>
                <w:right w:val="none" w:sz="0" w:space="0" w:color="auto"/>
              </w:divBdr>
            </w:div>
            <w:div w:id="720321286">
              <w:marLeft w:val="0"/>
              <w:marRight w:val="0"/>
              <w:marTop w:val="0"/>
              <w:marBottom w:val="240"/>
              <w:divBdr>
                <w:top w:val="none" w:sz="0" w:space="0" w:color="auto"/>
                <w:left w:val="none" w:sz="0" w:space="0" w:color="auto"/>
                <w:bottom w:val="none" w:sz="0" w:space="0" w:color="auto"/>
                <w:right w:val="none" w:sz="0" w:space="0" w:color="auto"/>
              </w:divBdr>
            </w:div>
            <w:div w:id="1962302878">
              <w:marLeft w:val="0"/>
              <w:marRight w:val="0"/>
              <w:marTop w:val="0"/>
              <w:marBottom w:val="240"/>
              <w:divBdr>
                <w:top w:val="none" w:sz="0" w:space="0" w:color="auto"/>
                <w:left w:val="none" w:sz="0" w:space="0" w:color="auto"/>
                <w:bottom w:val="none" w:sz="0" w:space="0" w:color="auto"/>
                <w:right w:val="none" w:sz="0" w:space="0" w:color="auto"/>
              </w:divBdr>
            </w:div>
            <w:div w:id="372655665">
              <w:marLeft w:val="0"/>
              <w:marRight w:val="0"/>
              <w:marTop w:val="0"/>
              <w:marBottom w:val="240"/>
              <w:divBdr>
                <w:top w:val="none" w:sz="0" w:space="0" w:color="auto"/>
                <w:left w:val="none" w:sz="0" w:space="0" w:color="auto"/>
                <w:bottom w:val="none" w:sz="0" w:space="0" w:color="auto"/>
                <w:right w:val="none" w:sz="0" w:space="0" w:color="auto"/>
              </w:divBdr>
            </w:div>
            <w:div w:id="1564488091">
              <w:marLeft w:val="0"/>
              <w:marRight w:val="0"/>
              <w:marTop w:val="0"/>
              <w:marBottom w:val="240"/>
              <w:divBdr>
                <w:top w:val="none" w:sz="0" w:space="0" w:color="auto"/>
                <w:left w:val="none" w:sz="0" w:space="0" w:color="auto"/>
                <w:bottom w:val="none" w:sz="0" w:space="0" w:color="auto"/>
                <w:right w:val="none" w:sz="0" w:space="0" w:color="auto"/>
              </w:divBdr>
            </w:div>
            <w:div w:id="278756263">
              <w:marLeft w:val="0"/>
              <w:marRight w:val="0"/>
              <w:marTop w:val="0"/>
              <w:marBottom w:val="240"/>
              <w:divBdr>
                <w:top w:val="none" w:sz="0" w:space="0" w:color="auto"/>
                <w:left w:val="none" w:sz="0" w:space="0" w:color="auto"/>
                <w:bottom w:val="none" w:sz="0" w:space="0" w:color="auto"/>
                <w:right w:val="none" w:sz="0" w:space="0" w:color="auto"/>
              </w:divBdr>
            </w:div>
            <w:div w:id="1437360465">
              <w:marLeft w:val="0"/>
              <w:marRight w:val="0"/>
              <w:marTop w:val="0"/>
              <w:marBottom w:val="240"/>
              <w:divBdr>
                <w:top w:val="none" w:sz="0" w:space="0" w:color="auto"/>
                <w:left w:val="none" w:sz="0" w:space="0" w:color="auto"/>
                <w:bottom w:val="none" w:sz="0" w:space="0" w:color="auto"/>
                <w:right w:val="none" w:sz="0" w:space="0" w:color="auto"/>
              </w:divBdr>
            </w:div>
            <w:div w:id="31077830">
              <w:marLeft w:val="0"/>
              <w:marRight w:val="0"/>
              <w:marTop w:val="0"/>
              <w:marBottom w:val="240"/>
              <w:divBdr>
                <w:top w:val="none" w:sz="0" w:space="0" w:color="auto"/>
                <w:left w:val="none" w:sz="0" w:space="0" w:color="auto"/>
                <w:bottom w:val="none" w:sz="0" w:space="0" w:color="auto"/>
                <w:right w:val="none" w:sz="0" w:space="0" w:color="auto"/>
              </w:divBdr>
            </w:div>
            <w:div w:id="2010985791">
              <w:marLeft w:val="0"/>
              <w:marRight w:val="0"/>
              <w:marTop w:val="0"/>
              <w:marBottom w:val="240"/>
              <w:divBdr>
                <w:top w:val="none" w:sz="0" w:space="0" w:color="auto"/>
                <w:left w:val="none" w:sz="0" w:space="0" w:color="auto"/>
                <w:bottom w:val="none" w:sz="0" w:space="0" w:color="auto"/>
                <w:right w:val="none" w:sz="0" w:space="0" w:color="auto"/>
              </w:divBdr>
            </w:div>
            <w:div w:id="1042435617">
              <w:marLeft w:val="0"/>
              <w:marRight w:val="0"/>
              <w:marTop w:val="0"/>
              <w:marBottom w:val="240"/>
              <w:divBdr>
                <w:top w:val="none" w:sz="0" w:space="0" w:color="auto"/>
                <w:left w:val="none" w:sz="0" w:space="0" w:color="auto"/>
                <w:bottom w:val="none" w:sz="0" w:space="0" w:color="auto"/>
                <w:right w:val="none" w:sz="0" w:space="0" w:color="auto"/>
              </w:divBdr>
            </w:div>
            <w:div w:id="1791901515">
              <w:marLeft w:val="0"/>
              <w:marRight w:val="0"/>
              <w:marTop w:val="0"/>
              <w:marBottom w:val="240"/>
              <w:divBdr>
                <w:top w:val="none" w:sz="0" w:space="0" w:color="auto"/>
                <w:left w:val="none" w:sz="0" w:space="0" w:color="auto"/>
                <w:bottom w:val="none" w:sz="0" w:space="0" w:color="auto"/>
                <w:right w:val="none" w:sz="0" w:space="0" w:color="auto"/>
              </w:divBdr>
            </w:div>
            <w:div w:id="1027950138">
              <w:marLeft w:val="0"/>
              <w:marRight w:val="0"/>
              <w:marTop w:val="0"/>
              <w:marBottom w:val="240"/>
              <w:divBdr>
                <w:top w:val="none" w:sz="0" w:space="0" w:color="auto"/>
                <w:left w:val="none" w:sz="0" w:space="0" w:color="auto"/>
                <w:bottom w:val="none" w:sz="0" w:space="0" w:color="auto"/>
                <w:right w:val="none" w:sz="0" w:space="0" w:color="auto"/>
              </w:divBdr>
            </w:div>
            <w:div w:id="1326275605">
              <w:marLeft w:val="0"/>
              <w:marRight w:val="0"/>
              <w:marTop w:val="0"/>
              <w:marBottom w:val="240"/>
              <w:divBdr>
                <w:top w:val="none" w:sz="0" w:space="0" w:color="auto"/>
                <w:left w:val="none" w:sz="0" w:space="0" w:color="auto"/>
                <w:bottom w:val="none" w:sz="0" w:space="0" w:color="auto"/>
                <w:right w:val="none" w:sz="0" w:space="0" w:color="auto"/>
              </w:divBdr>
            </w:div>
            <w:div w:id="589580720">
              <w:marLeft w:val="0"/>
              <w:marRight w:val="0"/>
              <w:marTop w:val="0"/>
              <w:marBottom w:val="240"/>
              <w:divBdr>
                <w:top w:val="none" w:sz="0" w:space="0" w:color="auto"/>
                <w:left w:val="none" w:sz="0" w:space="0" w:color="auto"/>
                <w:bottom w:val="none" w:sz="0" w:space="0" w:color="auto"/>
                <w:right w:val="none" w:sz="0" w:space="0" w:color="auto"/>
              </w:divBdr>
            </w:div>
            <w:div w:id="1927422320">
              <w:marLeft w:val="0"/>
              <w:marRight w:val="0"/>
              <w:marTop w:val="0"/>
              <w:marBottom w:val="240"/>
              <w:divBdr>
                <w:top w:val="none" w:sz="0" w:space="0" w:color="auto"/>
                <w:left w:val="none" w:sz="0" w:space="0" w:color="auto"/>
                <w:bottom w:val="none" w:sz="0" w:space="0" w:color="auto"/>
                <w:right w:val="none" w:sz="0" w:space="0" w:color="auto"/>
              </w:divBdr>
            </w:div>
            <w:div w:id="1156340865">
              <w:marLeft w:val="0"/>
              <w:marRight w:val="0"/>
              <w:marTop w:val="0"/>
              <w:marBottom w:val="240"/>
              <w:divBdr>
                <w:top w:val="none" w:sz="0" w:space="0" w:color="auto"/>
                <w:left w:val="none" w:sz="0" w:space="0" w:color="auto"/>
                <w:bottom w:val="none" w:sz="0" w:space="0" w:color="auto"/>
                <w:right w:val="none" w:sz="0" w:space="0" w:color="auto"/>
              </w:divBdr>
            </w:div>
            <w:div w:id="1399553827">
              <w:marLeft w:val="0"/>
              <w:marRight w:val="0"/>
              <w:marTop w:val="0"/>
              <w:marBottom w:val="240"/>
              <w:divBdr>
                <w:top w:val="none" w:sz="0" w:space="0" w:color="auto"/>
                <w:left w:val="none" w:sz="0" w:space="0" w:color="auto"/>
                <w:bottom w:val="none" w:sz="0" w:space="0" w:color="auto"/>
                <w:right w:val="none" w:sz="0" w:space="0" w:color="auto"/>
              </w:divBdr>
            </w:div>
            <w:div w:id="301925522">
              <w:marLeft w:val="0"/>
              <w:marRight w:val="0"/>
              <w:marTop w:val="0"/>
              <w:marBottom w:val="240"/>
              <w:divBdr>
                <w:top w:val="none" w:sz="0" w:space="0" w:color="auto"/>
                <w:left w:val="none" w:sz="0" w:space="0" w:color="auto"/>
                <w:bottom w:val="none" w:sz="0" w:space="0" w:color="auto"/>
                <w:right w:val="none" w:sz="0" w:space="0" w:color="auto"/>
              </w:divBdr>
            </w:div>
            <w:div w:id="1599873446">
              <w:marLeft w:val="0"/>
              <w:marRight w:val="0"/>
              <w:marTop w:val="0"/>
              <w:marBottom w:val="240"/>
              <w:divBdr>
                <w:top w:val="none" w:sz="0" w:space="0" w:color="auto"/>
                <w:left w:val="none" w:sz="0" w:space="0" w:color="auto"/>
                <w:bottom w:val="none" w:sz="0" w:space="0" w:color="auto"/>
                <w:right w:val="none" w:sz="0" w:space="0" w:color="auto"/>
              </w:divBdr>
            </w:div>
            <w:div w:id="1735007583">
              <w:marLeft w:val="0"/>
              <w:marRight w:val="0"/>
              <w:marTop w:val="0"/>
              <w:marBottom w:val="240"/>
              <w:divBdr>
                <w:top w:val="none" w:sz="0" w:space="0" w:color="auto"/>
                <w:left w:val="none" w:sz="0" w:space="0" w:color="auto"/>
                <w:bottom w:val="none" w:sz="0" w:space="0" w:color="auto"/>
                <w:right w:val="none" w:sz="0" w:space="0" w:color="auto"/>
              </w:divBdr>
            </w:div>
            <w:div w:id="1461344300">
              <w:marLeft w:val="0"/>
              <w:marRight w:val="0"/>
              <w:marTop w:val="0"/>
              <w:marBottom w:val="240"/>
              <w:divBdr>
                <w:top w:val="none" w:sz="0" w:space="0" w:color="auto"/>
                <w:left w:val="none" w:sz="0" w:space="0" w:color="auto"/>
                <w:bottom w:val="none" w:sz="0" w:space="0" w:color="auto"/>
                <w:right w:val="none" w:sz="0" w:space="0" w:color="auto"/>
              </w:divBdr>
            </w:div>
            <w:div w:id="6374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6823</Words>
  <Characters>38892</Characters>
  <Application>Microsoft Office Word</Application>
  <DocSecurity>0</DocSecurity>
  <Lines>324</Lines>
  <Paragraphs>91</Paragraphs>
  <ScaleCrop>false</ScaleCrop>
  <Manager/>
  <Company/>
  <LinksUpToDate>false</LinksUpToDate>
  <CharactersWithSpaces>45624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2026-03-25T13:00:00Z</dcterms:created>
  <dcterms:modified xsi:type="dcterms:W3CDTF">2026-03-25T13:00:00Z</dcterms:modified>
  <cp:category/>
</cp:coreProperties>
</file>