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D6E856" w14:textId="77777777" w:rsidR="00C4367C" w:rsidRDefault="00000000">
      <w:pPr>
        <w:spacing w:line="240" w:lineRule="auto"/>
        <w:rPr>
          <w:rFonts w:ascii="Arial" w:hAnsi="Arial" w:cs="Arial"/>
          <w:b/>
          <w:bCs/>
          <w:sz w:val="22"/>
          <w:szCs w:val="22"/>
        </w:rPr>
      </w:pPr>
      <w:r>
        <w:rPr>
          <w:rFonts w:ascii="Arial" w:hAnsi="Arial" w:cs="Arial"/>
          <w:b/>
          <w:bCs/>
          <w:sz w:val="22"/>
          <w:szCs w:val="22"/>
        </w:rPr>
        <w:t>Essay one:</w:t>
      </w:r>
    </w:p>
    <w:p w14:paraId="089BD368" w14:textId="77777777" w:rsidR="00C4367C" w:rsidRDefault="00000000">
      <w:pPr>
        <w:spacing w:line="240" w:lineRule="auto"/>
        <w:rPr>
          <w:rFonts w:ascii="Arial" w:hAnsi="Arial" w:cs="Arial"/>
          <w:b/>
          <w:bCs/>
          <w:sz w:val="22"/>
          <w:szCs w:val="22"/>
        </w:rPr>
      </w:pPr>
      <w:r>
        <w:rPr>
          <w:rFonts w:ascii="Arial" w:hAnsi="Arial" w:cs="Arial"/>
          <w:b/>
          <w:bCs/>
          <w:sz w:val="22"/>
          <w:szCs w:val="22"/>
        </w:rPr>
        <w:t>How effectively has the police service adapted to accommodate diversity within the UK? Consider the police force itself and/or the way police engage with diverse communities.</w:t>
      </w:r>
    </w:p>
    <w:p w14:paraId="5D09FE0B" w14:textId="77777777" w:rsidR="00C4367C" w:rsidRDefault="00C4367C">
      <w:pPr>
        <w:spacing w:line="240" w:lineRule="auto"/>
        <w:rPr>
          <w:rFonts w:ascii="Arial" w:hAnsi="Arial" w:cs="Arial"/>
          <w:b/>
          <w:bCs/>
          <w:sz w:val="22"/>
          <w:szCs w:val="22"/>
        </w:rPr>
      </w:pPr>
    </w:p>
    <w:p w14:paraId="6363CDDA"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 UK’s population is diverse.  For effective policing, Police need to be able to understand and relate to, and be relatable by, people with diverse backgrounds. This can prevent misunderstandings, increase acceptance of, and cooperation with policing measures, and reduce or, ideally, prevent perceived and real issues around how policing is conducted across diverse demographics.  </w:t>
      </w:r>
    </w:p>
    <w:p w14:paraId="06DD0694" w14:textId="77777777" w:rsidR="00C4367C" w:rsidRDefault="00C4367C">
      <w:pPr>
        <w:spacing w:after="0" w:line="240" w:lineRule="auto"/>
        <w:rPr>
          <w:rFonts w:ascii="Arial" w:eastAsia="Times New Roman" w:hAnsi="Arial" w:cs="Arial"/>
          <w:kern w:val="0"/>
          <w:sz w:val="22"/>
          <w:szCs w:val="22"/>
          <w:lang w:eastAsia="en-GB"/>
          <w14:ligatures w14:val="none"/>
        </w:rPr>
      </w:pPr>
    </w:p>
    <w:p w14:paraId="68522232" w14:textId="454BFDE2" w:rsidR="00C4367C" w:rsidRPr="00B97616" w:rsidRDefault="00000000">
      <w:pPr>
        <w:spacing w:after="0" w:line="240" w:lineRule="auto"/>
        <w:rPr>
          <w:rFonts w:ascii="Arial" w:eastAsia="Times New Roman" w:hAnsi="Arial" w:cs="Arial"/>
          <w:kern w:val="0"/>
          <w:sz w:val="22"/>
          <w:szCs w:val="22"/>
          <w:lang w:eastAsia="en-GB"/>
          <w14:ligatures w14:val="none"/>
        </w:rPr>
      </w:pPr>
      <w:r w:rsidRPr="00B97616">
        <w:rPr>
          <w:rFonts w:ascii="Arial" w:eastAsia="Times New Roman" w:hAnsi="Arial" w:cs="Arial"/>
          <w:kern w:val="0"/>
          <w:sz w:val="22"/>
          <w:szCs w:val="22"/>
          <w:lang w:eastAsia="en-GB"/>
          <w14:ligatures w14:val="none"/>
        </w:rPr>
        <w:t xml:space="preserve">The police </w:t>
      </w:r>
      <w:proofErr w:type="gramStart"/>
      <w:r w:rsidRPr="00B97616">
        <w:rPr>
          <w:rFonts w:ascii="Arial" w:eastAsia="Times New Roman" w:hAnsi="Arial" w:cs="Arial"/>
          <w:kern w:val="0"/>
          <w:sz w:val="22"/>
          <w:szCs w:val="22"/>
          <w:lang w:eastAsia="en-GB"/>
          <w14:ligatures w14:val="none"/>
        </w:rPr>
        <w:t>is</w:t>
      </w:r>
      <w:proofErr w:type="gramEnd"/>
      <w:r w:rsidRPr="00B97616">
        <w:rPr>
          <w:rFonts w:ascii="Arial" w:eastAsia="Times New Roman" w:hAnsi="Arial" w:cs="Arial"/>
          <w:kern w:val="0"/>
          <w:sz w:val="22"/>
          <w:szCs w:val="22"/>
          <w:lang w:eastAsia="en-GB"/>
          <w14:ligatures w14:val="none"/>
        </w:rPr>
        <w:t xml:space="preserve"> a key component of a functioning society, with its key remit of</w:t>
      </w:r>
      <w:r w:rsidR="00B97616" w:rsidRPr="00B97616">
        <w:rPr>
          <w:rFonts w:ascii="Arial" w:eastAsia="Times New Roman" w:hAnsi="Arial" w:cs="Arial"/>
          <w:kern w:val="0"/>
          <w:sz w:val="22"/>
          <w:szCs w:val="22"/>
          <w:lang w:eastAsia="en-GB"/>
          <w14:ligatures w14:val="none"/>
        </w:rPr>
        <w:t xml:space="preserve"> detecting,</w:t>
      </w:r>
      <w:r w:rsidRPr="00B97616">
        <w:rPr>
          <w:rFonts w:ascii="Arial" w:eastAsia="Times New Roman" w:hAnsi="Arial" w:cs="Arial"/>
          <w:kern w:val="0"/>
          <w:sz w:val="22"/>
          <w:szCs w:val="22"/>
          <w:lang w:eastAsia="en-GB"/>
          <w14:ligatures w14:val="none"/>
        </w:rPr>
        <w:t xml:space="preserve"> preventing, </w:t>
      </w:r>
      <w:r w:rsidR="00B97616" w:rsidRPr="00B97616">
        <w:rPr>
          <w:rFonts w:ascii="Arial" w:eastAsia="Times New Roman" w:hAnsi="Arial" w:cs="Arial"/>
          <w:kern w:val="0"/>
          <w:sz w:val="22"/>
          <w:szCs w:val="22"/>
          <w:lang w:eastAsia="en-GB"/>
          <w14:ligatures w14:val="none"/>
        </w:rPr>
        <w:t>maintaining law, order upholding the law</w:t>
      </w:r>
      <w:r w:rsidRPr="00B97616">
        <w:rPr>
          <w:rFonts w:ascii="Arial" w:eastAsia="Times New Roman" w:hAnsi="Arial" w:cs="Arial"/>
          <w:kern w:val="0"/>
          <w:sz w:val="22"/>
          <w:szCs w:val="22"/>
          <w:lang w:eastAsia="en-GB"/>
          <w14:ligatures w14:val="none"/>
        </w:rPr>
        <w:t>.  Public is important to enable engagement and investigation, based on public cooperation and support for the police.  However, there have been accusations of police discrimination against diverse groups in the UK. To address those concerns, it is important to understand diversity, how these issues occurred, and how to resolve them.</w:t>
      </w:r>
    </w:p>
    <w:p w14:paraId="31F6CE7A" w14:textId="1C1BEE32" w:rsidR="00C4367C" w:rsidRPr="00B97616" w:rsidRDefault="00000000">
      <w:pPr>
        <w:spacing w:after="0" w:line="240" w:lineRule="auto"/>
        <w:rPr>
          <w:rFonts w:ascii="Arial" w:hAnsi="Arial" w:cs="Arial"/>
          <w:sz w:val="22"/>
          <w:szCs w:val="22"/>
        </w:rPr>
      </w:pPr>
      <w:r w:rsidRPr="00B97616">
        <w:rPr>
          <w:rFonts w:ascii="Arial" w:eastAsia="Times New Roman" w:hAnsi="Arial" w:cs="Arial"/>
          <w:kern w:val="0"/>
          <w:sz w:val="22"/>
          <w:szCs w:val="22"/>
          <w:lang w:eastAsia="en-GB"/>
          <w14:ligatures w14:val="none"/>
        </w:rPr>
        <w:t xml:space="preserve">Diversity is “the fact of many different types of things or people being included in something; a range of different things or people.” </w:t>
      </w:r>
      <w:r w:rsidR="00B97616" w:rsidRPr="00B97616">
        <w:rPr>
          <w:rFonts w:ascii="Arial" w:eastAsia="Times New Roman" w:hAnsi="Arial" w:cs="Arial"/>
          <w:kern w:val="0"/>
          <w:sz w:val="22"/>
          <w:szCs w:val="22"/>
          <w:lang w:eastAsia="en-GB"/>
          <w14:ligatures w14:val="none"/>
        </w:rPr>
        <w:t xml:space="preserve">(Cambridge </w:t>
      </w:r>
      <w:r w:rsidRPr="00B97616">
        <w:rPr>
          <w:rFonts w:ascii="Arial" w:eastAsia="Times New Roman" w:hAnsi="Arial" w:cs="Arial"/>
          <w:kern w:val="0"/>
          <w:sz w:val="22"/>
          <w:szCs w:val="22"/>
          <w:lang w:eastAsia="en-GB"/>
          <w14:ligatures w14:val="none"/>
        </w:rPr>
        <w:t>University Press</w:t>
      </w:r>
      <w:r w:rsidR="00B97616" w:rsidRPr="00B97616">
        <w:rPr>
          <w:rFonts w:ascii="Arial" w:eastAsia="Times New Roman" w:hAnsi="Arial" w:cs="Arial"/>
          <w:kern w:val="0"/>
          <w:sz w:val="22"/>
          <w:szCs w:val="22"/>
          <w:lang w:eastAsia="en-GB"/>
          <w14:ligatures w14:val="none"/>
        </w:rPr>
        <w:t xml:space="preserve">, </w:t>
      </w:r>
      <w:r w:rsidRPr="00B97616">
        <w:rPr>
          <w:rFonts w:ascii="Arial" w:eastAsia="Times New Roman" w:hAnsi="Arial" w:cs="Arial"/>
          <w:kern w:val="0"/>
          <w:sz w:val="22"/>
          <w:szCs w:val="22"/>
          <w:lang w:eastAsia="en-GB"/>
          <w14:ligatures w14:val="none"/>
        </w:rPr>
        <w:t xml:space="preserve">n.d.).  </w:t>
      </w:r>
      <w:r w:rsidRPr="00B97616">
        <w:rPr>
          <w:rFonts w:ascii="Arial" w:hAnsi="Arial" w:cs="Arial"/>
          <w:sz w:val="22"/>
          <w:szCs w:val="22"/>
        </w:rPr>
        <w:t xml:space="preserve">For police this means both employing and serving a diverse array of people and communities (Cambridge University Press, 2024) </w:t>
      </w:r>
    </w:p>
    <w:p w14:paraId="645BF0E4" w14:textId="03AE4795" w:rsidR="00C4367C" w:rsidRPr="00B97616"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Causes of diversity-related discrimination during policing (for example racism) can be both incidental and institutionalised.  They can range from cultural misunderstandings, situational misinterpretation, prejudice, to fear between different demographics and the police</w:t>
      </w:r>
      <w:r w:rsidR="00C96E98">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 xml:space="preserve">These can lead to serious </w:t>
      </w:r>
      <w:r w:rsidRPr="00B97616">
        <w:rPr>
          <w:rFonts w:ascii="Arial" w:eastAsia="Times New Roman" w:hAnsi="Arial" w:cs="Arial"/>
          <w:kern w:val="0"/>
          <w:sz w:val="22"/>
          <w:szCs w:val="22"/>
          <w:lang w:eastAsia="en-GB"/>
          <w14:ligatures w14:val="none"/>
        </w:rPr>
        <w:t xml:space="preserve">consequences, such as aggression and use of force.  Diversity-related discrimination during policing can quickly inflame any new or existing tensions, potentially leading to confrontation and risk escalation that can become violent, and/or widespread, and </w:t>
      </w:r>
      <w:r w:rsidR="00C96E98" w:rsidRPr="00B97616">
        <w:rPr>
          <w:rFonts w:ascii="Arial" w:eastAsia="Times New Roman" w:hAnsi="Arial" w:cs="Arial"/>
          <w:kern w:val="0"/>
          <w:sz w:val="22"/>
          <w:szCs w:val="22"/>
          <w:lang w:eastAsia="en-GB"/>
          <w14:ligatures w14:val="none"/>
        </w:rPr>
        <w:t>difficult</w:t>
      </w:r>
      <w:r w:rsidRPr="00B97616">
        <w:rPr>
          <w:rFonts w:ascii="Arial" w:eastAsia="Times New Roman" w:hAnsi="Arial" w:cs="Arial"/>
          <w:kern w:val="0"/>
          <w:sz w:val="22"/>
          <w:szCs w:val="22"/>
          <w:lang w:eastAsia="en-GB"/>
          <w14:ligatures w14:val="none"/>
        </w:rPr>
        <w:t xml:space="preserve"> to manage.  </w:t>
      </w:r>
    </w:p>
    <w:p w14:paraId="36353B1D" w14:textId="77777777" w:rsidR="00C4367C" w:rsidRDefault="00C4367C">
      <w:pPr>
        <w:spacing w:after="0" w:line="240" w:lineRule="auto"/>
        <w:rPr>
          <w:rFonts w:ascii="Arial" w:eastAsia="Times New Roman" w:hAnsi="Arial" w:cs="Arial"/>
          <w:kern w:val="0"/>
          <w:sz w:val="22"/>
          <w:szCs w:val="22"/>
          <w:lang w:eastAsia="en-GB"/>
          <w14:ligatures w14:val="none"/>
        </w:rPr>
      </w:pPr>
    </w:p>
    <w:p w14:paraId="33298AAC"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Racism, for example, may include institutionalised racism and/or individual racism, which can be overt or covert, and in the case of individual racism also cover conscious or subconscious bias.  </w:t>
      </w:r>
    </w:p>
    <w:p w14:paraId="5BB9B8BB"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Individual racism occurs where an individual’s personal beliefs, attitudes, and actions lead to them discriminating against individuals based on their race.</w:t>
      </w:r>
      <w:r>
        <w:rPr>
          <w:rFonts w:ascii="Arial" w:hAnsi="Arial" w:cs="Arial"/>
          <w:sz w:val="22"/>
          <w:szCs w:val="22"/>
        </w:rPr>
        <w:t xml:space="preserve"> For example, in 2025, a </w:t>
      </w:r>
      <w:r>
        <w:rPr>
          <w:rFonts w:ascii="Arial" w:eastAsia="Times New Roman" w:hAnsi="Arial" w:cs="Arial"/>
          <w:kern w:val="0"/>
          <w:sz w:val="22"/>
          <w:szCs w:val="22"/>
          <w:lang w:eastAsia="en-GB"/>
          <w14:ligatures w14:val="none"/>
        </w:rPr>
        <w:t xml:space="preserve">Police Inspector was dismissed for gross misconduct after it was discovered they had exchanged thousands of inappropriate messages, many of which had racist, homophobic and misogynistic content, with a colleague on WhatsApp between 2017 and 2020.  (The Times, 2025)  </w:t>
      </w:r>
    </w:p>
    <w:p w14:paraId="7EF0CC60"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In the case of institutional racism, an organisation’s practices, policies or procedures lead to unequal outcomes or treatment for different groups.  Findings by the Independent Office for Police Conduct (IOPC) have indicated that the police service has failed to overcome issues and perceptions of institutional racism, another report commissioned by the Government in 2021 had similar findings. (Independent Office for Police Conduct, 2023) (Dr Tony Sewell CBE, 2021) </w:t>
      </w:r>
    </w:p>
    <w:p w14:paraId="76DD7509" w14:textId="6C5E9D70"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Research by Statista (</w:t>
      </w:r>
      <w:proofErr w:type="gramStart"/>
      <w:r>
        <w:rPr>
          <w:rFonts w:ascii="Arial" w:eastAsia="Times New Roman" w:hAnsi="Arial" w:cs="Arial"/>
          <w:kern w:val="0"/>
          <w:sz w:val="22"/>
          <w:szCs w:val="22"/>
          <w:lang w:eastAsia="en-GB"/>
          <w14:ligatures w14:val="none"/>
        </w:rPr>
        <w:t>2024)a</w:t>
      </w:r>
      <w:proofErr w:type="gramEnd"/>
      <w:r>
        <w:rPr>
          <w:rFonts w:ascii="Arial" w:eastAsia="Times New Roman" w:hAnsi="Arial" w:cs="Arial"/>
          <w:kern w:val="0"/>
          <w:sz w:val="22"/>
          <w:szCs w:val="22"/>
          <w:lang w:eastAsia="en-GB"/>
          <w14:ligatures w14:val="none"/>
        </w:rPr>
        <w:t xml:space="preserve"> found that Black individuals were around 3.7 times more likely to be stop and searched than their white counterparts from 2023 to 2024. In that period Statista (</w:t>
      </w:r>
      <w:proofErr w:type="gramStart"/>
      <w:r>
        <w:rPr>
          <w:rFonts w:ascii="Arial" w:eastAsia="Times New Roman" w:hAnsi="Arial" w:cs="Arial"/>
          <w:kern w:val="0"/>
          <w:sz w:val="22"/>
          <w:szCs w:val="22"/>
          <w:lang w:eastAsia="en-GB"/>
          <w14:ligatures w14:val="none"/>
        </w:rPr>
        <w:t>2024)b</w:t>
      </w:r>
      <w:proofErr w:type="gramEnd"/>
      <w:r>
        <w:rPr>
          <w:rFonts w:ascii="Arial" w:eastAsia="Times New Roman" w:hAnsi="Arial" w:cs="Arial"/>
          <w:kern w:val="0"/>
          <w:sz w:val="22"/>
          <w:szCs w:val="22"/>
          <w:lang w:eastAsia="en-GB"/>
          <w14:ligatures w14:val="none"/>
        </w:rPr>
        <w:t xml:space="preserve"> also found that use of force against Black individuals was 3.4 times higher than that against White individuals, and 1.2 higher for other ethnic groups, though Mixed and Asian ethnic groups were lower at around 0.8 times compared with White individuals. </w:t>
      </w:r>
      <w:r w:rsidR="00C96E98">
        <w:rPr>
          <w:rFonts w:ascii="Arial" w:eastAsia="Times New Roman" w:hAnsi="Arial" w:cs="Arial"/>
          <w:kern w:val="0"/>
          <w:sz w:val="22"/>
          <w:szCs w:val="22"/>
          <w:lang w:eastAsia="en-GB"/>
          <w14:ligatures w14:val="none"/>
        </w:rPr>
        <w:t>Furthermore,</w:t>
      </w:r>
      <w:r>
        <w:rPr>
          <w:rFonts w:ascii="Arial" w:eastAsia="Times New Roman" w:hAnsi="Arial" w:cs="Arial"/>
          <w:kern w:val="0"/>
          <w:sz w:val="22"/>
          <w:szCs w:val="22"/>
          <w:lang w:eastAsia="en-GB"/>
          <w14:ligatures w14:val="none"/>
        </w:rPr>
        <w:t xml:space="preserve"> a study from INQUEST (2023) found that Black individuals were seven times more likely to die than White individuals when restraint was involved.</w:t>
      </w:r>
      <w:r>
        <w:rPr>
          <w:rFonts w:ascii="Arial" w:hAnsi="Arial" w:cs="Arial"/>
          <w:sz w:val="22"/>
          <w:szCs w:val="22"/>
        </w:rPr>
        <w:t xml:space="preserve">  </w:t>
      </w:r>
      <w:r>
        <w:rPr>
          <w:rFonts w:ascii="Arial" w:eastAsia="Times New Roman" w:hAnsi="Arial" w:cs="Arial"/>
          <w:kern w:val="0"/>
          <w:sz w:val="22"/>
          <w:szCs w:val="22"/>
          <w:lang w:eastAsia="en-GB"/>
          <w14:ligatures w14:val="none"/>
        </w:rPr>
        <w:t xml:space="preserve">This suggests there are issues of discrimination involving individuals from BAME backgrounds, and that they tend to be subject to more frequent and greater use of force. </w:t>
      </w:r>
    </w:p>
    <w:p w14:paraId="28DFC558" w14:textId="77777777" w:rsidR="00C4367C" w:rsidRDefault="00C4367C">
      <w:pPr>
        <w:spacing w:after="0" w:line="240" w:lineRule="auto"/>
        <w:rPr>
          <w:rFonts w:ascii="Arial" w:eastAsia="Times New Roman" w:hAnsi="Arial" w:cs="Arial"/>
          <w:kern w:val="0"/>
          <w:sz w:val="22"/>
          <w:szCs w:val="22"/>
          <w:lang w:eastAsia="en-GB"/>
          <w14:ligatures w14:val="none"/>
        </w:rPr>
      </w:pPr>
    </w:p>
    <w:p w14:paraId="2BA28A2D" w14:textId="75AC6DFE" w:rsidR="00C4367C" w:rsidRPr="00B97616"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While studies and high-profile incidents have led to some positive change, the Home Office argues that the police force still needs to improve how it engages with diverse communities. (Home Office, 2023</w:t>
      </w:r>
      <w:r w:rsidR="00B97616">
        <w:rPr>
          <w:rFonts w:ascii="Arial" w:eastAsia="Times New Roman" w:hAnsi="Arial" w:cs="Arial"/>
          <w:kern w:val="0"/>
          <w:sz w:val="22"/>
          <w:szCs w:val="22"/>
          <w:lang w:eastAsia="en-GB"/>
          <w14:ligatures w14:val="none"/>
        </w:rPr>
        <w:t xml:space="preserve">) </w:t>
      </w:r>
      <w:r w:rsidR="00B97616" w:rsidRPr="00B97616">
        <w:rPr>
          <w:rFonts w:ascii="Arial" w:eastAsia="Times New Roman" w:hAnsi="Arial" w:cs="Arial"/>
          <w:kern w:val="0"/>
          <w:sz w:val="22"/>
          <w:szCs w:val="22"/>
          <w:lang w:eastAsia="en-GB"/>
          <w14:ligatures w14:val="none"/>
        </w:rPr>
        <w:t>Resolving</w:t>
      </w:r>
      <w:r w:rsidRPr="00B97616">
        <w:rPr>
          <w:rFonts w:ascii="Arial" w:eastAsia="Times New Roman" w:hAnsi="Arial" w:cs="Arial"/>
          <w:kern w:val="0"/>
          <w:sz w:val="22"/>
          <w:szCs w:val="22"/>
          <w:lang w:eastAsia="en-GB"/>
          <w14:ligatures w14:val="none"/>
        </w:rPr>
        <w:t xml:space="preserve"> these issues would not only be a matter of changes in policy but also changing attitudes and culture within the police to combat race-based discrimination.  </w:t>
      </w:r>
    </w:p>
    <w:p w14:paraId="159BA596" w14:textId="77777777" w:rsidR="00C4367C" w:rsidRDefault="00C4367C">
      <w:pPr>
        <w:spacing w:after="0" w:line="240" w:lineRule="auto"/>
        <w:rPr>
          <w:rFonts w:ascii="Arial" w:eastAsia="Times New Roman" w:hAnsi="Arial" w:cs="Arial"/>
          <w:kern w:val="0"/>
          <w:sz w:val="22"/>
          <w:szCs w:val="22"/>
          <w:lang w:eastAsia="en-GB"/>
          <w14:ligatures w14:val="none"/>
        </w:rPr>
      </w:pPr>
    </w:p>
    <w:p w14:paraId="0F2C18AD" w14:textId="70DCF50F"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The police </w:t>
      </w:r>
      <w:r w:rsidR="006E0CFD">
        <w:rPr>
          <w:rFonts w:ascii="Arial" w:eastAsia="Times New Roman" w:hAnsi="Arial" w:cs="Arial"/>
          <w:kern w:val="0"/>
          <w:sz w:val="22"/>
          <w:szCs w:val="22"/>
          <w:lang w:eastAsia="en-GB"/>
          <w14:ligatures w14:val="none"/>
        </w:rPr>
        <w:t>have</w:t>
      </w:r>
      <w:r>
        <w:rPr>
          <w:rFonts w:ascii="Arial" w:eastAsia="Times New Roman" w:hAnsi="Arial" w:cs="Arial"/>
          <w:kern w:val="0"/>
          <w:sz w:val="22"/>
          <w:szCs w:val="22"/>
          <w:lang w:eastAsia="en-GB"/>
          <w14:ligatures w14:val="none"/>
        </w:rPr>
        <w:t xml:space="preserve"> been making efforts to better represent the public it serves, for example by increasing the proportion of BAME officers.  However, progress has been slow: As of 31 March 2023, the Home Office has reported that 8.4% of police officers in England and Wales identified as being BAME, this is still short of matching the general population of the UK in </w:t>
      </w:r>
      <w:r w:rsidR="006E0CFD">
        <w:rPr>
          <w:rFonts w:ascii="Arial" w:eastAsia="Times New Roman" w:hAnsi="Arial" w:cs="Arial"/>
          <w:kern w:val="0"/>
          <w:sz w:val="22"/>
          <w:szCs w:val="22"/>
          <w:lang w:eastAsia="en-GB"/>
          <w14:ligatures w14:val="none"/>
        </w:rPr>
        <w:t>which 14.4</w:t>
      </w:r>
      <w:r>
        <w:rPr>
          <w:rFonts w:ascii="Arial" w:eastAsia="Times New Roman" w:hAnsi="Arial" w:cs="Arial"/>
          <w:kern w:val="0"/>
          <w:sz w:val="22"/>
          <w:szCs w:val="22"/>
          <w:lang w:eastAsia="en-GB"/>
          <w14:ligatures w14:val="none"/>
        </w:rPr>
        <w:t xml:space="preserve">% of the general population identify as BAME. (Home Office, 2023).  In addition to this, a report from the Home Affairs Committee (2021) found that as of 2021 only 4% of BAME police officers had attained the rank of chief inspector or higher and only 2% became chief officers. </w:t>
      </w:r>
    </w:p>
    <w:p w14:paraId="29BB6CA1"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In response the National Police Chiefs' Council (NPCC) and the College of Policing developed the Anti-Racism Action Plan (2022) designed to increase accountability, address disparities in policing outcomes within and outside the police, improve workforce diversity and inclusion, improve engagement with BAME communities among several other commitments. (National Police Chiefs' Council and College of Policing, 2022) </w:t>
      </w:r>
    </w:p>
    <w:p w14:paraId="164336C8" w14:textId="3E651C24" w:rsidR="00C4367C" w:rsidRDefault="006E0CFD">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However, it has been criticised as slow and ineffective in many areas. (Casey, L, 2023)</w:t>
      </w:r>
    </w:p>
    <w:p w14:paraId="2B99456A" w14:textId="77777777" w:rsidR="00C4367C" w:rsidRDefault="00C4367C">
      <w:pPr>
        <w:spacing w:after="0" w:line="240" w:lineRule="auto"/>
        <w:rPr>
          <w:rFonts w:ascii="Arial" w:eastAsia="Times New Roman" w:hAnsi="Arial" w:cs="Arial"/>
          <w:kern w:val="0"/>
          <w:sz w:val="22"/>
          <w:szCs w:val="22"/>
          <w:lang w:eastAsia="en-GB"/>
          <w14:ligatures w14:val="none"/>
        </w:rPr>
      </w:pPr>
    </w:p>
    <w:p w14:paraId="3208B42C"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Police officers have also had issues interacting with the LGBT+ community, leading to fraught relations and mistrust. It has been shown that LGBT people in England and Wales have a largely negative perception of interacting with the police, thus making it harder for police to engage with recruit them. It also makes it more challenging for LGBT+ individuals to report hate crimes or incidents to the police. one survey of 242 LGBT+ people found that 71% had experienced a hate crime or incident, but only 4% of them had reported this to the police, and even LGBT+ officers were hesitant to report when they had been the victim of hate crimes or incidents, showing a lack of faith in the police. The police forces within the UK are actively looking to address this issue by seeking to engage proactively with LGBT+ communities and employing LGB&amp;T liaison officers and community engagement officers </w:t>
      </w:r>
      <w:proofErr w:type="gramStart"/>
      <w:r>
        <w:rPr>
          <w:rFonts w:ascii="Arial" w:eastAsia="Times New Roman" w:hAnsi="Arial" w:cs="Arial"/>
          <w:kern w:val="0"/>
          <w:sz w:val="22"/>
          <w:szCs w:val="22"/>
          <w:lang w:eastAsia="en-GB"/>
          <w14:ligatures w14:val="none"/>
        </w:rPr>
        <w:t>in order to</w:t>
      </w:r>
      <w:proofErr w:type="gramEnd"/>
      <w:r>
        <w:rPr>
          <w:rFonts w:ascii="Arial" w:eastAsia="Times New Roman" w:hAnsi="Arial" w:cs="Arial"/>
          <w:kern w:val="0"/>
          <w:sz w:val="22"/>
          <w:szCs w:val="22"/>
          <w:lang w:eastAsia="en-GB"/>
          <w14:ligatures w14:val="none"/>
        </w:rPr>
        <w:t xml:space="preserve"> improve relations between the police and LGBT+ communities. </w:t>
      </w:r>
      <w:r>
        <w:rPr>
          <w:rFonts w:ascii="Arial" w:hAnsi="Arial"/>
          <w:sz w:val="22"/>
          <w:szCs w:val="22"/>
        </w:rPr>
        <w:fldChar w:fldCharType="begin"/>
      </w:r>
      <w:r>
        <w:rPr>
          <w:rFonts w:ascii="Arial" w:hAnsi="Arial"/>
          <w:sz w:val="22"/>
          <w:szCs w:val="22"/>
        </w:rPr>
        <w:instrText xml:space="preserve"> CITATION Pic20 \l 2057 </w:instrText>
      </w:r>
      <w:r>
        <w:rPr>
          <w:rFonts w:ascii="Arial" w:hAnsi="Arial"/>
          <w:sz w:val="22"/>
          <w:szCs w:val="22"/>
        </w:rPr>
        <w:fldChar w:fldCharType="separate"/>
      </w:r>
      <w:r>
        <w:rPr>
          <w:rFonts w:ascii="Arial" w:hAnsi="Arial"/>
          <w:sz w:val="22"/>
          <w:szCs w:val="22"/>
        </w:rPr>
        <w:t>(Pickles, 2020)</w:t>
      </w:r>
      <w:r>
        <w:rPr>
          <w:rFonts w:ascii="Arial" w:hAnsi="Arial"/>
          <w:sz w:val="22"/>
          <w:szCs w:val="22"/>
        </w:rPr>
        <w:fldChar w:fldCharType="end"/>
      </w:r>
    </w:p>
    <w:p w14:paraId="12F4CC76" w14:textId="77777777" w:rsidR="00C4367C" w:rsidRDefault="00C4367C">
      <w:pPr>
        <w:spacing w:after="0" w:line="240" w:lineRule="auto"/>
        <w:rPr>
          <w:rFonts w:ascii="Arial" w:eastAsia="Times New Roman" w:hAnsi="Arial" w:cs="Arial"/>
          <w:kern w:val="0"/>
          <w:sz w:val="22"/>
          <w:szCs w:val="22"/>
          <w:lang w:eastAsia="en-GB"/>
          <w14:ligatures w14:val="none"/>
        </w:rPr>
      </w:pPr>
    </w:p>
    <w:p w14:paraId="5454817D" w14:textId="7F4FDF1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 conclusion, the diverse range of cultural and background characteristics in the UK create a complex environment for policing, and must be managed sensitively and equitably, i.e. without prejudice and without creating disadvantages for people based on diversity characteristics</w:t>
      </w:r>
      <w:r w:rsidR="00C96E98">
        <w:rPr>
          <w:rFonts w:ascii="Arial" w:eastAsia="Times New Roman" w:hAnsi="Arial" w:cs="Arial"/>
          <w:kern w:val="0"/>
          <w:sz w:val="22"/>
          <w:szCs w:val="22"/>
          <w:lang w:eastAsia="en-GB"/>
          <w14:ligatures w14:val="none"/>
        </w:rPr>
        <w:t xml:space="preserve">. </w:t>
      </w:r>
      <w:r>
        <w:rPr>
          <w:rFonts w:ascii="Arial" w:eastAsia="Times New Roman" w:hAnsi="Arial" w:cs="Arial"/>
          <w:kern w:val="0"/>
          <w:sz w:val="22"/>
          <w:szCs w:val="22"/>
          <w:lang w:eastAsia="en-GB"/>
          <w14:ligatures w14:val="none"/>
        </w:rPr>
        <w:t>Equitable policing, a core value for the police force. For this, an understanding of diversity is essential</w:t>
      </w:r>
      <w:r w:rsidR="00C96E98">
        <w:rPr>
          <w:rFonts w:ascii="Arial" w:eastAsia="Times New Roman" w:hAnsi="Arial" w:cs="Arial"/>
          <w:kern w:val="0"/>
          <w:sz w:val="22"/>
          <w:szCs w:val="22"/>
          <w:lang w:eastAsia="en-GB"/>
          <w14:ligatures w14:val="none"/>
        </w:rPr>
        <w:t xml:space="preserve">. </w:t>
      </w:r>
    </w:p>
    <w:p w14:paraId="48F88235" w14:textId="78A36A90" w:rsidR="00C4367C" w:rsidRDefault="00000000">
      <w:pPr>
        <w:spacing w:after="0" w:line="240" w:lineRule="auto"/>
        <w:rPr>
          <w:rFonts w:ascii="Arial" w:eastAsia="Times New Roman" w:hAnsi="Arial" w:cs="Arial"/>
          <w:kern w:val="0"/>
          <w:sz w:val="22"/>
          <w:szCs w:val="22"/>
          <w:lang w:eastAsia="en-GB"/>
          <w14:ligatures w14:val="none"/>
        </w:rPr>
      </w:pPr>
      <w:r>
        <w:rPr>
          <w:rFonts w:ascii="Arial" w:hAnsi="Arial" w:cs="Arial"/>
          <w:sz w:val="22"/>
          <w:szCs w:val="22"/>
        </w:rPr>
        <w:t xml:space="preserve">There have been efforts over the past few decades to improve the police services ability to accommodate diversity in the UK such as with BAME and LGBT communities, however improvement has and continues to be </w:t>
      </w:r>
      <w:r w:rsidR="00C96E98">
        <w:rPr>
          <w:rFonts w:ascii="Arial" w:hAnsi="Arial" w:cs="Arial"/>
          <w:sz w:val="22"/>
          <w:szCs w:val="22"/>
        </w:rPr>
        <w:t>slow,</w:t>
      </w:r>
      <w:r>
        <w:rPr>
          <w:rFonts w:ascii="Arial" w:hAnsi="Arial" w:cs="Arial"/>
          <w:sz w:val="22"/>
          <w:szCs w:val="22"/>
        </w:rPr>
        <w:t xml:space="preserve"> and it will be an ongoing effort to improve the effectiveness of police accommodating diversity. </w:t>
      </w:r>
    </w:p>
    <w:p w14:paraId="00A81761" w14:textId="77777777" w:rsidR="00C4367C" w:rsidRDefault="00000000">
      <w:p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Various measures can support equitable policing, such as a more diverse police force reflecting the diversity in the population, raising awareness within the police about diversity and potential sensitivities, situational/contextual training and learning from examples, and applying good practice grounded in the universal values of good policing.  </w:t>
      </w:r>
    </w:p>
    <w:p w14:paraId="4B959BD6" w14:textId="77777777" w:rsidR="00C4367C" w:rsidRDefault="00C4367C">
      <w:pPr>
        <w:spacing w:after="0" w:line="240" w:lineRule="auto"/>
        <w:rPr>
          <w:rFonts w:ascii="Arial" w:eastAsia="Times New Roman" w:hAnsi="Arial" w:cs="Arial"/>
          <w:color w:val="C9211E"/>
          <w:kern w:val="0"/>
          <w:sz w:val="22"/>
          <w:szCs w:val="22"/>
          <w:lang w:eastAsia="en-GB"/>
          <w14:ligatures w14:val="none"/>
        </w:rPr>
      </w:pPr>
    </w:p>
    <w:p w14:paraId="4588320A" w14:textId="2F0ED9AA" w:rsidR="00C4367C" w:rsidRDefault="00000000">
      <w:pPr>
        <w:spacing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 xml:space="preserve">Word count – </w:t>
      </w:r>
      <w:r w:rsidRPr="00F73B74">
        <w:rPr>
          <w:rFonts w:ascii="Arial" w:eastAsia="Times New Roman" w:hAnsi="Arial" w:cs="Arial"/>
          <w:b/>
          <w:bCs/>
          <w:kern w:val="0"/>
          <w:sz w:val="22"/>
          <w:szCs w:val="22"/>
          <w:lang w:eastAsia="en-GB"/>
          <w14:ligatures w14:val="none"/>
        </w:rPr>
        <w:t>1</w:t>
      </w:r>
      <w:r w:rsidR="00F73B74" w:rsidRPr="00F73B74">
        <w:rPr>
          <w:rFonts w:ascii="Arial" w:eastAsia="Times New Roman" w:hAnsi="Arial" w:cs="Arial"/>
          <w:b/>
          <w:bCs/>
          <w:kern w:val="0"/>
          <w:sz w:val="22"/>
          <w:szCs w:val="22"/>
          <w:lang w:eastAsia="en-GB"/>
          <w14:ligatures w14:val="none"/>
        </w:rPr>
        <w:t>09</w:t>
      </w:r>
      <w:r w:rsidR="00C96E98">
        <w:rPr>
          <w:rFonts w:ascii="Arial" w:eastAsia="Times New Roman" w:hAnsi="Arial" w:cs="Arial"/>
          <w:b/>
          <w:bCs/>
          <w:kern w:val="0"/>
          <w:sz w:val="22"/>
          <w:szCs w:val="22"/>
          <w:lang w:eastAsia="en-GB"/>
          <w14:ligatures w14:val="none"/>
        </w:rPr>
        <w:t>4</w:t>
      </w:r>
    </w:p>
    <w:p w14:paraId="14F49203" w14:textId="77777777" w:rsidR="00C4367C" w:rsidRDefault="00C4367C">
      <w:pPr>
        <w:spacing w:line="240" w:lineRule="auto"/>
        <w:rPr>
          <w:rFonts w:ascii="Arial" w:eastAsia="Times New Roman" w:hAnsi="Arial" w:cs="Arial"/>
          <w:color w:val="00B0F0"/>
          <w:kern w:val="0"/>
          <w:sz w:val="22"/>
          <w:szCs w:val="22"/>
          <w:lang w:eastAsia="en-GB"/>
          <w14:ligatures w14:val="none"/>
        </w:rPr>
      </w:pPr>
    </w:p>
    <w:p w14:paraId="0592318B" w14:textId="77777777" w:rsidR="00C4367C" w:rsidRDefault="00000000">
      <w:pPr>
        <w:spacing w:after="0" w:line="240" w:lineRule="auto"/>
        <w:rPr>
          <w:rFonts w:ascii="Arial" w:eastAsia="Times New Roman" w:hAnsi="Arial" w:cs="Arial"/>
          <w:b/>
          <w:bCs/>
          <w:kern w:val="0"/>
          <w:sz w:val="22"/>
          <w:szCs w:val="22"/>
          <w:lang w:eastAsia="en-GB"/>
          <w14:ligatures w14:val="none"/>
        </w:rPr>
      </w:pPr>
      <w:r>
        <w:br w:type="page"/>
      </w:r>
    </w:p>
    <w:p w14:paraId="54835AAA" w14:textId="77777777" w:rsidR="00C4367C" w:rsidRDefault="00000000">
      <w:pPr>
        <w:spacing w:after="0"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lastRenderedPageBreak/>
        <w:t>Essay two:</w:t>
      </w:r>
    </w:p>
    <w:p w14:paraId="4E3A1C4D" w14:textId="77777777" w:rsidR="00C4367C" w:rsidRDefault="00000000">
      <w:pPr>
        <w:spacing w:after="0" w:line="240" w:lineRule="auto"/>
        <w:rPr>
          <w:rFonts w:ascii="Arial" w:eastAsia="Times New Roman" w:hAnsi="Arial" w:cs="Arial"/>
          <w:b/>
          <w:bCs/>
          <w:kern w:val="0"/>
          <w:sz w:val="22"/>
          <w:szCs w:val="22"/>
          <w:lang w:eastAsia="en-GB"/>
          <w14:ligatures w14:val="none"/>
        </w:rPr>
      </w:pPr>
      <w:r>
        <w:rPr>
          <w:rFonts w:ascii="Arial" w:eastAsia="Times New Roman" w:hAnsi="Arial" w:cs="Arial"/>
          <w:b/>
          <w:bCs/>
          <w:kern w:val="0"/>
          <w:sz w:val="22"/>
          <w:szCs w:val="22"/>
          <w:lang w:eastAsia="en-GB"/>
          <w14:ligatures w14:val="none"/>
        </w:rPr>
        <w:t>Response policing – Why is it important to manage mental wellbeing in policing? What can be the consequences if mental wellbeing is not managed appropriately?</w:t>
      </w:r>
    </w:p>
    <w:p w14:paraId="265C8912" w14:textId="77777777" w:rsidR="00C4367C" w:rsidRDefault="00C4367C">
      <w:pPr>
        <w:spacing w:after="0" w:line="240" w:lineRule="auto"/>
        <w:rPr>
          <w:rFonts w:ascii="Arial" w:eastAsia="Times New Roman" w:hAnsi="Arial" w:cs="Arial"/>
          <w:kern w:val="0"/>
          <w:sz w:val="22"/>
          <w:szCs w:val="22"/>
          <w:lang w:eastAsia="en-GB"/>
          <w14:ligatures w14:val="none"/>
        </w:rPr>
      </w:pPr>
    </w:p>
    <w:p w14:paraId="47033BE0" w14:textId="77777777" w:rsidR="00C4367C" w:rsidRDefault="00000000">
      <w:pPr>
        <w:spacing w:line="240" w:lineRule="auto"/>
        <w:rPr>
          <w:rFonts w:ascii="Arial" w:hAnsi="Arial" w:cs="Arial"/>
          <w:sz w:val="22"/>
          <w:szCs w:val="22"/>
        </w:rPr>
      </w:pPr>
      <w:r>
        <w:rPr>
          <w:rFonts w:ascii="Arial" w:hAnsi="Arial" w:cs="Arial"/>
          <w:sz w:val="22"/>
          <w:szCs w:val="22"/>
        </w:rPr>
        <w:t xml:space="preserve">Response policing in the UK is a demanding role where officers frequently respond to traumatic and/or high-stress situations. This can have a significant toll on the mental health of police officers.  Poor mental health can result in reduced performance, increased turnover, poor decision-making, delayed response, inappropriate use of force, and other undesirable actions and outcomes.  </w:t>
      </w:r>
      <w:r w:rsidRPr="0092669B">
        <w:rPr>
          <w:rFonts w:ascii="Arial" w:hAnsi="Arial" w:cs="Arial"/>
          <w:sz w:val="22"/>
          <w:szCs w:val="22"/>
        </w:rPr>
        <w:t>To minimise such negative impacts, it is important to manage mental wellbeing in policing.</w:t>
      </w:r>
      <w:r>
        <w:rPr>
          <w:rFonts w:ascii="Arial" w:hAnsi="Arial" w:cs="Arial"/>
          <w:color w:val="C9211E"/>
          <w:sz w:val="22"/>
          <w:szCs w:val="22"/>
        </w:rPr>
        <w:t xml:space="preserve">  </w:t>
      </w:r>
    </w:p>
    <w:p w14:paraId="621CCD06" w14:textId="77777777" w:rsidR="00C4367C" w:rsidRDefault="00000000">
      <w:pPr>
        <w:spacing w:line="240" w:lineRule="auto"/>
        <w:rPr>
          <w:rFonts w:ascii="Arial" w:hAnsi="Arial" w:cs="Arial"/>
          <w:sz w:val="22"/>
          <w:szCs w:val="22"/>
        </w:rPr>
      </w:pPr>
      <w:r>
        <w:rPr>
          <w:rFonts w:ascii="Arial" w:hAnsi="Arial" w:cs="Arial"/>
          <w:sz w:val="22"/>
          <w:szCs w:val="22"/>
        </w:rPr>
        <w:t xml:space="preserve">This essay explores both the importance of managing the mental wellbeing of officers in response policing, as well as the consequences of failing to do so. </w:t>
      </w:r>
    </w:p>
    <w:p w14:paraId="05F2586B" w14:textId="77777777" w:rsidR="00C4367C" w:rsidRDefault="00C4367C">
      <w:pPr>
        <w:spacing w:line="240" w:lineRule="auto"/>
        <w:rPr>
          <w:rFonts w:ascii="Arial" w:hAnsi="Arial" w:cs="Arial"/>
          <w:sz w:val="22"/>
          <w:szCs w:val="22"/>
        </w:rPr>
      </w:pPr>
    </w:p>
    <w:p w14:paraId="3D36B04D" w14:textId="0969F809" w:rsidR="00C4367C" w:rsidRDefault="00000000">
      <w:pPr>
        <w:spacing w:line="240" w:lineRule="auto"/>
        <w:rPr>
          <w:rFonts w:ascii="Arial" w:hAnsi="Arial" w:cs="Arial"/>
          <w:sz w:val="22"/>
          <w:szCs w:val="22"/>
        </w:rPr>
      </w:pPr>
      <w:r>
        <w:rPr>
          <w:rFonts w:ascii="Arial" w:hAnsi="Arial" w:cs="Arial"/>
          <w:sz w:val="22"/>
          <w:szCs w:val="22"/>
        </w:rPr>
        <w:t>Maintaining mental wellbeing is essential in maintaining an individual’s overall health and wellbeing.  In front-line policing and many other policing areas, officers are likely to be exposed to stressful, violent, dangerous, and high-pressure situations, and other traumatic events. (Jones, P. 2022</w:t>
      </w:r>
      <w:r w:rsidR="00C96E98">
        <w:rPr>
          <w:rFonts w:ascii="Arial" w:hAnsi="Arial" w:cs="Arial"/>
          <w:sz w:val="22"/>
          <w:szCs w:val="22"/>
        </w:rPr>
        <w:t>) Stress</w:t>
      </w:r>
      <w:r>
        <w:rPr>
          <w:rFonts w:ascii="Arial" w:hAnsi="Arial" w:cs="Arial"/>
          <w:sz w:val="22"/>
          <w:szCs w:val="22"/>
        </w:rPr>
        <w:t xml:space="preserve"> can be acute or cumulative, but in either case it can lead to serious mental health problems if no appropriate support is provided or sought.</w:t>
      </w:r>
    </w:p>
    <w:p w14:paraId="761652FC" w14:textId="4A013DF7" w:rsidR="00C4367C" w:rsidRDefault="00000000">
      <w:pPr>
        <w:spacing w:line="240" w:lineRule="auto"/>
        <w:rPr>
          <w:rFonts w:ascii="Arial" w:hAnsi="Arial" w:cs="Arial"/>
          <w:sz w:val="22"/>
          <w:szCs w:val="22"/>
        </w:rPr>
      </w:pPr>
      <w:r>
        <w:rPr>
          <w:rFonts w:ascii="Arial" w:hAnsi="Arial" w:cs="Arial"/>
          <w:sz w:val="22"/>
          <w:szCs w:val="22"/>
        </w:rPr>
        <w:t xml:space="preserve">Compared to the general population, police officers have a greatly increased likelihood of suffering from mental health issues such as anxiety, post-traumatic stress disorder (PTSD), and depression.  A study by the university of Cambridge (2018) found that around 20% of the police force suffer with some kind of PTSD with over two-thirds of them being unaware of it. They also found that police officers who </w:t>
      </w:r>
      <w:r w:rsidR="00C96E98">
        <w:rPr>
          <w:rFonts w:ascii="Arial" w:hAnsi="Arial" w:cs="Arial"/>
          <w:sz w:val="22"/>
          <w:szCs w:val="22"/>
        </w:rPr>
        <w:t>are</w:t>
      </w:r>
      <w:r>
        <w:rPr>
          <w:rFonts w:ascii="Arial" w:hAnsi="Arial" w:cs="Arial"/>
          <w:sz w:val="22"/>
          <w:szCs w:val="22"/>
        </w:rPr>
        <w:t xml:space="preserve"> exposed to traumatic events repeatedly without receiving appropriate mental health support are more likely to suffer from chronic PTSD. </w:t>
      </w:r>
    </w:p>
    <w:p w14:paraId="517A85A8" w14:textId="77777777" w:rsidR="00C4367C" w:rsidRDefault="00000000">
      <w:pPr>
        <w:spacing w:line="240" w:lineRule="auto"/>
        <w:rPr>
          <w:rFonts w:ascii="Arial" w:hAnsi="Arial" w:cs="Arial"/>
          <w:sz w:val="22"/>
          <w:szCs w:val="22"/>
        </w:rPr>
      </w:pPr>
      <w:r>
        <w:rPr>
          <w:rFonts w:ascii="Arial" w:hAnsi="Arial" w:cs="Arial"/>
          <w:sz w:val="22"/>
          <w:szCs w:val="22"/>
        </w:rPr>
        <w:t xml:space="preserve">Another consequence of poor mental health is the increased risk of suicides among police officers. The Office for National Statistics (ONS) (2019) </w:t>
      </w:r>
      <w:proofErr w:type="gramStart"/>
      <w:r>
        <w:rPr>
          <w:rFonts w:ascii="Arial" w:hAnsi="Arial" w:cs="Arial"/>
          <w:sz w:val="22"/>
          <w:szCs w:val="22"/>
        </w:rPr>
        <w:t>conducted an investigation</w:t>
      </w:r>
      <w:proofErr w:type="gramEnd"/>
      <w:r>
        <w:rPr>
          <w:rFonts w:ascii="Arial" w:hAnsi="Arial" w:cs="Arial"/>
          <w:sz w:val="22"/>
          <w:szCs w:val="22"/>
        </w:rPr>
        <w:t xml:space="preserve"> and reported that police officers in the UK have a higher suicide rate than the general population.  This is further supported by studies by the </w:t>
      </w:r>
      <w:r>
        <w:rPr>
          <w:rFonts w:ascii="Arial" w:hAnsi="Arial" w:cs="Arial"/>
          <w:color w:val="000000"/>
          <w:sz w:val="22"/>
          <w:szCs w:val="22"/>
        </w:rPr>
        <w:t xml:space="preserve">University of </w:t>
      </w:r>
      <w:proofErr w:type="spellStart"/>
      <w:r>
        <w:rPr>
          <w:rFonts w:ascii="Arial" w:hAnsi="Arial" w:cs="Arial"/>
          <w:color w:val="000000"/>
          <w:sz w:val="22"/>
          <w:szCs w:val="22"/>
        </w:rPr>
        <w:t>Lancanshire</w:t>
      </w:r>
      <w:proofErr w:type="spellEnd"/>
      <w:r>
        <w:rPr>
          <w:rFonts w:ascii="Arial" w:hAnsi="Arial" w:cs="Arial"/>
          <w:color w:val="000000"/>
          <w:sz w:val="22"/>
          <w:szCs w:val="22"/>
        </w:rPr>
        <w:t>, (2022) and Krishnan, N., Steene, L.M.B., Lewis, M. et al. (2022) w</w:t>
      </w:r>
      <w:r>
        <w:rPr>
          <w:rFonts w:ascii="Arial" w:hAnsi="Arial" w:cs="Arial"/>
          <w:sz w:val="22"/>
          <w:szCs w:val="22"/>
        </w:rPr>
        <w:t>hich both found that prolonged job related stress, repeated exposure to traumatic incidents, and high job demands all contributed to an increased risk of suicide in police officers.</w:t>
      </w:r>
    </w:p>
    <w:p w14:paraId="64665E76" w14:textId="6D96A39C" w:rsidR="00C4367C" w:rsidRDefault="00000000">
      <w:pPr>
        <w:spacing w:line="240" w:lineRule="auto"/>
        <w:rPr>
          <w:rFonts w:ascii="Arial" w:hAnsi="Arial" w:cs="Arial"/>
          <w:sz w:val="22"/>
          <w:szCs w:val="22"/>
        </w:rPr>
      </w:pPr>
      <w:r>
        <w:rPr>
          <w:rFonts w:ascii="Arial" w:hAnsi="Arial" w:cs="Arial"/>
          <w:sz w:val="22"/>
          <w:szCs w:val="22"/>
        </w:rPr>
        <w:t xml:space="preserve">Poor mental health can severely compromise an officer’s ability to function in both a professional and personal setting, affecting not only quality of life, but also impacting job performance leading to compromised decision-making ability, higher incidence of mistakes, worse productivity and a decline in engagement with the community which in turn can put the officer and the members of the public at greater risk. </w:t>
      </w:r>
      <w:r>
        <w:rPr>
          <w:rFonts w:ascii="Arial" w:hAnsi="Arial" w:cs="Arial"/>
          <w:color w:val="000000"/>
          <w:sz w:val="22"/>
          <w:szCs w:val="22"/>
        </w:rPr>
        <w:t>(Elliott-Davies, M., Donnelly, J., Boag-Munroe, F., and Van Mechelen, D., 2023)</w:t>
      </w:r>
      <w:r w:rsidR="00C96E98">
        <w:rPr>
          <w:rFonts w:ascii="Arial" w:hAnsi="Arial" w:cs="Arial"/>
          <w:color w:val="000000"/>
          <w:sz w:val="22"/>
          <w:szCs w:val="22"/>
        </w:rPr>
        <w:t xml:space="preserve">. </w:t>
      </w:r>
    </w:p>
    <w:p w14:paraId="4642CC4E" w14:textId="77777777" w:rsidR="00C4367C" w:rsidRDefault="00000000">
      <w:pPr>
        <w:spacing w:line="240" w:lineRule="auto"/>
        <w:rPr>
          <w:rFonts w:ascii="Arial" w:hAnsi="Arial" w:cs="Arial"/>
          <w:sz w:val="22"/>
          <w:szCs w:val="22"/>
        </w:rPr>
      </w:pPr>
      <w:r>
        <w:rPr>
          <w:rFonts w:ascii="Arial" w:hAnsi="Arial" w:cs="Arial"/>
          <w:sz w:val="22"/>
          <w:szCs w:val="22"/>
        </w:rPr>
        <w:t>Another study by Porter, C. N., &amp; Gavin, P (2024) found that serving officers felt that organisational and operational pressures were leading to a decline in their mental health.  Similarly, a study by Brunetto et al. (2023) found that the performance of officers in conducting their duties is directly linked to their mental wellbeing. The study highlighted that officers experiencing issues with stress would be more likely to suppress their emotions to manage challenging interactions with the public, thus leading emotional exhaustion, and that without adequate support they were likely to suffer from worse performance and increased likelihood of turnover, leading to increased strains on police forces and compromised effectiveness in responding to emergencies. (Brunetto et al., 2023)</w:t>
      </w:r>
    </w:p>
    <w:p w14:paraId="0BA49458" w14:textId="77777777" w:rsidR="00C4367C" w:rsidRDefault="00000000">
      <w:pPr>
        <w:spacing w:line="240" w:lineRule="auto"/>
        <w:rPr>
          <w:rFonts w:ascii="Arial" w:hAnsi="Arial" w:cs="Arial"/>
          <w:sz w:val="22"/>
          <w:szCs w:val="22"/>
        </w:rPr>
      </w:pPr>
      <w:r>
        <w:rPr>
          <w:rFonts w:ascii="Arial" w:hAnsi="Arial" w:cs="Arial"/>
          <w:sz w:val="22"/>
          <w:szCs w:val="22"/>
        </w:rPr>
        <w:t>When considering the ramifications of failing to manage mental wellbeing, police services in the UK need to prioritise mental health support for officers. In 2019, the National Police Wellbeing Service (NPWS) was established with the aim of providing mental health resources, training, and support to UK police officers. (</w:t>
      </w:r>
      <w:r w:rsidRPr="0092669B">
        <w:rPr>
          <w:rFonts w:ascii="Arial" w:hAnsi="Arial" w:cs="Arial"/>
          <w:sz w:val="22"/>
          <w:szCs w:val="22"/>
        </w:rPr>
        <w:t>Oscar Kilo,</w:t>
      </w:r>
      <w:r>
        <w:rPr>
          <w:rFonts w:ascii="Arial" w:hAnsi="Arial" w:cs="Arial"/>
          <w:sz w:val="22"/>
          <w:szCs w:val="22"/>
        </w:rPr>
        <w:t xml:space="preserve"> 2019)</w:t>
      </w:r>
    </w:p>
    <w:p w14:paraId="43DBBCCD" w14:textId="77777777" w:rsidR="00C4367C" w:rsidRDefault="00000000">
      <w:pPr>
        <w:spacing w:line="240" w:lineRule="auto"/>
        <w:rPr>
          <w:rFonts w:ascii="Arial" w:hAnsi="Arial" w:cs="Arial"/>
          <w:sz w:val="22"/>
          <w:szCs w:val="22"/>
        </w:rPr>
      </w:pPr>
      <w:r>
        <w:rPr>
          <w:rFonts w:ascii="Arial" w:hAnsi="Arial" w:cs="Arial"/>
          <w:sz w:val="22"/>
          <w:szCs w:val="22"/>
        </w:rPr>
        <w:lastRenderedPageBreak/>
        <w:t>Early intervention and access to mental health services can dramatically reduce the likelihood of officers developing mental health issues or for mental health issues to escalate, thereby reducing impact on mental wellbeing and improve occupational performance.</w:t>
      </w:r>
    </w:p>
    <w:p w14:paraId="5FE6CD3A" w14:textId="0B472D65" w:rsidR="00C4367C" w:rsidRDefault="00000000">
      <w:pPr>
        <w:spacing w:line="240" w:lineRule="auto"/>
        <w:rPr>
          <w:rFonts w:ascii="Arial" w:hAnsi="Arial" w:cs="Arial"/>
          <w:sz w:val="22"/>
          <w:szCs w:val="22"/>
        </w:rPr>
      </w:pPr>
      <w:r>
        <w:rPr>
          <w:rFonts w:ascii="Arial" w:hAnsi="Arial" w:cs="Arial"/>
          <w:sz w:val="22"/>
          <w:szCs w:val="22"/>
        </w:rPr>
        <w:t xml:space="preserve">For example, a study by McCreary and Thompson (2006) showed that police officers who engaged with the stress management programmes became less stressed. Another study by Tuckey et al. (2012) found that peer support programmes, where police officers are supported by colleagues trained in mental health awareness, can diminish the stigma associated with seeking help for mental health and encourage early intervention, resulting in officers being more likely to seek treatment when needed. The results of those studies support the NPWS’s stance on early </w:t>
      </w:r>
      <w:r w:rsidR="00C00BD5">
        <w:rPr>
          <w:rFonts w:ascii="Arial" w:hAnsi="Arial" w:cs="Arial"/>
          <w:sz w:val="22"/>
          <w:szCs w:val="22"/>
        </w:rPr>
        <w:t>intervention and</w:t>
      </w:r>
      <w:r>
        <w:rPr>
          <w:rFonts w:ascii="Arial" w:hAnsi="Arial" w:cs="Arial"/>
          <w:sz w:val="22"/>
          <w:szCs w:val="22"/>
        </w:rPr>
        <w:t xml:space="preserve"> show that readily accessible mental health support can reduce the risk of poor mental health.</w:t>
      </w:r>
    </w:p>
    <w:p w14:paraId="345C1239" w14:textId="77777777" w:rsidR="00C4367C" w:rsidRDefault="00000000">
      <w:pPr>
        <w:spacing w:line="240" w:lineRule="auto"/>
        <w:contextualSpacing/>
        <w:rPr>
          <w:rFonts w:ascii="Arial" w:hAnsi="Arial" w:cs="Arial"/>
          <w:sz w:val="22"/>
          <w:szCs w:val="22"/>
        </w:rPr>
      </w:pPr>
      <w:r>
        <w:rPr>
          <w:rFonts w:ascii="Arial" w:hAnsi="Arial" w:cs="Arial"/>
          <w:sz w:val="22"/>
          <w:szCs w:val="22"/>
        </w:rPr>
        <w:t xml:space="preserve">Similarly, research by the National Police Federation (2023) found that prevention is effective, and that ready access to mental health resources such as peer support networks, counselling services, and stress management programmes, keeping the barrier to entry low by maintaining strict confidentiality for officers using the resources, and reducing the stigma associated with seeking help can help in preserving mental wellbeing. </w:t>
      </w:r>
    </w:p>
    <w:p w14:paraId="4B33DA9D" w14:textId="7FFD56EB" w:rsidR="00C4367C" w:rsidRDefault="00000000">
      <w:pPr>
        <w:spacing w:line="240" w:lineRule="auto"/>
        <w:rPr>
          <w:rFonts w:ascii="Arial" w:hAnsi="Arial" w:cs="Arial"/>
          <w:sz w:val="22"/>
          <w:szCs w:val="22"/>
        </w:rPr>
      </w:pPr>
      <w:r>
        <w:rPr>
          <w:rFonts w:ascii="Arial" w:hAnsi="Arial" w:cs="Arial"/>
          <w:sz w:val="22"/>
          <w:szCs w:val="22"/>
        </w:rPr>
        <w:t xml:space="preserve">Another study, by Queirós, C., (2024) found that it is important for police forces to implement regular mental health screenings to identify early signs of mental health problems, like anxiety, </w:t>
      </w:r>
      <w:r w:rsidR="00C00BD5">
        <w:rPr>
          <w:rFonts w:ascii="Arial" w:hAnsi="Arial" w:cs="Arial"/>
          <w:sz w:val="22"/>
          <w:szCs w:val="22"/>
        </w:rPr>
        <w:t>depression,</w:t>
      </w:r>
      <w:r>
        <w:rPr>
          <w:rFonts w:ascii="Arial" w:hAnsi="Arial" w:cs="Arial"/>
          <w:sz w:val="22"/>
          <w:szCs w:val="22"/>
        </w:rPr>
        <w:t xml:space="preserve"> or stress, before they can deteriorate further. </w:t>
      </w:r>
    </w:p>
    <w:p w14:paraId="1F56A4EF" w14:textId="77777777" w:rsidR="00C4367C" w:rsidRDefault="00000000">
      <w:pPr>
        <w:spacing w:line="240" w:lineRule="auto"/>
        <w:rPr>
          <w:rFonts w:ascii="Arial" w:hAnsi="Arial" w:cs="Arial"/>
          <w:sz w:val="22"/>
          <w:szCs w:val="22"/>
        </w:rPr>
      </w:pPr>
      <w:r>
        <w:rPr>
          <w:rFonts w:ascii="Arial" w:hAnsi="Arial" w:cs="Arial"/>
          <w:sz w:val="22"/>
          <w:szCs w:val="22"/>
        </w:rPr>
        <w:t xml:space="preserve">It has also been argued that police leadership should be responsible for developing a workplace where officers can have open and frank conversations about mental health as well as have sufficient training to identify when officers are struggling with mental health or if said mental health is impacting their job performance as well as be able to provide support to said officers. (Corporate Wellness Magazine, 2024)  </w:t>
      </w:r>
    </w:p>
    <w:p w14:paraId="5A022DE1" w14:textId="77777777" w:rsidR="00C4367C" w:rsidRDefault="00000000">
      <w:pPr>
        <w:spacing w:line="240" w:lineRule="auto"/>
        <w:rPr>
          <w:rFonts w:ascii="Arial" w:hAnsi="Arial" w:cs="Arial"/>
          <w:sz w:val="22"/>
          <w:szCs w:val="22"/>
        </w:rPr>
      </w:pPr>
      <w:r>
        <w:rPr>
          <w:rFonts w:ascii="Arial" w:hAnsi="Arial" w:cs="Arial"/>
          <w:sz w:val="22"/>
          <w:szCs w:val="22"/>
        </w:rPr>
        <w:t>Furthermore, a study by Van Hasselt (n.d.) suggested that increased training regarding mental health awareness and coping techniques could be made required learning for officers, to better equip police officers to recognise poor mental health and help them to manage mental wellbeing.</w:t>
      </w:r>
    </w:p>
    <w:p w14:paraId="20A6EE67" w14:textId="77777777" w:rsidR="00C4367C" w:rsidRDefault="00C4367C">
      <w:pPr>
        <w:spacing w:line="240" w:lineRule="auto"/>
        <w:rPr>
          <w:rFonts w:ascii="Arial" w:hAnsi="Arial" w:cs="Arial"/>
          <w:sz w:val="22"/>
          <w:szCs w:val="22"/>
        </w:rPr>
      </w:pPr>
    </w:p>
    <w:p w14:paraId="3F149AD8" w14:textId="77777777" w:rsidR="00C4367C" w:rsidRDefault="00000000">
      <w:pPr>
        <w:spacing w:line="240" w:lineRule="auto"/>
        <w:rPr>
          <w:rFonts w:ascii="Arial" w:hAnsi="Arial" w:cs="Arial"/>
          <w:sz w:val="22"/>
          <w:szCs w:val="22"/>
        </w:rPr>
      </w:pPr>
      <w:r>
        <w:rPr>
          <w:rFonts w:ascii="Arial" w:hAnsi="Arial" w:cs="Arial"/>
          <w:sz w:val="22"/>
          <w:szCs w:val="22"/>
        </w:rPr>
        <w:t xml:space="preserve">In conclusion, response policing is highly stressful, and stress can negatively impact officers’ mental wellbeing, if mental wellbeing is not managed.  This can lead to other issues such as PTSD, increased risk of suicide, and deteriorating performance including poor decisions and mistakes which may place individual response officers, their colleagues, and the </w:t>
      </w:r>
      <w:proofErr w:type="gramStart"/>
      <w:r>
        <w:rPr>
          <w:rFonts w:ascii="Arial" w:hAnsi="Arial" w:cs="Arial"/>
          <w:sz w:val="22"/>
          <w:szCs w:val="22"/>
        </w:rPr>
        <w:t>general public</w:t>
      </w:r>
      <w:proofErr w:type="gramEnd"/>
      <w:r>
        <w:rPr>
          <w:rFonts w:ascii="Arial" w:hAnsi="Arial" w:cs="Arial"/>
          <w:sz w:val="22"/>
          <w:szCs w:val="22"/>
        </w:rPr>
        <w:t xml:space="preserve"> at risk.  Therefore, maintaining the mental wellbeing of response officers is crucial to prevent such negative impacts on individual officers, the police force, and the public.  Implementing better help, resources, training, and making police leadership more aware the risks of poor mental wellbeing, can lead to improved mental wellbeing for officers and reduce the negative impacts of poor mental health. </w:t>
      </w:r>
    </w:p>
    <w:p w14:paraId="14851781" w14:textId="77777777" w:rsidR="00C4367C" w:rsidRDefault="00C4367C">
      <w:pPr>
        <w:spacing w:line="240" w:lineRule="auto"/>
        <w:rPr>
          <w:rFonts w:ascii="Arial" w:hAnsi="Arial" w:cs="Arial"/>
          <w:sz w:val="22"/>
          <w:szCs w:val="22"/>
        </w:rPr>
      </w:pPr>
    </w:p>
    <w:p w14:paraId="50E36AD5" w14:textId="77777777" w:rsidR="00C4367C" w:rsidRDefault="00000000">
      <w:pPr>
        <w:spacing w:line="240" w:lineRule="auto"/>
        <w:rPr>
          <w:rFonts w:ascii="Arial" w:hAnsi="Arial" w:cs="Arial"/>
          <w:sz w:val="22"/>
          <w:szCs w:val="22"/>
        </w:rPr>
      </w:pPr>
      <w:r>
        <w:rPr>
          <w:rFonts w:ascii="Arial" w:hAnsi="Arial" w:cs="Arial"/>
          <w:b/>
          <w:bCs/>
          <w:sz w:val="22"/>
          <w:szCs w:val="22"/>
        </w:rPr>
        <w:t>Word count -1056</w:t>
      </w:r>
    </w:p>
    <w:p w14:paraId="3F864558" w14:textId="77777777" w:rsidR="00C4367C" w:rsidRDefault="00C4367C">
      <w:pPr>
        <w:spacing w:line="240" w:lineRule="auto"/>
        <w:rPr>
          <w:rFonts w:ascii="Arial" w:hAnsi="Arial" w:cs="Arial"/>
          <w:sz w:val="22"/>
          <w:szCs w:val="22"/>
        </w:rPr>
      </w:pPr>
    </w:p>
    <w:p w14:paraId="1D1F2440" w14:textId="77777777" w:rsidR="00C4367C" w:rsidRDefault="00000000">
      <w:pPr>
        <w:spacing w:after="0" w:line="240" w:lineRule="auto"/>
        <w:rPr>
          <w:rFonts w:ascii="Arial" w:hAnsi="Arial" w:cs="Arial"/>
          <w:b/>
          <w:bCs/>
          <w:sz w:val="22"/>
          <w:szCs w:val="22"/>
        </w:rPr>
      </w:pPr>
      <w:r>
        <w:br w:type="page"/>
      </w:r>
    </w:p>
    <w:p w14:paraId="4EBE7893" w14:textId="77777777" w:rsidR="00C4367C" w:rsidRDefault="00000000">
      <w:pPr>
        <w:spacing w:line="240" w:lineRule="auto"/>
        <w:rPr>
          <w:rFonts w:ascii="Arial" w:hAnsi="Arial" w:cs="Arial"/>
          <w:b/>
          <w:bCs/>
          <w:sz w:val="22"/>
          <w:szCs w:val="22"/>
        </w:rPr>
      </w:pPr>
      <w:r>
        <w:rPr>
          <w:rFonts w:ascii="Arial" w:hAnsi="Arial" w:cs="Arial"/>
          <w:b/>
          <w:bCs/>
          <w:sz w:val="22"/>
          <w:szCs w:val="22"/>
        </w:rPr>
        <w:lastRenderedPageBreak/>
        <w:t xml:space="preserve">Essay three: </w:t>
      </w:r>
    </w:p>
    <w:p w14:paraId="7C248A9F" w14:textId="77777777" w:rsidR="00C4367C" w:rsidRDefault="00000000">
      <w:pPr>
        <w:spacing w:line="240" w:lineRule="auto"/>
        <w:rPr>
          <w:rFonts w:ascii="Arial" w:hAnsi="Arial" w:cs="Arial"/>
          <w:b/>
          <w:bCs/>
          <w:sz w:val="22"/>
          <w:szCs w:val="22"/>
        </w:rPr>
      </w:pPr>
      <w:r>
        <w:rPr>
          <w:rFonts w:ascii="Arial" w:hAnsi="Arial" w:cs="Arial"/>
          <w:b/>
          <w:bCs/>
          <w:sz w:val="22"/>
          <w:szCs w:val="22"/>
        </w:rPr>
        <w:t xml:space="preserve">Outline potential links between serious and organised crime and </w:t>
      </w:r>
      <w:r w:rsidRPr="00E60805">
        <w:rPr>
          <w:rFonts w:ascii="Arial" w:hAnsi="Arial" w:cs="Arial"/>
          <w:b/>
          <w:bCs/>
          <w:sz w:val="22"/>
          <w:szCs w:val="22"/>
        </w:rPr>
        <w:t>public protection issues. What characteristics make some people more vulnerable t</w:t>
      </w:r>
      <w:r>
        <w:rPr>
          <w:rFonts w:ascii="Arial" w:hAnsi="Arial" w:cs="Arial"/>
          <w:b/>
          <w:bCs/>
          <w:sz w:val="22"/>
          <w:szCs w:val="22"/>
        </w:rPr>
        <w:t>o exploitation by serious and organised crime gangs?</w:t>
      </w:r>
    </w:p>
    <w:p w14:paraId="20E6F332" w14:textId="77777777" w:rsidR="00C4367C" w:rsidRDefault="00C4367C">
      <w:pPr>
        <w:spacing w:line="240" w:lineRule="auto"/>
        <w:rPr>
          <w:rFonts w:ascii="Arial" w:hAnsi="Arial" w:cs="Arial"/>
          <w:sz w:val="22"/>
          <w:szCs w:val="22"/>
        </w:rPr>
      </w:pPr>
    </w:p>
    <w:p w14:paraId="570C7B56"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This essay will be discussing the potential links between serious organised crime (SOC) and protection issues, and the multifaceted reasons why some people are more vulnerable to exploitation by SOC gangs. </w:t>
      </w:r>
    </w:p>
    <w:p w14:paraId="14E47899" w14:textId="77777777" w:rsidR="00C4367C" w:rsidRPr="00E60805" w:rsidRDefault="00C4367C">
      <w:pPr>
        <w:spacing w:line="240" w:lineRule="auto"/>
        <w:rPr>
          <w:rFonts w:ascii="Arial" w:hAnsi="Arial" w:cs="Arial"/>
          <w:sz w:val="22"/>
          <w:szCs w:val="22"/>
        </w:rPr>
      </w:pPr>
    </w:p>
    <w:p w14:paraId="1BF33DB5" w14:textId="03E24A6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SOC gangs (SOC groups) are “individuals planning, co-ordinating and committing serious offences, whether individually, in groups and/or as part of transnational networks.” (Home Office, 2014) Offences include fraud, illegal firearms, </w:t>
      </w:r>
      <w:r w:rsidR="00C00BD5" w:rsidRPr="00E60805">
        <w:rPr>
          <w:rFonts w:ascii="Arial" w:hAnsi="Arial" w:cs="Arial"/>
          <w:sz w:val="22"/>
          <w:szCs w:val="22"/>
        </w:rPr>
        <w:t>drugs,</w:t>
      </w:r>
      <w:r w:rsidRPr="00E60805">
        <w:rPr>
          <w:rFonts w:ascii="Arial" w:hAnsi="Arial" w:cs="Arial"/>
          <w:sz w:val="22"/>
          <w:szCs w:val="22"/>
        </w:rPr>
        <w:t xml:space="preserve"> and child sexual exploitation among others. (Home Office, 2014) presenting risk to the </w:t>
      </w:r>
      <w:proofErr w:type="gramStart"/>
      <w:r w:rsidRPr="00E60805">
        <w:rPr>
          <w:rFonts w:ascii="Arial" w:hAnsi="Arial" w:cs="Arial"/>
          <w:sz w:val="22"/>
          <w:szCs w:val="22"/>
        </w:rPr>
        <w:t>general public</w:t>
      </w:r>
      <w:proofErr w:type="gramEnd"/>
      <w:r w:rsidRPr="00E60805">
        <w:rPr>
          <w:rFonts w:ascii="Arial" w:hAnsi="Arial" w:cs="Arial"/>
          <w:sz w:val="22"/>
          <w:szCs w:val="22"/>
        </w:rPr>
        <w:t>.</w:t>
      </w:r>
    </w:p>
    <w:p w14:paraId="5D92FE1A"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SOC gangs will engage in these offences that harm public safety while exploiting vulnerable people in the </w:t>
      </w:r>
      <w:proofErr w:type="gramStart"/>
      <w:r w:rsidRPr="00E60805">
        <w:rPr>
          <w:rFonts w:ascii="Arial" w:hAnsi="Arial" w:cs="Arial"/>
          <w:sz w:val="22"/>
          <w:szCs w:val="22"/>
        </w:rPr>
        <w:t>general public</w:t>
      </w:r>
      <w:proofErr w:type="gramEnd"/>
      <w:r w:rsidRPr="00E60805">
        <w:rPr>
          <w:rFonts w:ascii="Arial" w:hAnsi="Arial" w:cs="Arial"/>
          <w:sz w:val="22"/>
          <w:szCs w:val="22"/>
        </w:rPr>
        <w:t xml:space="preserve">, often by recruiting and/or exploiting them in the commission of offences. This presents a serious complication to the police who must strike a balance between prosecuting crimes, public protection, and safeguarding vulnerable individuals including those exploited by SOC gangs. This is further complicated by the fact that, if such individuals are arrested, the SOC gang can simply find new individuals to exploit.  This makes police action focusing only on exploited individuals mostly ineffective against SOC gangs, who are effectively using vulnerable people as ‘shields’ committing offences on behalf of the gang/s. </w:t>
      </w:r>
    </w:p>
    <w:p w14:paraId="6B2B11DF"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SOC gangs often target individuals with characteristics that make them easier to exploit, such as children and young adults who tend to be more impressionable and susceptible to peer pressure, also people with substance misuse and/or mental health issues, and people who are socioeconomically disadvantaged.  These characteristics may intersect.  Depending on the individual’s situation, SOC gangs may use promises of money, rewards, protection, status, peer pressure, blackmail, financial pressures, and/or physical threats and violence to exploit a vulnerable person. (Smith, P., Williams, R., and Thompson, H. 2023) </w:t>
      </w:r>
    </w:p>
    <w:p w14:paraId="6E597D76"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In the case of children, factors that increase the likelihood of a child being exploited include “economic problems, bad environmental influences, low education, social factors, lack of public and government awareness, being easily deceived, weak parental supervision, and weak law enforcement.” (</w:t>
      </w:r>
      <w:proofErr w:type="spellStart"/>
      <w:r w:rsidRPr="00E60805">
        <w:rPr>
          <w:rFonts w:ascii="Arial" w:hAnsi="Arial" w:cs="Arial"/>
          <w:sz w:val="22"/>
          <w:szCs w:val="22"/>
        </w:rPr>
        <w:t>Anggraini</w:t>
      </w:r>
      <w:proofErr w:type="spellEnd"/>
      <w:r w:rsidRPr="00E60805">
        <w:rPr>
          <w:rFonts w:ascii="Arial" w:hAnsi="Arial" w:cs="Arial"/>
          <w:sz w:val="22"/>
          <w:szCs w:val="22"/>
        </w:rPr>
        <w:t>, 2022) They may be subjected to Sexual Abuse, forced labour, and Trafficking. (Gill, P., and Warrington, C. 2020)</w:t>
      </w:r>
    </w:p>
    <w:p w14:paraId="7A2F15F8"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The NSPCC (2024) found that County Lines are an area of criminality where young adults and children as young as 12 are particularly vulnerable. (Coomber, 2018) County Lines refer to urban gangs who frequently coerce young people into moving drugs from a hub, like a large city, into other markets. </w:t>
      </w:r>
    </w:p>
    <w:p w14:paraId="7B6ABFE7"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A study by the NSPCC (2024) supports </w:t>
      </w:r>
      <w:proofErr w:type="spellStart"/>
      <w:r w:rsidRPr="00E60805">
        <w:rPr>
          <w:rFonts w:ascii="Arial" w:hAnsi="Arial" w:cs="Arial"/>
          <w:sz w:val="22"/>
          <w:szCs w:val="22"/>
        </w:rPr>
        <w:t>Anggraini’s</w:t>
      </w:r>
      <w:proofErr w:type="spellEnd"/>
      <w:r w:rsidRPr="00E60805">
        <w:rPr>
          <w:rFonts w:ascii="Arial" w:hAnsi="Arial" w:cs="Arial"/>
          <w:sz w:val="22"/>
          <w:szCs w:val="22"/>
        </w:rPr>
        <w:t xml:space="preserve"> findings that children and youths are often recruited by gangs for various reasons, including where they live, their family background, the child’s need and desire for protection, or because they think they do not have any options.  Some may join a gang because of peer pressure, to gain status, power or wanting to feel important.  Sometimes they may be coerced into delivering drugs for the gang; if caught SOC groups will often hold them liable for the seized drugs, making it very difficult for them to leave. </w:t>
      </w:r>
    </w:p>
    <w:p w14:paraId="49510803"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Individuals who are socioeconomically disadvantaged, for example unemployed, in poverty, or lacking educational opportunities, are also more vulnerable as they may see recruitment into a SOC gang as their only way to improve their financial situation. Studies by the Centre </w:t>
      </w:r>
      <w:r w:rsidRPr="00E60805">
        <w:rPr>
          <w:rFonts w:ascii="Arial" w:hAnsi="Arial" w:cs="Arial"/>
          <w:sz w:val="22"/>
          <w:szCs w:val="22"/>
        </w:rPr>
        <w:lastRenderedPageBreak/>
        <w:t>for Social Justice on youth involvement in gangs have found that SOC gangs often recruit youths in deprived areas where they are more likely to consider criminal activity as a path to financial stability. (CSJ, 2024) (Bendall, J. 2023)</w:t>
      </w:r>
    </w:p>
    <w:p w14:paraId="44AD481C" w14:textId="26A39C81" w:rsidR="00C4367C" w:rsidRPr="00E60805" w:rsidRDefault="00000000">
      <w:pPr>
        <w:spacing w:line="240" w:lineRule="auto"/>
        <w:rPr>
          <w:rFonts w:ascii="Arial" w:hAnsi="Arial" w:cs="Arial"/>
          <w:sz w:val="22"/>
          <w:szCs w:val="22"/>
        </w:rPr>
      </w:pPr>
      <w:r w:rsidRPr="00E60805">
        <w:rPr>
          <w:rFonts w:ascii="Arial" w:hAnsi="Arial" w:cs="Arial"/>
          <w:sz w:val="22"/>
          <w:szCs w:val="22"/>
        </w:rPr>
        <w:t>People suffering from substance abuse are also vulnerable to exploitation by SOC gangs as they may purchase drugs with borrowed money or ‘on credit’ and become indebted.  The gang may then demand they ‘work’ for the gang to repay the debt, and/or to get more drugs, and/or the gang might threaten or use physical violence to force compliance</w:t>
      </w:r>
      <w:r w:rsidR="003A5774" w:rsidRPr="00E60805">
        <w:rPr>
          <w:rFonts w:ascii="Arial" w:hAnsi="Arial" w:cs="Arial"/>
          <w:sz w:val="22"/>
          <w:szCs w:val="22"/>
        </w:rPr>
        <w:t xml:space="preserve">. </w:t>
      </w:r>
      <w:r w:rsidRPr="00E60805">
        <w:rPr>
          <w:rFonts w:ascii="Arial" w:hAnsi="Arial" w:cs="Arial"/>
          <w:sz w:val="22"/>
          <w:szCs w:val="22"/>
        </w:rPr>
        <w:t xml:space="preserve">(Centre for Social Justice, 2024).  </w:t>
      </w:r>
    </w:p>
    <w:p w14:paraId="46B43F06" w14:textId="2BCBF2AA" w:rsidR="00C4367C" w:rsidRPr="00E60805" w:rsidRDefault="00000000">
      <w:pPr>
        <w:spacing w:line="240" w:lineRule="auto"/>
        <w:rPr>
          <w:rFonts w:ascii="Arial" w:hAnsi="Arial" w:cs="Arial"/>
          <w:sz w:val="22"/>
          <w:szCs w:val="22"/>
        </w:rPr>
      </w:pPr>
      <w:r w:rsidRPr="00E60805">
        <w:rPr>
          <w:rFonts w:ascii="Arial" w:hAnsi="Arial" w:cs="Arial"/>
          <w:sz w:val="22"/>
          <w:szCs w:val="22"/>
        </w:rPr>
        <w:t>Mental health conditions can make an individual more likely to be coerced, manipulated, or make poor decisions</w:t>
      </w:r>
      <w:r w:rsidR="003A5774" w:rsidRPr="00E60805">
        <w:rPr>
          <w:rFonts w:ascii="Arial" w:hAnsi="Arial" w:cs="Arial"/>
          <w:sz w:val="22"/>
          <w:szCs w:val="22"/>
        </w:rPr>
        <w:t xml:space="preserve">. </w:t>
      </w:r>
      <w:r w:rsidRPr="00E60805">
        <w:rPr>
          <w:rFonts w:ascii="Arial" w:hAnsi="Arial" w:cs="Arial"/>
          <w:sz w:val="22"/>
          <w:szCs w:val="22"/>
        </w:rPr>
        <w:t xml:space="preserve">A SOC gang might cement their control further by providing illicit substances, which can in turn be used to manipulate an individual via debt and pressure to pay, or deprivation of these substances. (Centre for Social Justice, 2024) </w:t>
      </w:r>
    </w:p>
    <w:p w14:paraId="0BE2B5C1"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Research by Spicer, J., Moyle, L., and Coomber, R. (2019) also found that, offenders target vulnerable people who live alone such as such as drug users or vulnerable individuals with learning difficulties, mental health problems or disabilities and over time eventually take over the victims property for their own use. This is referred to as ‘Cuckooing’.” (Butera, 2017) (Coomber R. a., 2018) </w:t>
      </w:r>
    </w:p>
    <w:p w14:paraId="13636829"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These studies indicate a link between poverty, being vulnerable, and potentially becoming susceptible to recruitment into or exploitation by SOC gangs, leading to other criminal activity and risk to the public.  </w:t>
      </w:r>
    </w:p>
    <w:p w14:paraId="679FA577" w14:textId="25944689" w:rsidR="00C4367C" w:rsidRPr="00E60805" w:rsidRDefault="00000000">
      <w:pPr>
        <w:spacing w:line="240" w:lineRule="auto"/>
        <w:rPr>
          <w:rFonts w:ascii="Arial" w:hAnsi="Arial" w:cs="Arial"/>
          <w:sz w:val="22"/>
          <w:szCs w:val="22"/>
        </w:rPr>
      </w:pPr>
      <w:r w:rsidRPr="00E60805">
        <w:rPr>
          <w:rFonts w:ascii="Arial" w:hAnsi="Arial" w:cs="Arial"/>
          <w:sz w:val="22"/>
          <w:szCs w:val="22"/>
        </w:rPr>
        <w:t>Research also shows that vulnerable people may not see any other option for themselves and may offend because a SOC gang presents itself as the only viable option to improve the vulnerable person’s situation.  This means that offering options beyond criminal prosecution can help reduce reoffending and open avenues other than engagement with SOC gangs. (Bendall, J. 2023</w:t>
      </w:r>
      <w:r w:rsidR="003A5774" w:rsidRPr="00E60805">
        <w:rPr>
          <w:rFonts w:ascii="Arial" w:hAnsi="Arial" w:cs="Arial"/>
          <w:sz w:val="22"/>
          <w:szCs w:val="22"/>
        </w:rPr>
        <w:t>) However</w:t>
      </w:r>
      <w:r w:rsidRPr="00E60805">
        <w:rPr>
          <w:rFonts w:ascii="Arial" w:hAnsi="Arial" w:cs="Arial"/>
          <w:sz w:val="22"/>
          <w:szCs w:val="22"/>
        </w:rPr>
        <w:t xml:space="preserve">, many of the factors that may render a person vulnerable and susceptible to SOC gangs are outside the control of the police.  For example, poverty may be relieved by access to benefits and work, and education to increasing employability.  Therefore, it is important that the police, public and third sector organisations work together to disrupt SOC Gangs, protect vulnerable people, and thereby mitigate risks to public safety. </w:t>
      </w:r>
    </w:p>
    <w:p w14:paraId="729BA563" w14:textId="77777777" w:rsidR="00C4367C" w:rsidRPr="00E60805" w:rsidRDefault="00C4367C">
      <w:pPr>
        <w:spacing w:line="240" w:lineRule="auto"/>
        <w:rPr>
          <w:rFonts w:ascii="Arial" w:hAnsi="Arial" w:cs="Arial"/>
          <w:sz w:val="22"/>
          <w:szCs w:val="22"/>
        </w:rPr>
      </w:pPr>
    </w:p>
    <w:p w14:paraId="5824BB07" w14:textId="5C89F353"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In conclusion, there is a close relation between SOC and public protection issues. SOC gangs are adept at targeting individuals with socioeconomic, mental health, drug abuse, or age-related vulnerabilities. Gangs will leverage such vulnerabilities to exploit individuals or coerce them into </w:t>
      </w:r>
      <w:r w:rsidR="003A5774" w:rsidRPr="00E60805">
        <w:rPr>
          <w:rFonts w:ascii="Arial" w:hAnsi="Arial" w:cs="Arial"/>
          <w:sz w:val="22"/>
          <w:szCs w:val="22"/>
        </w:rPr>
        <w:t>conducting</w:t>
      </w:r>
      <w:r w:rsidRPr="00E60805">
        <w:rPr>
          <w:rFonts w:ascii="Arial" w:hAnsi="Arial" w:cs="Arial"/>
          <w:sz w:val="22"/>
          <w:szCs w:val="22"/>
        </w:rPr>
        <w:t xml:space="preserve"> criminal activities for the gang.  This results in areas with more vulnerable people suffering more from SOC. </w:t>
      </w:r>
    </w:p>
    <w:p w14:paraId="1427E352" w14:textId="1BA41DCA" w:rsidR="00C4367C" w:rsidRPr="00E60805" w:rsidRDefault="00000000">
      <w:pPr>
        <w:spacing w:line="240" w:lineRule="auto"/>
        <w:rPr>
          <w:rFonts w:ascii="Arial" w:hAnsi="Arial" w:cs="Arial"/>
          <w:sz w:val="22"/>
          <w:szCs w:val="22"/>
        </w:rPr>
      </w:pPr>
      <w:r w:rsidRPr="00E60805">
        <w:rPr>
          <w:rFonts w:ascii="Arial" w:hAnsi="Arial" w:cs="Arial"/>
          <w:sz w:val="22"/>
          <w:szCs w:val="22"/>
        </w:rPr>
        <w:t xml:space="preserve">Should exploited individuals get arrested, they may become liable to the SOC gang using them.  This gives SOC gangs additional leverage over them.  Should an exploited individual become useless to the SOC group, the gang can quickly move on to a new victim.  This reduces the impact of police action aimed only at exploited </w:t>
      </w:r>
      <w:r w:rsidR="003A5774" w:rsidRPr="00E60805">
        <w:rPr>
          <w:rFonts w:ascii="Arial" w:hAnsi="Arial" w:cs="Arial"/>
          <w:sz w:val="22"/>
          <w:szCs w:val="22"/>
        </w:rPr>
        <w:t>individuals and</w:t>
      </w:r>
      <w:r w:rsidRPr="00E60805">
        <w:rPr>
          <w:rFonts w:ascii="Arial" w:hAnsi="Arial" w:cs="Arial"/>
          <w:sz w:val="22"/>
          <w:szCs w:val="22"/>
        </w:rPr>
        <w:t xml:space="preserve"> makes it harder to identify and prosecute the SOC group overall. </w:t>
      </w:r>
    </w:p>
    <w:p w14:paraId="59488A38" w14:textId="77777777" w:rsidR="00C4367C" w:rsidRPr="00E60805" w:rsidRDefault="00000000">
      <w:pPr>
        <w:spacing w:line="240" w:lineRule="auto"/>
        <w:rPr>
          <w:rFonts w:ascii="Arial" w:hAnsi="Arial" w:cs="Arial"/>
          <w:sz w:val="22"/>
          <w:szCs w:val="22"/>
        </w:rPr>
      </w:pPr>
      <w:r w:rsidRPr="00E60805">
        <w:rPr>
          <w:rFonts w:ascii="Arial" w:hAnsi="Arial" w:cs="Arial"/>
          <w:sz w:val="22"/>
          <w:szCs w:val="22"/>
        </w:rPr>
        <w:t>Police must strike a challenging balance between public protection and prosecuting crime, even when committed by a vulnerable person, and protecting and supporting vulnerable people even if exploited by SOC gangs.  Therefore, it is not enough to disrupt the gangs, but it is important to also offer support and targeted interventions to vulnerable individuals and communities, through effective, viable alternatives to SOC gangs.  A multi-agency approach is required to achieve this.</w:t>
      </w:r>
    </w:p>
    <w:p w14:paraId="4EEB607B" w14:textId="77777777" w:rsidR="00C4367C" w:rsidRDefault="00C4367C">
      <w:pPr>
        <w:spacing w:line="240" w:lineRule="auto"/>
        <w:rPr>
          <w:rFonts w:ascii="Arial" w:hAnsi="Arial" w:cs="Arial"/>
          <w:sz w:val="22"/>
          <w:szCs w:val="22"/>
        </w:rPr>
      </w:pPr>
    </w:p>
    <w:p w14:paraId="36E13C3B" w14:textId="01D56A1E" w:rsidR="00C4367C" w:rsidRDefault="00000000">
      <w:pPr>
        <w:spacing w:line="240" w:lineRule="auto"/>
        <w:rPr>
          <w:rFonts w:ascii="Arial" w:hAnsi="Arial" w:cs="Arial"/>
          <w:b/>
          <w:bCs/>
          <w:sz w:val="22"/>
          <w:szCs w:val="22"/>
        </w:rPr>
      </w:pPr>
      <w:r>
        <w:rPr>
          <w:rFonts w:ascii="Arial" w:hAnsi="Arial" w:cs="Arial"/>
          <w:b/>
          <w:bCs/>
          <w:sz w:val="22"/>
          <w:szCs w:val="22"/>
        </w:rPr>
        <w:t xml:space="preserve">Word count – </w:t>
      </w:r>
      <w:r>
        <w:rPr>
          <w:rFonts w:ascii="Arial" w:hAnsi="Arial" w:cs="Arial"/>
          <w:b/>
          <w:bCs/>
          <w:color w:val="000000"/>
          <w:sz w:val="22"/>
          <w:szCs w:val="22"/>
        </w:rPr>
        <w:t>109</w:t>
      </w:r>
      <w:r w:rsidR="003A5774">
        <w:rPr>
          <w:rFonts w:ascii="Arial" w:hAnsi="Arial" w:cs="Arial"/>
          <w:b/>
          <w:bCs/>
          <w:color w:val="000000"/>
          <w:sz w:val="22"/>
          <w:szCs w:val="22"/>
        </w:rPr>
        <w:t>2</w:t>
      </w:r>
    </w:p>
    <w:p w14:paraId="79D06C56" w14:textId="77777777" w:rsidR="00C4367C" w:rsidRDefault="00C4367C">
      <w:pPr>
        <w:spacing w:line="240" w:lineRule="auto"/>
        <w:rPr>
          <w:rFonts w:ascii="Arial" w:hAnsi="Arial" w:cs="Arial"/>
          <w:b/>
          <w:bCs/>
          <w:sz w:val="22"/>
          <w:szCs w:val="22"/>
        </w:rPr>
      </w:pPr>
    </w:p>
    <w:p w14:paraId="62141B8B" w14:textId="58D6B4B2" w:rsidR="00C4367C" w:rsidRDefault="00000000" w:rsidP="00E60805">
      <w:pPr>
        <w:spacing w:after="0" w:line="240" w:lineRule="auto"/>
        <w:rPr>
          <w:rFonts w:ascii="Arial" w:hAnsi="Arial" w:cs="Arial"/>
          <w:b/>
          <w:bCs/>
          <w:sz w:val="22"/>
          <w:szCs w:val="22"/>
        </w:rPr>
      </w:pPr>
      <w:r>
        <w:rPr>
          <w:rFonts w:ascii="Arial" w:hAnsi="Arial" w:cs="Arial"/>
          <w:b/>
          <w:bCs/>
          <w:sz w:val="22"/>
          <w:szCs w:val="22"/>
        </w:rPr>
        <w:t xml:space="preserve">Essay four: </w:t>
      </w:r>
    </w:p>
    <w:p w14:paraId="66612253" w14:textId="77777777" w:rsidR="00E60805" w:rsidRDefault="00E60805" w:rsidP="00E60805">
      <w:pPr>
        <w:spacing w:after="0" w:line="240" w:lineRule="auto"/>
        <w:rPr>
          <w:rFonts w:ascii="Arial" w:hAnsi="Arial" w:cs="Arial"/>
          <w:b/>
          <w:bCs/>
          <w:sz w:val="22"/>
          <w:szCs w:val="22"/>
        </w:rPr>
      </w:pPr>
    </w:p>
    <w:p w14:paraId="38719025" w14:textId="77777777" w:rsidR="00C4367C" w:rsidRDefault="00000000">
      <w:pPr>
        <w:spacing w:line="240" w:lineRule="auto"/>
        <w:rPr>
          <w:rFonts w:ascii="Arial" w:hAnsi="Arial" w:cs="Arial"/>
          <w:b/>
          <w:bCs/>
          <w:sz w:val="22"/>
          <w:szCs w:val="22"/>
        </w:rPr>
      </w:pPr>
      <w:r>
        <w:rPr>
          <w:rFonts w:ascii="Arial" w:hAnsi="Arial" w:cs="Arial"/>
          <w:b/>
          <w:bCs/>
          <w:sz w:val="22"/>
          <w:szCs w:val="22"/>
        </w:rPr>
        <w:t>How effective is early intervention as an effective means of preventing young people from offending or re-offending?</w:t>
      </w:r>
    </w:p>
    <w:p w14:paraId="77B39D73" w14:textId="77777777" w:rsidR="00C4367C" w:rsidRDefault="00000000">
      <w:pPr>
        <w:spacing w:line="240" w:lineRule="auto"/>
        <w:rPr>
          <w:rFonts w:ascii="Arial" w:hAnsi="Arial" w:cs="Arial"/>
          <w:b/>
          <w:bCs/>
          <w:sz w:val="22"/>
          <w:szCs w:val="22"/>
        </w:rPr>
      </w:pPr>
      <w:r>
        <w:rPr>
          <w:rFonts w:ascii="Arial" w:hAnsi="Arial" w:cs="Arial"/>
          <w:b/>
          <w:bCs/>
          <w:sz w:val="22"/>
          <w:szCs w:val="22"/>
        </w:rPr>
        <w:t xml:space="preserve">Your answer must be based on academic research, but you may </w:t>
      </w:r>
      <w:proofErr w:type="gramStart"/>
      <w:r>
        <w:rPr>
          <w:rFonts w:ascii="Arial" w:hAnsi="Arial" w:cs="Arial"/>
          <w:b/>
          <w:bCs/>
          <w:sz w:val="22"/>
          <w:szCs w:val="22"/>
        </w:rPr>
        <w:t>make reference</w:t>
      </w:r>
      <w:proofErr w:type="gramEnd"/>
      <w:r>
        <w:rPr>
          <w:rFonts w:ascii="Arial" w:hAnsi="Arial" w:cs="Arial"/>
          <w:b/>
          <w:bCs/>
          <w:sz w:val="22"/>
          <w:szCs w:val="22"/>
        </w:rPr>
        <w:t xml:space="preserve"> to relevant case studies.</w:t>
      </w:r>
    </w:p>
    <w:p w14:paraId="40AC45F4" w14:textId="77777777" w:rsidR="00C4367C" w:rsidRDefault="00C4367C">
      <w:pPr>
        <w:spacing w:line="240" w:lineRule="auto"/>
        <w:rPr>
          <w:rFonts w:ascii="Arial" w:hAnsi="Arial" w:cs="Arial"/>
          <w:b/>
          <w:bCs/>
          <w:sz w:val="22"/>
          <w:szCs w:val="22"/>
        </w:rPr>
      </w:pPr>
    </w:p>
    <w:p w14:paraId="2C04812D" w14:textId="1DE4086C" w:rsidR="00C4367C" w:rsidRDefault="00000000">
      <w:pPr>
        <w:spacing w:line="240" w:lineRule="auto"/>
        <w:rPr>
          <w:rFonts w:ascii="Arial" w:eastAsia="Calibri" w:hAnsi="Arial" w:cs="Arial"/>
          <w:sz w:val="22"/>
          <w:szCs w:val="22"/>
        </w:rPr>
      </w:pPr>
      <w:r w:rsidRPr="00653E1E">
        <w:rPr>
          <w:rFonts w:ascii="Arial" w:eastAsia="Calibri" w:hAnsi="Arial" w:cs="Arial"/>
          <w:sz w:val="22"/>
          <w:szCs w:val="22"/>
        </w:rPr>
        <w:t>Youth offending has been a persistent issue in the UK for some time. Young offenders have a significant effect on both the economy and local communities</w:t>
      </w:r>
      <w:r w:rsidR="00653E1E" w:rsidRPr="00653E1E">
        <w:t xml:space="preserve"> (</w:t>
      </w:r>
      <w:r w:rsidR="00653E1E" w:rsidRPr="00653E1E">
        <w:rPr>
          <w:rFonts w:ascii="Arial" w:eastAsia="Calibri" w:hAnsi="Arial" w:cs="Arial"/>
          <w:sz w:val="22"/>
          <w:szCs w:val="22"/>
        </w:rPr>
        <w:t>New Economics Foundation, 2010)</w:t>
      </w:r>
      <w:r w:rsidRPr="00653E1E">
        <w:rPr>
          <w:rFonts w:ascii="Arial" w:eastAsia="Calibri" w:hAnsi="Arial" w:cs="Arial"/>
          <w:sz w:val="22"/>
          <w:szCs w:val="22"/>
        </w:rPr>
        <w:t xml:space="preserve"> Early intervention strategies have been implemented with the aim to reduce offending and</w:t>
      </w:r>
      <w:r>
        <w:rPr>
          <w:rFonts w:ascii="Arial" w:eastAsia="Calibri" w:hAnsi="Arial" w:cs="Arial"/>
          <w:sz w:val="22"/>
          <w:szCs w:val="22"/>
        </w:rPr>
        <w:t xml:space="preserve"> re-offending by young people. These strategies are aimed at tackling the root causes of youth offending before it can become chronic, and at preventing minor offending committed by young people from escalating into serious offending. </w:t>
      </w:r>
    </w:p>
    <w:p w14:paraId="43DC6587"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Using research papers and relevant case studies, this essay will consider the effectiveness of early intervention in the UK.  </w:t>
      </w:r>
    </w:p>
    <w:p w14:paraId="792FBF23" w14:textId="77777777" w:rsidR="00C4367C" w:rsidRDefault="00C4367C">
      <w:pPr>
        <w:spacing w:line="240" w:lineRule="auto"/>
        <w:rPr>
          <w:rFonts w:ascii="Arial" w:eastAsia="Calibri" w:hAnsi="Arial" w:cs="Arial"/>
          <w:sz w:val="22"/>
          <w:szCs w:val="22"/>
        </w:rPr>
      </w:pPr>
    </w:p>
    <w:p w14:paraId="37C48C6A"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Research by the (Ministry of Justice, 2023) has found that:</w:t>
      </w:r>
    </w:p>
    <w:p w14:paraId="0A4B8B2A" w14:textId="77777777" w:rsidR="00C4367C" w:rsidRDefault="00000000">
      <w:pPr>
        <w:numPr>
          <w:ilvl w:val="0"/>
          <w:numId w:val="2"/>
        </w:numPr>
        <w:spacing w:line="240" w:lineRule="auto"/>
        <w:rPr>
          <w:rFonts w:ascii="Arial" w:eastAsia="Calibri" w:hAnsi="Arial" w:cs="Arial"/>
          <w:sz w:val="22"/>
          <w:szCs w:val="22"/>
        </w:rPr>
      </w:pPr>
      <w:r>
        <w:rPr>
          <w:rFonts w:ascii="Arial" w:eastAsia="Calibri" w:hAnsi="Arial" w:cs="Arial"/>
          <w:sz w:val="22"/>
          <w:szCs w:val="22"/>
        </w:rPr>
        <w:t>Arrests of children between the ages of 10 to 17 had increased by 9% compared to the previous year.</w:t>
      </w:r>
    </w:p>
    <w:p w14:paraId="0F2676C5" w14:textId="77777777" w:rsidR="00C4367C" w:rsidRDefault="00000000">
      <w:pPr>
        <w:numPr>
          <w:ilvl w:val="0"/>
          <w:numId w:val="2"/>
        </w:numPr>
        <w:spacing w:line="240" w:lineRule="auto"/>
        <w:contextualSpacing/>
        <w:rPr>
          <w:rFonts w:ascii="Arial" w:hAnsi="Arial" w:cs="Arial"/>
          <w:sz w:val="22"/>
          <w:szCs w:val="22"/>
        </w:rPr>
      </w:pPr>
      <w:r>
        <w:rPr>
          <w:rFonts w:ascii="Arial" w:eastAsia="Calibri" w:hAnsi="Arial" w:cs="Arial"/>
          <w:sz w:val="22"/>
          <w:szCs w:val="22"/>
        </w:rPr>
        <w:t>There were just below 8,400 child first time entrants into the justice system which was 1% increase to the previous year.</w:t>
      </w:r>
    </w:p>
    <w:p w14:paraId="51A712FF" w14:textId="77777777" w:rsidR="00C4367C" w:rsidRDefault="00000000">
      <w:pPr>
        <w:numPr>
          <w:ilvl w:val="0"/>
          <w:numId w:val="2"/>
        </w:numPr>
        <w:spacing w:line="240" w:lineRule="auto"/>
        <w:contextualSpacing/>
        <w:rPr>
          <w:rFonts w:ascii="Arial" w:eastAsia="Calibri" w:hAnsi="Arial" w:cs="Arial"/>
          <w:sz w:val="22"/>
          <w:szCs w:val="22"/>
        </w:rPr>
      </w:pPr>
      <w:r>
        <w:rPr>
          <w:rFonts w:ascii="Arial" w:eastAsia="Calibri" w:hAnsi="Arial" w:cs="Arial"/>
          <w:sz w:val="22"/>
          <w:szCs w:val="22"/>
        </w:rPr>
        <w:t>The reoffending rate increased by 0.9% against the previous year.</w:t>
      </w:r>
    </w:p>
    <w:p w14:paraId="119099A8" w14:textId="77777777" w:rsidR="00C4367C" w:rsidRDefault="00C4367C">
      <w:pPr>
        <w:spacing w:line="240" w:lineRule="auto"/>
        <w:rPr>
          <w:rFonts w:ascii="Arial" w:eastAsia="Calibri" w:hAnsi="Arial" w:cs="Arial"/>
          <w:sz w:val="22"/>
          <w:szCs w:val="22"/>
        </w:rPr>
      </w:pPr>
    </w:p>
    <w:p w14:paraId="73636D69"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These figures and trends are concerning and indicate a need for interventions to reduce youth offending and re-offending.  Early Intervention Measures (EIM) aim to do this.  EIM have been the subject of much research looking at their effectiveness in preventing both initial offending and re-offending. EIM refer to a series of practices and policies intended to identify and address issues that may lead to more serious criminal behaviour later in life. EIM take many forms and can target various aspects of a young person’s life, for example, their education, family life, substance abuse, mental health.  The goal of EIM addressing these issues early, sometimes instead of criminalisation, is that the young person will be less likely to engage in criminal behaviour in the long term. (Allen, G., 2011) </w:t>
      </w:r>
    </w:p>
    <w:p w14:paraId="48695BDE"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EIM can be very effective and have a major impact on an individual’s likelihood of offending and reoffending, </w:t>
      </w:r>
      <w:r w:rsidRPr="00653E1E">
        <w:rPr>
          <w:rFonts w:ascii="Arial" w:eastAsia="Calibri" w:hAnsi="Arial" w:cs="Arial"/>
          <w:sz w:val="22"/>
          <w:szCs w:val="22"/>
        </w:rPr>
        <w:t>because they can drastically reduce the incidence of criminal offending by targeting key risk factors that contribute to a youth’s likelihood of offending. These</w:t>
      </w:r>
      <w:r>
        <w:rPr>
          <w:rFonts w:ascii="Arial" w:eastAsia="Calibri" w:hAnsi="Arial" w:cs="Arial"/>
          <w:sz w:val="22"/>
          <w:szCs w:val="22"/>
        </w:rPr>
        <w:t xml:space="preserve"> factors include lack of education, poor parenting, and social exclusion.  This is especially the case for </w:t>
      </w:r>
      <w:proofErr w:type="gramStart"/>
      <w:r>
        <w:rPr>
          <w:rFonts w:ascii="Arial" w:eastAsia="Calibri" w:hAnsi="Arial" w:cs="Arial"/>
          <w:sz w:val="22"/>
          <w:szCs w:val="22"/>
        </w:rPr>
        <w:t>family based</w:t>
      </w:r>
      <w:proofErr w:type="gramEnd"/>
      <w:r>
        <w:rPr>
          <w:rFonts w:ascii="Arial" w:eastAsia="Calibri" w:hAnsi="Arial" w:cs="Arial"/>
          <w:sz w:val="22"/>
          <w:szCs w:val="22"/>
        </w:rPr>
        <w:t xml:space="preserve"> interventions, which can be particularly effective in reducing offending behaviour in both youth and children. </w:t>
      </w:r>
    </w:p>
    <w:p w14:paraId="0CF61DE8"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This is supported by a 2021 evaluation of the </w:t>
      </w:r>
      <w:bookmarkStart w:id="0" w:name="_Hlk188103034"/>
      <w:r>
        <w:rPr>
          <w:rFonts w:ascii="Arial" w:eastAsia="Calibri" w:hAnsi="Arial" w:cs="Arial"/>
          <w:sz w:val="22"/>
          <w:szCs w:val="22"/>
        </w:rPr>
        <w:t>Think Family Early Intervention programme</w:t>
      </w:r>
      <w:bookmarkEnd w:id="0"/>
      <w:r>
        <w:rPr>
          <w:rFonts w:ascii="Arial" w:eastAsia="Calibri" w:hAnsi="Arial" w:cs="Arial"/>
          <w:sz w:val="22"/>
          <w:szCs w:val="22"/>
        </w:rPr>
        <w:t xml:space="preserve">, which found that targeting underlying issues such as family dynamics, education, and employment through support reduced likelihood of criminal behaviour. (College of Policing, 2021) </w:t>
      </w:r>
    </w:p>
    <w:p w14:paraId="58E600FB"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This is also supported by a report released by Public Health Wales (2023) titled "Everybody's Business: Early Intervention Crime Reduction".  This report highlighted that </w:t>
      </w:r>
      <w:r>
        <w:rPr>
          <w:rFonts w:ascii="Arial" w:eastAsia="Calibri" w:hAnsi="Arial" w:cs="Arial"/>
          <w:sz w:val="22"/>
          <w:szCs w:val="22"/>
        </w:rPr>
        <w:lastRenderedPageBreak/>
        <w:t>EIM programmes can dramatically decrease the likelihood of youths engaging in criminal activities.</w:t>
      </w:r>
    </w:p>
    <w:p w14:paraId="0AC083C4"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There have been multiple early intervention programmes implemented in the United Kingdom, with mixed results:</w:t>
      </w:r>
    </w:p>
    <w:p w14:paraId="168B9CDE" w14:textId="4D2DCEFB"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The Think Family Early Intervention programme targeted families whose children were more at risk of challenges likely to lead to social exclusion or criminal behaviour later in life.  It provided tailored support, addressing issues such as housing, family dynamics, mental </w:t>
      </w:r>
      <w:r w:rsidR="00655E2F">
        <w:rPr>
          <w:rFonts w:ascii="Arial" w:eastAsia="Calibri" w:hAnsi="Arial" w:cs="Arial"/>
          <w:sz w:val="22"/>
          <w:szCs w:val="22"/>
        </w:rPr>
        <w:t>health,</w:t>
      </w:r>
      <w:r>
        <w:rPr>
          <w:rFonts w:ascii="Arial" w:eastAsia="Calibri" w:hAnsi="Arial" w:cs="Arial"/>
          <w:sz w:val="22"/>
          <w:szCs w:val="22"/>
        </w:rPr>
        <w:t xml:space="preserve"> and educational support. The intention was to intervene before those issues could lead to criminal </w:t>
      </w:r>
      <w:r w:rsidR="00655E2F">
        <w:rPr>
          <w:rFonts w:ascii="Arial" w:eastAsia="Calibri" w:hAnsi="Arial" w:cs="Arial"/>
          <w:sz w:val="22"/>
          <w:szCs w:val="22"/>
        </w:rPr>
        <w:t>activity and</w:t>
      </w:r>
      <w:r>
        <w:rPr>
          <w:rFonts w:ascii="Arial" w:eastAsia="Calibri" w:hAnsi="Arial" w:cs="Arial"/>
          <w:sz w:val="22"/>
          <w:szCs w:val="22"/>
        </w:rPr>
        <w:t xml:space="preserve"> aimed to prevent youths from entering the criminal justice system, with punitive measures being reserved as a last resort.  The programme was found to be very effective, reducing school absences, reducing youth crime, and improving quality of life for families in the long term. (College of Policing 2021)</w:t>
      </w:r>
    </w:p>
    <w:p w14:paraId="050DC000"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Another notable example would be the Troubled Families Programme.  Launched in 2012, it aimed to support families across multiple areas such as unemployment, crime and education. It concentrated on providing co-ordinated support to help address these issues for and with affected families. The programme was a success: An evaluation by the Ministry of Housing, Communities and Local Government (MHCLG, 2019) found that the programme reduced the number of offences committed by youth from troubled families by 32%. (Department for Communities and Local Government, 2020)</w:t>
      </w:r>
    </w:p>
    <w:p w14:paraId="7B8B812F"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This suggests that early intervention holds significant potential, </w:t>
      </w:r>
      <w:r>
        <w:rPr>
          <w:rFonts w:ascii="Arial" w:eastAsia="Calibri" w:hAnsi="Arial" w:cs="Arial"/>
          <w:color w:val="000000"/>
          <w:sz w:val="22"/>
          <w:szCs w:val="22"/>
        </w:rPr>
        <w:t>but a</w:t>
      </w:r>
      <w:r>
        <w:rPr>
          <w:rFonts w:ascii="Arial" w:eastAsia="Calibri" w:hAnsi="Arial" w:cs="Arial"/>
          <w:sz w:val="22"/>
          <w:szCs w:val="22"/>
        </w:rPr>
        <w:t xml:space="preserve"> significant issue to consider is that the effectiveness of an EIM programme depends on how it is funded, and how well it is implemented: A poorly resourced or designed programme would be either ineffective, or might even have unintended negative impacts such as </w:t>
      </w:r>
      <w:proofErr w:type="spellStart"/>
      <w:r>
        <w:rPr>
          <w:rFonts w:ascii="Arial" w:eastAsia="Calibri" w:hAnsi="Arial" w:cs="Arial"/>
          <w:sz w:val="22"/>
          <w:szCs w:val="22"/>
        </w:rPr>
        <w:t>a</w:t>
      </w:r>
      <w:proofErr w:type="spellEnd"/>
      <w:r>
        <w:rPr>
          <w:rFonts w:ascii="Arial" w:eastAsia="Calibri" w:hAnsi="Arial" w:cs="Arial"/>
          <w:sz w:val="22"/>
          <w:szCs w:val="22"/>
        </w:rPr>
        <w:t xml:space="preserve"> inconsistent delivery or a failure to reach target demographics. (Parr, S. 2016) (Cattan, S., Conti, G., Farquharson, C. and Ginja, R. 2019)</w:t>
      </w:r>
    </w:p>
    <w:p w14:paraId="31E7E954" w14:textId="4E550712" w:rsidR="00C4367C" w:rsidRDefault="00000000">
      <w:pPr>
        <w:spacing w:line="240" w:lineRule="auto"/>
        <w:rPr>
          <w:rFonts w:ascii="Arial" w:eastAsia="Calibri" w:hAnsi="Arial" w:cs="Arial"/>
          <w:sz w:val="22"/>
          <w:szCs w:val="22"/>
        </w:rPr>
      </w:pPr>
      <w:r>
        <w:rPr>
          <w:rFonts w:ascii="Arial" w:eastAsia="Calibri" w:hAnsi="Arial" w:cs="Arial"/>
          <w:sz w:val="22"/>
          <w:szCs w:val="22"/>
        </w:rPr>
        <w:t xml:space="preserve">Funding, to secure the long-term viability of EIM programmes, is a major factor to consider; however, many of them </w:t>
      </w:r>
      <w:r w:rsidR="00655E2F">
        <w:rPr>
          <w:rFonts w:ascii="Arial" w:eastAsia="Calibri" w:hAnsi="Arial" w:cs="Arial"/>
          <w:sz w:val="22"/>
          <w:szCs w:val="22"/>
        </w:rPr>
        <w:t>must</w:t>
      </w:r>
      <w:r>
        <w:rPr>
          <w:rFonts w:ascii="Arial" w:eastAsia="Calibri" w:hAnsi="Arial" w:cs="Arial"/>
          <w:sz w:val="22"/>
          <w:szCs w:val="22"/>
        </w:rPr>
        <w:t xml:space="preserve"> rely on short-term funding</w:t>
      </w:r>
      <w:r w:rsidR="00217F2B">
        <w:rPr>
          <w:rFonts w:ascii="Arial" w:eastAsia="Calibri" w:hAnsi="Arial" w:cs="Arial"/>
          <w:sz w:val="22"/>
          <w:szCs w:val="22"/>
        </w:rPr>
        <w:t xml:space="preserve">. </w:t>
      </w:r>
      <w:r>
        <w:rPr>
          <w:rFonts w:ascii="Arial" w:eastAsia="Calibri" w:hAnsi="Arial" w:cs="Arial"/>
          <w:sz w:val="22"/>
          <w:szCs w:val="22"/>
        </w:rPr>
        <w:t>This compromises their ability to achieve sustained results</w:t>
      </w:r>
      <w:r w:rsidRPr="00653E1E">
        <w:rPr>
          <w:rFonts w:ascii="Arial" w:eastAsia="Calibri" w:hAnsi="Arial" w:cs="Arial"/>
          <w:sz w:val="22"/>
          <w:szCs w:val="22"/>
        </w:rPr>
        <w:t>. For instance, the Department for Communities and Local Government found significant issues with the Troubled Families Programme, which faced criticism because its reliance on short term funding cast doubts on its long-term effectiveness and future continuity.</w:t>
      </w:r>
      <w:r>
        <w:rPr>
          <w:rFonts w:ascii="Arial" w:eastAsia="Calibri" w:hAnsi="Arial" w:cs="Arial"/>
          <w:sz w:val="22"/>
          <w:szCs w:val="22"/>
        </w:rPr>
        <w:t xml:space="preserve"> (The Department for Communities and Local Government, 2020) The issue of funding is critical, because families receiving support from programmes such as the Troubled Families Programme may be reliant on it.</w:t>
      </w:r>
    </w:p>
    <w:p w14:paraId="28EEFBBB"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Another concern raised by the Department for Communities and Local Government (2020) is a EIM programmes’ ability to identify at-risk individuals early enough for the EIM to have a significant impact. Identifying young people who are more at risk of engaging in criminal behaviour is a complex and difficult process. This is further complicated by the fact that it could lead to wrongly ‘labelling’ and possibly stigmatising youths who would not offend.  This could lead to well-intentioned EIM generating negative impacts.</w:t>
      </w:r>
    </w:p>
    <w:p w14:paraId="733C01F5" w14:textId="77777777" w:rsidR="00C4367C" w:rsidRDefault="00000000">
      <w:pPr>
        <w:spacing w:line="240" w:lineRule="auto"/>
        <w:rPr>
          <w:rFonts w:ascii="Arial" w:eastAsia="Calibri" w:hAnsi="Arial" w:cs="Arial"/>
          <w:sz w:val="22"/>
          <w:szCs w:val="22"/>
        </w:rPr>
      </w:pPr>
      <w:r>
        <w:rPr>
          <w:rFonts w:ascii="Arial" w:eastAsia="Calibri" w:hAnsi="Arial" w:cs="Arial"/>
          <w:sz w:val="22"/>
          <w:szCs w:val="22"/>
        </w:rPr>
        <w:t>In conclusion, academic research and case studies have confirmed the potential of EIM for reducing youth offending and youth reoffending in the UK. However, there are still major concerns such as ensuring reliable funding for, and quality implementation of, EIM programmes, as well as improving methods of identifying at-risk youth. If those issues can be addressed, then EIM can be effective in reducing youth crime and improving the long-term quality of life of youths and affected families in the UK.</w:t>
      </w:r>
    </w:p>
    <w:p w14:paraId="602409B7" w14:textId="19602826" w:rsidR="00C4367C" w:rsidRDefault="00000000">
      <w:pPr>
        <w:spacing w:line="240" w:lineRule="auto"/>
        <w:rPr>
          <w:rFonts w:ascii="Arial" w:hAnsi="Arial" w:cs="Arial"/>
          <w:b/>
          <w:bCs/>
          <w:sz w:val="22"/>
          <w:szCs w:val="22"/>
        </w:rPr>
      </w:pPr>
      <w:r>
        <w:rPr>
          <w:rFonts w:ascii="Arial" w:hAnsi="Arial" w:cs="Arial"/>
          <w:b/>
          <w:bCs/>
          <w:sz w:val="22"/>
          <w:szCs w:val="22"/>
        </w:rPr>
        <w:t>Word count – 97</w:t>
      </w:r>
      <w:r w:rsidR="00655E2F">
        <w:rPr>
          <w:rFonts w:ascii="Arial" w:hAnsi="Arial" w:cs="Arial"/>
          <w:b/>
          <w:bCs/>
          <w:sz w:val="22"/>
          <w:szCs w:val="22"/>
        </w:rPr>
        <w:t>6</w:t>
      </w:r>
      <w:r>
        <w:rPr>
          <w:rFonts w:ascii="Arial" w:hAnsi="Arial" w:cs="Arial"/>
          <w:b/>
          <w:bCs/>
          <w:sz w:val="22"/>
          <w:szCs w:val="22"/>
        </w:rPr>
        <w:t xml:space="preserve"> </w:t>
      </w:r>
      <w:r>
        <w:br w:type="page"/>
      </w:r>
    </w:p>
    <w:p w14:paraId="6195991B" w14:textId="77777777" w:rsidR="00C4367C" w:rsidRDefault="00000000">
      <w:pPr>
        <w:spacing w:line="240" w:lineRule="auto"/>
        <w:rPr>
          <w:rFonts w:ascii="Arial" w:hAnsi="Arial" w:cs="Arial"/>
          <w:b/>
          <w:bCs/>
          <w:sz w:val="22"/>
          <w:szCs w:val="22"/>
        </w:rPr>
      </w:pPr>
      <w:r>
        <w:rPr>
          <w:rFonts w:ascii="Arial" w:hAnsi="Arial" w:cs="Arial"/>
          <w:b/>
          <w:bCs/>
          <w:sz w:val="22"/>
          <w:szCs w:val="22"/>
        </w:rPr>
        <w:lastRenderedPageBreak/>
        <w:t>References</w:t>
      </w:r>
    </w:p>
    <w:p w14:paraId="431F82AA" w14:textId="77777777" w:rsidR="00C4367C" w:rsidRDefault="00C4367C">
      <w:pPr>
        <w:pStyle w:val="ListParagraph"/>
        <w:spacing w:after="0" w:line="240" w:lineRule="auto"/>
        <w:rPr>
          <w:rFonts w:ascii="Arial" w:eastAsia="Times New Roman" w:hAnsi="Arial" w:cs="Arial"/>
          <w:kern w:val="0"/>
          <w:sz w:val="22"/>
          <w:szCs w:val="22"/>
          <w:lang w:eastAsia="en-GB"/>
          <w14:ligatures w14:val="none"/>
        </w:rPr>
      </w:pPr>
    </w:p>
    <w:p w14:paraId="2AE49624" w14:textId="24B28CD1"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Allen, G., </w:t>
      </w:r>
      <w:r w:rsidR="00017821">
        <w:rPr>
          <w:rFonts w:ascii="Arial" w:hAnsi="Arial" w:cs="Arial"/>
          <w:sz w:val="22"/>
          <w:szCs w:val="22"/>
        </w:rPr>
        <w:t>(</w:t>
      </w:r>
      <w:r>
        <w:rPr>
          <w:rFonts w:ascii="Arial" w:hAnsi="Arial" w:cs="Arial"/>
          <w:sz w:val="22"/>
          <w:szCs w:val="22"/>
        </w:rPr>
        <w:t>2011</w:t>
      </w:r>
      <w:r w:rsidR="00017821">
        <w:rPr>
          <w:rFonts w:ascii="Arial" w:hAnsi="Arial" w:cs="Arial"/>
          <w:sz w:val="22"/>
          <w:szCs w:val="22"/>
        </w:rPr>
        <w:t>)</w:t>
      </w:r>
      <w:r>
        <w:rPr>
          <w:rFonts w:ascii="Arial" w:hAnsi="Arial" w:cs="Arial"/>
          <w:sz w:val="22"/>
          <w:szCs w:val="22"/>
        </w:rPr>
        <w:t>. Early Intervention: The Next Steps. [online] London: HM Government. Available at: https://assets.publishing.service.gov.uk/government/uploads/system/uploads/attachment_data/file/284086/early-intervention-next-steps.pdf [Accessed 02 October 2024]</w:t>
      </w:r>
    </w:p>
    <w:p w14:paraId="1E60A983"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Anderson, G. S., Litzenberger, R., &amp; Plecas, D. (2015). Physical evidence of police officer stress. Policing: An International Journal of Police Strategies &amp; Management, 28(2), 321-337.</w:t>
      </w:r>
    </w:p>
    <w:p w14:paraId="7D53D689" w14:textId="77777777" w:rsidR="00C4367C" w:rsidRDefault="00000000">
      <w:pPr>
        <w:numPr>
          <w:ilvl w:val="0"/>
          <w:numId w:val="1"/>
        </w:numPr>
        <w:spacing w:line="240" w:lineRule="auto"/>
        <w:rPr>
          <w:rFonts w:ascii="Arial" w:hAnsi="Arial" w:cs="Arial"/>
          <w:sz w:val="22"/>
          <w:szCs w:val="22"/>
        </w:rPr>
      </w:pPr>
      <w:proofErr w:type="spellStart"/>
      <w:r>
        <w:rPr>
          <w:rFonts w:ascii="Arial" w:hAnsi="Arial" w:cs="Arial"/>
          <w:sz w:val="22"/>
          <w:szCs w:val="22"/>
        </w:rPr>
        <w:t>Anggraini</w:t>
      </w:r>
      <w:proofErr w:type="spellEnd"/>
      <w:r>
        <w:rPr>
          <w:rFonts w:ascii="Arial" w:hAnsi="Arial" w:cs="Arial"/>
          <w:sz w:val="22"/>
          <w:szCs w:val="22"/>
        </w:rPr>
        <w:t xml:space="preserve">, R. D. (2022). CRIME OF EXPLOITATION CRIME ANALYSIS OF CHILD WORK AS HOUSEHOLD SERVICE. Ius </w:t>
      </w:r>
      <w:proofErr w:type="spellStart"/>
      <w:r>
        <w:rPr>
          <w:rFonts w:ascii="Arial" w:hAnsi="Arial" w:cs="Arial"/>
          <w:sz w:val="22"/>
          <w:szCs w:val="22"/>
        </w:rPr>
        <w:t>Poenale</w:t>
      </w:r>
      <w:proofErr w:type="spellEnd"/>
      <w:r>
        <w:rPr>
          <w:rFonts w:ascii="Arial" w:hAnsi="Arial" w:cs="Arial"/>
          <w:sz w:val="22"/>
          <w:szCs w:val="22"/>
        </w:rPr>
        <w:t xml:space="preserve"> (Online) Vol.3 (2), 93-102.</w:t>
      </w:r>
    </w:p>
    <w:p w14:paraId="145A3EB5" w14:textId="77777777" w:rsidR="00C4367C" w:rsidRDefault="00000000">
      <w:pPr>
        <w:numPr>
          <w:ilvl w:val="0"/>
          <w:numId w:val="1"/>
        </w:numPr>
        <w:spacing w:line="240" w:lineRule="auto"/>
        <w:rPr>
          <w:rFonts w:ascii="Arial" w:hAnsi="Arial" w:cs="Arial"/>
          <w:sz w:val="22"/>
          <w:szCs w:val="22"/>
        </w:rPr>
      </w:pPr>
      <w:proofErr w:type="spellStart"/>
      <w:r>
        <w:rPr>
          <w:rFonts w:ascii="Arial" w:hAnsi="Arial" w:cs="Arial"/>
          <w:sz w:val="22"/>
          <w:szCs w:val="22"/>
        </w:rPr>
        <w:t>Anggraini</w:t>
      </w:r>
      <w:proofErr w:type="spellEnd"/>
      <w:r>
        <w:rPr>
          <w:rFonts w:ascii="Arial" w:hAnsi="Arial" w:cs="Arial"/>
          <w:sz w:val="22"/>
          <w:szCs w:val="22"/>
        </w:rPr>
        <w:t xml:space="preserve">, R. D. (2022). CRIME OF EXPLOITATION CRIME ANALYSIS OF CHILD WORK AS HOUSEHOLD SERVICE. Faculty of Law Universitas Lampung; Ius </w:t>
      </w:r>
      <w:proofErr w:type="spellStart"/>
      <w:r>
        <w:rPr>
          <w:rFonts w:ascii="Arial" w:hAnsi="Arial" w:cs="Arial"/>
          <w:sz w:val="22"/>
          <w:szCs w:val="22"/>
        </w:rPr>
        <w:t>Poenale</w:t>
      </w:r>
      <w:proofErr w:type="spellEnd"/>
      <w:r>
        <w:rPr>
          <w:rFonts w:ascii="Arial" w:hAnsi="Arial" w:cs="Arial"/>
          <w:sz w:val="22"/>
          <w:szCs w:val="22"/>
        </w:rPr>
        <w:t xml:space="preserve"> (Online) Vol.3 (2, 93-102.</w:t>
      </w:r>
    </w:p>
    <w:p w14:paraId="65245FD2"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Bendall, J. (2023) 'Young People's Perceptions and Motivations for Joining Gangs in the UK', Journal of Youth Studies, 26(4), pp. 456-472. Available at: https://researchportal.port.ac.uk/files/12967463/Final_Project_of_the_Professional_Doctorate_of_Jonathan_Bendall.pdf (Accessed: 18 January 2025).</w:t>
      </w:r>
    </w:p>
    <w:p w14:paraId="3F7CF2BA" w14:textId="77777777" w:rsidR="00C4367C" w:rsidRDefault="00C4367C">
      <w:pPr>
        <w:pStyle w:val="ListParagraph"/>
        <w:spacing w:line="240" w:lineRule="auto"/>
        <w:rPr>
          <w:rFonts w:ascii="Arial" w:hAnsi="Arial" w:cs="Arial"/>
          <w:sz w:val="22"/>
          <w:szCs w:val="22"/>
        </w:rPr>
      </w:pPr>
    </w:p>
    <w:p w14:paraId="37789194" w14:textId="77777777" w:rsidR="00C4367C" w:rsidRDefault="00000000">
      <w:pPr>
        <w:pStyle w:val="ListParagraph"/>
        <w:numPr>
          <w:ilvl w:val="0"/>
          <w:numId w:val="3"/>
        </w:numPr>
        <w:spacing w:line="240" w:lineRule="auto"/>
        <w:rPr>
          <w:rFonts w:ascii="Arial" w:hAnsi="Arial" w:cs="Arial"/>
          <w:sz w:val="22"/>
          <w:szCs w:val="22"/>
        </w:rPr>
      </w:pPr>
      <w:r>
        <w:rPr>
          <w:rFonts w:ascii="Arial" w:hAnsi="Arial" w:cs="Arial"/>
          <w:sz w:val="22"/>
          <w:szCs w:val="22"/>
        </w:rPr>
        <w:t>Bendall, J. (2023) Young People's Perceptions and Motivations for Joining Gangs in Deprived Areas, University of Portsmouth. Available at: https://researchportal.port.ac.uk/files/12967463/Final_Project_of_the_Professional_Doctorate_of_Jonathan_Bendall.pdf (Accessed: 19 January 2025).</w:t>
      </w:r>
    </w:p>
    <w:p w14:paraId="2775A399" w14:textId="77777777" w:rsidR="00C4367C" w:rsidRDefault="00C4367C">
      <w:pPr>
        <w:pStyle w:val="ListParagraph"/>
        <w:spacing w:line="240" w:lineRule="auto"/>
        <w:rPr>
          <w:rFonts w:ascii="Arial" w:hAnsi="Arial" w:cs="Arial"/>
          <w:sz w:val="22"/>
          <w:szCs w:val="22"/>
        </w:rPr>
      </w:pPr>
    </w:p>
    <w:p w14:paraId="6711ED56"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Brunetto Y, Farr-Wharton B, Wankhade P, et al. (2023) Managing emotional labour: the importance of organisational support for managing police officers in England and Italy. International Journal of Human Resource Management 34(4): 832–854.</w:t>
      </w:r>
    </w:p>
    <w:p w14:paraId="35CAE465"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Butera, J.-A. (2017, October 13). Cuckooing: Home </w:t>
      </w:r>
      <w:proofErr w:type="gramStart"/>
      <w:r>
        <w:rPr>
          <w:rFonts w:ascii="Arial" w:hAnsi="Arial" w:cs="Arial"/>
          <w:sz w:val="22"/>
          <w:szCs w:val="22"/>
        </w:rPr>
        <w:t>Takeovers .</w:t>
      </w:r>
      <w:proofErr w:type="gramEnd"/>
      <w:r>
        <w:rPr>
          <w:rFonts w:ascii="Arial" w:hAnsi="Arial" w:cs="Arial"/>
          <w:sz w:val="22"/>
          <w:szCs w:val="22"/>
        </w:rPr>
        <w:t xml:space="preserve"> Retrieved from Homelesshub.ca: https://homelesshub.ca/sites/default/files/Cuckooing-Home%20takeovers%20of%20vulnerable%20tenants_0.pdf</w:t>
      </w:r>
    </w:p>
    <w:p w14:paraId="43A8BC99" w14:textId="3FF7AFB1"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Cambridge University Press. (2024). </w:t>
      </w:r>
      <w:proofErr w:type="spellStart"/>
      <w:r>
        <w:rPr>
          <w:rFonts w:ascii="Arial" w:hAnsi="Arial" w:cs="Arial"/>
          <w:sz w:val="22"/>
          <w:szCs w:val="22"/>
        </w:rPr>
        <w:t>Dictionary.cambridge</w:t>
      </w:r>
      <w:proofErr w:type="spellEnd"/>
      <w:r>
        <w:rPr>
          <w:rFonts w:ascii="Arial" w:hAnsi="Arial" w:cs="Arial"/>
          <w:sz w:val="22"/>
          <w:szCs w:val="22"/>
        </w:rPr>
        <w:t>. Retrieved from cambridge.org: https://dictionary.cambridge.org/dictionary/english/diversity</w:t>
      </w:r>
    </w:p>
    <w:p w14:paraId="3B58257B"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Cambridge University Press (n.d.) Diversity [online]. Available at: https://dictionary.cambridge.org/dictionary/english/diversity (Accessed: 22 November 2024).</w:t>
      </w:r>
    </w:p>
    <w:p w14:paraId="3FA2A8BD" w14:textId="77777777" w:rsidR="00C4367C" w:rsidRDefault="00000000">
      <w:pPr>
        <w:pStyle w:val="ListParagraph"/>
        <w:numPr>
          <w:ilvl w:val="0"/>
          <w:numId w:val="1"/>
        </w:numPr>
        <w:spacing w:line="240" w:lineRule="auto"/>
        <w:rPr>
          <w:rFonts w:ascii="Arial" w:eastAsia="Calibri" w:hAnsi="Arial" w:cs="Arial"/>
          <w:sz w:val="22"/>
          <w:szCs w:val="22"/>
        </w:rPr>
      </w:pPr>
      <w:r>
        <w:rPr>
          <w:rFonts w:ascii="Arial" w:eastAsia="Calibri" w:hAnsi="Arial" w:cs="Arial"/>
          <w:sz w:val="22"/>
          <w:szCs w:val="22"/>
        </w:rPr>
        <w:t>Casey, L. (2023) The Baroness Casey Review: Final report of the review into culture and standards in the Metropolitan Police Service. London: Home Office. Available at: https://www.gov.uk (Accessed: 18 January 2025).</w:t>
      </w:r>
    </w:p>
    <w:p w14:paraId="5E303852" w14:textId="77777777" w:rsidR="00C4367C" w:rsidRDefault="00C4367C">
      <w:pPr>
        <w:pStyle w:val="ListParagraph"/>
        <w:spacing w:line="240" w:lineRule="auto"/>
        <w:rPr>
          <w:rFonts w:ascii="Arial" w:eastAsia="Calibri" w:hAnsi="Arial" w:cs="Arial"/>
          <w:sz w:val="22"/>
          <w:szCs w:val="22"/>
        </w:rPr>
      </w:pPr>
    </w:p>
    <w:p w14:paraId="7AED7D93" w14:textId="77777777" w:rsidR="00C4367C" w:rsidRDefault="00000000">
      <w:pPr>
        <w:pStyle w:val="ListParagraph"/>
        <w:numPr>
          <w:ilvl w:val="0"/>
          <w:numId w:val="1"/>
        </w:numPr>
        <w:spacing w:line="240" w:lineRule="auto"/>
        <w:rPr>
          <w:rFonts w:ascii="Arial" w:hAnsi="Arial" w:cs="Arial"/>
          <w:sz w:val="22"/>
          <w:szCs w:val="22"/>
        </w:rPr>
      </w:pPr>
      <w:r>
        <w:rPr>
          <w:rFonts w:ascii="Arial" w:eastAsia="Calibri" w:hAnsi="Arial" w:cs="Arial"/>
          <w:sz w:val="22"/>
          <w:szCs w:val="22"/>
        </w:rPr>
        <w:t>Cattan, S., Conti, G., Farquharson, C. and Ginja, R. (2019) The short- and medium-term impacts of Sure Start on educational outcomes. London: Institute for Fiscal Studies. Available at: https://ifs.org.uk/publications/short-and-medium-term-impacts-sure-start-educational-outcomes (Accessed: 22 December 2024).</w:t>
      </w:r>
    </w:p>
    <w:p w14:paraId="03F75DCD" w14:textId="77777777" w:rsidR="00C4367C" w:rsidRDefault="00C4367C">
      <w:pPr>
        <w:pStyle w:val="ListParagraph"/>
        <w:rPr>
          <w:rFonts w:ascii="Arial" w:hAnsi="Arial" w:cs="Arial"/>
          <w:sz w:val="22"/>
          <w:szCs w:val="22"/>
        </w:rPr>
      </w:pPr>
    </w:p>
    <w:p w14:paraId="43D63C71" w14:textId="77777777" w:rsidR="00C4367C" w:rsidRDefault="00C4367C">
      <w:pPr>
        <w:pStyle w:val="ListParagraph"/>
        <w:spacing w:line="240" w:lineRule="auto"/>
        <w:rPr>
          <w:rFonts w:ascii="Arial" w:hAnsi="Arial" w:cs="Arial"/>
          <w:sz w:val="22"/>
          <w:szCs w:val="22"/>
        </w:rPr>
      </w:pPr>
    </w:p>
    <w:p w14:paraId="0CD99305"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 xml:space="preserve">Centre for Social Justice (2024) Criminal Exploitation: The Missing Link in Tackling Serious and Organised Crime. Available at: </w:t>
      </w:r>
      <w:r>
        <w:rPr>
          <w:rFonts w:ascii="Arial" w:hAnsi="Arial" w:cs="Arial"/>
          <w:sz w:val="22"/>
          <w:szCs w:val="22"/>
        </w:rPr>
        <w:lastRenderedPageBreak/>
        <w:t>https://www.centreforsocialjustice.org.uk/wp-content/uploads/2024/02/CSJ-JC_Criminal_exploitation.pdf (Accessed: 18 January 2025).</w:t>
      </w:r>
    </w:p>
    <w:p w14:paraId="11E9E3BC" w14:textId="77777777" w:rsidR="00C4367C" w:rsidRDefault="00C4367C">
      <w:pPr>
        <w:pStyle w:val="ListParagraph"/>
        <w:spacing w:line="240" w:lineRule="auto"/>
        <w:rPr>
          <w:rFonts w:ascii="Arial" w:hAnsi="Arial" w:cs="Arial"/>
          <w:sz w:val="22"/>
          <w:szCs w:val="22"/>
        </w:rPr>
      </w:pPr>
    </w:p>
    <w:p w14:paraId="54D2709F"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Centre for Social Justice (2024) Criminal Exploitation: The Missing Link in Tackling Serious and Organised Crime. Available at: https://www.centreforsocialjustice.org.uk/wp-content/uploads/2024/02/CSJ-JC_Criminal_exploitation.pdf (Accessed: 18 January 2025).</w:t>
      </w:r>
    </w:p>
    <w:p w14:paraId="28376EFC"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Cockbain, E., &amp; Brayley, H. (2012). Child sexual exploitation and youth offending: A research note. European Journal of Criminology 9(6), 689–700.</w:t>
      </w:r>
    </w:p>
    <w:p w14:paraId="71A9909C" w14:textId="77777777" w:rsidR="00C4367C" w:rsidRDefault="00000000">
      <w:pPr>
        <w:pStyle w:val="ListParagraph"/>
        <w:numPr>
          <w:ilvl w:val="0"/>
          <w:numId w:val="1"/>
        </w:numPr>
        <w:spacing w:line="240" w:lineRule="auto"/>
        <w:rPr>
          <w:rFonts w:ascii="Arial" w:eastAsia="Calibri" w:hAnsi="Arial" w:cs="Arial"/>
          <w:sz w:val="22"/>
          <w:szCs w:val="22"/>
        </w:rPr>
      </w:pPr>
      <w:r>
        <w:rPr>
          <w:rFonts w:ascii="Arial" w:eastAsia="Calibri" w:hAnsi="Arial" w:cs="Arial"/>
          <w:sz w:val="22"/>
          <w:szCs w:val="22"/>
        </w:rPr>
        <w:t>College of Policing (2021) Evaluation of the Think Family Early Intervention programme. Available at: https://assets.college.police.uk/s3fs-public/2021-07/vvcp-evaluation-of-tfei.pdf (Accessed: 18 January 2025).</w:t>
      </w:r>
    </w:p>
    <w:p w14:paraId="111DB36D" w14:textId="77777777" w:rsidR="00C4367C" w:rsidRDefault="00C4367C">
      <w:pPr>
        <w:pStyle w:val="ListParagraph"/>
        <w:spacing w:line="240" w:lineRule="auto"/>
        <w:rPr>
          <w:rFonts w:ascii="Arial" w:eastAsia="Calibri" w:hAnsi="Arial" w:cs="Arial"/>
          <w:sz w:val="22"/>
          <w:szCs w:val="22"/>
        </w:rPr>
      </w:pPr>
    </w:p>
    <w:p w14:paraId="3B790EBA" w14:textId="77777777" w:rsidR="00C4367C" w:rsidRDefault="00000000">
      <w:pPr>
        <w:pStyle w:val="ListParagraph"/>
        <w:numPr>
          <w:ilvl w:val="0"/>
          <w:numId w:val="1"/>
        </w:numPr>
        <w:spacing w:line="240" w:lineRule="auto"/>
        <w:rPr>
          <w:rFonts w:ascii="Arial" w:eastAsia="Calibri" w:hAnsi="Arial" w:cs="Arial"/>
          <w:sz w:val="22"/>
          <w:szCs w:val="22"/>
        </w:rPr>
      </w:pPr>
      <w:r>
        <w:rPr>
          <w:rFonts w:ascii="Arial" w:eastAsia="Times New Roman" w:hAnsi="Arial" w:cs="Arial"/>
          <w:kern w:val="0"/>
          <w:sz w:val="22"/>
          <w:szCs w:val="22"/>
          <w:lang w:eastAsia="en-GB"/>
          <w14:ligatures w14:val="none"/>
        </w:rPr>
        <w:t>Commission on Race and Ethnic Disparities (2021) The report of the Commission on Race and Ethnic Disparities. Available at: https://assets.publishing.service.gov.uk/government/uploads/system/uploads/attachment_data/file/974507/20210331_-_CRED_Report_-_FINAL_-_Web_Accessible.pdf (Accessed: 17 January 2025).</w:t>
      </w:r>
    </w:p>
    <w:p w14:paraId="2E36BCE7"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Coomber, R. a. (2018). The Changing Shape of Street-Level Heroin and Crack Supply in England: Commuting, Holidaying and Cuckooing Drug Dealers Across “County Lines”’. British journal of criminology, 58(6), 1323–1342.</w:t>
      </w:r>
    </w:p>
    <w:p w14:paraId="04F9C0C4"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Corporate Wellness Magazine (2024). The importance of mental health literacy in the workplace. Available at: https://www.corporatewellnessmagazine.com [Accessed 22 Nov. 2024].</w:t>
      </w:r>
    </w:p>
    <w:p w14:paraId="7C64C051" w14:textId="77777777" w:rsidR="00C4367C" w:rsidRDefault="00000000">
      <w:pPr>
        <w:numPr>
          <w:ilvl w:val="0"/>
          <w:numId w:val="1"/>
        </w:numPr>
        <w:spacing w:line="240" w:lineRule="auto"/>
        <w:rPr>
          <w:rFonts w:ascii="Arial" w:hAnsi="Arial" w:cs="Arial"/>
          <w:sz w:val="22"/>
          <w:szCs w:val="22"/>
        </w:rPr>
      </w:pPr>
      <w:r>
        <w:rPr>
          <w:rFonts w:ascii="Arial" w:eastAsia="Times New Roman" w:hAnsi="Arial" w:cs="Arial"/>
          <w:kern w:val="0"/>
          <w:sz w:val="22"/>
          <w:szCs w:val="22"/>
          <w:lang w:eastAsia="en-GB"/>
          <w14:ligatures w14:val="none"/>
        </w:rPr>
        <w:t>Dr Tony Sewell CBE (2021) The Report of the Commission on Race and Ethnic Disparities. Available at: https://www.gov.uk/government/publications/the-report-of-the-commission-on-race-and-ethnic-disparities (Accessed: 19 January 2025).</w:t>
      </w:r>
    </w:p>
    <w:p w14:paraId="4032EE91"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Elliott-Davies, M., Donnelly, J., Boag-Munroe, F., and Van Mechelen, D. (2023) ‘Primary care consultations and mental health in UK police employees: evidence from the Airwave Health Monitoring Study’, Public Health Research, 11(3), pp. 1-12. Available at: https://pmc.ncbi.nlm.nih.gov/articles/PMC10227927/ (Accessed: 15 January 2025). </w:t>
      </w:r>
    </w:p>
    <w:p w14:paraId="7CF7165A" w14:textId="77777777" w:rsidR="00C4367C" w:rsidRDefault="00000000">
      <w:pPr>
        <w:pStyle w:val="ListParagraph"/>
        <w:numPr>
          <w:ilvl w:val="0"/>
          <w:numId w:val="3"/>
        </w:numPr>
        <w:spacing w:line="240" w:lineRule="auto"/>
        <w:rPr>
          <w:rFonts w:ascii="Arial" w:hAnsi="Arial" w:cs="Arial"/>
          <w:sz w:val="22"/>
          <w:szCs w:val="22"/>
        </w:rPr>
      </w:pPr>
      <w:r>
        <w:rPr>
          <w:rFonts w:ascii="Arial" w:hAnsi="Arial" w:cs="Arial"/>
          <w:sz w:val="22"/>
          <w:szCs w:val="22"/>
        </w:rPr>
        <w:t>Gill, P., and Warrington, C. (2020) ‘Exploitation of children by organised crime groups: Motivations, methods, and impacts’, Journal of Criminology, 56(2), pp. 225-245. Available at: https://journals.sagepub.com/doi/full/10.1177/0042098020902299 (Accessed: 19 January 2025).</w:t>
      </w:r>
    </w:p>
    <w:p w14:paraId="2E216731"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GOV.UK. (2024, July 3rd). Stop and search. Retrieved from GOV.UK: https://www.ethnicity-facts-figures.service.gov.uk/crime-justice-and-the-law/policing/stop-and-search/latest/</w:t>
      </w:r>
    </w:p>
    <w:p w14:paraId="52809D3D"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Home Affairs Committee (2021) The Macpherson Report: Twenty-two years on. Available at: https://publications.parliament.uk/pa/cm5802/cmselect/cmhaff/139/13907.htm (Accessed: 17 January 2025).</w:t>
      </w:r>
    </w:p>
    <w:p w14:paraId="2B1D1038" w14:textId="77777777" w:rsidR="00C4367C" w:rsidRDefault="00C4367C">
      <w:pPr>
        <w:pStyle w:val="ListParagraph"/>
        <w:spacing w:after="0" w:line="240" w:lineRule="auto"/>
        <w:rPr>
          <w:rFonts w:ascii="Arial" w:eastAsia="Times New Roman" w:hAnsi="Arial" w:cs="Arial"/>
          <w:kern w:val="0"/>
          <w:sz w:val="22"/>
          <w:szCs w:val="22"/>
          <w:lang w:eastAsia="en-GB"/>
          <w14:ligatures w14:val="none"/>
        </w:rPr>
      </w:pPr>
    </w:p>
    <w:p w14:paraId="1503ECC5"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Home Office (2023) Police workforce statistics, England and Wales: 31 March 2023. Available at: https://www.gov.uk/government/statistics/police-workforce-england-and-wales-31-march-2023 (Accessed: 17 January 2025).</w:t>
      </w:r>
    </w:p>
    <w:p w14:paraId="529EEC6D"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lastRenderedPageBreak/>
        <w:t>Home Office (2023) The impact of discrimination and misconduct in UK policing. London: Home Office. Available at: https://www.gov.uk/government/publications/impact-of-discrimination-and-misconduct-in-uk-policing (Accessed: 22 November 2024)</w:t>
      </w:r>
    </w:p>
    <w:p w14:paraId="35E0E78B"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Home Office. (2014, April 25). Serious and Organised Crime Strategy. Retrieved from Gov.uk: </w:t>
      </w:r>
      <w:hyperlink r:id="rId6">
        <w:r w:rsidR="00C4367C">
          <w:rPr>
            <w:rStyle w:val="Hyperlink"/>
            <w:rFonts w:ascii="Arial" w:hAnsi="Arial" w:cs="Arial"/>
            <w:sz w:val="22"/>
            <w:szCs w:val="22"/>
          </w:rPr>
          <w:t>https://www.gov.uk/government/collections/serious-and-organised-crime-strategy</w:t>
        </w:r>
      </w:hyperlink>
    </w:p>
    <w:p w14:paraId="101F8016" w14:textId="77777777" w:rsidR="00C4367C" w:rsidRDefault="00000000">
      <w:pPr>
        <w:numPr>
          <w:ilvl w:val="0"/>
          <w:numId w:val="1"/>
        </w:numPr>
        <w:spacing w:line="240" w:lineRule="auto"/>
        <w:rPr>
          <w:rFonts w:ascii="Arial" w:hAnsi="Arial" w:cs="Arial"/>
          <w:sz w:val="22"/>
          <w:szCs w:val="22"/>
        </w:rPr>
      </w:pPr>
      <w:r>
        <w:rPr>
          <w:rFonts w:ascii="Arial" w:eastAsia="Times New Roman" w:hAnsi="Arial" w:cs="Arial"/>
          <w:kern w:val="0"/>
          <w:sz w:val="22"/>
          <w:szCs w:val="22"/>
          <w:lang w:eastAsia="en-GB"/>
          <w14:ligatures w14:val="none"/>
        </w:rPr>
        <w:t>Independent Office for Police Conduct (2023) Race discrimination. Available at: https://www.policeconduct.gov.uk/our-work/key-areas-of-work/race-discrimination (Accessed: 17 January 2025).</w:t>
      </w:r>
    </w:p>
    <w:p w14:paraId="23819580"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INQUEST (2023) Black people seven times more likely to die after police restraint in Britain, figures show. Available at: https://www.inquest.org.uk/police-racism-report-2023?</w:t>
      </w:r>
      <w:r>
        <w:rPr>
          <w:rFonts w:ascii="Arial" w:hAnsi="Arial" w:cs="Arial"/>
          <w:sz w:val="22"/>
          <w:szCs w:val="22"/>
        </w:rPr>
        <w:t xml:space="preserve"> </w:t>
      </w:r>
      <w:r>
        <w:rPr>
          <w:rFonts w:ascii="Arial" w:eastAsia="Times New Roman" w:hAnsi="Arial" w:cs="Arial"/>
          <w:kern w:val="0"/>
          <w:sz w:val="22"/>
          <w:szCs w:val="22"/>
          <w:lang w:eastAsia="en-GB"/>
          <w14:ligatures w14:val="none"/>
        </w:rPr>
        <w:t xml:space="preserve">https://www.inquest.org.uk/police-racism-report-2023? (Accessed: 17 January 2025). </w:t>
      </w:r>
    </w:p>
    <w:p w14:paraId="3D510A3F" w14:textId="77777777" w:rsidR="00C4367C" w:rsidRDefault="00C4367C">
      <w:pPr>
        <w:pStyle w:val="ListParagraph"/>
        <w:spacing w:after="0" w:line="240" w:lineRule="auto"/>
        <w:rPr>
          <w:rFonts w:ascii="Arial" w:eastAsia="Times New Roman" w:hAnsi="Arial" w:cs="Arial"/>
          <w:kern w:val="0"/>
          <w:sz w:val="22"/>
          <w:szCs w:val="22"/>
          <w:lang w:eastAsia="en-GB"/>
          <w14:ligatures w14:val="none"/>
        </w:rPr>
      </w:pPr>
    </w:p>
    <w:p w14:paraId="6902D5F2"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Jones, P. (2022) 'The stress and demands of response policing in the UK: An analysis of daily challenges'. Journal of Policing and Public Safety, 34(2), pp. 112-126.</w:t>
      </w:r>
    </w:p>
    <w:p w14:paraId="2CD6948F" w14:textId="77777777" w:rsidR="00C4367C" w:rsidRDefault="00000000">
      <w:pPr>
        <w:numPr>
          <w:ilvl w:val="0"/>
          <w:numId w:val="1"/>
        </w:numPr>
        <w:spacing w:line="240" w:lineRule="auto"/>
        <w:rPr>
          <w:rFonts w:ascii="Arial" w:hAnsi="Arial" w:cs="Arial"/>
          <w:sz w:val="22"/>
          <w:szCs w:val="22"/>
        </w:rPr>
      </w:pPr>
      <w:proofErr w:type="spellStart"/>
      <w:r>
        <w:rPr>
          <w:rFonts w:ascii="Arial" w:hAnsi="Arial" w:cs="Arial"/>
          <w:sz w:val="22"/>
          <w:szCs w:val="22"/>
        </w:rPr>
        <w:t>Komarovskaya</w:t>
      </w:r>
      <w:proofErr w:type="spellEnd"/>
      <w:r>
        <w:rPr>
          <w:rFonts w:ascii="Arial" w:hAnsi="Arial" w:cs="Arial"/>
          <w:sz w:val="22"/>
          <w:szCs w:val="22"/>
        </w:rPr>
        <w:t xml:space="preserve">, I., </w:t>
      </w:r>
      <w:proofErr w:type="spellStart"/>
      <w:r>
        <w:rPr>
          <w:rFonts w:ascii="Arial" w:hAnsi="Arial" w:cs="Arial"/>
          <w:sz w:val="22"/>
          <w:szCs w:val="22"/>
        </w:rPr>
        <w:t>Maguen</w:t>
      </w:r>
      <w:proofErr w:type="spellEnd"/>
      <w:r>
        <w:rPr>
          <w:rFonts w:ascii="Arial" w:hAnsi="Arial" w:cs="Arial"/>
          <w:sz w:val="22"/>
          <w:szCs w:val="22"/>
        </w:rPr>
        <w:t>, S., McCaslin, S. E., Metzler, T. J., Madan, A., Brown, A. D., &amp; Marmar, C. R. (2011). The impact of killing and injuring others on mental health symptoms among police officers. Journal of Psychiatric Research, 45(10), 1332-1336.</w:t>
      </w:r>
    </w:p>
    <w:p w14:paraId="3F0DFE27" w14:textId="60779BB4"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 xml:space="preserve">Krishnan, N., Steene, L.M.B., Lewis, M. et al. </w:t>
      </w:r>
      <w:r w:rsidR="00017821">
        <w:rPr>
          <w:rFonts w:ascii="Arial" w:hAnsi="Arial" w:cs="Arial"/>
          <w:sz w:val="22"/>
          <w:szCs w:val="22"/>
        </w:rPr>
        <w:t xml:space="preserve">(2022) </w:t>
      </w:r>
      <w:r>
        <w:rPr>
          <w:rFonts w:ascii="Arial" w:hAnsi="Arial" w:cs="Arial"/>
          <w:sz w:val="22"/>
          <w:szCs w:val="22"/>
        </w:rPr>
        <w:t xml:space="preserve">A Systematic Review of Risk Factors Implicated in the Suicide of Police Officers. J Police Crim Psych 37, 939–951. </w:t>
      </w:r>
      <w:hyperlink r:id="rId7">
        <w:r w:rsidR="00C4367C">
          <w:rPr>
            <w:rStyle w:val="Hyperlink"/>
            <w:rFonts w:ascii="Arial" w:hAnsi="Arial" w:cs="Arial"/>
            <w:color w:val="auto"/>
            <w:sz w:val="22"/>
            <w:szCs w:val="22"/>
          </w:rPr>
          <w:t>https://doi.org/10.1007/s11896-022-09539-1</w:t>
        </w:r>
      </w:hyperlink>
      <w:r>
        <w:rPr>
          <w:rFonts w:ascii="Arial" w:hAnsi="Arial" w:cs="Arial"/>
          <w:sz w:val="22"/>
          <w:szCs w:val="22"/>
        </w:rPr>
        <w:t xml:space="preserve"> (Accessed: 17 January 2025).</w:t>
      </w:r>
    </w:p>
    <w:p w14:paraId="16DBED98"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Longfield, A. (2019, </w:t>
      </w:r>
      <w:proofErr w:type="spellStart"/>
      <w:r>
        <w:rPr>
          <w:rFonts w:ascii="Arial" w:hAnsi="Arial" w:cs="Arial"/>
          <w:sz w:val="22"/>
          <w:szCs w:val="22"/>
        </w:rPr>
        <w:t>Febuary</w:t>
      </w:r>
      <w:proofErr w:type="spellEnd"/>
      <w:r>
        <w:rPr>
          <w:rFonts w:ascii="Arial" w:hAnsi="Arial" w:cs="Arial"/>
          <w:sz w:val="22"/>
          <w:szCs w:val="22"/>
        </w:rPr>
        <w:t>). Keeping kids safe. Retrieved from ChildrensCommissioner.GOV: https://assets.childrenscommissioner.gov.uk/wpuploads/2019/02/CCO-Gangs.pdf</w:t>
      </w:r>
    </w:p>
    <w:p w14:paraId="0E36A861"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McCreary, D. R., &amp; Thompson, M. M. (2006). Development of two reliable and valid measures of stressors in policing: The operational and organizational police stress questionnaires. International Journal of Stress Management, 13(4), 494-518.</w:t>
      </w:r>
    </w:p>
    <w:p w14:paraId="61E641A4"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Ministry of Housing, Communities and Local Government (MHCLG). (2019). National Evaluation of the Troubled Families Programme 2015 to 2020.</w:t>
      </w:r>
    </w:p>
    <w:p w14:paraId="59711774"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Ministry of Justice, 2023. Youth Justice Statistics: 2022 to 2023 (accessible version). [online] GOV.UK. Available at: https://www.gov.uk/government/statistics/youth-justice-statistics-2022-to-2023 [Accessed 01 October 2024].</w:t>
      </w:r>
    </w:p>
    <w:p w14:paraId="629DA60A"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National Black Police Association. (2018). Written evidence submitted by the National Black Police Association (MPR0004). Retrieved from MPR0004 - Evidence on The Macpherson Report: twenty years on (parliament.uk): https://committees.parliament.uk/writtenevidence/98459/html/</w:t>
      </w:r>
    </w:p>
    <w:p w14:paraId="54F7B2DC" w14:textId="6F5E2406"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National Evaluation Report: Department for Communities and Local Government, </w:t>
      </w:r>
      <w:r w:rsidR="00017821">
        <w:rPr>
          <w:rFonts w:ascii="Arial" w:hAnsi="Arial" w:cs="Arial"/>
          <w:sz w:val="22"/>
          <w:szCs w:val="22"/>
        </w:rPr>
        <w:t>(</w:t>
      </w:r>
      <w:r>
        <w:rPr>
          <w:rFonts w:ascii="Arial" w:hAnsi="Arial" w:cs="Arial"/>
          <w:sz w:val="22"/>
          <w:szCs w:val="22"/>
        </w:rPr>
        <w:t>2020</w:t>
      </w:r>
      <w:r w:rsidR="00017821">
        <w:rPr>
          <w:rFonts w:ascii="Arial" w:hAnsi="Arial" w:cs="Arial"/>
          <w:sz w:val="22"/>
          <w:szCs w:val="22"/>
        </w:rPr>
        <w:t>)</w:t>
      </w:r>
      <w:r>
        <w:rPr>
          <w:rFonts w:ascii="Arial" w:hAnsi="Arial" w:cs="Arial"/>
          <w:sz w:val="22"/>
          <w:szCs w:val="22"/>
        </w:rPr>
        <w:t>. National Evaluation of the Troubled Families Programme 2015-2020. [online] GOV.UK. Available at: https://www.gov.uk/government/publications/national-evaluation-of-the-troubled-families-programme-2015-to-2020-findings [Accessed 01 October 2024].</w:t>
      </w:r>
    </w:p>
    <w:p w14:paraId="3D958AF9" w14:textId="77777777" w:rsidR="00C4367C" w:rsidRDefault="00000000">
      <w:pPr>
        <w:pStyle w:val="ListParagraph"/>
        <w:numPr>
          <w:ilvl w:val="0"/>
          <w:numId w:val="1"/>
        </w:numPr>
        <w:spacing w:line="240" w:lineRule="auto"/>
        <w:rPr>
          <w:rFonts w:ascii="Arial" w:eastAsia="Calibri" w:hAnsi="Arial" w:cs="Arial"/>
          <w:sz w:val="22"/>
          <w:szCs w:val="22"/>
        </w:rPr>
      </w:pPr>
      <w:r>
        <w:rPr>
          <w:rFonts w:ascii="Arial" w:eastAsia="Calibri" w:hAnsi="Arial" w:cs="Arial"/>
          <w:sz w:val="22"/>
          <w:szCs w:val="22"/>
        </w:rPr>
        <w:lastRenderedPageBreak/>
        <w:t>National Police Chiefs' Council and College of Policing (2022) Police race action plan: Improving policing for Black people. Available at: https://www.npcc.police.uk (Accessed: 18 January 2025).</w:t>
      </w:r>
    </w:p>
    <w:p w14:paraId="2D013F43"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National Police Federation (2023) Mental health support and prevention strategies for police officers. Available at: https://www.npffederation.org.uk/mental-health-support-police (Accessed: 22 November 2024).</w:t>
      </w:r>
    </w:p>
    <w:p w14:paraId="0B7D1341" w14:textId="06FD17FC" w:rsidR="00653E1E" w:rsidRDefault="00653E1E">
      <w:pPr>
        <w:numPr>
          <w:ilvl w:val="0"/>
          <w:numId w:val="1"/>
        </w:numPr>
        <w:spacing w:line="240" w:lineRule="auto"/>
        <w:rPr>
          <w:rFonts w:ascii="Arial" w:hAnsi="Arial" w:cs="Arial"/>
          <w:sz w:val="22"/>
          <w:szCs w:val="22"/>
        </w:rPr>
      </w:pPr>
      <w:r w:rsidRPr="00653E1E">
        <w:rPr>
          <w:rFonts w:ascii="Arial" w:hAnsi="Arial" w:cs="Arial"/>
          <w:sz w:val="22"/>
          <w:szCs w:val="22"/>
        </w:rPr>
        <w:t>New Economics Foundation (2010). Punishing Costs: The case for reducing youth imprisonment. New Economics Foundation. Available at: https://neweconomics.org/uploads/files/cea66fde42dec3e7cf_26m6bspi5.pdf [Accessed 20 January 2025].</w:t>
      </w:r>
    </w:p>
    <w:p w14:paraId="23E4A7C9"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NSPCC. (2024). Criminal exploitation and gangs. Retrieved from NSPCC: https://www.nspcc.org.uk/what-is-child-abuse/types-of-abuse/gangs-criminal-exploitation/</w:t>
      </w:r>
    </w:p>
    <w:p w14:paraId="16059793"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Oscar Kilo (2019) About us: National Police Wellbeing Service. Available at: https://www.oscarkilo.org.uk/about-us (Accessed: 18 January 2025).</w:t>
      </w:r>
    </w:p>
    <w:p w14:paraId="207A0F98" w14:textId="77777777" w:rsidR="0092669B" w:rsidRDefault="0092669B" w:rsidP="0092669B">
      <w:pPr>
        <w:pStyle w:val="ListParagraph"/>
        <w:spacing w:line="240" w:lineRule="auto"/>
        <w:rPr>
          <w:rFonts w:ascii="Arial" w:hAnsi="Arial" w:cs="Arial"/>
          <w:sz w:val="22"/>
          <w:szCs w:val="22"/>
        </w:rPr>
      </w:pPr>
    </w:p>
    <w:p w14:paraId="6F9495CD" w14:textId="77777777" w:rsidR="00C4367C" w:rsidRDefault="00000000">
      <w:pPr>
        <w:pStyle w:val="ListParagraph"/>
        <w:numPr>
          <w:ilvl w:val="0"/>
          <w:numId w:val="1"/>
        </w:numPr>
        <w:spacing w:line="240" w:lineRule="auto"/>
        <w:rPr>
          <w:rFonts w:ascii="Arial" w:hAnsi="Arial" w:cs="Arial"/>
          <w:sz w:val="22"/>
          <w:szCs w:val="22"/>
        </w:rPr>
      </w:pPr>
      <w:r>
        <w:rPr>
          <w:rFonts w:ascii="Arial" w:eastAsia="Calibri" w:hAnsi="Arial" w:cs="Arial"/>
          <w:sz w:val="22"/>
          <w:szCs w:val="22"/>
        </w:rPr>
        <w:t xml:space="preserve">Parr, S. (2016) ‘The Troubled Families Programme: Learning about policy impact through qualitative research’, Sheffield Hallam University Research Archive. Available at: https://shura.shu.ac.uk/24636/ (Accessed: 22 December 2024). </w:t>
      </w:r>
    </w:p>
    <w:p w14:paraId="3243CA8A" w14:textId="77777777" w:rsidR="00C4367C" w:rsidRDefault="00000000">
      <w:pPr>
        <w:numPr>
          <w:ilvl w:val="0"/>
          <w:numId w:val="1"/>
        </w:numPr>
        <w:spacing w:line="240" w:lineRule="auto"/>
        <w:rPr>
          <w:rFonts w:ascii="Arial" w:hAnsi="Arial" w:cs="Arial"/>
          <w:sz w:val="22"/>
          <w:szCs w:val="22"/>
        </w:rPr>
      </w:pPr>
      <w:bookmarkStart w:id="1" w:name="_Hlk187844083"/>
      <w:r>
        <w:rPr>
          <w:rFonts w:ascii="Arial" w:hAnsi="Arial" w:cs="Arial"/>
          <w:sz w:val="22"/>
          <w:szCs w:val="22"/>
        </w:rPr>
        <w:t>Pickles, J</w:t>
      </w:r>
      <w:bookmarkEnd w:id="1"/>
      <w:r>
        <w:rPr>
          <w:rFonts w:ascii="Arial" w:hAnsi="Arial" w:cs="Arial"/>
          <w:sz w:val="22"/>
          <w:szCs w:val="22"/>
        </w:rPr>
        <w:t xml:space="preserve">. (2020). Policing hate and bridging communities: a qualitative evaluation of relations between LGBT+ people and the police within the </w:t>
      </w:r>
      <w:proofErr w:type="gramStart"/>
      <w:r>
        <w:rPr>
          <w:rFonts w:ascii="Arial" w:hAnsi="Arial" w:cs="Arial"/>
          <w:sz w:val="22"/>
          <w:szCs w:val="22"/>
        </w:rPr>
        <w:t>North East</w:t>
      </w:r>
      <w:proofErr w:type="gramEnd"/>
      <w:r>
        <w:rPr>
          <w:rFonts w:ascii="Arial" w:hAnsi="Arial" w:cs="Arial"/>
          <w:sz w:val="22"/>
          <w:szCs w:val="22"/>
        </w:rPr>
        <w:t xml:space="preserve"> of England. Policing &amp; Society, 30(7), 741–759. Retrieved from Taylor &amp; Francis Online: https://doi.org/10.1080/10439463.2019.1588269</w:t>
      </w:r>
    </w:p>
    <w:p w14:paraId="6DBDEDB7"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Police Mental Health Advisory Council (2023) Mental health in the police: How neglect affects officers' well-being. Available at: https://pmac.uk/resources/mental-health/mental-health-in-the-police/ (Accessed: 17 January 2025).</w:t>
      </w:r>
    </w:p>
    <w:p w14:paraId="2A5580AA" w14:textId="77777777" w:rsidR="00C4367C" w:rsidRDefault="00C4367C">
      <w:pPr>
        <w:pStyle w:val="ListParagraph"/>
        <w:spacing w:line="240" w:lineRule="auto"/>
        <w:rPr>
          <w:rFonts w:ascii="Arial" w:hAnsi="Arial" w:cs="Arial"/>
          <w:sz w:val="22"/>
          <w:szCs w:val="22"/>
        </w:rPr>
      </w:pPr>
    </w:p>
    <w:p w14:paraId="2D35C4EA"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 xml:space="preserve">Porter, C. N., &amp; Gavin, P. (2024). ‘Constant pressures from all angles’: Understanding the mental health of UK police officers. The Police Journal, 0(0). </w:t>
      </w:r>
      <w:hyperlink r:id="rId8">
        <w:r w:rsidR="00C4367C">
          <w:rPr>
            <w:rStyle w:val="Hyperlink"/>
            <w:rFonts w:ascii="Arial" w:hAnsi="Arial" w:cs="Arial"/>
            <w:color w:val="auto"/>
            <w:sz w:val="22"/>
            <w:szCs w:val="22"/>
          </w:rPr>
          <w:t>https://doi.org/10.1177/0032258X241280217</w:t>
        </w:r>
      </w:hyperlink>
    </w:p>
    <w:p w14:paraId="02CFFF9B" w14:textId="77777777" w:rsidR="00C4367C" w:rsidRDefault="00C4367C">
      <w:pPr>
        <w:pStyle w:val="ListParagraph"/>
        <w:rPr>
          <w:rFonts w:ascii="Arial" w:hAnsi="Arial" w:cs="Arial"/>
          <w:sz w:val="22"/>
          <w:szCs w:val="22"/>
        </w:rPr>
      </w:pPr>
    </w:p>
    <w:p w14:paraId="008D9270" w14:textId="77777777" w:rsidR="00C4367C" w:rsidRDefault="00C4367C">
      <w:pPr>
        <w:pStyle w:val="ListParagraph"/>
        <w:spacing w:line="240" w:lineRule="auto"/>
        <w:rPr>
          <w:rFonts w:ascii="Arial" w:hAnsi="Arial" w:cs="Arial"/>
          <w:sz w:val="22"/>
          <w:szCs w:val="22"/>
        </w:rPr>
      </w:pPr>
    </w:p>
    <w:p w14:paraId="52377DD9" w14:textId="77777777" w:rsidR="00C4367C" w:rsidRDefault="00000000">
      <w:pPr>
        <w:pStyle w:val="ListParagraph"/>
        <w:numPr>
          <w:ilvl w:val="0"/>
          <w:numId w:val="1"/>
        </w:numPr>
        <w:spacing w:line="240" w:lineRule="auto"/>
        <w:rPr>
          <w:rFonts w:ascii="Arial" w:eastAsia="Calibri" w:hAnsi="Arial" w:cs="Arial"/>
          <w:sz w:val="22"/>
          <w:szCs w:val="22"/>
        </w:rPr>
      </w:pPr>
      <w:r>
        <w:rPr>
          <w:rFonts w:ascii="Arial" w:eastAsia="Calibri" w:hAnsi="Arial" w:cs="Arial"/>
          <w:sz w:val="22"/>
          <w:szCs w:val="22"/>
        </w:rPr>
        <w:t>Public Health Wales (2023) Everybody's Business: Early Intervention Crime Reduction. Available at: https://phwwhocc.co.uk/wp-content/uploads/2023/11/Everybodys-Business-Early-Intervention-Crime-Reduction-LJMUPHW-November-2023.pdf (Accessed: 18 January 2025).</w:t>
      </w:r>
    </w:p>
    <w:p w14:paraId="35E3D048"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Queirós, C., Passos, F., </w:t>
      </w:r>
      <w:proofErr w:type="spellStart"/>
      <w:r>
        <w:rPr>
          <w:rFonts w:ascii="Arial" w:hAnsi="Arial" w:cs="Arial"/>
          <w:sz w:val="22"/>
          <w:szCs w:val="22"/>
        </w:rPr>
        <w:t>Bártolo</w:t>
      </w:r>
      <w:proofErr w:type="spellEnd"/>
      <w:r>
        <w:rPr>
          <w:rFonts w:ascii="Arial" w:hAnsi="Arial" w:cs="Arial"/>
          <w:sz w:val="22"/>
          <w:szCs w:val="22"/>
        </w:rPr>
        <w:t>, A., Marques, A., Fernandes, R., &amp; Pereira, A. (2024). Assessment of the mental health of police officers: A systematic review of specific instruments. International Journal of Environmental Research and Public Health, 21(1), 1300. Available at: https://www.mdpi.com/&amp;#8203;:contentReference[oaicite:</w:t>
      </w:r>
      <w:proofErr w:type="gramStart"/>
      <w:r>
        <w:rPr>
          <w:rFonts w:ascii="Arial" w:hAnsi="Arial" w:cs="Arial"/>
          <w:sz w:val="22"/>
          <w:szCs w:val="22"/>
        </w:rPr>
        <w:t>0]{</w:t>
      </w:r>
      <w:proofErr w:type="gramEnd"/>
      <w:r>
        <w:rPr>
          <w:rFonts w:ascii="Arial" w:hAnsi="Arial" w:cs="Arial"/>
          <w:sz w:val="22"/>
          <w:szCs w:val="22"/>
        </w:rPr>
        <w:t>index=0}</w:t>
      </w:r>
    </w:p>
    <w:p w14:paraId="7FBA3ACF"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Ravenscroft, A., Salisbury, C., </w:t>
      </w:r>
      <w:proofErr w:type="spellStart"/>
      <w:r>
        <w:rPr>
          <w:rFonts w:ascii="Arial" w:hAnsi="Arial" w:cs="Arial"/>
          <w:sz w:val="22"/>
          <w:szCs w:val="22"/>
        </w:rPr>
        <w:t>Voela</w:t>
      </w:r>
      <w:proofErr w:type="spellEnd"/>
      <w:r>
        <w:rPr>
          <w:rFonts w:ascii="Arial" w:hAnsi="Arial" w:cs="Arial"/>
          <w:sz w:val="22"/>
          <w:szCs w:val="22"/>
        </w:rPr>
        <w:t>, A., &amp; Watts, P. (2021). Addressing the Safety and Criminal Exploitation of Vulnerable Young People: Before, During and After COVID-19 and Lockdown. Palgrave Macmillan.</w:t>
      </w:r>
    </w:p>
    <w:p w14:paraId="266F238B"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Smith, P., Williams, R., and Thompson, H. (2023) ‘Recruitment into organised criminal groups: A systematic review’, Crime and Society Journal, 45(2). Available at: https://www.researchgate.net/publication/367908939_Recruitment_into_organised_criminal_groups_A_systematic_review (Accessed: 19 January 2025).</w:t>
      </w:r>
    </w:p>
    <w:p w14:paraId="10B34738"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lastRenderedPageBreak/>
        <w:t>Spicer, J., Moyle, L., and Coomber, R. (2019) 'The variable and evolving nature of 'cuckooing' as a form of criminal exploitation in street level drug markets', Trends in Organized Crime, 23(3), pp. 301–323. Available at: https://link.springer.com/article/10.1007/s12117-019-09368-5 (Accessed: 18 January 2025).</w:t>
      </w:r>
    </w:p>
    <w:p w14:paraId="48BFD9E7"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Statista (</w:t>
      </w:r>
      <w:proofErr w:type="gramStart"/>
      <w:r>
        <w:rPr>
          <w:rFonts w:ascii="Arial" w:eastAsia="Times New Roman" w:hAnsi="Arial" w:cs="Arial"/>
          <w:kern w:val="0"/>
          <w:sz w:val="22"/>
          <w:szCs w:val="22"/>
          <w:lang w:eastAsia="en-GB"/>
          <w14:ligatures w14:val="none"/>
        </w:rPr>
        <w:t>2024)a</w:t>
      </w:r>
      <w:proofErr w:type="gramEnd"/>
      <w:r>
        <w:rPr>
          <w:rFonts w:ascii="Arial" w:eastAsia="Times New Roman" w:hAnsi="Arial" w:cs="Arial"/>
          <w:kern w:val="0"/>
          <w:sz w:val="22"/>
          <w:szCs w:val="22"/>
          <w:lang w:eastAsia="en-GB"/>
          <w14:ligatures w14:val="none"/>
        </w:rPr>
        <w:t xml:space="preserve"> Police stop and searches in England and Wales 2023/24, by ethnicity. Available at: https://www.statista.com/statistics/284677/police-stop-and-searches-in-england-and-wales-by-ethnicity/ (Accessed: 17 January 2025).</w:t>
      </w:r>
    </w:p>
    <w:p w14:paraId="0317535B" w14:textId="77777777" w:rsidR="00C4367C" w:rsidRDefault="00C4367C">
      <w:pPr>
        <w:pStyle w:val="ListParagraph"/>
        <w:spacing w:after="0" w:line="240" w:lineRule="auto"/>
        <w:rPr>
          <w:rFonts w:ascii="Arial" w:eastAsia="Times New Roman" w:hAnsi="Arial" w:cs="Arial"/>
          <w:kern w:val="0"/>
          <w:sz w:val="22"/>
          <w:szCs w:val="22"/>
          <w:lang w:eastAsia="en-GB"/>
          <w14:ligatures w14:val="none"/>
        </w:rPr>
      </w:pPr>
    </w:p>
    <w:p w14:paraId="30E574C5"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Statista (</w:t>
      </w:r>
      <w:proofErr w:type="gramStart"/>
      <w:r>
        <w:rPr>
          <w:rFonts w:ascii="Arial" w:eastAsia="Times New Roman" w:hAnsi="Arial" w:cs="Arial"/>
          <w:kern w:val="0"/>
          <w:sz w:val="22"/>
          <w:szCs w:val="22"/>
          <w:lang w:eastAsia="en-GB"/>
          <w14:ligatures w14:val="none"/>
        </w:rPr>
        <w:t>2024)b</w:t>
      </w:r>
      <w:proofErr w:type="gramEnd"/>
      <w:r>
        <w:rPr>
          <w:rFonts w:ascii="Arial" w:eastAsia="Times New Roman" w:hAnsi="Arial" w:cs="Arial"/>
          <w:kern w:val="0"/>
          <w:sz w:val="22"/>
          <w:szCs w:val="22"/>
          <w:lang w:eastAsia="en-GB"/>
          <w14:ligatures w14:val="none"/>
        </w:rPr>
        <w:t xml:space="preserve"> </w:t>
      </w:r>
      <w:r>
        <w:rPr>
          <w:rFonts w:ascii="Arial" w:eastAsia="Times New Roman" w:hAnsi="Arial" w:cs="Arial"/>
          <w:i/>
          <w:iCs/>
          <w:kern w:val="0"/>
          <w:sz w:val="22"/>
          <w:szCs w:val="22"/>
          <w:lang w:eastAsia="en-GB"/>
          <w14:ligatures w14:val="none"/>
        </w:rPr>
        <w:t>Police use of force rate England and Wales 2023, by ethnicity</w:t>
      </w:r>
      <w:r>
        <w:rPr>
          <w:rFonts w:ascii="Arial" w:eastAsia="Times New Roman" w:hAnsi="Arial" w:cs="Arial"/>
          <w:kern w:val="0"/>
          <w:sz w:val="22"/>
          <w:szCs w:val="22"/>
          <w:lang w:eastAsia="en-GB"/>
          <w14:ligatures w14:val="none"/>
        </w:rPr>
        <w:t>. Available at: https://www.statista.com/statistics/1230747/police-use-of-force-rate-england-and-wales-by-ethnicity/ (Accessed: 17 January 2025).</w:t>
      </w:r>
    </w:p>
    <w:p w14:paraId="6DBD7193" w14:textId="77777777" w:rsidR="00C4367C" w:rsidRDefault="00C4367C">
      <w:pPr>
        <w:spacing w:after="0" w:line="240" w:lineRule="auto"/>
        <w:rPr>
          <w:rFonts w:ascii="Arial" w:eastAsia="Times New Roman" w:hAnsi="Arial" w:cs="Arial"/>
          <w:kern w:val="0"/>
          <w:sz w:val="22"/>
          <w:szCs w:val="22"/>
          <w:lang w:eastAsia="en-GB"/>
          <w14:ligatures w14:val="none"/>
        </w:rPr>
      </w:pPr>
    </w:p>
    <w:p w14:paraId="17BAF43D" w14:textId="77777777" w:rsidR="00C4367C" w:rsidRDefault="00000000">
      <w:pPr>
        <w:pStyle w:val="ListParagraph"/>
        <w:numPr>
          <w:ilvl w:val="0"/>
          <w:numId w:val="1"/>
        </w:numPr>
        <w:spacing w:after="0" w:line="24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The Times (2025) Metropolitan Police inspector guilty of sending racist and homophobic messages. Available at: https://www.thetimes.co.uk/article/met-police-inspector-guilty-over-racist-and-homophobic-messages-9rfkpkqhj (Accessed: 17 January 2025).</w:t>
      </w:r>
    </w:p>
    <w:p w14:paraId="7A3887EC" w14:textId="77777777" w:rsidR="00C4367C" w:rsidRDefault="00C4367C">
      <w:pPr>
        <w:spacing w:after="0" w:line="240" w:lineRule="auto"/>
        <w:rPr>
          <w:rFonts w:ascii="Arial" w:eastAsia="Times New Roman" w:hAnsi="Arial" w:cs="Arial"/>
          <w:kern w:val="0"/>
          <w:sz w:val="22"/>
          <w:szCs w:val="22"/>
          <w:lang w:eastAsia="en-GB"/>
          <w14:ligatures w14:val="none"/>
        </w:rPr>
      </w:pPr>
    </w:p>
    <w:p w14:paraId="65C358AD"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Tuckey, M. R., Winwood, P. C., &amp; Dollard, M. F. (2012). Psychosocial culture and pathways to psychological injury within policing. Police Practice and Research, 13(3), 224-240.</w:t>
      </w:r>
    </w:p>
    <w:p w14:paraId="122DCD13"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University of Cambridge (2018) Policing: The Job &amp; The Life: Findings. Available at: https://www.cam.ac.uk/sites/www.cam.ac.uk/files/inner-images/thejobthelife_findings.pdf (Accessed: 19 January 2025).</w:t>
      </w:r>
    </w:p>
    <w:p w14:paraId="02211EC8" w14:textId="77777777" w:rsidR="00C4367C" w:rsidRDefault="00000000">
      <w:pPr>
        <w:pStyle w:val="ListParagraph"/>
        <w:numPr>
          <w:ilvl w:val="0"/>
          <w:numId w:val="1"/>
        </w:numPr>
        <w:spacing w:line="240" w:lineRule="auto"/>
        <w:rPr>
          <w:rFonts w:ascii="Arial" w:hAnsi="Arial" w:cs="Arial"/>
          <w:sz w:val="22"/>
          <w:szCs w:val="22"/>
        </w:rPr>
      </w:pPr>
      <w:r>
        <w:rPr>
          <w:rFonts w:ascii="Arial" w:hAnsi="Arial" w:cs="Arial"/>
          <w:sz w:val="22"/>
          <w:szCs w:val="22"/>
        </w:rPr>
        <w:t>University of Central Lancashire (2022) ‘Suicide risk factors in the police service: A review of systematic evidence’, Journal of Occupational Health and Safety, 41(3), pp. 260-271. Available at: https://clok.uclan.ac.uk/42818/10/s11896-022-09539-1.pdf (Accessed: 17 January 2025).</w:t>
      </w:r>
    </w:p>
    <w:p w14:paraId="4BA6A011"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Van Hasselt, V.B., </w:t>
      </w:r>
      <w:proofErr w:type="spellStart"/>
      <w:r>
        <w:rPr>
          <w:rFonts w:ascii="Arial" w:hAnsi="Arial" w:cs="Arial"/>
          <w:sz w:val="22"/>
          <w:szCs w:val="22"/>
        </w:rPr>
        <w:t>Klimley</w:t>
      </w:r>
      <w:proofErr w:type="spellEnd"/>
      <w:r>
        <w:rPr>
          <w:rFonts w:ascii="Arial" w:hAnsi="Arial" w:cs="Arial"/>
          <w:sz w:val="22"/>
          <w:szCs w:val="22"/>
        </w:rPr>
        <w:t xml:space="preserve"> </w:t>
      </w:r>
      <w:proofErr w:type="spellStart"/>
      <w:r>
        <w:rPr>
          <w:rFonts w:ascii="Arial" w:hAnsi="Arial" w:cs="Arial"/>
          <w:sz w:val="22"/>
          <w:szCs w:val="22"/>
        </w:rPr>
        <w:t>Margres</w:t>
      </w:r>
      <w:proofErr w:type="spellEnd"/>
      <w:r>
        <w:rPr>
          <w:rFonts w:ascii="Arial" w:hAnsi="Arial" w:cs="Arial"/>
          <w:sz w:val="22"/>
          <w:szCs w:val="22"/>
        </w:rPr>
        <w:t xml:space="preserve">, K., Geller, S., &amp; Rodriguez, S. (n.d.) </w:t>
      </w:r>
      <w:proofErr w:type="spellStart"/>
      <w:r>
        <w:rPr>
          <w:rFonts w:ascii="Arial" w:hAnsi="Arial" w:cs="Arial"/>
          <w:sz w:val="22"/>
          <w:szCs w:val="22"/>
        </w:rPr>
        <w:t>Behavioral</w:t>
      </w:r>
      <w:proofErr w:type="spellEnd"/>
      <w:r>
        <w:rPr>
          <w:rFonts w:ascii="Arial" w:hAnsi="Arial" w:cs="Arial"/>
          <w:sz w:val="22"/>
          <w:szCs w:val="22"/>
        </w:rPr>
        <w:t xml:space="preserve"> health training for police officers: A prevention program. Law Enforcement Bulletin. Available at: https://leb.fbi.gov (Accessed: 22 November 2024).</w:t>
      </w:r>
    </w:p>
    <w:p w14:paraId="52579BF8" w14:textId="77777777" w:rsidR="00C4367C" w:rsidRDefault="00000000">
      <w:pPr>
        <w:numPr>
          <w:ilvl w:val="0"/>
          <w:numId w:val="1"/>
        </w:numPr>
        <w:spacing w:line="240" w:lineRule="auto"/>
        <w:rPr>
          <w:rFonts w:ascii="Arial" w:hAnsi="Arial" w:cs="Arial"/>
          <w:sz w:val="22"/>
          <w:szCs w:val="22"/>
        </w:rPr>
      </w:pPr>
      <w:r>
        <w:rPr>
          <w:rFonts w:ascii="Arial" w:hAnsi="Arial" w:cs="Arial"/>
          <w:sz w:val="22"/>
          <w:szCs w:val="22"/>
        </w:rPr>
        <w:t xml:space="preserve">Violanti, J. M., Owens, S. L., </w:t>
      </w:r>
      <w:proofErr w:type="spellStart"/>
      <w:r>
        <w:rPr>
          <w:rFonts w:ascii="Arial" w:hAnsi="Arial" w:cs="Arial"/>
          <w:sz w:val="22"/>
          <w:szCs w:val="22"/>
        </w:rPr>
        <w:t>McCanlies</w:t>
      </w:r>
      <w:proofErr w:type="spellEnd"/>
      <w:r>
        <w:rPr>
          <w:rFonts w:ascii="Arial" w:hAnsi="Arial" w:cs="Arial"/>
          <w:sz w:val="22"/>
          <w:szCs w:val="22"/>
        </w:rPr>
        <w:t xml:space="preserve">, E., </w:t>
      </w:r>
      <w:proofErr w:type="spellStart"/>
      <w:r>
        <w:rPr>
          <w:rFonts w:ascii="Arial" w:hAnsi="Arial" w:cs="Arial"/>
          <w:sz w:val="22"/>
          <w:szCs w:val="22"/>
        </w:rPr>
        <w:t>Fekedulegn</w:t>
      </w:r>
      <w:proofErr w:type="spellEnd"/>
      <w:r>
        <w:rPr>
          <w:rFonts w:ascii="Arial" w:hAnsi="Arial" w:cs="Arial"/>
          <w:sz w:val="22"/>
          <w:szCs w:val="22"/>
        </w:rPr>
        <w:t>, D., Andrew, M. E., &amp; Burchfiel, C. M. (2016). Law enforcement suicide: A review. Policing: An International Journal of Police Strategies &amp; Management, 39(2), 234-246.</w:t>
      </w:r>
    </w:p>
    <w:p w14:paraId="06076A3D" w14:textId="14DA41A9" w:rsidR="00C4367C" w:rsidRDefault="00C4367C" w:rsidP="003B320E">
      <w:pPr>
        <w:spacing w:line="240" w:lineRule="auto"/>
        <w:ind w:left="360"/>
        <w:rPr>
          <w:rFonts w:ascii="Arial" w:hAnsi="Arial" w:cs="Arial"/>
          <w:sz w:val="22"/>
          <w:szCs w:val="22"/>
        </w:rPr>
      </w:pPr>
    </w:p>
    <w:sectPr w:rsidR="00C4367C">
      <w:pgSz w:w="11906" w:h="16838"/>
      <w:pgMar w:top="1440" w:right="1440" w:bottom="1440" w:left="144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1"/>
    <w:family w:val="auto"/>
    <w:pitch w:val="variable"/>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CA6A34"/>
    <w:multiLevelType w:val="multilevel"/>
    <w:tmpl w:val="12604338"/>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2D1546A3"/>
    <w:multiLevelType w:val="multilevel"/>
    <w:tmpl w:val="4234444A"/>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15:restartNumberingAfterBreak="0">
    <w:nsid w:val="385B285D"/>
    <w:multiLevelType w:val="multilevel"/>
    <w:tmpl w:val="471C6F74"/>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abstractNum w:abstractNumId="3" w15:restartNumberingAfterBreak="0">
    <w:nsid w:val="6B1B2D09"/>
    <w:multiLevelType w:val="multilevel"/>
    <w:tmpl w:val="D3B688A6"/>
    <w:lvl w:ilvl="0">
      <w:start w:val="1"/>
      <w:numFmt w:val="bullet"/>
      <w:lvlText w:val=""/>
      <w:lvlJc w:val="left"/>
      <w:pPr>
        <w:tabs>
          <w:tab w:val="num" w:pos="0"/>
        </w:tabs>
        <w:ind w:left="720" w:hanging="360"/>
      </w:pPr>
      <w:rPr>
        <w:rFonts w:ascii="Symbol" w:hAnsi="Symbol" w:cs="Symbol" w:hint="default"/>
      </w:rPr>
    </w:lvl>
    <w:lvl w:ilvl="1">
      <w:start w:val="1"/>
      <w:numFmt w:val="bullet"/>
      <w:lvlText w:val="o"/>
      <w:lvlJc w:val="left"/>
      <w:pPr>
        <w:tabs>
          <w:tab w:val="num" w:pos="0"/>
        </w:tabs>
        <w:ind w:left="1440" w:hanging="360"/>
      </w:pPr>
      <w:rPr>
        <w:rFonts w:ascii="Courier New" w:hAnsi="Courier New" w:cs="Courier New" w:hint="default"/>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rPr>
    </w:lvl>
    <w:lvl w:ilvl="4">
      <w:start w:val="1"/>
      <w:numFmt w:val="bullet"/>
      <w:lvlText w:val="o"/>
      <w:lvlJc w:val="left"/>
      <w:pPr>
        <w:tabs>
          <w:tab w:val="num" w:pos="0"/>
        </w:tabs>
        <w:ind w:left="3600" w:hanging="360"/>
      </w:pPr>
      <w:rPr>
        <w:rFonts w:ascii="Courier New" w:hAnsi="Courier New" w:cs="Courier New" w:hint="default"/>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rPr>
    </w:lvl>
    <w:lvl w:ilvl="7">
      <w:start w:val="1"/>
      <w:numFmt w:val="bullet"/>
      <w:lvlText w:val="o"/>
      <w:lvlJc w:val="left"/>
      <w:pPr>
        <w:tabs>
          <w:tab w:val="num" w:pos="0"/>
        </w:tabs>
        <w:ind w:left="5760" w:hanging="360"/>
      </w:pPr>
      <w:rPr>
        <w:rFonts w:ascii="Courier New" w:hAnsi="Courier New" w:cs="Courier New" w:hint="default"/>
      </w:rPr>
    </w:lvl>
    <w:lvl w:ilvl="8">
      <w:start w:val="1"/>
      <w:numFmt w:val="bullet"/>
      <w:lvlText w:val=""/>
      <w:lvlJc w:val="left"/>
      <w:pPr>
        <w:tabs>
          <w:tab w:val="num" w:pos="0"/>
        </w:tabs>
        <w:ind w:left="6480" w:hanging="360"/>
      </w:pPr>
      <w:rPr>
        <w:rFonts w:ascii="Wingdings" w:hAnsi="Wingdings" w:cs="Wingdings" w:hint="default"/>
      </w:rPr>
    </w:lvl>
  </w:abstractNum>
  <w:num w:numId="1" w16cid:durableId="1831406873">
    <w:abstractNumId w:val="2"/>
  </w:num>
  <w:num w:numId="2" w16cid:durableId="1417479383">
    <w:abstractNumId w:val="1"/>
  </w:num>
  <w:num w:numId="3" w16cid:durableId="1162282384">
    <w:abstractNumId w:val="3"/>
  </w:num>
  <w:num w:numId="4" w16cid:durableId="106050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67C"/>
    <w:rsid w:val="00017821"/>
    <w:rsid w:val="000251F4"/>
    <w:rsid w:val="00061F76"/>
    <w:rsid w:val="000D06C6"/>
    <w:rsid w:val="00217F2B"/>
    <w:rsid w:val="00242D27"/>
    <w:rsid w:val="0029404A"/>
    <w:rsid w:val="003A5774"/>
    <w:rsid w:val="003B320E"/>
    <w:rsid w:val="00504B57"/>
    <w:rsid w:val="005A47E9"/>
    <w:rsid w:val="00615FE9"/>
    <w:rsid w:val="00653E1E"/>
    <w:rsid w:val="00655E2F"/>
    <w:rsid w:val="006E0CFD"/>
    <w:rsid w:val="0092669B"/>
    <w:rsid w:val="00966221"/>
    <w:rsid w:val="00A5041D"/>
    <w:rsid w:val="00B97616"/>
    <w:rsid w:val="00C00BD5"/>
    <w:rsid w:val="00C4367C"/>
    <w:rsid w:val="00C96E98"/>
    <w:rsid w:val="00D62D5D"/>
    <w:rsid w:val="00DF5433"/>
    <w:rsid w:val="00DF788A"/>
    <w:rsid w:val="00E21054"/>
    <w:rsid w:val="00E251BA"/>
    <w:rsid w:val="00E60805"/>
    <w:rsid w:val="00F1231F"/>
    <w:rsid w:val="00F34DD4"/>
    <w:rsid w:val="00F73B7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F0154"/>
  <w15:docId w15:val="{11C1B384-630D-4439-9414-102F74A6C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F0B"/>
    <w:pPr>
      <w:spacing w:after="160" w:line="276" w:lineRule="auto"/>
    </w:pPr>
  </w:style>
  <w:style w:type="paragraph" w:styleId="Heading1">
    <w:name w:val="heading 1"/>
    <w:basedOn w:val="Normal"/>
    <w:next w:val="Normal"/>
    <w:link w:val="Heading1Char"/>
    <w:uiPriority w:val="9"/>
    <w:qFormat/>
    <w:rsid w:val="00B248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48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48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48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48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48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48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48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48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B248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B248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B248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B248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B248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B248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B248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B248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B24825"/>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B24825"/>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B24825"/>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B24825"/>
    <w:rPr>
      <w:i/>
      <w:iCs/>
      <w:color w:val="404040" w:themeColor="text1" w:themeTint="BF"/>
    </w:rPr>
  </w:style>
  <w:style w:type="character" w:styleId="IntenseEmphasis">
    <w:name w:val="Intense Emphasis"/>
    <w:basedOn w:val="DefaultParagraphFont"/>
    <w:uiPriority w:val="21"/>
    <w:qFormat/>
    <w:rsid w:val="00B24825"/>
    <w:rPr>
      <w:i/>
      <w:iCs/>
      <w:color w:val="0F4761" w:themeColor="accent1" w:themeShade="BF"/>
    </w:rPr>
  </w:style>
  <w:style w:type="character" w:customStyle="1" w:styleId="IntenseQuoteChar">
    <w:name w:val="Intense Quote Char"/>
    <w:basedOn w:val="DefaultParagraphFont"/>
    <w:link w:val="IntenseQuote"/>
    <w:uiPriority w:val="30"/>
    <w:qFormat/>
    <w:rsid w:val="00B24825"/>
    <w:rPr>
      <w:i/>
      <w:iCs/>
      <w:color w:val="0F4761" w:themeColor="accent1" w:themeShade="BF"/>
    </w:rPr>
  </w:style>
  <w:style w:type="character" w:styleId="IntenseReference">
    <w:name w:val="Intense Reference"/>
    <w:basedOn w:val="DefaultParagraphFont"/>
    <w:uiPriority w:val="32"/>
    <w:qFormat/>
    <w:rsid w:val="00B24825"/>
    <w:rPr>
      <w:b/>
      <w:bCs/>
      <w:smallCaps/>
      <w:color w:val="0F4761" w:themeColor="accent1" w:themeShade="BF"/>
      <w:spacing w:val="5"/>
    </w:rPr>
  </w:style>
  <w:style w:type="character" w:styleId="Hyperlink">
    <w:name w:val="Hyperlink"/>
    <w:basedOn w:val="DefaultParagraphFont"/>
    <w:uiPriority w:val="99"/>
    <w:unhideWhenUsed/>
    <w:rsid w:val="00D53C3E"/>
    <w:rPr>
      <w:color w:val="467886" w:themeColor="hyperlink"/>
      <w:u w:val="single"/>
    </w:rPr>
  </w:style>
  <w:style w:type="character" w:styleId="UnresolvedMention">
    <w:name w:val="Unresolved Mention"/>
    <w:basedOn w:val="DefaultParagraphFont"/>
    <w:uiPriority w:val="99"/>
    <w:semiHidden/>
    <w:unhideWhenUsed/>
    <w:qFormat/>
    <w:rsid w:val="00D53C3E"/>
    <w:rPr>
      <w:color w:val="605E5C"/>
      <w:shd w:val="clear" w:color="auto" w:fill="E1DFDD"/>
    </w:rPr>
  </w:style>
  <w:style w:type="character" w:customStyle="1" w:styleId="NumberingSymbols">
    <w:name w:val="Numbering Symbols"/>
    <w:qFormat/>
  </w:style>
  <w:style w:type="character" w:styleId="FollowedHyperlink">
    <w:name w:val="FollowedHyperlink"/>
    <w:basedOn w:val="DefaultParagraphFont"/>
    <w:uiPriority w:val="99"/>
    <w:semiHidden/>
    <w:unhideWhenUsed/>
    <w:rsid w:val="00495B27"/>
    <w:rPr>
      <w:color w:val="96607D" w:themeColor="followedHyperlink"/>
      <w:u w:val="single"/>
    </w:rPr>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customStyle="1" w:styleId="caption1">
    <w:name w:val="caption1"/>
    <w:basedOn w:val="Normal"/>
    <w:qFormat/>
    <w:pPr>
      <w:suppressLineNumbers/>
      <w:spacing w:before="120" w:after="120"/>
    </w:pPr>
    <w:rPr>
      <w:rFonts w:cs="Lucida Sans"/>
      <w:i/>
      <w:iCs/>
    </w:rPr>
  </w:style>
  <w:style w:type="paragraph" w:customStyle="1" w:styleId="caption11">
    <w:name w:val="caption11"/>
    <w:basedOn w:val="Normal"/>
    <w:qFormat/>
    <w:pPr>
      <w:suppressLineNumbers/>
      <w:spacing w:before="120" w:after="120"/>
    </w:pPr>
    <w:rPr>
      <w:rFonts w:cs="Lucida Sans"/>
      <w:i/>
      <w:iCs/>
    </w:rPr>
  </w:style>
  <w:style w:type="paragraph" w:customStyle="1" w:styleId="caption111">
    <w:name w:val="caption111"/>
    <w:basedOn w:val="Normal"/>
    <w:qFormat/>
    <w:pPr>
      <w:suppressLineNumbers/>
      <w:spacing w:before="120" w:after="120"/>
    </w:pPr>
    <w:rPr>
      <w:rFonts w:cs="Lucida Sans"/>
      <w:i/>
      <w:iCs/>
    </w:rPr>
  </w:style>
  <w:style w:type="paragraph" w:styleId="Title">
    <w:name w:val="Title"/>
    <w:basedOn w:val="Normal"/>
    <w:next w:val="Normal"/>
    <w:link w:val="TitleChar"/>
    <w:uiPriority w:val="10"/>
    <w:qFormat/>
    <w:rsid w:val="00B24825"/>
    <w:pPr>
      <w:spacing w:after="80" w:line="240" w:lineRule="auto"/>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B248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4825"/>
    <w:pPr>
      <w:spacing w:before="160"/>
      <w:jc w:val="center"/>
    </w:pPr>
    <w:rPr>
      <w:i/>
      <w:iCs/>
      <w:color w:val="404040" w:themeColor="text1" w:themeTint="BF"/>
    </w:rPr>
  </w:style>
  <w:style w:type="paragraph" w:styleId="ListParagraph">
    <w:name w:val="List Paragraph"/>
    <w:basedOn w:val="Normal"/>
    <w:uiPriority w:val="34"/>
    <w:qFormat/>
    <w:rsid w:val="00B24825"/>
    <w:pPr>
      <w:ind w:left="720"/>
      <w:contextualSpacing/>
    </w:pPr>
  </w:style>
  <w:style w:type="paragraph" w:styleId="IntenseQuote">
    <w:name w:val="Intense Quote"/>
    <w:basedOn w:val="Normal"/>
    <w:next w:val="Normal"/>
    <w:link w:val="IntenseQuoteChar"/>
    <w:uiPriority w:val="30"/>
    <w:qFormat/>
    <w:rsid w:val="00B248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Bibliography">
    <w:name w:val="Bibliography"/>
    <w:basedOn w:val="Normal"/>
    <w:next w:val="Normal"/>
    <w:uiPriority w:val="37"/>
    <w:unhideWhenUsed/>
    <w:qFormat/>
    <w:rsid w:val="00844AF4"/>
    <w:pPr>
      <w:spacing w:line="259"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177/0032258X241280217" TargetMode="External"/><Relationship Id="rId3" Type="http://schemas.openxmlformats.org/officeDocument/2006/relationships/styles" Target="styles.xml"/><Relationship Id="rId7" Type="http://schemas.openxmlformats.org/officeDocument/2006/relationships/hyperlink" Target="https://doi.org/10.1007/s11896-022-09539-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collections/serious-and-organised-crime-strategy"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Cam24</b:Tag>
    <b:SourceType>InternetSite</b:SourceType>
    <b:Guid>{1078CA23-0A07-4480-BD20-9F6E5E8CCF10}</b:Guid>
    <b:Title>Dictionary.cambridge</b:Title>
    <b:Year>2024</b:Year>
    <b:Author>
      <b:Author>
        <b:Corporate>Cambridge University Press &amp; Assessment </b:Corporate>
      </b:Author>
    </b:Author>
    <b:InternetSiteTitle>cambridge.org</b:InternetSiteTitle>
    <b:URL>https://dictionary.cambridge.org/dictionary/english/diversity</b:URL>
    <b:RefOrder>1</b:RefOrder>
  </b:Source>
  <b:Source>
    <b:Tag>Met23</b:Tag>
    <b:SourceType>InternetSite</b:SourceType>
    <b:Guid>{576FBABD-6B47-4800-8A15-66C7C887AFC5}</b:Guid>
    <b:Author>
      <b:Author>
        <b:Corporate>Met Police</b:Corporate>
      </b:Author>
    </b:Author>
    <b:Title>Brixton Riots, 1981</b:Title>
    <b:InternetSiteTitle>METROPOLITAN POLICE [accessed via the internet archive: Wayback machine]</b:InternetSiteTitle>
    <b:Year>2023</b:Year>
    <b:URL>https://web.archive.org/web/20041205044315/http://www.met.police.uk/history/brixton_riots.htm</b:URL>
    <b:RefOrder>2</b:RefOrder>
  </b:Source>
  <b:Source>
    <b:Tag>Sca82</b:Tag>
    <b:SourceType>Book</b:SourceType>
    <b:Guid>{698EA9A6-26C4-42E6-8790-F70952C08F6E}</b:Guid>
    <b:Title>The Scarman Report: The Brixton Disorders 10-12 April 1981 : Report of an Inquiry</b:Title>
    <b:Year>1982</b:Year>
    <b:Publisher>Penguin</b:Publisher>
    <b:Author>
      <b:Author>
        <b:NameList>
          <b:Person>
            <b:Last>Scarman</b:Last>
            <b:First>L.G.S.B.</b:First>
          </b:Person>
        </b:NameList>
      </b:Author>
    </b:Author>
    <b:RefOrder>3</b:RefOrder>
  </b:Source>
  <b:Source>
    <b:Tag>GOV24</b:Tag>
    <b:SourceType>InternetSite</b:SourceType>
    <b:Guid>{D62A3F97-68F4-4863-80F0-B505BE4D3C29}</b:Guid>
    <b:Title>Stop and search</b:Title>
    <b:Year>2024</b:Year>
    <b:Author>
      <b:Author>
        <b:Corporate>GOV.UK</b:Corporate>
      </b:Author>
    </b:Author>
    <b:InternetSiteTitle>GOV.UK</b:InternetSiteTitle>
    <b:Month>July</b:Month>
    <b:Day>3rd</b:Day>
    <b:URL>https://www.ethnicity-facts-figures.service.gov.uk/crime-justice-and-the-law/policing/stop-and-search/latest/</b:URL>
    <b:RefOrder>4</b:RefOrder>
  </b:Source>
  <b:Source>
    <b:Tag>Jos21</b:Tag>
    <b:SourceType>JournalArticle</b:SourceType>
    <b:Guid>{D7E8592D-E66D-43C0-95C5-757509483930}</b:Guid>
    <b:Title>“The UK is not innocent”: Black Lives Matter, policing and</b:Title>
    <b:Year>2021</b:Year>
    <b:Author>
      <b:Author>
        <b:NameList>
          <b:Person>
            <b:Last>Joseph–Salisbury</b:Last>
            <b:First>R.,</b:First>
            <b:Middle>Connelly, L</b:Middle>
          </b:Person>
        </b:NameList>
      </b:Author>
    </b:Author>
    <b:JournalName>White Rose University Consortium</b:JournalName>
    <b:Pages>21-28</b:Pages>
    <b:RefOrder>5</b:RefOrder>
  </b:Source>
  <b:Source>
    <b:Tag>The20</b:Tag>
    <b:SourceType>InternetSite</b:SourceType>
    <b:Guid>{1058A1BB-A412-48A1-8C01-449E9FA48EF4}</b:Guid>
    <b:Title>Rights groups quit police body over stun gun use against BAME people</b:Title>
    <b:Year>2020</b:Year>
    <b:Author>
      <b:Author>
        <b:NameList>
          <b:Person>
            <b:Last>Guardian</b:Last>
            <b:First>The</b:First>
          </b:Person>
        </b:NameList>
      </b:Author>
    </b:Author>
    <b:InternetSiteTitle>The Guardian</b:InternetSiteTitle>
    <b:Month>April</b:Month>
    <b:Day>17</b:Day>
    <b:URL>https://www.theguardian.com/uknews/2020/apr/17/rights-groups-quit-uk-police-body-stun-gun-use-bamepeople?CMP=share_btn</b:URL>
    <b:RefOrder>6</b:RefOrder>
  </b:Source>
  <b:Source>
    <b:Tag>INQ20</b:Tag>
    <b:SourceType>InternetSite</b:SourceType>
    <b:Guid>{779254DF-3193-4465-B36E-107C78C445CF}</b:Guid>
    <b:Author>
      <b:Author>
        <b:Corporate>INQUEST </b:Corporate>
      </b:Author>
    </b:Author>
    <b:Title>Deaths in police custody</b:Title>
    <b:InternetSiteTitle>INQUEST</b:InternetSiteTitle>
    <b:Year>2020</b:Year>
    <b:URL>https://www.inquest.org.uk/deaths-inpolice-custody</b:URL>
    <b:RefOrder>7</b:RefOrder>
  </b:Source>
  <b:Source>
    <b:Tag>Nat18</b:Tag>
    <b:SourceType>InternetSite</b:SourceType>
    <b:Guid>{6AF6BE82-A778-48D7-B808-43C6FD0D2726}</b:Guid>
    <b:Author>
      <b:Author>
        <b:Corporate>National Black Police Association</b:Corporate>
      </b:Author>
    </b:Author>
    <b:Title>Written evidence submitted by the National Black Police Association (MPR0004)</b:Title>
    <b:InternetSiteTitle>MPR0004 - Evidence on The Macpherson Report: twenty years on (parliament.uk)</b:InternetSiteTitle>
    <b:Year>2018</b:Year>
    <b:URL>https://committees.parliament.uk/writtenevidence/98459/html/</b:URL>
    <b:RefOrder>8</b:RefOrder>
  </b:Source>
  <b:Source>
    <b:Tag>Pic20</b:Tag>
    <b:SourceType>JournalArticle</b:SourceType>
    <b:Guid>{513A3E24-BE5C-4EE1-9B85-2D3168616DCE}</b:Guid>
    <b:Author>
      <b:Author>
        <b:NameList>
          <b:Person>
            <b:Last>Pickles</b:Last>
            <b:First>J.</b:First>
          </b:Person>
        </b:NameList>
      </b:Author>
    </b:Author>
    <b:Title>Policing hate and bridging communities: a qualitative evaluation of relations between LGBT+ people and the police within the North East of England.</b:Title>
    <b:InternetSiteTitle>Taylor &amp; Francis Online</b:InternetSiteTitle>
    <b:Year>2020</b:Year>
    <b:URL>https://doi.org/10.1080/10439463.2019.1588269</b:URL>
    <b:JournalName>Policing &amp; Society, 30(7)</b:JournalName>
    <b:Pages>741–759</b:Pages>
    <b:RefOrder>9</b:RefOrder>
  </b:Source>
  <b:Source>
    <b:Tag>Hom14</b:Tag>
    <b:SourceType>InternetSite</b:SourceType>
    <b:Guid>{BE3B08EB-1610-4D3A-8556-1824F7FA3F31}</b:Guid>
    <b:Title>Serious and Organised Crime Strategy</b:Title>
    <b:Year>2014</b:Year>
    <b:Author>
      <b:Author>
        <b:Corporate>Home Office</b:Corporate>
      </b:Author>
    </b:Author>
    <b:InternetSiteTitle>Gov.uk</b:InternetSiteTitle>
    <b:Month>April</b:Month>
    <b:Day>9</b:Day>
    <b:URL>https://www.gov.uk/government/collections/serious-and-organised-crime-strategy</b:URL>
    <b:RefOrder>1</b:RefOrder>
  </b:Source>
  <b:Source>
    <b:Tag>Ser14</b:Tag>
    <b:SourceType>InternetSite</b:SourceType>
    <b:Guid>{6FACDA72-A68E-461D-8109-B26BC37F3334}</b:Guid>
    <b:Title>Serious and Organised Crime Strategy</b:Title>
    <b:InternetSiteTitle>Gov.uk</b:InternetSiteTitle>
    <b:Year>2014</b:Year>
    <b:Month>April</b:Month>
    <b:Day>25</b:Day>
    <b:URL>https://www.gov.uk/government/collections/serious-and-organised-crime-strategy</b:URL>
    <b:Author>
      <b:Author>
        <b:Corporate>Home Office</b:Corporate>
      </b:Author>
    </b:Author>
    <b:RefOrder>2</b:RefOrder>
  </b:Source>
  <b:Source>
    <b:Tag>Ang22</b:Tag>
    <b:SourceType>JournalArticle</b:SourceType>
    <b:Guid>{1ED5E1C0-4C4B-47A3-BA09-6E4E0386D2A7}</b:Guid>
    <b:Author>
      <b:Author>
        <b:NameList>
          <b:Person>
            <b:Last>Anggraini</b:Last>
            <b:First>Ria</b:First>
            <b:Middle>Desna</b:Middle>
          </b:Person>
        </b:NameList>
      </b:Author>
    </b:Author>
    <b:Title>CRIME OF EXPLOITATION CRIME ANALYSIS OF CHILD WORK AS HOUSEHOLD SERVICE</b:Title>
    <b:Year>2022</b:Year>
    <b:JournalName>Faculty of Law Universitas Lampung; Ius Poenale (Online) Vol.3 (2</b:JournalName>
    <b:Pages>93-102</b:Pages>
    <b:RefOrder>3</b:RefOrder>
  </b:Source>
  <b:Source>
    <b:Tag>NSP24</b:Tag>
    <b:SourceType>InternetSite</b:SourceType>
    <b:Guid>{3643A8F5-42B0-456D-A481-1EEE9CC8B92F}</b:Guid>
    <b:Title>Criminal exploitation and gangs</b:Title>
    <b:Year>2024</b:Year>
    <b:Author>
      <b:Author>
        <b:Corporate>NSPCC.ORG</b:Corporate>
      </b:Author>
    </b:Author>
    <b:InternetSiteTitle>NSPCC</b:InternetSiteTitle>
    <b:URL>https://www.nspcc.org.uk/what-is-child-abuse/types-of-abuse/gangs-criminal-exploitation/</b:URL>
    <b:RefOrder>5</b:RefOrder>
  </b:Source>
  <b:Source>
    <b:Tag>Ann19</b:Tag>
    <b:SourceType>DocumentFromInternetSite</b:SourceType>
    <b:Guid>{CF1C3BD2-5271-475E-ADBA-AF5CEF0E2D62}</b:Guid>
    <b:Title>Keeping kids safe</b:Title>
    <b:InternetSiteTitle>ChildrensCommissioner.GOV</b:InternetSiteTitle>
    <b:Year>2019</b:Year>
    <b:Month>Febuary</b:Month>
    <b:URL>https://assets.childrenscommissioner.gov.uk/wpuploads/2019/02/CCO-Gangs.pdf</b:URL>
    <b:Author>
      <b:Author>
        <b:NameList>
          <b:Person>
            <b:Last>Longfield</b:Last>
            <b:First>Anne</b:First>
          </b:Person>
        </b:NameList>
      </b:Author>
    </b:Author>
    <b:RefOrder>6</b:RefOrder>
  </b:Source>
  <b:Source>
    <b:Tag>Rav21</b:Tag>
    <b:SourceType>Book</b:SourceType>
    <b:Guid>{3C8C1FDE-DF2C-45A2-BACA-0BAEADFBB854}</b:Guid>
    <b:Author>
      <b:Author>
        <b:NameList>
          <b:Person>
            <b:Last>Ravenscroft</b:Last>
            <b:First>A</b:First>
          </b:Person>
          <b:Person>
            <b:Last>Salisbury</b:Last>
            <b:First>C</b:First>
          </b:Person>
          <b:Person>
            <b:Last>Voela</b:Last>
            <b:First>A</b:First>
          </b:Person>
          <b:Person>
            <b:Last>Watts</b:Last>
            <b:First>P</b:First>
          </b:Person>
        </b:NameList>
      </b:Author>
    </b:Author>
    <b:Title>Addressing the Safety and Criminal Exploitation of Vulnerable Young People: Before, During and After COVID-19 and Lockdown</b:Title>
    <b:Year>2021</b:Year>
    <b:Publisher>Palgrave Macmillan</b:Publisher>
    <b:RefOrder>4</b:RefOrder>
  </b:Source>
  <b:Source>
    <b:Tag>Coo18</b:Tag>
    <b:SourceType>JournalArticle</b:SourceType>
    <b:Guid>{853F2B6D-F406-4DD3-8B23-06A68A552CF0}</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7</b:RefOrder>
  </b:Source>
  <b:Source>
    <b:Tag>Joh17</b:Tag>
    <b:SourceType>InternetSite</b:SourceType>
    <b:Guid>{7563C63E-24C9-4311-9322-949E44AACB75}</b:Guid>
    <b:Title>Cuckooing: Home Takeovers </b:Title>
    <b:Year>2017</b:Year>
    <b:Author>
      <b:Author>
        <b:NameList>
          <b:Person>
            <b:Last>Butera</b:Last>
            <b:First>Johny-Angel</b:First>
          </b:Person>
        </b:NameList>
      </b:Author>
    </b:Author>
    <b:InternetSiteTitle>Homelesshub.ca</b:InternetSiteTitle>
    <b:Month>October</b:Month>
    <b:Day>13</b:Day>
    <b:URL>https://homelesshub.ca/sites/default/files/Cuckooing-Home%20takeovers%20of%20vulnerable%20tenants_0.pdf</b:URL>
    <b:RefOrder>8</b:RefOrder>
  </b:Source>
  <b:Source>
    <b:Tag>Coo181</b:Tag>
    <b:SourceType>JournalArticle</b:SourceType>
    <b:Guid>{9A253809-C308-4474-A641-72B631ECA516}</b:Guid>
    <b:Title>The Changing Shape of Street-Level Heroin and Crack Supply in England: Commuting, Holidaying and Cuckooing Drug Dealers Across “County Lines”’</b:Title>
    <b:Year>2018</b:Year>
    <b:Author>
      <b:Author>
        <b:NameList>
          <b:Person>
            <b:Last>Coomber</b:Last>
            <b:First>R.</b:First>
            <b:Middle>and Moyle, L</b:Middle>
          </b:Person>
        </b:NameList>
      </b:Author>
    </b:Author>
    <b:JournalName>British journal of criminology, 58(6)</b:JournalName>
    <b:Pages>1323–1342</b:Pages>
    <b:RefOrder>9</b:RefOrder>
  </b:Source>
  <b:Source>
    <b:Tag>Nat15</b:Tag>
    <b:SourceType>DocumentFromInternetSite</b:SourceType>
    <b:Guid>{1D27B35F-F007-47E0-89CE-0E90C21307F1}</b:Guid>
    <b:Author>
      <b:Author>
        <b:Corporate>National Crime Agency</b:Corporate>
      </b:Author>
    </b:Author>
    <b:Title>NCA Intelligence Assessment</b:Title>
    <b:Year>2015</b:Year>
    <b:InternetSiteTitle>nationalcrimeagency.gov</b:InternetSiteTitle>
    <b:Month>August</b:Month>
    <b:Day>12</b:Day>
    <b:URL>https://www.nationalcrimeagency.gov.uk/who-we-are/publications/359-nca-intelligence-assessment-county-lines-gangs-and-safeguarding-2015/file</b:URL>
    <b:RefOrder>10</b:RefOrder>
  </b:Source>
  <b:Source>
    <b:Tag>REL09</b:Tag>
    <b:SourceType>JournalArticle</b:SourceType>
    <b:Guid>{A0AE7D9C-F1E0-495B-9CC6-A9AAA35F0547}</b:Guid>
    <b:Title>John Pitts</b:Title>
    <b:Year>2009</b:Year>
    <b:Author>
      <b:Author>
        <b:NameList>
          <b:Person>
            <b:Last>CRIME</b:Last>
            <b:First>RELUCTANT</b:First>
            <b:Middle>GANGSTERS: THE CHANGING FACEOF YOUTH</b:Middle>
          </b:Person>
        </b:NameList>
      </b:Author>
    </b:Author>
    <b:JournalName>The British Journal of Criminology, 49(4)</b:JournalName>
    <b:Pages>597–599</b:Pages>
    <b:RefOrder>11</b:RefOrder>
  </b:Source>
  <b:Source>
    <b:Tag>May09</b:Tag>
    <b:SourceType>JournalArticle</b:SourceType>
    <b:Guid>{8F275855-E451-44A4-995B-FF2957404413}</b:Guid>
    <b:Title>Drug markets and distribution systems</b:Title>
    <b:JournalName>Addiction Research &amp; Theory 12(6)</b:JournalName>
    <b:Year>2009</b:Year>
    <b:Pages>549-563</b:Pages>
    <b:Author>
      <b:Author>
        <b:NameList>
          <b:Person>
            <b:Last>May</b:Last>
            <b:First>Tiggey</b:First>
          </b:Person>
          <b:Person>
            <b:Last>Hough</b:Last>
            <b:First>Mike</b:First>
          </b:Person>
        </b:NameList>
      </b:Author>
    </b:Author>
    <b:RefOrder>12</b:RefOrder>
  </b:Source>
  <b:Source>
    <b:Tag>Coc12</b:Tag>
    <b:SourceType>JournalArticle</b:SourceType>
    <b:Guid>{BC14F427-2E64-4BF2-8AE6-5CC429F38D3B}</b:Guid>
    <b:Author>
      <b:Author>
        <b:NameList>
          <b:Person>
            <b:Last>Cockbain</b:Last>
            <b:First>Ella</b:First>
          </b:Person>
          <b:Person>
            <b:Last>Brayley</b:Last>
            <b:First>Helen</b:First>
          </b:Person>
        </b:NameList>
      </b:Author>
    </b:Author>
    <b:Title>Child sexual exploitation and youth offending: A research note</b:Title>
    <b:JournalName>European Journal of Criminology 9(6)</b:JournalName>
    <b:Year>2012</b:Year>
    <b:Pages>689–700</b:Pages>
    <b:RefOrder>13</b:RefOrder>
  </b:Source>
  <b:Source>
    <b:Tag>Ang221</b:Tag>
    <b:SourceType>JournalArticle</b:SourceType>
    <b:Guid>{163AC187-DC67-4647-8630-EDFA9E5E6B53}</b:Guid>
    <b:Author>
      <b:Author>
        <b:NameList>
          <b:Person>
            <b:Last>Anggraini</b:Last>
            <b:First>Ria</b:First>
            <b:Middle>Desna</b:Middle>
          </b:Person>
        </b:NameList>
      </b:Author>
    </b:Author>
    <b:Title>CRIME OF EXPLOITATION CRIME ANALYSIS OF CHILD WORK AS HOUSEHOLD SERVICE</b:Title>
    <b:JournalName>Ius Poenale (Online) Vol.3 (2)</b:JournalName>
    <b:Year>2022</b:Year>
    <b:Pages>93-102</b:Pages>
    <b:RefOrder>14</b:RefOrder>
  </b:Source>
</b:Sources>
</file>

<file path=customXml/itemProps1.xml><?xml version="1.0" encoding="utf-8"?>
<ds:datastoreItem xmlns:ds="http://schemas.openxmlformats.org/officeDocument/2006/customXml" ds:itemID="{7053668F-12A0-4AB8-A58B-5E95A05A7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6353</Words>
  <Characters>36218</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Martin</dc:creator>
  <dc:description/>
  <cp:lastModifiedBy>Holtschke,David swp8668</cp:lastModifiedBy>
  <cp:revision>2</cp:revision>
  <dcterms:created xsi:type="dcterms:W3CDTF">2025-01-20T15:40:00Z</dcterms:created>
  <dcterms:modified xsi:type="dcterms:W3CDTF">2025-01-20T15:40:00Z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2025-01-20T15:40:07Z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87c57546-1f84-4099-8811-9c2850ded8a4</vt:lpwstr>
  </property>
  <property fmtid="{D5CDD505-2E9C-101B-9397-08002B2CF9AE}" pid="8" name="MSIP_Label_66cf8fe5-b7b7-4df7-b38d-1c61ac2f6639_ContentBits">
    <vt:lpwstr>0</vt:lpwstr>
  </property>
</Properties>
</file>