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png" ContentType="image/png"/>
  <Override PartName="/docProps/core.xml" ContentType="application/vnd.openxmlformats-package.core-properties+xml"/>
  <Override PartName="/word/document.xml" ContentType="application/vnd.openxmlformats-officedocument.wordprocessingml.document.main+xml"/>
  <Override PartName="/word/header1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theme/theme11.xml" ContentType="application/vnd.openxmlformats-officedocument.theme+xml"/>
  <Override PartName="/word/footnotes.xml" ContentType="application/vnd.openxmlformats-officedocument.wordprocessingml.footnotes+xml"/>
  <Override PartName="/word/fontTable.xml" ContentType="application/vnd.openxmlformats-officedocument.wordprocessingml.fontTable+xml"/>
  <Override PartName="/word/webSettings.xml" ContentType="application/vnd.openxmlformats-officedocument.wordprocessingml.webSettings+xml"/>
  <Override PartName="/word/header22.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09330F6" w:rsidP="10CD0F4F" w:rsidRDefault="509330F6" w14:paraId="28DBCE49" w14:textId="5F2F1B52">
      <w:pPr>
        <w:pStyle w:val="Title2"/>
      </w:pPr>
      <w:r w:rsidR="509330F6">
        <w:rPr/>
        <w:t>Advise Ava and Mason on the merits of bringing a claim for negligence</w:t>
      </w:r>
    </w:p>
    <w:p xmlns:wp14="http://schemas.microsoft.com/office/word/2010/wordml" w14:paraId="24B93ED6" wp14:textId="5CA4E5B5">
      <w:pPr>
        <w:pStyle w:val="Title2"/>
      </w:pPr>
      <w:r w:rsidR="509330F6">
        <w:rPr/>
        <w:t>Kyran Woods</w:t>
      </w:r>
    </w:p>
    <w:p xmlns:wp14="http://schemas.microsoft.com/office/word/2010/wordml" w14:paraId="5C1FAFD7" wp14:noSpellErr="1" wp14:textId="14979AEB"/>
    <w:p xmlns:wp14="http://schemas.microsoft.com/office/word/2010/wordml" w14:paraId="7CBFD60A" wp14:textId="77777777">
      <w:pPr>
        <w:pStyle w:val="SectionTitle"/>
      </w:pPr>
      <w:r>
        <w:lastRenderedPageBreak/>
        <w:t>Abstract</w:t>
      </w:r>
    </w:p>
    <w:p w:rsidR="10CD0F4F" w:rsidP="10CD0F4F" w:rsidRDefault="10CD0F4F" w14:paraId="776A3A55" w14:textId="48D311AA">
      <w:pPr>
        <w:pStyle w:val="NoSpacing"/>
      </w:pPr>
    </w:p>
    <w:p w:rsidR="3F0D41F9" w:rsidP="10CD0F4F" w:rsidRDefault="3F0D41F9" w14:paraId="333F8F20" w14:textId="71281AB8">
      <w:pPr>
        <w:pStyle w:val="NoSpacing"/>
      </w:pPr>
      <w:r w:rsidR="3F0D41F9">
        <w:rPr/>
        <w:t xml:space="preserve">Bringing in a claim of negligence on an employer can create many benefits from </w:t>
      </w:r>
      <w:r w:rsidR="5138A0E1">
        <w:rPr/>
        <w:t xml:space="preserve">monetary gain to causing improvements to a place of work by having the areas that need gentrification the funds and development that is needed. </w:t>
      </w:r>
      <w:r w:rsidR="4755E420">
        <w:rPr/>
        <w:t xml:space="preserve">An employee according to the (gov.uk) is a worker with extra employment rights and responsibilities </w:t>
      </w:r>
      <w:r w:rsidR="41737FDE">
        <w:rPr/>
        <w:t>that do not apply to workers who are not employees</w:t>
      </w:r>
      <w:r w:rsidR="7E568FC2">
        <w:rPr/>
        <w:t xml:space="preserve">. Employers do have a contractual duty to employees to </w:t>
      </w:r>
      <w:r w:rsidR="7E568FC2">
        <w:rPr/>
        <w:t>maintain</w:t>
      </w:r>
      <w:r w:rsidR="7E568FC2">
        <w:rPr/>
        <w:t xml:space="preserve"> their safety and wellbeing with any breaches of this leading to potenti</w:t>
      </w:r>
      <w:r w:rsidR="2A4BE3EA">
        <w:rPr/>
        <w:t>al fines and negligence claims against them if conditions are not met</w:t>
      </w:r>
      <w:r w:rsidR="18E9AA7B">
        <w:rPr/>
        <w:t xml:space="preserve">, thus suggesting that they have a duty of care to those who are employed by them. </w:t>
      </w:r>
      <w:r w:rsidR="1BC93989">
        <w:rPr/>
        <w:t xml:space="preserve">Civil law requires that an employer can have a claim of compensation made </w:t>
      </w:r>
      <w:r w:rsidR="6FD3E561">
        <w:rPr/>
        <w:t>against</w:t>
      </w:r>
      <w:r w:rsidR="1BC93989">
        <w:rPr/>
        <w:t xml:space="preserve"> them if they have become ill or injured through employer negligence. </w:t>
      </w:r>
      <w:r w:rsidR="696D4EFD">
        <w:rPr/>
        <w:t xml:space="preserve">Employers must follow the code of practice, </w:t>
      </w:r>
      <w:r w:rsidR="696D4EFD">
        <w:rPr/>
        <w:t>Provision</w:t>
      </w:r>
      <w:r w:rsidR="696D4EFD">
        <w:rPr/>
        <w:t xml:space="preserve"> and use of work equipment regulations 1998. </w:t>
      </w:r>
      <w:r w:rsidR="394A984B">
        <w:rPr/>
        <w:t>This code is aimed at employers and other members who have a responsibility for the safe use of work equipment</w:t>
      </w:r>
      <w:r w:rsidR="227C6F84">
        <w:rPr/>
        <w:t>.</w:t>
      </w:r>
      <w:r w:rsidR="227C6F84">
        <w:rPr/>
        <w:t xml:space="preserve"> Being liable for negligence is not a criminal matter it is in fact a civil matter, and it is for the victim to prove that the defendant owed the</w:t>
      </w:r>
      <w:r w:rsidR="014AAFFB">
        <w:rPr/>
        <w:t xml:space="preserve">m a ‘duty of care’ and that, that duty had been breached and that they had indeed sustained harm or economic loss </w:t>
      </w:r>
      <w:r w:rsidR="5D70F3EE">
        <w:rPr/>
        <w:t xml:space="preserve">through the alleged negligence. </w:t>
      </w:r>
      <w:r w:rsidR="6A915EF7">
        <w:rPr/>
        <w:t xml:space="preserve">A duty of care was owed to both Mason and Ava, as any workplace fire on business or </w:t>
      </w:r>
      <w:r w:rsidR="19C11ADE">
        <w:rPr/>
        <w:t>non-domestic</w:t>
      </w:r>
      <w:r w:rsidR="6A915EF7">
        <w:rPr/>
        <w:t xml:space="preserve"> premises </w:t>
      </w:r>
      <w:r w:rsidR="6A915EF7">
        <w:rPr/>
        <w:t>are</w:t>
      </w:r>
      <w:r w:rsidR="6A915EF7">
        <w:rPr/>
        <w:t xml:space="preserve"> the r</w:t>
      </w:r>
      <w:r w:rsidR="32F903E1">
        <w:rPr/>
        <w:t>esponsibility of</w:t>
      </w:r>
      <w:r w:rsidR="39167813">
        <w:rPr/>
        <w:t xml:space="preserve"> the employer, </w:t>
      </w:r>
      <w:r w:rsidR="39167813">
        <w:rPr/>
        <w:t>owner</w:t>
      </w:r>
      <w:r w:rsidR="39167813">
        <w:rPr/>
        <w:t xml:space="preserve"> or manager of the facility as they are known as the </w:t>
      </w:r>
      <w:r w:rsidR="39167813">
        <w:rPr/>
        <w:t>responsible person</w:t>
      </w:r>
      <w:r w:rsidR="39167813">
        <w:rPr/>
        <w:t xml:space="preserve">. </w:t>
      </w:r>
      <w:r w:rsidR="66CAC0E8">
        <w:rPr/>
        <w:t>Although the fire had been started by Mason and his misplacement of his towel, it is th</w:t>
      </w:r>
      <w:r w:rsidR="4507E12D">
        <w:rPr/>
        <w:t>e</w:t>
      </w:r>
      <w:r w:rsidR="66CAC0E8">
        <w:rPr/>
        <w:t xml:space="preserve"> responsibility of the employer to ensure that there is the correct equipment within the kitchen to combat a fire safel</w:t>
      </w:r>
      <w:r w:rsidR="3D0EA09A">
        <w:rPr/>
        <w:t>y, however</w:t>
      </w:r>
      <w:r w:rsidR="11756043">
        <w:rPr/>
        <w:t xml:space="preserve"> this was not the case and there was no fire blanket or fire extinguisher available to deal with said fire</w:t>
      </w:r>
      <w:r w:rsidR="4AEA456F">
        <w:rPr/>
        <w:t>.</w:t>
      </w:r>
      <w:r w:rsidR="73DD848B">
        <w:rPr/>
        <w:t xml:space="preserve"> In the Health and Safety at Work act 1974 it </w:t>
      </w:r>
      <w:r w:rsidR="73DD848B">
        <w:rPr/>
        <w:t>states</w:t>
      </w:r>
      <w:r w:rsidR="73DD848B">
        <w:rPr/>
        <w:t xml:space="preserve"> that it is the duty of an employer to </w:t>
      </w:r>
      <w:r w:rsidR="4662CA5C">
        <w:rPr/>
        <w:t xml:space="preserve">ensure, </w:t>
      </w:r>
      <w:r w:rsidR="4662CA5C">
        <w:rPr/>
        <w:t>so far as</w:t>
      </w:r>
      <w:r w:rsidR="4662CA5C">
        <w:rPr/>
        <w:t xml:space="preserve"> is reasonably </w:t>
      </w:r>
      <w:r w:rsidR="4662CA5C">
        <w:rPr/>
        <w:t>practicable</w:t>
      </w:r>
      <w:r w:rsidR="4662CA5C">
        <w:rPr/>
        <w:t xml:space="preserve">, the health, </w:t>
      </w:r>
      <w:r w:rsidR="4662CA5C">
        <w:rPr/>
        <w:t>safety</w:t>
      </w:r>
      <w:r w:rsidR="4662CA5C">
        <w:rPr/>
        <w:t xml:space="preserve"> and welfare of </w:t>
      </w:r>
      <w:r w:rsidR="4662CA5C">
        <w:rPr/>
        <w:t>all of</w:t>
      </w:r>
      <w:r w:rsidR="4662CA5C">
        <w:rPr/>
        <w:t xml:space="preserve"> his/her employees. This article proves that should </w:t>
      </w:r>
      <w:r w:rsidR="07BDE52B">
        <w:rPr/>
        <w:t xml:space="preserve">Mason make a claim he would have </w:t>
      </w:r>
      <w:r w:rsidR="07BDE52B">
        <w:rPr/>
        <w:t>a strong case</w:t>
      </w:r>
      <w:r w:rsidR="07BDE52B">
        <w:rPr/>
        <w:t xml:space="preserve"> as the equipment that should have been in place was either missing or </w:t>
      </w:r>
      <w:r w:rsidR="11728403">
        <w:rPr/>
        <w:t>malfunctioning,</w:t>
      </w:r>
      <w:r w:rsidR="07BDE52B">
        <w:rPr/>
        <w:t xml:space="preserve"> </w:t>
      </w:r>
      <w:r w:rsidR="1DF47133">
        <w:rPr/>
        <w:t>thus</w:t>
      </w:r>
      <w:r w:rsidR="07BDE52B">
        <w:rPr/>
        <w:t xml:space="preserve"> not </w:t>
      </w:r>
      <w:r w:rsidR="4918FFF9">
        <w:rPr/>
        <w:t xml:space="preserve">fulfilling his duty as an </w:t>
      </w:r>
      <w:r w:rsidR="4918FFF9">
        <w:rPr/>
        <w:t>employer</w:t>
      </w:r>
      <w:r w:rsidR="4918FFF9">
        <w:rPr/>
        <w:t xml:space="preserve">. </w:t>
      </w:r>
      <w:r w:rsidR="700626C7">
        <w:rPr/>
        <w:t xml:space="preserve">This information alone should be </w:t>
      </w:r>
      <w:r w:rsidR="700626C7">
        <w:rPr/>
        <w:t>substantial</w:t>
      </w:r>
      <w:r w:rsidR="700626C7">
        <w:rPr/>
        <w:t xml:space="preserve"> enough to make a claim against the employers for negligence as the injuries he suffered are </w:t>
      </w:r>
      <w:r w:rsidR="216EAA78">
        <w:rPr/>
        <w:t>a</w:t>
      </w:r>
      <w:r w:rsidR="700626C7">
        <w:rPr/>
        <w:t xml:space="preserve"> direct consequence</w:t>
      </w:r>
      <w:r w:rsidR="1F708060">
        <w:rPr/>
        <w:t xml:space="preserve"> of the lack of fire safety equipment</w:t>
      </w:r>
      <w:r w:rsidR="5ADBAF63">
        <w:rPr/>
        <w:t xml:space="preserve">. </w:t>
      </w:r>
      <w:r w:rsidR="7BE49AF9">
        <w:rPr/>
        <w:t xml:space="preserve">Ava on the other hand has a clear cause for claim, as Jack who had caused the mess leading to the incident had not put in place a wet floor sign nor alerted the rest of his </w:t>
      </w:r>
      <w:r w:rsidR="607C8D79">
        <w:rPr/>
        <w:t xml:space="preserve">colleagues that there was a potential danger on the floor. It is the </w:t>
      </w:r>
      <w:r w:rsidR="607C8D79">
        <w:rPr/>
        <w:t>employers</w:t>
      </w:r>
      <w:r w:rsidR="607C8D79">
        <w:rPr/>
        <w:t xml:space="preserve"> duty to </w:t>
      </w:r>
      <w:r w:rsidR="607C8D79">
        <w:rPr/>
        <w:t>provide</w:t>
      </w:r>
      <w:r w:rsidR="607C8D79">
        <w:rPr/>
        <w:t xml:space="preserve"> </w:t>
      </w:r>
      <w:r w:rsidR="79198D98">
        <w:rPr/>
        <w:t>com</w:t>
      </w:r>
      <w:r w:rsidR="2DF60B9B">
        <w:rPr/>
        <w:t xml:space="preserve">petent colleagues in the workplace, and one could argue that Jack </w:t>
      </w:r>
      <w:r w:rsidR="2DF60B9B">
        <w:rPr/>
        <w:t>failing to tell</w:t>
      </w:r>
      <w:r w:rsidR="2DF60B9B">
        <w:rPr/>
        <w:t xml:space="preserve"> his colleagues of his </w:t>
      </w:r>
      <w:r w:rsidR="7E421D92">
        <w:rPr/>
        <w:t xml:space="preserve">would suggest that </w:t>
      </w:r>
      <w:r w:rsidR="7E421D92">
        <w:rPr/>
        <w:t>his</w:t>
      </w:r>
      <w:r w:rsidR="7E421D92">
        <w:rPr/>
        <w:t xml:space="preserve"> is not a competent coworker. Ava also could </w:t>
      </w:r>
      <w:r w:rsidR="7E421D92">
        <w:rPr/>
        <w:t>claim on the fact</w:t>
      </w:r>
      <w:r w:rsidR="7E421D92">
        <w:rPr/>
        <w:t xml:space="preserve"> that if the handrail had been inspected and was fit for purpose she would not have fallen as she </w:t>
      </w:r>
      <w:r w:rsidR="7E421D92">
        <w:rPr/>
        <w:t>would’</w:t>
      </w:r>
      <w:r w:rsidR="4E1F66E0">
        <w:rPr/>
        <w:t>ve</w:t>
      </w:r>
      <w:r w:rsidR="4E1F66E0">
        <w:rPr/>
        <w:t xml:space="preserve"> been able to </w:t>
      </w:r>
      <w:r w:rsidR="4E1F66E0">
        <w:rPr/>
        <w:t>maintain</w:t>
      </w:r>
      <w:r w:rsidR="4E1F66E0">
        <w:rPr/>
        <w:t xml:space="preserve"> balance and stopped herself from breaking her collarbone. This </w:t>
      </w:r>
      <w:r w:rsidR="4510D3F9">
        <w:rPr/>
        <w:t xml:space="preserve">shows that the employers had been negligent in their repairs of the railing as management seemed to have known </w:t>
      </w:r>
      <w:r w:rsidR="21A5E097">
        <w:rPr/>
        <w:t xml:space="preserve">about the faulty handrail which caused harm to their employee. This is in direct </w:t>
      </w:r>
      <w:r w:rsidR="3DA72672">
        <w:rPr/>
        <w:t>breach of Provision and Use of work Equipment Regulations 1998 (PUWER) as the handrail was not sui</w:t>
      </w:r>
      <w:r w:rsidR="11B1D24B">
        <w:rPr/>
        <w:t xml:space="preserve">table for its intended use nor was it safe for </w:t>
      </w:r>
      <w:r w:rsidR="11B1D24B">
        <w:rPr/>
        <w:t>use, and</w:t>
      </w:r>
      <w:r w:rsidR="11B1D24B">
        <w:rPr/>
        <w:t xml:space="preserve"> maintained in a safe condition and had not been inspecte</w:t>
      </w:r>
      <w:r w:rsidR="46C3F273">
        <w:rPr/>
        <w:t xml:space="preserve">d to ensure that it had not deteriorated. </w:t>
      </w:r>
      <w:r w:rsidR="31DB2D90">
        <w:rPr/>
        <w:t xml:space="preserve">Due to the employer’s liability (Defective equipment) Act 1969 which </w:t>
      </w:r>
      <w:r w:rsidR="31DB2D90">
        <w:rPr/>
        <w:t>states</w:t>
      </w:r>
      <w:r w:rsidR="31DB2D90">
        <w:rPr/>
        <w:t xml:space="preserve"> that if an employee </w:t>
      </w:r>
      <w:r w:rsidR="3515954F">
        <w:rPr/>
        <w:t>suffers a personal injury in the course of his employment in consequence of a defect in equipment provided by his employer for the purpo</w:t>
      </w:r>
      <w:r w:rsidR="5BA586F8">
        <w:rPr/>
        <w:t>s</w:t>
      </w:r>
      <w:r w:rsidR="3515954F">
        <w:rPr/>
        <w:t xml:space="preserve">es of the </w:t>
      </w:r>
      <w:r w:rsidR="2B1AECDC">
        <w:rPr/>
        <w:t xml:space="preserve">employer's business. </w:t>
      </w:r>
      <w:r w:rsidR="7C53145F">
        <w:rPr/>
        <w:t xml:space="preserve">It also </w:t>
      </w:r>
      <w:r w:rsidR="7C53145F">
        <w:rPr/>
        <w:t>states</w:t>
      </w:r>
      <w:r w:rsidR="7C53145F">
        <w:rPr/>
        <w:t xml:space="preserve"> that if this is the case </w:t>
      </w:r>
      <w:r w:rsidR="7C53145F">
        <w:rPr/>
        <w:t>than</w:t>
      </w:r>
      <w:r w:rsidR="7C53145F">
        <w:rPr/>
        <w:t xml:space="preserve"> the injury shall be </w:t>
      </w:r>
      <w:r w:rsidR="7C53145F">
        <w:rPr/>
        <w:t>deemed</w:t>
      </w:r>
      <w:r w:rsidR="7C53145F">
        <w:rPr/>
        <w:t xml:space="preserve"> to be attributable to negligence on behalf of the employer</w:t>
      </w:r>
      <w:r w:rsidR="759D7803">
        <w:rPr/>
        <w:t xml:space="preserve">. With these facts in place in is acceptable to expect that a claim of negligence would be successful for both </w:t>
      </w:r>
      <w:r w:rsidR="7C040E67">
        <w:rPr/>
        <w:t xml:space="preserve">parties, however, the employer does also have some options in </w:t>
      </w:r>
      <w:r w:rsidR="7C040E67">
        <w:rPr/>
        <w:t>defence</w:t>
      </w:r>
      <w:r w:rsidR="7C040E67">
        <w:rPr/>
        <w:t xml:space="preserve"> of negligence </w:t>
      </w:r>
      <w:r w:rsidR="7C040E67">
        <w:rPr/>
        <w:t>whether or not</w:t>
      </w:r>
      <w:r w:rsidR="7C040E67">
        <w:rPr/>
        <w:t xml:space="preserve"> that it would be successful or </w:t>
      </w:r>
      <w:r w:rsidR="72E74266">
        <w:rPr/>
        <w:t>not is another matter. As there are several cases in which this is proved</w:t>
      </w:r>
      <w:r w:rsidR="794DD8CA">
        <w:rPr/>
        <w:t xml:space="preserve"> </w:t>
      </w:r>
      <w:r w:rsidR="00390750">
        <w:rPr/>
        <w:t xml:space="preserve">in where the employer has managed to defend themselves, such as </w:t>
      </w:r>
      <w:r w:rsidR="79D270EB">
        <w:rPr/>
        <w:t xml:space="preserve">Jebson v Ministry of </w:t>
      </w:r>
      <w:r w:rsidR="79D270EB">
        <w:rPr/>
        <w:t>Defence</w:t>
      </w:r>
      <w:r w:rsidR="79D270EB">
        <w:rPr/>
        <w:t xml:space="preserve"> in which a drunken soldier had </w:t>
      </w:r>
      <w:r w:rsidR="79D270EB">
        <w:rPr/>
        <w:t>attempted</w:t>
      </w:r>
      <w:r w:rsidR="79D270EB">
        <w:rPr/>
        <w:t xml:space="preserve"> to climb </w:t>
      </w:r>
      <w:r w:rsidR="3032361C">
        <w:rPr/>
        <w:t>out the back of a truck onto the roof in which he fell and was stru</w:t>
      </w:r>
      <w:r w:rsidR="47537582">
        <w:rPr/>
        <w:t>c</w:t>
      </w:r>
      <w:r w:rsidR="3032361C">
        <w:rPr/>
        <w:t xml:space="preserve">k by another truck. </w:t>
      </w:r>
      <w:r w:rsidR="3EFC812E">
        <w:rPr/>
        <w:t>It was held that it should have been foreseeable that the drunken men were more like</w:t>
      </w:r>
      <w:r w:rsidR="680102E9">
        <w:rPr/>
        <w:t xml:space="preserve">ly to be on the receiving end of an injury, however it was not </w:t>
      </w:r>
      <w:r w:rsidR="680102E9">
        <w:rPr/>
        <w:t>deemed</w:t>
      </w:r>
      <w:r w:rsidR="680102E9">
        <w:rPr/>
        <w:t xml:space="preserve"> foreseeable that the claimant would </w:t>
      </w:r>
      <w:r w:rsidR="680102E9">
        <w:rPr/>
        <w:t>attempt</w:t>
      </w:r>
      <w:r w:rsidR="680102E9">
        <w:rPr/>
        <w:t xml:space="preserve"> climb out onto the roof of a moving </w:t>
      </w:r>
      <w:r w:rsidR="295C1DB8">
        <w:rPr/>
        <w:t xml:space="preserve">vehicle. </w:t>
      </w:r>
      <w:r w:rsidR="41B54297">
        <w:rPr/>
        <w:t>Ammah v Kuehne Nagal Logistics, is another case in where an employee had claimed a case of negligence against their employer as due to their own actio</w:t>
      </w:r>
      <w:r w:rsidR="6262CFFE">
        <w:rPr/>
        <w:t>ns of using a upturned plastic box to reach a high up shelf, when in fact a</w:t>
      </w:r>
      <w:r w:rsidR="41B54297">
        <w:rPr/>
        <w:t xml:space="preserve"> </w:t>
      </w:r>
      <w:r w:rsidR="03105D66">
        <w:rPr/>
        <w:t>step had already been provided for such activities and they had already been told of the risk that might occur should they stand on top of a box instead of the correct equipment</w:t>
      </w:r>
      <w:r w:rsidR="14CCF3A4">
        <w:rPr/>
        <w:t xml:space="preserve">. By doing this the appellant to a risk that his employer could not be </w:t>
      </w:r>
      <w:r w:rsidR="14CCF3A4">
        <w:rPr/>
        <w:t>deemed</w:t>
      </w:r>
      <w:r w:rsidR="14CCF3A4">
        <w:rPr/>
        <w:t xml:space="preserve"> </w:t>
      </w:r>
      <w:r w:rsidR="37ECDB68">
        <w:rPr/>
        <w:t>responsible</w:t>
      </w:r>
      <w:r w:rsidR="14CCF3A4">
        <w:rPr/>
        <w:t xml:space="preserve"> and liable for the injury that had been sust</w:t>
      </w:r>
      <w:r w:rsidR="1AAF57E6">
        <w:rPr/>
        <w:t xml:space="preserve">ained. </w:t>
      </w:r>
      <w:r w:rsidR="2847DDB4">
        <w:rPr/>
        <w:t xml:space="preserve">Although this case does set </w:t>
      </w:r>
      <w:r w:rsidR="36295443">
        <w:rPr/>
        <w:t>precedent</w:t>
      </w:r>
      <w:r w:rsidR="2847DDB4">
        <w:rPr/>
        <w:t xml:space="preserve"> </w:t>
      </w:r>
      <w:r w:rsidR="2847DDB4">
        <w:rPr/>
        <w:t xml:space="preserve">due to the fact </w:t>
      </w:r>
      <w:r w:rsidR="440BD15F">
        <w:rPr/>
        <w:t>that</w:t>
      </w:r>
      <w:r w:rsidR="440BD15F">
        <w:rPr/>
        <w:t xml:space="preserve"> the claimant had suffered injury in their place of w</w:t>
      </w:r>
      <w:r w:rsidR="7947F636">
        <w:rPr/>
        <w:t xml:space="preserve">ork, the claim was </w:t>
      </w:r>
      <w:r w:rsidR="7947F636">
        <w:rPr/>
        <w:t>ultimately thrown</w:t>
      </w:r>
      <w:r w:rsidR="7947F636">
        <w:rPr/>
        <w:t xml:space="preserve"> out due to the nature of the injury being down to the claimants own fault, had the employers not warned </w:t>
      </w:r>
      <w:r w:rsidR="19F5839E">
        <w:rPr/>
        <w:t xml:space="preserve">of the dangers and supplied the correct equipment the outcome may have been different. </w:t>
      </w:r>
      <w:r w:rsidR="04C7003E">
        <w:rPr/>
        <w:t xml:space="preserve">The employer of Mason and Ava did indeed have a statutory duty of care over them due the Health and </w:t>
      </w:r>
      <w:r w:rsidR="4C88B170">
        <w:rPr/>
        <w:t xml:space="preserve">safety law in which it states that employers are responsible for the management of health and </w:t>
      </w:r>
      <w:r w:rsidR="4C88B170">
        <w:rPr/>
        <w:t>saftey</w:t>
      </w:r>
      <w:r w:rsidR="4C88B170">
        <w:rPr/>
        <w:t xml:space="preserve"> risks within their businesses, and that it</w:t>
      </w:r>
      <w:r w:rsidR="0DE3CC3F">
        <w:rPr/>
        <w:t xml:space="preserve"> is an employer's duty to ensure the protection of health to their workers, this means that employers must </w:t>
      </w:r>
      <w:r w:rsidR="5F221FAC">
        <w:rPr/>
        <w:t>assess the risks within the workplace, which would include the faulty handrail and the lack of a fire blanket for  case of kitchen fire, provide a</w:t>
      </w:r>
      <w:r w:rsidR="7FCFAD13">
        <w:rPr/>
        <w:t>ny information about the risks that can be associated with any activities or tasks that could be hazardous and cause harm</w:t>
      </w:r>
      <w:r w:rsidR="0F530F79">
        <w:rPr/>
        <w:t>, and consult their employees on any health and safety issues either directly or through a re</w:t>
      </w:r>
      <w:r w:rsidR="7CA37E6E">
        <w:rPr/>
        <w:t>presentative that has either been elected by the workforce or appointed by a trade union</w:t>
      </w:r>
      <w:r w:rsidR="6512BD08">
        <w:rPr/>
        <w:t xml:space="preserve">. </w:t>
      </w:r>
      <w:r w:rsidR="24BBF73F">
        <w:rPr/>
        <w:t xml:space="preserve">Employers also have duties under common law to ensure the safety of its employees, </w:t>
      </w:r>
      <w:r w:rsidR="040FCF5C">
        <w:rPr/>
        <w:t xml:space="preserve">with the provisions of, </w:t>
      </w:r>
      <w:r w:rsidR="55ADE55C">
        <w:rPr/>
        <w:t>competent</w:t>
      </w:r>
      <w:r w:rsidR="040FCF5C">
        <w:rPr/>
        <w:t xml:space="preserve"> staff, a safe place to work, safe plant and equipment, safe system of work, safe means of access and egress, safe working</w:t>
      </w:r>
      <w:r w:rsidR="040FCF5C">
        <w:rPr/>
        <w:t xml:space="preserve"> </w:t>
      </w:r>
      <w:r w:rsidR="31065769">
        <w:rPr/>
        <w:t>conditions</w:t>
      </w:r>
      <w:r w:rsidR="2A9FC105">
        <w:rPr/>
        <w:t>, and adequate</w:t>
      </w:r>
      <w:r w:rsidR="40538CC7">
        <w:rPr/>
        <w:t xml:space="preserve"> </w:t>
      </w:r>
      <w:r w:rsidR="2A9FC105">
        <w:rPr/>
        <w:t xml:space="preserve">levels of supervision. </w:t>
      </w:r>
      <w:r w:rsidR="5A13E7DD">
        <w:rPr/>
        <w:t xml:space="preserve">Several of these common laws had been broken </w:t>
      </w:r>
      <w:r w:rsidR="4635F109">
        <w:rPr/>
        <w:t xml:space="preserve">which resulted in </w:t>
      </w:r>
      <w:r w:rsidR="4635F109">
        <w:rPr/>
        <w:t>the injuries</w:t>
      </w:r>
      <w:r w:rsidR="4635F109">
        <w:rPr/>
        <w:t xml:space="preserve"> to Mason and Ava. </w:t>
      </w:r>
      <w:r w:rsidR="4132BE92">
        <w:rPr/>
        <w:t>Employees too</w:t>
      </w:r>
      <w:r w:rsidR="42F9EE7F">
        <w:rPr/>
        <w:t xml:space="preserve"> have a statutory duty of care to themselves and other employees </w:t>
      </w:r>
      <w:r w:rsidR="5DCE1142">
        <w:rPr/>
        <w:t xml:space="preserve">to ensure the safety of one </w:t>
      </w:r>
      <w:r w:rsidR="31D8BD1B">
        <w:rPr/>
        <w:t>another, if</w:t>
      </w:r>
      <w:r w:rsidR="5DCE1142">
        <w:rPr/>
        <w:t xml:space="preserve"> any of these statutes are br</w:t>
      </w:r>
      <w:r w:rsidR="1E26731A">
        <w:rPr/>
        <w:t xml:space="preserve">oken it can lead to </w:t>
      </w:r>
      <w:r w:rsidR="1F292C11">
        <w:rPr/>
        <w:t>a cla</w:t>
      </w:r>
      <w:r w:rsidR="411A7BC8">
        <w:rPr/>
        <w:t>im o</w:t>
      </w:r>
      <w:r w:rsidR="1F292C11">
        <w:rPr/>
        <w:t xml:space="preserve">f negligence to be held against the person or persons who are </w:t>
      </w:r>
      <w:r w:rsidR="1F292C11">
        <w:rPr/>
        <w:t>deemed responsible.</w:t>
      </w:r>
      <w:r w:rsidR="1F292C11">
        <w:rPr/>
        <w:t xml:space="preserve"> In the case of Ava, Jack had not done his duty to ensure the safety of the work environment</w:t>
      </w:r>
      <w:r w:rsidR="08FCA312">
        <w:rPr/>
        <w:t xml:space="preserve">, thus leaving him partially liable to the injuries sustained by Ava in her fall. </w:t>
      </w:r>
      <w:r w:rsidR="02960CAE">
        <w:rPr/>
        <w:t>There is no mention of whether staff had been trained to deal with these situations by the employers, however, it would suggest that at least in the case of Mason that he had indee</w:t>
      </w:r>
      <w:r w:rsidR="12196F13">
        <w:rPr/>
        <w:t>d been trained in what to do in the event of a kitchen fire which was to use a fire blanket to try and control the situation however due to the employers lack of care</w:t>
      </w:r>
      <w:r w:rsidR="32C6FC7A">
        <w:rPr/>
        <w:t xml:space="preserve"> one was not available. </w:t>
      </w:r>
      <w:r w:rsidR="7DA406A4">
        <w:rPr/>
        <w:t xml:space="preserve">Contrary to that though, Jack had not, either cleaned up the mess, placed a sign at the </w:t>
      </w:r>
      <w:r w:rsidR="7DA406A4">
        <w:rPr/>
        <w:t>position</w:t>
      </w:r>
      <w:r w:rsidR="7DA406A4">
        <w:rPr/>
        <w:t xml:space="preserve"> of the accident nor informed any of </w:t>
      </w:r>
      <w:r w:rsidR="6AF4759A">
        <w:rPr/>
        <w:t xml:space="preserve">his fellow coworkers of the accident before going off to try and find a cleaner to deal with the mess. This leads to </w:t>
      </w:r>
      <w:r w:rsidR="6AF4759A">
        <w:rPr/>
        <w:t>suggest</w:t>
      </w:r>
      <w:r w:rsidR="6AF4759A">
        <w:rPr/>
        <w:t xml:space="preserve"> that he had not been correctly trained in what to do in s</w:t>
      </w:r>
      <w:r w:rsidR="6E2EDD59">
        <w:rPr/>
        <w:t xml:space="preserve">ituations when it came down to spillages of food or drink in the work environment. Had he been </w:t>
      </w:r>
      <w:r w:rsidR="6E2EDD59">
        <w:rPr/>
        <w:t>properly trained</w:t>
      </w:r>
      <w:r w:rsidR="6E2EDD59">
        <w:rPr/>
        <w:t xml:space="preserve"> this situation may not have </w:t>
      </w:r>
      <w:r w:rsidR="1B256567">
        <w:rPr/>
        <w:t>occurred</w:t>
      </w:r>
      <w:r w:rsidR="20B175CF">
        <w:rPr/>
        <w:t>,</w:t>
      </w:r>
      <w:r w:rsidR="1B256567">
        <w:rPr/>
        <w:t xml:space="preserve"> which </w:t>
      </w:r>
      <w:r w:rsidR="5CA75159">
        <w:rPr/>
        <w:t>led</w:t>
      </w:r>
      <w:r w:rsidR="1B256567">
        <w:rPr/>
        <w:t xml:space="preserve"> to Ava’s broken collarbone. </w:t>
      </w:r>
      <w:r w:rsidR="1C696471">
        <w:rPr/>
        <w:t xml:space="preserve">To </w:t>
      </w:r>
      <w:r w:rsidR="1C696471">
        <w:rPr/>
        <w:t>summarise</w:t>
      </w:r>
      <w:r w:rsidR="1C696471">
        <w:rPr/>
        <w:t xml:space="preserve"> the information </w:t>
      </w:r>
      <w:r w:rsidR="1C696471">
        <w:rPr/>
        <w:t>into</w:t>
      </w:r>
      <w:r w:rsidR="1C696471">
        <w:rPr/>
        <w:t xml:space="preserve"> a more condensed block, </w:t>
      </w:r>
      <w:r w:rsidR="4F1147C7">
        <w:rPr/>
        <w:t>Mason and Ava’s employers could be held responsible for negligence as they had breached many work safety acts</w:t>
      </w:r>
      <w:r w:rsidR="00FE69A9">
        <w:rPr/>
        <w:t>. Due to this infringement, it is highly likely to be held that the employers should pay for any loss of earnings both parties may have susta</w:t>
      </w:r>
      <w:r w:rsidR="3FA34EDA">
        <w:rPr/>
        <w:t xml:space="preserve">ined due to their injuries. Furthermore, Jack could also be held liable in Ava’s case as he did not me the specific criteria that would </w:t>
      </w:r>
      <w:r w:rsidR="2B3EBC19">
        <w:rPr/>
        <w:t xml:space="preserve">ensure that there would be </w:t>
      </w:r>
      <w:r w:rsidR="1F79F395">
        <w:rPr/>
        <w:t>the correct procedure carried out which wou</w:t>
      </w:r>
      <w:r w:rsidR="6266D801">
        <w:rPr/>
        <w:t xml:space="preserve">ld have allowed any members of staff to avoid dangerous hazards. Had </w:t>
      </w:r>
      <w:r w:rsidR="6266D801">
        <w:rPr/>
        <w:t>all of</w:t>
      </w:r>
      <w:r w:rsidR="6266D801">
        <w:rPr/>
        <w:t xml:space="preserve"> these items been in place there would have been less</w:t>
      </w:r>
      <w:r w:rsidR="5AE47107">
        <w:rPr/>
        <w:t xml:space="preserve"> </w:t>
      </w:r>
      <w:r w:rsidR="679D6B66">
        <w:rPr/>
        <w:t xml:space="preserve">of a </w:t>
      </w:r>
      <w:r w:rsidR="5AE47107">
        <w:rPr/>
        <w:t>risk for employees to become injured</w:t>
      </w:r>
      <w:r w:rsidR="52B6F7F2">
        <w:rPr/>
        <w:t xml:space="preserve"> on the faulty equipment or lack of equipment in Masons case. </w:t>
      </w:r>
      <w:r w:rsidR="328B4B3E">
        <w:rPr/>
        <w:t>Overall,</w:t>
      </w:r>
      <w:r w:rsidR="52B6F7F2">
        <w:rPr/>
        <w:t xml:space="preserve"> these breaches</w:t>
      </w:r>
      <w:r w:rsidR="2D52519E">
        <w:rPr/>
        <w:t xml:space="preserve"> led to the injuries of staff members thus making the employers negligent in their duty of care over their </w:t>
      </w:r>
      <w:r w:rsidR="2D52519E">
        <w:rPr/>
        <w:t>work force</w:t>
      </w:r>
      <w:r w:rsidR="2D52519E">
        <w:rPr/>
        <w:t xml:space="preserve">. </w:t>
      </w:r>
      <w:r w:rsidR="7130306F">
        <w:rPr/>
        <w:t>As they should have foreseen that it would be reasonable to assume that injury could easily occur</w:t>
      </w:r>
      <w:r w:rsidR="5FF7CC53">
        <w:rPr/>
        <w:t xml:space="preserve">, in the situation and manner that they happened. </w:t>
      </w:r>
      <w:r w:rsidR="5FF7CC53">
        <w:rPr/>
        <w:t>The staff although hold responsibility for themselves, a</w:t>
      </w:r>
      <w:r w:rsidR="01298BDD">
        <w:rPr/>
        <w:t>lso hold responsibility for those around them such as other members of staff and any other person that may enter the premises.</w:t>
      </w:r>
      <w:r w:rsidR="01298BDD">
        <w:rPr/>
        <w:t xml:space="preserve"> </w:t>
      </w:r>
      <w:r w:rsidR="33857668">
        <w:rPr/>
        <w:t xml:space="preserve">However, as the fact of the matter is, it is the duty of the employers and any managerial staff to ensure the </w:t>
      </w:r>
      <w:r w:rsidR="33857668">
        <w:rPr/>
        <w:t>saftey</w:t>
      </w:r>
      <w:r w:rsidR="33857668">
        <w:rPr/>
        <w:t xml:space="preserve"> of those who are directly </w:t>
      </w:r>
      <w:r w:rsidR="304B0EA9">
        <w:rPr/>
        <w:t>under the influence of their decisions. Had the equipme</w:t>
      </w:r>
      <w:r w:rsidR="42FA9FB3">
        <w:rPr/>
        <w:t xml:space="preserve">nt been in place and correctly </w:t>
      </w:r>
      <w:r w:rsidR="42FA9FB3">
        <w:rPr/>
        <w:t>maintained</w:t>
      </w:r>
      <w:r w:rsidR="42FA9FB3">
        <w:rPr/>
        <w:t xml:space="preserve"> the injuries would have been far less likely to have occurred in the manner that they did as this is always some elem</w:t>
      </w:r>
      <w:r w:rsidR="75568A3E">
        <w:rPr/>
        <w:t xml:space="preserve">ent of risk to assess for when it comes down to a work environment. This information </w:t>
      </w:r>
      <w:r w:rsidR="75568A3E">
        <w:rPr/>
        <w:t>would’ve</w:t>
      </w:r>
      <w:r w:rsidR="75568A3E">
        <w:rPr/>
        <w:t xml:space="preserve"> been known in the </w:t>
      </w:r>
      <w:r w:rsidR="75568A3E">
        <w:rPr/>
        <w:t>initial</w:t>
      </w:r>
      <w:r w:rsidR="75568A3E">
        <w:rPr/>
        <w:t xml:space="preserve"> risk assessment of the </w:t>
      </w:r>
      <w:r w:rsidR="152A8869">
        <w:rPr/>
        <w:t xml:space="preserve">premises, but </w:t>
      </w:r>
      <w:r w:rsidR="152A8869">
        <w:rPr/>
        <w:t>risk</w:t>
      </w:r>
      <w:r w:rsidR="152A8869">
        <w:rPr/>
        <w:t xml:space="preserve"> is severely </w:t>
      </w:r>
      <w:r w:rsidR="78A94E1F">
        <w:rPr/>
        <w:t xml:space="preserve">increased due to the lack of action from any superior or </w:t>
      </w:r>
      <w:r w:rsidR="78A94E1F">
        <w:rPr/>
        <w:t>higher up</w:t>
      </w:r>
      <w:r w:rsidR="78A94E1F">
        <w:rPr/>
        <w:t xml:space="preserve"> member of staff </w:t>
      </w:r>
      <w:r w:rsidR="4212D75C">
        <w:rPr/>
        <w:t xml:space="preserve">who </w:t>
      </w:r>
      <w:r w:rsidR="4212D75C">
        <w:rPr/>
        <w:t>could’ve</w:t>
      </w:r>
      <w:r w:rsidR="4212D75C">
        <w:rPr/>
        <w:t xml:space="preserve"> resolved these issues swiftly. </w:t>
      </w:r>
      <w:r w:rsidR="4212D75C">
        <w:rPr/>
        <w:t>Ultimately, I</w:t>
      </w:r>
      <w:r w:rsidR="4212D75C">
        <w:rPr/>
        <w:t xml:space="preserve"> believe there is </w:t>
      </w:r>
      <w:r w:rsidR="4212D75C">
        <w:rPr/>
        <w:t>a strong case</w:t>
      </w:r>
      <w:r w:rsidR="4212D75C">
        <w:rPr/>
        <w:t xml:space="preserve"> for both Mason and Ava to claim against their employers as they have not taken the correct </w:t>
      </w:r>
      <w:r w:rsidR="364E0ED8">
        <w:rPr/>
        <w:t xml:space="preserve">procedures to ensure that they were in a safe work environment with the correct facilities and equipment to do their job should an issue </w:t>
      </w:r>
      <w:r w:rsidR="364E0ED8">
        <w:rPr/>
        <w:t>arrise</w:t>
      </w:r>
      <w:r w:rsidR="364E0ED8">
        <w:rPr/>
        <w:t>.</w:t>
      </w:r>
      <w:r w:rsidR="0A7EC988">
        <w:rPr/>
        <w:t xml:space="preserve"> </w:t>
      </w:r>
    </w:p>
    <w:p w:rsidR="0A7EC988" w:rsidRDefault="0A7EC988" w14:paraId="61C7204C" w14:textId="006B9605">
      <w:hyperlink>
        <w:r w:rsidRPr="10CD0F4F" w:rsidR="0A7EC988">
          <w:rPr>
            <w:rStyle w:val="Hyperlink"/>
            <w:rFonts w:ascii="Calibri" w:hAnsi="Calibri" w:eastAsia="Calibri" w:cs="Calibri"/>
            <w:b w:val="0"/>
            <w:bCs w:val="0"/>
            <w:i w:val="0"/>
            <w:iCs w:val="0"/>
            <w:caps w:val="0"/>
            <w:smallCaps w:val="0"/>
            <w:noProof w:val="0"/>
            <w:sz w:val="27"/>
            <w:szCs w:val="27"/>
            <w:lang w:val="en-US"/>
          </w:rPr>
          <w:t>www.farrer.co.uk</w:t>
        </w:r>
      </w:hyperlink>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(n.d.). </w:t>
      </w:r>
      <w:r w:rsidRPr="10CD0F4F" w:rsidR="0A7EC988">
        <w:rPr>
          <w:rFonts w:ascii="Calibri" w:hAnsi="Calibri" w:eastAsia="Calibri" w:cs="Calibri"/>
          <w:b w:val="0"/>
          <w:bCs w:val="0"/>
          <w:i w:val="1"/>
          <w:iCs w:val="1"/>
          <w:caps w:val="0"/>
          <w:smallCaps w:val="0"/>
          <w:noProof w:val="0"/>
          <w:color w:val="000000" w:themeColor="text2" w:themeTint="FF" w:themeShade="FF"/>
          <w:sz w:val="27"/>
          <w:szCs w:val="27"/>
          <w:lang w:val="en-US"/>
        </w:rPr>
        <w:t>Can employers be vicariously liable for a rogue employee?</w:t>
      </w:r>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w:anchor=":~:text=Vicarious%20liability%20is%20the%20legal" r:id="Rd7d260a3eebc47fc">
        <w:r w:rsidRPr="10CD0F4F" w:rsidR="0A7EC988">
          <w:rPr>
            <w:rStyle w:val="Hyperlink"/>
            <w:rFonts w:ascii="Calibri" w:hAnsi="Calibri" w:eastAsia="Calibri" w:cs="Calibri"/>
            <w:b w:val="0"/>
            <w:bCs w:val="0"/>
            <w:i w:val="0"/>
            <w:iCs w:val="0"/>
            <w:caps w:val="0"/>
            <w:smallCaps w:val="0"/>
            <w:noProof w:val="0"/>
            <w:sz w:val="27"/>
            <w:szCs w:val="27"/>
            <w:lang w:val="en-US"/>
          </w:rPr>
          <w:t>https://www.farrer.co.uk/news-and-insights/can-employers-be-vicariously-liable-for-a-rogue-employee/#:~:text=Vicarious%20liability%20is%20the%20legal</w:t>
        </w:r>
      </w:hyperlink>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0A7EC988" w:rsidRDefault="0A7EC988" w14:paraId="177C72EB" w14:textId="6B161BB0">
      <w:r w:rsidRPr="10CD0F4F" w:rsidR="0A7EC988">
        <w:rPr>
          <w:rFonts w:ascii="Calibri" w:hAnsi="Calibri" w:eastAsia="Calibri" w:cs="Calibri"/>
          <w:b w:val="0"/>
          <w:bCs w:val="0"/>
          <w:i w:val="0"/>
          <w:iCs w:val="0"/>
          <w:caps w:val="0"/>
          <w:smallCaps w:val="0"/>
          <w:noProof w:val="0"/>
          <w:color w:val="000000" w:themeColor="text2" w:themeTint="FF" w:themeShade="FF"/>
          <w:sz w:val="24"/>
          <w:szCs w:val="24"/>
          <w:lang w:val="en-US"/>
        </w:rPr>
        <w:t>‌</w:t>
      </w:r>
    </w:p>
    <w:p w:rsidR="0A7EC988" w:rsidRDefault="0A7EC988" w14:paraId="74B8928C" w14:textId="33486D16">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nidirect (2019). </w:t>
      </w:r>
      <w:r w:rsidRPr="10CD0F4F" w:rsidR="0A7EC988">
        <w:rPr>
          <w:rFonts w:ascii="Calibri" w:hAnsi="Calibri" w:eastAsia="Calibri" w:cs="Calibri"/>
          <w:b w:val="0"/>
          <w:bCs w:val="0"/>
          <w:i w:val="1"/>
          <w:iCs w:val="1"/>
          <w:caps w:val="0"/>
          <w:smallCaps w:val="0"/>
          <w:noProof w:val="0"/>
          <w:color w:val="000000" w:themeColor="text2" w:themeTint="FF" w:themeShade="FF"/>
          <w:sz w:val="27"/>
          <w:szCs w:val="27"/>
          <w:lang w:val="en-US"/>
        </w:rPr>
        <w:t>Employees’ health and safety responsibilities | nidirect</w:t>
      </w:r>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nidirect. Available at: </w:t>
      </w:r>
      <w:hyperlink r:id="Ra4ce78942b854bb6">
        <w:r w:rsidRPr="10CD0F4F" w:rsidR="0A7EC988">
          <w:rPr>
            <w:rStyle w:val="Hyperlink"/>
            <w:rFonts w:ascii="Calibri" w:hAnsi="Calibri" w:eastAsia="Calibri" w:cs="Calibri"/>
            <w:b w:val="0"/>
            <w:bCs w:val="0"/>
            <w:i w:val="0"/>
            <w:iCs w:val="0"/>
            <w:caps w:val="0"/>
            <w:smallCaps w:val="0"/>
            <w:noProof w:val="0"/>
            <w:sz w:val="27"/>
            <w:szCs w:val="27"/>
            <w:lang w:val="en-US"/>
          </w:rPr>
          <w:t>https://www.nidirect.gov.uk/articles/employees-health-and-safety-responsibilities</w:t>
        </w:r>
      </w:hyperlink>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0A7EC988" w:rsidRDefault="0A7EC988" w14:paraId="001E6A75" w14:textId="6166704F">
      <w:r w:rsidRPr="10CD0F4F" w:rsidR="0A7EC988">
        <w:rPr>
          <w:rFonts w:ascii="Calibri" w:hAnsi="Calibri" w:eastAsia="Calibri" w:cs="Calibri"/>
          <w:b w:val="0"/>
          <w:bCs w:val="0"/>
          <w:i w:val="0"/>
          <w:iCs w:val="0"/>
          <w:caps w:val="0"/>
          <w:smallCaps w:val="0"/>
          <w:noProof w:val="0"/>
          <w:color w:val="000000" w:themeColor="text2" w:themeTint="FF" w:themeShade="FF"/>
          <w:sz w:val="24"/>
          <w:szCs w:val="24"/>
          <w:lang w:val="en-US"/>
        </w:rPr>
        <w:t>‌</w:t>
      </w:r>
    </w:p>
    <w:p w:rsidR="0A7EC988" w:rsidRDefault="0A7EC988" w14:paraId="6E3B03E6" w14:textId="510062E8">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Lambert, C. (2019). </w:t>
      </w:r>
      <w:r w:rsidRPr="10CD0F4F" w:rsidR="0A7EC988">
        <w:rPr>
          <w:rFonts w:ascii="Calibri" w:hAnsi="Calibri" w:eastAsia="Calibri" w:cs="Calibri"/>
          <w:b w:val="0"/>
          <w:bCs w:val="0"/>
          <w:i w:val="1"/>
          <w:iCs w:val="1"/>
          <w:caps w:val="0"/>
          <w:smallCaps w:val="0"/>
          <w:noProof w:val="0"/>
          <w:color w:val="000000" w:themeColor="text2" w:themeTint="FF" w:themeShade="FF"/>
          <w:sz w:val="27"/>
          <w:szCs w:val="27"/>
          <w:lang w:val="en-US"/>
        </w:rPr>
        <w:t>Employer’s Common Law &amp; Duties</w:t>
      </w:r>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Cenheard. Available at: </w:t>
      </w:r>
      <w:hyperlink r:id="R7d5430190d624aee">
        <w:r w:rsidRPr="10CD0F4F" w:rsidR="0A7EC988">
          <w:rPr>
            <w:rStyle w:val="Hyperlink"/>
            <w:rFonts w:ascii="Calibri" w:hAnsi="Calibri" w:eastAsia="Calibri" w:cs="Calibri"/>
            <w:b w:val="0"/>
            <w:bCs w:val="0"/>
            <w:i w:val="0"/>
            <w:iCs w:val="0"/>
            <w:caps w:val="0"/>
            <w:smallCaps w:val="0"/>
            <w:noProof w:val="0"/>
            <w:sz w:val="27"/>
            <w:szCs w:val="27"/>
            <w:lang w:val="en-US"/>
          </w:rPr>
          <w:t>https://cenheard.com/training/free/foundations/common-law/</w:t>
        </w:r>
      </w:hyperlink>
      <w:r w:rsidRPr="10CD0F4F" w:rsidR="0A7EC988">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0A7EC988" w:rsidRDefault="0A7EC988" w14:paraId="6B7E11A1" w14:textId="6A8C93FF">
      <w:r w:rsidRPr="10CD0F4F" w:rsidR="0A7EC988">
        <w:rPr>
          <w:rFonts w:ascii="Calibri" w:hAnsi="Calibri" w:eastAsia="Calibri" w:cs="Calibri"/>
          <w:b w:val="0"/>
          <w:bCs w:val="0"/>
          <w:i w:val="0"/>
          <w:iCs w:val="0"/>
          <w:caps w:val="0"/>
          <w:smallCaps w:val="0"/>
          <w:noProof w:val="0"/>
          <w:color w:val="000000" w:themeColor="text2" w:themeTint="FF" w:themeShade="FF"/>
          <w:sz w:val="24"/>
          <w:szCs w:val="24"/>
          <w:lang w:val="en-US"/>
        </w:rPr>
        <w:t>‌</w:t>
      </w:r>
    </w:p>
    <w:p w:rsidR="3AAFB954" w:rsidP="10CD0F4F" w:rsidRDefault="3AAFB954" w14:paraId="6BAA0DDC" w14:textId="069C214C">
      <w:pPr>
        <w:pStyle w:val="NoSpacing"/>
      </w:pPr>
      <w:r w:rsidRPr="10CD0F4F" w:rsidR="3AAFB954">
        <w:rPr>
          <w:rFonts w:ascii="Calibri" w:hAnsi="Calibri" w:eastAsia="Calibri" w:cs="Calibri"/>
          <w:b w:val="0"/>
          <w:bCs w:val="0"/>
          <w:i w:val="0"/>
          <w:iCs w:val="0"/>
          <w:caps w:val="0"/>
          <w:smallCaps w:val="0"/>
          <w:noProof w:val="0"/>
          <w:color w:val="2C3E50"/>
          <w:sz w:val="27"/>
          <w:szCs w:val="27"/>
          <w:lang w:val="en-US"/>
        </w:rPr>
        <w:t>roduced</w:t>
      </w:r>
      <w:r w:rsidRPr="10CD0F4F" w:rsidR="3AAFB954">
        <w:rPr>
          <w:rFonts w:ascii="Calibri" w:hAnsi="Calibri" w:eastAsia="Calibri" w:cs="Calibri"/>
          <w:b w:val="0"/>
          <w:bCs w:val="0"/>
          <w:i w:val="0"/>
          <w:iCs w:val="0"/>
          <w:caps w:val="0"/>
          <w:smallCaps w:val="0"/>
          <w:noProof w:val="0"/>
          <w:color w:val="2C3E50"/>
          <w:sz w:val="27"/>
          <w:szCs w:val="27"/>
          <w:lang w:val="en-US"/>
        </w:rPr>
        <w:t xml:space="preserve"> in partnership with Michael Szeto of ONC Lawyers. (n.d.). [online] Available at: </w:t>
      </w:r>
      <w:hyperlink r:id="R3280b465137c4978">
        <w:r w:rsidRPr="10CD0F4F" w:rsidR="3AAFB954">
          <w:rPr>
            <w:rStyle w:val="Hyperlink"/>
            <w:rFonts w:ascii="Calibri" w:hAnsi="Calibri" w:eastAsia="Calibri" w:cs="Calibri"/>
            <w:b w:val="0"/>
            <w:bCs w:val="0"/>
            <w:i w:val="0"/>
            <w:iCs w:val="0"/>
            <w:caps w:val="0"/>
            <w:smallCaps w:val="0"/>
            <w:noProof w:val="0"/>
            <w:sz w:val="27"/>
            <w:szCs w:val="27"/>
            <w:lang w:val="en-US"/>
          </w:rPr>
          <w:t>https://www.lexisnexis.com.hk/__data/assets/pdf_file/0008/318446/Employers-statutory-and-common-law-duties-to-ensure-employees-safety-and-health-at-work-during-the-Novel-Coronavirus-epidemic.pdf</w:t>
        </w:r>
      </w:hyperlink>
    </w:p>
    <w:p w:rsidR="3AAFB954" w:rsidRDefault="3AAFB954" w14:paraId="20A9842D" w14:textId="1ABBA3D2">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HSE (2019).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Employer’s responsibilities: Workers’ Health and Safety</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Hse.gov.uk. Available at: </w:t>
      </w:r>
      <w:hyperlink r:id="Rdb24974532514aaa">
        <w:r w:rsidRPr="10CD0F4F" w:rsidR="3AAFB954">
          <w:rPr>
            <w:rStyle w:val="Hyperlink"/>
            <w:rFonts w:ascii="Calibri" w:hAnsi="Calibri" w:eastAsia="Calibri" w:cs="Calibri"/>
            <w:b w:val="0"/>
            <w:bCs w:val="0"/>
            <w:i w:val="0"/>
            <w:iCs w:val="0"/>
            <w:caps w:val="0"/>
            <w:smallCaps w:val="0"/>
            <w:noProof w:val="0"/>
            <w:sz w:val="27"/>
            <w:szCs w:val="27"/>
            <w:lang w:val="en-US"/>
          </w:rPr>
          <w:t>https://www.hse.gov.uk/workers/employers.htm</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12646126" w14:textId="741CE79D">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541015C2" w14:textId="22C56F7A">
      <w:hyperlink>
        <w:r w:rsidRPr="10CD0F4F" w:rsidR="3AAFB954">
          <w:rPr>
            <w:rStyle w:val="Hyperlink"/>
            <w:rFonts w:ascii="Calibri" w:hAnsi="Calibri" w:eastAsia="Calibri" w:cs="Calibri"/>
            <w:b w:val="0"/>
            <w:bCs w:val="0"/>
            <w:i w:val="0"/>
            <w:iCs w:val="0"/>
            <w:caps w:val="0"/>
            <w:smallCaps w:val="0"/>
            <w:noProof w:val="0"/>
            <w:sz w:val="27"/>
            <w:szCs w:val="27"/>
            <w:lang w:val="en-US"/>
          </w:rPr>
          <w:t>www.duncanlewis.co.uk</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Chefs Kitchen Staff And Waiters Injured At Work | Duncan Lewis</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0517d7322edf4f47">
        <w:r w:rsidRPr="10CD0F4F" w:rsidR="3AAFB954">
          <w:rPr>
            <w:rStyle w:val="Hyperlink"/>
            <w:rFonts w:ascii="Calibri" w:hAnsi="Calibri" w:eastAsia="Calibri" w:cs="Calibri"/>
            <w:b w:val="0"/>
            <w:bCs w:val="0"/>
            <w:i w:val="0"/>
            <w:iCs w:val="0"/>
            <w:caps w:val="0"/>
            <w:smallCaps w:val="0"/>
            <w:noProof w:val="0"/>
            <w:sz w:val="27"/>
            <w:szCs w:val="27"/>
            <w:lang w:val="en-US"/>
          </w:rPr>
          <w:t>https://www.duncanlewis.co.uk/Chefs-Kitchen-Staff-And-Waiters-Injured-At-Work.html</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[Accessed 13 Jan. 2023].</w:t>
      </w:r>
    </w:p>
    <w:p w:rsidR="3AAFB954" w:rsidRDefault="3AAFB954" w14:paraId="274247BD" w14:textId="2D6356FE">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2815E358" w14:textId="7A78EB7F">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@Albion-seoworks (2018).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Fire Safety Negligence vs. Naivety What You Need To Know - Albion</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Albion Detection Systems. Available at: </w:t>
      </w:r>
      <w:hyperlink r:id="Ra02b6f74a464434b">
        <w:r w:rsidRPr="10CD0F4F" w:rsidR="3AAFB954">
          <w:rPr>
            <w:rStyle w:val="Hyperlink"/>
            <w:rFonts w:ascii="Calibri" w:hAnsi="Calibri" w:eastAsia="Calibri" w:cs="Calibri"/>
            <w:b w:val="0"/>
            <w:bCs w:val="0"/>
            <w:i w:val="0"/>
            <w:iCs w:val="0"/>
            <w:caps w:val="0"/>
            <w:smallCaps w:val="0"/>
            <w:noProof w:val="0"/>
            <w:sz w:val="27"/>
            <w:szCs w:val="27"/>
            <w:lang w:val="en-US"/>
          </w:rPr>
          <w:t>https://www.albion-detection.co.uk/news/fire-safety/fire-safety-negligence/</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[Accessed 13 Jan. 2023].</w:t>
      </w:r>
    </w:p>
    <w:p w:rsidR="3AAFB954" w:rsidRDefault="3AAFB954" w14:paraId="3F04060A" w14:textId="5ACB561D">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1494280" w14:textId="20A04FC6">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Government Digital Service (2012).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Fire safety in the workplace</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GOV.UK. Available at: </w:t>
      </w:r>
      <w:hyperlink r:id="Rf5b8f7be9e38428b">
        <w:r w:rsidRPr="10CD0F4F" w:rsidR="3AAFB954">
          <w:rPr>
            <w:rStyle w:val="Hyperlink"/>
            <w:rFonts w:ascii="Calibri" w:hAnsi="Calibri" w:eastAsia="Calibri" w:cs="Calibri"/>
            <w:b w:val="0"/>
            <w:bCs w:val="0"/>
            <w:i w:val="0"/>
            <w:iCs w:val="0"/>
            <w:caps w:val="0"/>
            <w:smallCaps w:val="0"/>
            <w:noProof w:val="0"/>
            <w:sz w:val="27"/>
            <w:szCs w:val="27"/>
            <w:lang w:val="en-US"/>
          </w:rPr>
          <w:t>https://www.gov.uk/workplace-fire-safety-your-responsibilities</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CE55D8B" w14:textId="00EF2738">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7AC376A8" w14:textId="7E705015">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4. WHAT CAN YOU BE LIABLE FOR AND WHY? 4.1 Negligence. (n.d.). [online] Available at: </w:t>
      </w:r>
      <w:hyperlink r:id="R2fdb75dfc14e46c1">
        <w:r w:rsidRPr="10CD0F4F" w:rsidR="3AAFB954">
          <w:rPr>
            <w:rStyle w:val="Hyperlink"/>
            <w:rFonts w:ascii="Calibri" w:hAnsi="Calibri" w:eastAsia="Calibri" w:cs="Calibri"/>
            <w:b w:val="0"/>
            <w:bCs w:val="0"/>
            <w:i w:val="0"/>
            <w:iCs w:val="0"/>
            <w:caps w:val="0"/>
            <w:smallCaps w:val="0"/>
            <w:noProof w:val="0"/>
            <w:sz w:val="27"/>
            <w:szCs w:val="27"/>
            <w:lang w:val="en-US"/>
          </w:rPr>
          <w:t>https://www.rsc.org/images/4_liable_tcm18-17646.pdf</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P="10CD0F4F" w:rsidRDefault="3AAFB954" w14:paraId="4155149F" w14:textId="30EFC1CB">
      <w:pPr>
        <w:pStyle w:val="Normal"/>
        <w:rPr>
          <w:rFonts w:ascii="Calibri" w:hAnsi="Calibri" w:eastAsia="Calibri" w:cs="Calibri"/>
          <w:b w:val="0"/>
          <w:bCs w:val="0"/>
          <w:i w:val="0"/>
          <w:iCs w:val="0"/>
          <w:caps w:val="0"/>
          <w:smallCaps w:val="0"/>
          <w:noProof w:val="0"/>
          <w:color w:val="000000" w:themeColor="text2" w:themeTint="FF" w:themeShade="FF"/>
          <w:sz w:val="27"/>
          <w:szCs w:val="27"/>
          <w:lang w:val="en-US"/>
        </w:rPr>
      </w:pP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P="10CD0F4F" w:rsidRDefault="3AAFB954" w14:paraId="560D1BF9" w14:textId="68624236">
      <w:pPr>
        <w:pStyle w:val="Normal"/>
      </w:pP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Hse.gov.uk. (2014).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Safe use of work equipment. Provision and Use of Work Equipment Regulations 1998. Approved Code of Practice and guidance - L22</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300d251f58984d97">
        <w:r w:rsidRPr="10CD0F4F" w:rsidR="3AAFB954">
          <w:rPr>
            <w:rStyle w:val="Hyperlink"/>
            <w:rFonts w:ascii="Calibri" w:hAnsi="Calibri" w:eastAsia="Calibri" w:cs="Calibri"/>
            <w:b w:val="0"/>
            <w:bCs w:val="0"/>
            <w:i w:val="0"/>
            <w:iCs w:val="0"/>
            <w:caps w:val="0"/>
            <w:smallCaps w:val="0"/>
            <w:noProof w:val="0"/>
            <w:sz w:val="27"/>
            <w:szCs w:val="27"/>
            <w:lang w:val="en-US"/>
          </w:rPr>
          <w:t>https://www.hse.gov.uk/pubns/books/l22.htm</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2F7590B0" w14:textId="4AD242EA">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10CD0F4F" w:rsidP="10CD0F4F" w:rsidRDefault="10CD0F4F" w14:paraId="5FC6A54C" w14:textId="4E377F13">
      <w:pPr>
        <w:pStyle w:val="Normal"/>
        <w:rPr>
          <w:rFonts w:ascii="Calibri" w:hAnsi="Calibri" w:eastAsia="Calibri" w:cs="Calibri"/>
          <w:b w:val="0"/>
          <w:bCs w:val="0"/>
          <w:i w:val="0"/>
          <w:iCs w:val="0"/>
          <w:caps w:val="0"/>
          <w:smallCaps w:val="0"/>
          <w:noProof w:val="0"/>
          <w:color w:val="000000" w:themeColor="text2" w:themeTint="FF" w:themeShade="FF"/>
          <w:sz w:val="27"/>
          <w:szCs w:val="27"/>
          <w:lang w:val="en-US"/>
        </w:rPr>
      </w:pPr>
    </w:p>
    <w:p w:rsidR="3AAFB954" w:rsidRDefault="3AAFB954" w14:paraId="7E78A339" w14:textId="50FBE082">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GOV.UK (2012).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Employment status</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GOV.UK. Available at: </w:t>
      </w:r>
      <w:hyperlink r:id="R24692f86f2214946">
        <w:r w:rsidRPr="10CD0F4F" w:rsidR="3AAFB954">
          <w:rPr>
            <w:rStyle w:val="Hyperlink"/>
            <w:rFonts w:ascii="Calibri" w:hAnsi="Calibri" w:eastAsia="Calibri" w:cs="Calibri"/>
            <w:b w:val="0"/>
            <w:bCs w:val="0"/>
            <w:i w:val="0"/>
            <w:iCs w:val="0"/>
            <w:caps w:val="0"/>
            <w:smallCaps w:val="0"/>
            <w:noProof w:val="0"/>
            <w:sz w:val="27"/>
            <w:szCs w:val="27"/>
            <w:lang w:val="en-US"/>
          </w:rPr>
          <w:t>https://www.gov.uk/employment-status/employee</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127FF4F4" w14:textId="3BFDD79A">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10CD0F4F" w:rsidP="10CD0F4F" w:rsidRDefault="10CD0F4F" w14:paraId="4FB0B433" w14:textId="044120A0">
      <w:pPr>
        <w:pStyle w:val="Normal"/>
        <w:rPr>
          <w:rFonts w:ascii="Calibri" w:hAnsi="Calibri" w:eastAsia="Calibri" w:cs="Calibri"/>
          <w:b w:val="0"/>
          <w:bCs w:val="0"/>
          <w:i w:val="0"/>
          <w:iCs w:val="0"/>
          <w:caps w:val="0"/>
          <w:smallCaps w:val="0"/>
          <w:noProof w:val="0"/>
          <w:color w:val="000000" w:themeColor="text2" w:themeTint="FF" w:themeShade="FF"/>
          <w:sz w:val="27"/>
          <w:szCs w:val="27"/>
          <w:lang w:val="en-US"/>
        </w:rPr>
      </w:pPr>
    </w:p>
    <w:p w:rsidR="3AAFB954" w:rsidRDefault="3AAFB954" w14:paraId="6DC66EE2" w14:textId="499B8008">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HJA (2018).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Is clinical negligence compensation taxable and will it affect my benefits?</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Hodge Jones &amp; Allen. Available at: </w:t>
      </w:r>
      <w:hyperlink r:id="R0a6aa92a836d411b">
        <w:r w:rsidRPr="10CD0F4F" w:rsidR="3AAFB954">
          <w:rPr>
            <w:rStyle w:val="Hyperlink"/>
            <w:rFonts w:ascii="Calibri" w:hAnsi="Calibri" w:eastAsia="Calibri" w:cs="Calibri"/>
            <w:b w:val="0"/>
            <w:bCs w:val="0"/>
            <w:i w:val="0"/>
            <w:iCs w:val="0"/>
            <w:caps w:val="0"/>
            <w:smallCaps w:val="0"/>
            <w:noProof w:val="0"/>
            <w:sz w:val="27"/>
            <w:szCs w:val="27"/>
            <w:lang w:val="en-US"/>
          </w:rPr>
          <w:t>https://www.hja.net/expert-comments/blog/medical-negligence/is-clinical-negligence-compensation-taxable-and-will-it-affect-my-benefits/</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[Accessed 13 Jan. 2023].</w:t>
      </w:r>
    </w:p>
    <w:p w:rsidR="3AAFB954" w:rsidRDefault="3AAFB954" w14:paraId="27882C3F" w14:textId="5C767BDF">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41B0BA68" w14:textId="413BE9E3">
      <w:hyperlink>
        <w:r w:rsidRPr="10CD0F4F" w:rsidR="3AAFB954">
          <w:rPr>
            <w:rStyle w:val="Hyperlink"/>
            <w:rFonts w:ascii="Calibri" w:hAnsi="Calibri" w:eastAsia="Calibri" w:cs="Calibri"/>
            <w:b w:val="0"/>
            <w:bCs w:val="0"/>
            <w:i w:val="0"/>
            <w:iCs w:val="0"/>
            <w:caps w:val="0"/>
            <w:smallCaps w:val="0"/>
            <w:noProof w:val="0"/>
            <w:sz w:val="27"/>
            <w:szCs w:val="27"/>
            <w:lang w:val="en-US"/>
          </w:rPr>
          <w:t>www.hse.gov.uk</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Health and safety at work: criminal and civil law Civil law - Civil law - compensation claims - HSE</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82c4acf6f2774134">
        <w:r w:rsidRPr="10CD0F4F" w:rsidR="3AAFB954">
          <w:rPr>
            <w:rStyle w:val="Hyperlink"/>
            <w:rFonts w:ascii="Calibri" w:hAnsi="Calibri" w:eastAsia="Calibri" w:cs="Calibri"/>
            <w:b w:val="0"/>
            <w:bCs w:val="0"/>
            <w:i w:val="0"/>
            <w:iCs w:val="0"/>
            <w:caps w:val="0"/>
            <w:smallCaps w:val="0"/>
            <w:noProof w:val="0"/>
            <w:sz w:val="27"/>
            <w:szCs w:val="27"/>
            <w:lang w:val="en-US"/>
          </w:rPr>
          <w:t>https://www.hse.gov.uk/simple-health-safety/law/civil-law.htm</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P="10CD0F4F" w:rsidRDefault="3AAFB954" w14:paraId="27310060" w14:textId="139B6133">
      <w:pPr>
        <w:pStyle w:val="Normal"/>
      </w:pP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Practical Law.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Claims in negligence: an overview</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0a61a0c5e3384fbe">
        <w:r w:rsidRPr="10CD0F4F" w:rsidR="3AAFB954">
          <w:rPr>
            <w:rStyle w:val="Hyperlink"/>
            <w:rFonts w:ascii="Calibri" w:hAnsi="Calibri" w:eastAsia="Calibri" w:cs="Calibri"/>
            <w:b w:val="0"/>
            <w:bCs w:val="0"/>
            <w:i w:val="0"/>
            <w:iCs w:val="0"/>
            <w:caps w:val="0"/>
            <w:smallCaps w:val="0"/>
            <w:noProof w:val="0"/>
            <w:sz w:val="27"/>
            <w:szCs w:val="27"/>
            <w:lang w:val="en-US"/>
          </w:rPr>
          <w:t>https://uk.practicallaw.thomsonreuters.com/9-504-0826?transitionType=Default&amp;contextData=(sc.Default</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480703C7" w14:textId="522731E4">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8C6FEFB" w14:textId="4DF13B5A">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The Lawyers &amp; Jurists.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TORT LAW ( PART 7 )</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53aefc8a1f604351">
        <w:r w:rsidRPr="10CD0F4F" w:rsidR="3AAFB954">
          <w:rPr>
            <w:rStyle w:val="Hyperlink"/>
            <w:rFonts w:ascii="Calibri" w:hAnsi="Calibri" w:eastAsia="Calibri" w:cs="Calibri"/>
            <w:b w:val="0"/>
            <w:bCs w:val="0"/>
            <w:i w:val="0"/>
            <w:iCs w:val="0"/>
            <w:caps w:val="0"/>
            <w:smallCaps w:val="0"/>
            <w:noProof w:val="0"/>
            <w:sz w:val="27"/>
            <w:szCs w:val="27"/>
            <w:lang w:val="en-US"/>
          </w:rPr>
          <w:t>https://www.lawyersnjurists.com/article/tort-law-part-7/</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1668111" w14:textId="263AAC71">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5211C1A2" w14:textId="3A428B69">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vLex.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Wilsons and Clyde Coal Company v English</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3bec1c2f4e074c52">
        <w:r w:rsidRPr="10CD0F4F" w:rsidR="3AAFB954">
          <w:rPr>
            <w:rStyle w:val="Hyperlink"/>
            <w:rFonts w:ascii="Calibri" w:hAnsi="Calibri" w:eastAsia="Calibri" w:cs="Calibri"/>
            <w:b w:val="0"/>
            <w:bCs w:val="0"/>
            <w:i w:val="0"/>
            <w:iCs w:val="0"/>
            <w:caps w:val="0"/>
            <w:smallCaps w:val="0"/>
            <w:noProof w:val="0"/>
            <w:sz w:val="27"/>
            <w:szCs w:val="27"/>
            <w:lang w:val="en-US"/>
          </w:rPr>
          <w:t>https://vlex.co.uk/vid/wilsons-and-clyde-coal-793055365</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[Accessed 13 Jan. 2023].</w:t>
      </w:r>
    </w:p>
    <w:p w:rsidR="3AAFB954" w:rsidRDefault="3AAFB954" w14:paraId="65E98F09" w14:textId="1DA2EDF0">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26EE344B" w14:textId="64E89659">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Negligence Solicitors.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Jebson v Ministry of Defence: Case Analysis</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cdd5c615b60f4f4f">
        <w:r w:rsidRPr="10CD0F4F" w:rsidR="3AAFB954">
          <w:rPr>
            <w:rStyle w:val="Hyperlink"/>
            <w:rFonts w:ascii="Calibri" w:hAnsi="Calibri" w:eastAsia="Calibri" w:cs="Calibri"/>
            <w:b w:val="0"/>
            <w:bCs w:val="0"/>
            <w:i w:val="0"/>
            <w:iCs w:val="0"/>
            <w:caps w:val="0"/>
            <w:smallCaps w:val="0"/>
            <w:noProof w:val="0"/>
            <w:sz w:val="27"/>
            <w:szCs w:val="27"/>
            <w:lang w:val="en-US"/>
          </w:rPr>
          <w:t>https://professionalnegligenceclaimsolicitors.co.uk/damage-loss-key-tort-law-judgment-anns-merton/</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1D067D11" w14:textId="2C6E151C">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6684CED" w14:textId="76E75BE0">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dls (2021).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Ammah v Kuehne Nagal Logistics Ltd: CA 22 Jan 2009</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swarb.co.uk. Available at: </w:t>
      </w:r>
      <w:hyperlink r:id="Ra62a3bc32fe54614">
        <w:r w:rsidRPr="10CD0F4F" w:rsidR="3AAFB954">
          <w:rPr>
            <w:rStyle w:val="Hyperlink"/>
            <w:rFonts w:ascii="Calibri" w:hAnsi="Calibri" w:eastAsia="Calibri" w:cs="Calibri"/>
            <w:b w:val="0"/>
            <w:bCs w:val="0"/>
            <w:i w:val="0"/>
            <w:iCs w:val="0"/>
            <w:caps w:val="0"/>
            <w:smallCaps w:val="0"/>
            <w:noProof w:val="0"/>
            <w:sz w:val="27"/>
            <w:szCs w:val="27"/>
            <w:lang w:val="en-US"/>
          </w:rPr>
          <w:t>https://swarb.co.uk/ammah-v-kuehne-nagal-logistics-ltd-ca-22-jan-2009/</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4C1FCF25" w14:textId="25E95428">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0F0C3266" w14:textId="69272D49">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Legislation.gov.uk. (2023).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Employer’s Liability (Defective Equipment) Act 1969</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r:id="R7a5fc76d48014c03">
        <w:r w:rsidRPr="10CD0F4F" w:rsidR="3AAFB954">
          <w:rPr>
            <w:rStyle w:val="Hyperlink"/>
            <w:rFonts w:ascii="Calibri" w:hAnsi="Calibri" w:eastAsia="Calibri" w:cs="Calibri"/>
            <w:b w:val="0"/>
            <w:bCs w:val="0"/>
            <w:i w:val="0"/>
            <w:iCs w:val="0"/>
            <w:caps w:val="0"/>
            <w:smallCaps w:val="0"/>
            <w:noProof w:val="0"/>
            <w:sz w:val="27"/>
            <w:szCs w:val="27"/>
            <w:lang w:val="en-US"/>
          </w:rPr>
          <w:t>https://www.legislation.gov.uk/ukpga/1969/37/section/1</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[Accessed 13 Jan. 2023].</w:t>
      </w:r>
    </w:p>
    <w:p w:rsidR="3AAFB954" w:rsidRDefault="3AAFB954" w14:paraId="5EBD628D" w14:textId="3A999782">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3B44929A" w14:textId="182B5ED5">
      <w:hyperlink>
        <w:r w:rsidRPr="10CD0F4F" w:rsidR="3AAFB954">
          <w:rPr>
            <w:rStyle w:val="Hyperlink"/>
            <w:rFonts w:ascii="Calibri" w:hAnsi="Calibri" w:eastAsia="Calibri" w:cs="Calibri"/>
            <w:b w:val="0"/>
            <w:bCs w:val="0"/>
            <w:i w:val="0"/>
            <w:iCs w:val="0"/>
            <w:caps w:val="0"/>
            <w:smallCaps w:val="0"/>
            <w:noProof w:val="0"/>
            <w:sz w:val="27"/>
            <w:szCs w:val="27"/>
            <w:lang w:val="en-US"/>
          </w:rPr>
          <w:t>www.hse.gov.uk</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(n.d.).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Provision and Use of Work Equipment Regulations 1998 (PUWER) - Work equipment and machinery</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Available at: </w:t>
      </w:r>
      <w:hyperlink w:anchor=":~:text=PUWER%20requires%20that%20equipment%20provided" r:id="Rc2678a4bfc0545ed">
        <w:r w:rsidRPr="10CD0F4F" w:rsidR="3AAFB954">
          <w:rPr>
            <w:rStyle w:val="Hyperlink"/>
            <w:rFonts w:ascii="Calibri" w:hAnsi="Calibri" w:eastAsia="Calibri" w:cs="Calibri"/>
            <w:b w:val="0"/>
            <w:bCs w:val="0"/>
            <w:i w:val="0"/>
            <w:iCs w:val="0"/>
            <w:caps w:val="0"/>
            <w:smallCaps w:val="0"/>
            <w:noProof w:val="0"/>
            <w:sz w:val="27"/>
            <w:szCs w:val="27"/>
            <w:lang w:val="en-US"/>
          </w:rPr>
          <w:t>https://www.hse.gov.uk/work-equipment-machinery/puwer.htm#:~:text=PUWER%20requires%20that%20equipment%20provided</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71D7CCC0" w14:textId="3F542A8D">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10CD0F4F" w:rsidP="10CD0F4F" w:rsidRDefault="10CD0F4F" w14:paraId="4D654866" w14:textId="54AFC7EB">
      <w:pPr>
        <w:pStyle w:val="Normal"/>
        <w:rPr>
          <w:rFonts w:ascii="Calibri" w:hAnsi="Calibri" w:eastAsia="Calibri" w:cs="Calibri"/>
          <w:b w:val="0"/>
          <w:bCs w:val="0"/>
          <w:i w:val="0"/>
          <w:iCs w:val="0"/>
          <w:caps w:val="0"/>
          <w:smallCaps w:val="0"/>
          <w:noProof w:val="0"/>
          <w:color w:val="000000" w:themeColor="text2" w:themeTint="FF" w:themeShade="FF"/>
          <w:sz w:val="27"/>
          <w:szCs w:val="27"/>
          <w:lang w:val="en-US"/>
        </w:rPr>
      </w:pPr>
    </w:p>
    <w:p w:rsidR="3AAFB954" w:rsidRDefault="3AAFB954" w14:paraId="2B829968" w14:textId="138C1832">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Gov.uk (1999).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The Management of Health and Safety at Work Regulations 1999</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Legislation.gov.uk. Available at: </w:t>
      </w:r>
      <w:hyperlink r:id="Re47d1f278d1d4455">
        <w:r w:rsidRPr="10CD0F4F" w:rsidR="3AAFB954">
          <w:rPr>
            <w:rStyle w:val="Hyperlink"/>
            <w:rFonts w:ascii="Calibri" w:hAnsi="Calibri" w:eastAsia="Calibri" w:cs="Calibri"/>
            <w:b w:val="0"/>
            <w:bCs w:val="0"/>
            <w:i w:val="0"/>
            <w:iCs w:val="0"/>
            <w:caps w:val="0"/>
            <w:smallCaps w:val="0"/>
            <w:noProof w:val="0"/>
            <w:sz w:val="27"/>
            <w:szCs w:val="27"/>
            <w:lang w:val="en-US"/>
          </w:rPr>
          <w:t>https://www.legislation.gov.uk/uksi/1999/3242/contents/made</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674E33E" w14:textId="2DBF1539">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E314168" w14:textId="5EC5C4E5">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legislation.gov.uk (2011). </w:t>
      </w:r>
      <w:r w:rsidRPr="10CD0F4F" w:rsidR="3AAFB954">
        <w:rPr>
          <w:rFonts w:ascii="Calibri" w:hAnsi="Calibri" w:eastAsia="Calibri" w:cs="Calibri"/>
          <w:b w:val="0"/>
          <w:bCs w:val="0"/>
          <w:i w:val="1"/>
          <w:iCs w:val="1"/>
          <w:caps w:val="0"/>
          <w:smallCaps w:val="0"/>
          <w:noProof w:val="0"/>
          <w:color w:val="000000" w:themeColor="text2" w:themeTint="FF" w:themeShade="FF"/>
          <w:sz w:val="27"/>
          <w:szCs w:val="27"/>
          <w:lang w:val="en-US"/>
        </w:rPr>
        <w:t>Health and Safety at Work etc. Act 1974</w:t>
      </w:r>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 xml:space="preserve">. [online] Legislation.gov.uk. Available at: </w:t>
      </w:r>
      <w:hyperlink r:id="R16b0b3db7785466b">
        <w:r w:rsidRPr="10CD0F4F" w:rsidR="3AAFB954">
          <w:rPr>
            <w:rStyle w:val="Hyperlink"/>
            <w:rFonts w:ascii="Calibri" w:hAnsi="Calibri" w:eastAsia="Calibri" w:cs="Calibri"/>
            <w:b w:val="0"/>
            <w:bCs w:val="0"/>
            <w:i w:val="0"/>
            <w:iCs w:val="0"/>
            <w:caps w:val="0"/>
            <w:smallCaps w:val="0"/>
            <w:noProof w:val="0"/>
            <w:sz w:val="27"/>
            <w:szCs w:val="27"/>
            <w:lang w:val="en-US"/>
          </w:rPr>
          <w:t>https://www.legislation.gov.uk/ukpga/1974/37/section/2</w:t>
        </w:r>
      </w:hyperlink>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3AAFB954" w:rsidRDefault="3AAFB954" w14:paraId="6B710110" w14:textId="619BF2E7">
      <w:r w:rsidRPr="10CD0F4F" w:rsidR="3AAFB954">
        <w:rPr>
          <w:rFonts w:ascii="Calibri" w:hAnsi="Calibri" w:eastAsia="Calibri" w:cs="Calibri"/>
          <w:b w:val="0"/>
          <w:bCs w:val="0"/>
          <w:i w:val="0"/>
          <w:iCs w:val="0"/>
          <w:caps w:val="0"/>
          <w:smallCaps w:val="0"/>
          <w:noProof w:val="0"/>
          <w:color w:val="000000" w:themeColor="text2" w:themeTint="FF" w:themeShade="FF"/>
          <w:sz w:val="27"/>
          <w:szCs w:val="27"/>
          <w:lang w:val="en-US"/>
        </w:rPr>
        <w:t>‌</w:t>
      </w:r>
    </w:p>
    <w:p w:rsidR="10CD0F4F" w:rsidP="10CD0F4F" w:rsidRDefault="10CD0F4F" w14:paraId="4EF05CAA" w14:textId="31089A87">
      <w:pPr>
        <w:pStyle w:val="NoSpacing"/>
        <w:rPr>
          <w:rFonts w:ascii="Calibri" w:hAnsi="Calibri" w:eastAsia="Calibri" w:cs="Calibri"/>
          <w:b w:val="0"/>
          <w:bCs w:val="0"/>
          <w:i w:val="0"/>
          <w:iCs w:val="0"/>
          <w:caps w:val="0"/>
          <w:smallCaps w:val="0"/>
          <w:noProof w:val="0"/>
          <w:color w:val="2C3E50"/>
          <w:sz w:val="27"/>
          <w:szCs w:val="27"/>
          <w:lang w:val="en-US"/>
        </w:rPr>
      </w:pPr>
    </w:p>
    <w:sectPr>
      <w:headerReference w:type="default" r:id="rId8"/>
      <w:headerReference w:type="first" r:id="rId9"/>
      <w:footnotePr>
        <w:pos w:val="beneathText"/>
      </w:footnotePr>
      <w:pgSz w:w="12240" w:h="15840" w:orient="portrait"/>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5DAB6C7B" wp14:textId="77777777">
      <w:pPr>
        <w:spacing w:line="240" w:lineRule="auto"/>
      </w:pPr>
      <w:r>
        <w:separator/>
      </w:r>
    </w:p>
    <w:p xmlns:wp14="http://schemas.microsoft.com/office/word/2010/wordml" w14:paraId="02EB378F" wp14:textId="77777777"/>
  </w:endnote>
  <w:endnote w:type="continuationSeparator" w:id="0">
    <w:p xmlns:wp14="http://schemas.microsoft.com/office/word/2010/wordml" w14:paraId="6A05A809" wp14:textId="77777777">
      <w:pPr>
        <w:spacing w:line="240" w:lineRule="auto"/>
      </w:pPr>
      <w:r>
        <w:continuationSeparator/>
      </w:r>
    </w:p>
    <w:p xmlns:wp14="http://schemas.microsoft.com/office/word/2010/wordml"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41C8F396" wp14:textId="77777777">
      <w:pPr>
        <w:spacing w:line="240" w:lineRule="auto"/>
      </w:pPr>
      <w:r>
        <w:separator/>
      </w:r>
    </w:p>
    <w:p xmlns:wp14="http://schemas.microsoft.com/office/word/2010/wordml" w14:paraId="72A3D3EC" wp14:textId="77777777"/>
  </w:footnote>
  <w:footnote w:type="continuationSeparator" w:id="0">
    <w:p xmlns:wp14="http://schemas.microsoft.com/office/word/2010/wordml" w14:paraId="0D0B940D" wp14:textId="77777777">
      <w:pPr>
        <w:spacing w:line="240" w:lineRule="auto"/>
      </w:pPr>
      <w:r>
        <w:continuationSeparator/>
      </w:r>
    </w:p>
    <w:p xmlns:wp14="http://schemas.microsoft.com/office/word/2010/wordml" w14:paraId="0E27B00A" wp14:textId="77777777"/>
  </w:footnote>
</w:footnotes>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8280"/>
      <w:gridCol w:w="1080"/>
    </w:tblGrid>
    <w:tr xmlns:wp14="http://schemas.microsoft.com/office/word/2010/wordml" w14:paraId="6EBA260D" wp14:textId="77777777">
      <w:tc>
        <w:tcPr>
          <w:tcW w:w="8280" w:type="dxa"/>
        </w:tcPr>
        <w:p w14:paraId="4DC9317A" wp14:textId="77777777">
          <w:pPr>
            <w:pStyle w:val="Header"/>
          </w:pPr>
          <w:r>
            <w:t>[SHORTENED TITLE UP TO 50 CHARACTERS]</w:t>
          </w:r>
        </w:p>
      </w:tc>
      <w:tc>
        <w:tcPr>
          <w:tcW w:w="1080" w:type="dxa"/>
        </w:tcPr>
        <w:p w14:paraId="25B68469" wp14:textId="77777777">
          <w:pPr>
            <w:pStyle w:val="Header"/>
            <w:jc w:val="right"/>
          </w:pPr>
          <w:r>
            <w:fldChar w:fldCharType="begin"/>
          </w:r>
          <w:r>
            <w:instrText xml:space="preserve"> PAGE   \* MERGEFORMAT </w:instrText>
          </w:r>
          <w:r>
            <w:fldChar w:fldCharType="separate"/>
          </w:r>
          <w:r>
            <w:rPr>
              <w:noProof/>
            </w:rPr>
            <w:t>4</w:t>
          </w:r>
          <w:r>
            <w:rPr>
              <w:noProof/>
            </w:rPr>
            <w:fldChar w:fldCharType="end"/>
          </w:r>
        </w:p>
      </w:tc>
    </w:tr>
  </w:tbl>
  <w:p xmlns:wp14="http://schemas.microsoft.com/office/word/2010/wordml" w14:paraId="0A37501D" wp14:textId="77777777">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8280"/>
      <w:gridCol w:w="1080"/>
    </w:tblGrid>
    <w:tr xmlns:wp14="http://schemas.microsoft.com/office/word/2010/wordml" w14:paraId="72F7F9AF" wp14:textId="77777777">
      <w:tc>
        <w:tcPr>
          <w:tcW w:w="8280" w:type="dxa"/>
        </w:tcPr>
        <w:p w14:paraId="4D1CDC70" wp14:textId="77777777">
          <w:pPr>
            <w:pStyle w:val="Header"/>
          </w:pPr>
          <w:r>
            <w:t>Running head: [SHORTENED TITLE UP TO 50 CHARACTERS]</w:t>
          </w:r>
        </w:p>
      </w:tc>
      <w:tc>
        <w:tcPr>
          <w:tcW w:w="1080" w:type="dxa"/>
        </w:tcPr>
        <w:p w14:paraId="3D3D22A9" wp14:textId="77777777">
          <w:pPr>
            <w:pStyle w:val="Header"/>
            <w:jc w:val="right"/>
          </w:pPr>
          <w:r>
            <w:fldChar w:fldCharType="begin"/>
          </w:r>
          <w:r>
            <w:instrText xml:space="preserve"> PAGE   \* MERGEFORMAT </w:instrText>
          </w:r>
          <w:r>
            <w:fldChar w:fldCharType="separate"/>
          </w:r>
          <w:r>
            <w:rPr>
              <w:noProof/>
            </w:rPr>
            <w:t>1</w:t>
          </w:r>
          <w:r>
            <w:rPr>
              <w:noProof/>
            </w:rPr>
            <w:fldChar w:fldCharType="end"/>
          </w:r>
        </w:p>
      </w:tc>
    </w:tr>
  </w:tbl>
  <w:p xmlns:wp14="http://schemas.microsoft.com/office/word/2010/wordml" w14:paraId="60061E4C"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defaultTableStyle w:val="APAReport"/>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71F41C"/>
    <w:rsid w:val="00390750"/>
    <w:rsid w:val="004D1689"/>
    <w:rsid w:val="00556F02"/>
    <w:rsid w:val="00FE69A9"/>
    <w:rsid w:val="0100A7EA"/>
    <w:rsid w:val="01298BDD"/>
    <w:rsid w:val="014AAFFB"/>
    <w:rsid w:val="01CEE21D"/>
    <w:rsid w:val="01F13F63"/>
    <w:rsid w:val="02338083"/>
    <w:rsid w:val="02960CAE"/>
    <w:rsid w:val="03105D66"/>
    <w:rsid w:val="0384B74B"/>
    <w:rsid w:val="03FFC71E"/>
    <w:rsid w:val="040FCF5C"/>
    <w:rsid w:val="04C7003E"/>
    <w:rsid w:val="052087AC"/>
    <w:rsid w:val="056B2145"/>
    <w:rsid w:val="05E885AA"/>
    <w:rsid w:val="06F93468"/>
    <w:rsid w:val="07BDE52B"/>
    <w:rsid w:val="0807DCF3"/>
    <w:rsid w:val="08A2C207"/>
    <w:rsid w:val="08A55098"/>
    <w:rsid w:val="08DB25C7"/>
    <w:rsid w:val="08F25B50"/>
    <w:rsid w:val="08FCA312"/>
    <w:rsid w:val="0A7EC988"/>
    <w:rsid w:val="0CD42FF1"/>
    <w:rsid w:val="0DE3CC3F"/>
    <w:rsid w:val="0F4A674B"/>
    <w:rsid w:val="0F530F79"/>
    <w:rsid w:val="1024E108"/>
    <w:rsid w:val="10CD0F4F"/>
    <w:rsid w:val="10FD6D35"/>
    <w:rsid w:val="11728403"/>
    <w:rsid w:val="11756043"/>
    <w:rsid w:val="1175B1DF"/>
    <w:rsid w:val="11B1D24B"/>
    <w:rsid w:val="12196F13"/>
    <w:rsid w:val="126122A5"/>
    <w:rsid w:val="1337A866"/>
    <w:rsid w:val="141DD86E"/>
    <w:rsid w:val="14A5731D"/>
    <w:rsid w:val="14A72FA0"/>
    <w:rsid w:val="14AD52A1"/>
    <w:rsid w:val="14CCF3A4"/>
    <w:rsid w:val="152A8869"/>
    <w:rsid w:val="15B9A8CF"/>
    <w:rsid w:val="1670F585"/>
    <w:rsid w:val="16D6B103"/>
    <w:rsid w:val="17A2675B"/>
    <w:rsid w:val="18E9AA7B"/>
    <w:rsid w:val="193E37BC"/>
    <w:rsid w:val="19AF3755"/>
    <w:rsid w:val="19C11ADE"/>
    <w:rsid w:val="19C1BEA4"/>
    <w:rsid w:val="19F5839E"/>
    <w:rsid w:val="1A8D19F2"/>
    <w:rsid w:val="1AAF57E6"/>
    <w:rsid w:val="1B256567"/>
    <w:rsid w:val="1B5D8F05"/>
    <w:rsid w:val="1BC93989"/>
    <w:rsid w:val="1C28EA53"/>
    <w:rsid w:val="1C3F93F7"/>
    <w:rsid w:val="1C56F93D"/>
    <w:rsid w:val="1C5B56A2"/>
    <w:rsid w:val="1C696471"/>
    <w:rsid w:val="1CE03709"/>
    <w:rsid w:val="1DF47133"/>
    <w:rsid w:val="1E26731A"/>
    <w:rsid w:val="1EFF8A89"/>
    <w:rsid w:val="1F292C11"/>
    <w:rsid w:val="1F708060"/>
    <w:rsid w:val="1F79F395"/>
    <w:rsid w:val="1F7FAE24"/>
    <w:rsid w:val="1FF00548"/>
    <w:rsid w:val="206BB9B3"/>
    <w:rsid w:val="20B175CF"/>
    <w:rsid w:val="216EAA78"/>
    <w:rsid w:val="21A5E097"/>
    <w:rsid w:val="227C6F84"/>
    <w:rsid w:val="22901D78"/>
    <w:rsid w:val="22B16FC9"/>
    <w:rsid w:val="234F788D"/>
    <w:rsid w:val="235E6ACD"/>
    <w:rsid w:val="23B2C98E"/>
    <w:rsid w:val="244D402A"/>
    <w:rsid w:val="24AA4E0E"/>
    <w:rsid w:val="24BBF73F"/>
    <w:rsid w:val="268F06D5"/>
    <w:rsid w:val="277ABEBA"/>
    <w:rsid w:val="278AC009"/>
    <w:rsid w:val="27A5C74F"/>
    <w:rsid w:val="2847DDB4"/>
    <w:rsid w:val="286B7292"/>
    <w:rsid w:val="29090AA8"/>
    <w:rsid w:val="295C1DB8"/>
    <w:rsid w:val="296F5097"/>
    <w:rsid w:val="29AC32C2"/>
    <w:rsid w:val="2A226808"/>
    <w:rsid w:val="2A4BE3EA"/>
    <w:rsid w:val="2A9FC105"/>
    <w:rsid w:val="2ADD6811"/>
    <w:rsid w:val="2B1AECDC"/>
    <w:rsid w:val="2B3EBC19"/>
    <w:rsid w:val="2C057301"/>
    <w:rsid w:val="2C4E4D65"/>
    <w:rsid w:val="2C58520F"/>
    <w:rsid w:val="2D52519E"/>
    <w:rsid w:val="2DF60B9B"/>
    <w:rsid w:val="2F44F347"/>
    <w:rsid w:val="2FD515A1"/>
    <w:rsid w:val="3032361C"/>
    <w:rsid w:val="30382118"/>
    <w:rsid w:val="304B0EA9"/>
    <w:rsid w:val="31065769"/>
    <w:rsid w:val="31D8BD1B"/>
    <w:rsid w:val="31DB2D90"/>
    <w:rsid w:val="323C003F"/>
    <w:rsid w:val="328B4B3E"/>
    <w:rsid w:val="32C6FC7A"/>
    <w:rsid w:val="32F903E1"/>
    <w:rsid w:val="33857668"/>
    <w:rsid w:val="3418646A"/>
    <w:rsid w:val="343DDC77"/>
    <w:rsid w:val="3515954F"/>
    <w:rsid w:val="35184C7E"/>
    <w:rsid w:val="35C7AEFF"/>
    <w:rsid w:val="36239BF5"/>
    <w:rsid w:val="36295443"/>
    <w:rsid w:val="364E0ED8"/>
    <w:rsid w:val="3687B5DA"/>
    <w:rsid w:val="37ECDB68"/>
    <w:rsid w:val="3913A810"/>
    <w:rsid w:val="39167813"/>
    <w:rsid w:val="3919A40E"/>
    <w:rsid w:val="394A984B"/>
    <w:rsid w:val="396D5707"/>
    <w:rsid w:val="3A60DC91"/>
    <w:rsid w:val="3AAFB954"/>
    <w:rsid w:val="3AB5746F"/>
    <w:rsid w:val="3B7AD3BF"/>
    <w:rsid w:val="3BDC49B9"/>
    <w:rsid w:val="3C5EBCBA"/>
    <w:rsid w:val="3D0EA09A"/>
    <w:rsid w:val="3D4EEF8C"/>
    <w:rsid w:val="3D781A1A"/>
    <w:rsid w:val="3DA72672"/>
    <w:rsid w:val="3DF67115"/>
    <w:rsid w:val="3EFC812E"/>
    <w:rsid w:val="3F0D41F9"/>
    <w:rsid w:val="3F33801A"/>
    <w:rsid w:val="3FA34EDA"/>
    <w:rsid w:val="40538CC7"/>
    <w:rsid w:val="411A7BC8"/>
    <w:rsid w:val="4132BE92"/>
    <w:rsid w:val="41737FDE"/>
    <w:rsid w:val="41B54297"/>
    <w:rsid w:val="4212D75C"/>
    <w:rsid w:val="42C277DC"/>
    <w:rsid w:val="42E5A4E3"/>
    <w:rsid w:val="42F9EE7F"/>
    <w:rsid w:val="42FA9FB3"/>
    <w:rsid w:val="440BD15F"/>
    <w:rsid w:val="4507E12D"/>
    <w:rsid w:val="4510D3F9"/>
    <w:rsid w:val="4537965B"/>
    <w:rsid w:val="45F22B18"/>
    <w:rsid w:val="45FA189E"/>
    <w:rsid w:val="46041D48"/>
    <w:rsid w:val="4635F109"/>
    <w:rsid w:val="4662CA5C"/>
    <w:rsid w:val="466F249E"/>
    <w:rsid w:val="46C3F273"/>
    <w:rsid w:val="46C573EC"/>
    <w:rsid w:val="46EFB647"/>
    <w:rsid w:val="47537582"/>
    <w:rsid w:val="4755E420"/>
    <w:rsid w:val="47C98694"/>
    <w:rsid w:val="4812BF53"/>
    <w:rsid w:val="4871F41C"/>
    <w:rsid w:val="488B86A8"/>
    <w:rsid w:val="48C95313"/>
    <w:rsid w:val="4918FFF9"/>
    <w:rsid w:val="4931B960"/>
    <w:rsid w:val="49DC93ED"/>
    <w:rsid w:val="4A0013BC"/>
    <w:rsid w:val="4A020BFA"/>
    <w:rsid w:val="4A0B077E"/>
    <w:rsid w:val="4A275709"/>
    <w:rsid w:val="4A652374"/>
    <w:rsid w:val="4AEA456F"/>
    <w:rsid w:val="4B2738B8"/>
    <w:rsid w:val="4BC3276A"/>
    <w:rsid w:val="4C00F3D5"/>
    <w:rsid w:val="4C285F42"/>
    <w:rsid w:val="4C88B170"/>
    <w:rsid w:val="4CC30919"/>
    <w:rsid w:val="4D5EF7CB"/>
    <w:rsid w:val="4E1F66E0"/>
    <w:rsid w:val="4EB0D90F"/>
    <w:rsid w:val="4F1147C7"/>
    <w:rsid w:val="4F59DD03"/>
    <w:rsid w:val="4FA0FAE4"/>
    <w:rsid w:val="4FFAA9DB"/>
    <w:rsid w:val="509330F6"/>
    <w:rsid w:val="5138A0E1"/>
    <w:rsid w:val="5142C743"/>
    <w:rsid w:val="51895E66"/>
    <w:rsid w:val="52B6F7F2"/>
    <w:rsid w:val="55ADE55C"/>
    <w:rsid w:val="55E1FE2B"/>
    <w:rsid w:val="56F4DBA8"/>
    <w:rsid w:val="572EEA68"/>
    <w:rsid w:val="577E8C1D"/>
    <w:rsid w:val="57D68EE3"/>
    <w:rsid w:val="5829064F"/>
    <w:rsid w:val="5856F558"/>
    <w:rsid w:val="59199EED"/>
    <w:rsid w:val="59C4D6B0"/>
    <w:rsid w:val="5A13E7DD"/>
    <w:rsid w:val="5A325B87"/>
    <w:rsid w:val="5ADBAF63"/>
    <w:rsid w:val="5AE47107"/>
    <w:rsid w:val="5BA586F8"/>
    <w:rsid w:val="5BCE2BE8"/>
    <w:rsid w:val="5C513FAF"/>
    <w:rsid w:val="5C89A36F"/>
    <w:rsid w:val="5CA75159"/>
    <w:rsid w:val="5D70F3EE"/>
    <w:rsid w:val="5D760DFE"/>
    <w:rsid w:val="5DCE1142"/>
    <w:rsid w:val="5F221FAC"/>
    <w:rsid w:val="5FF7CC53"/>
    <w:rsid w:val="60087B78"/>
    <w:rsid w:val="607C8D79"/>
    <w:rsid w:val="6082AD99"/>
    <w:rsid w:val="608F5ECE"/>
    <w:rsid w:val="60EA5D38"/>
    <w:rsid w:val="61A44BD9"/>
    <w:rsid w:val="61B6C038"/>
    <w:rsid w:val="6262CFFE"/>
    <w:rsid w:val="6266D801"/>
    <w:rsid w:val="64FACBDC"/>
    <w:rsid w:val="6512BD08"/>
    <w:rsid w:val="660FA04D"/>
    <w:rsid w:val="6662F204"/>
    <w:rsid w:val="66969C3D"/>
    <w:rsid w:val="66CAC0E8"/>
    <w:rsid w:val="66ECA279"/>
    <w:rsid w:val="679D6B66"/>
    <w:rsid w:val="67ABD555"/>
    <w:rsid w:val="67FEC265"/>
    <w:rsid w:val="680102E9"/>
    <w:rsid w:val="68194441"/>
    <w:rsid w:val="696D4EFD"/>
    <w:rsid w:val="6A915EF7"/>
    <w:rsid w:val="6AF4759A"/>
    <w:rsid w:val="6BCACDF1"/>
    <w:rsid w:val="6CE814D6"/>
    <w:rsid w:val="6CF76476"/>
    <w:rsid w:val="6D223E30"/>
    <w:rsid w:val="6D30156B"/>
    <w:rsid w:val="6DAAF5D7"/>
    <w:rsid w:val="6E2EDD59"/>
    <w:rsid w:val="6E63FF3F"/>
    <w:rsid w:val="6E83E537"/>
    <w:rsid w:val="6E8885C5"/>
    <w:rsid w:val="6F46C638"/>
    <w:rsid w:val="6FBE3F9E"/>
    <w:rsid w:val="6FD3E561"/>
    <w:rsid w:val="700626C7"/>
    <w:rsid w:val="7066E22E"/>
    <w:rsid w:val="70A7DD0E"/>
    <w:rsid w:val="70D64958"/>
    <w:rsid w:val="70E29699"/>
    <w:rsid w:val="7130306F"/>
    <w:rsid w:val="71A5A4AB"/>
    <w:rsid w:val="71BB85F9"/>
    <w:rsid w:val="71F443F5"/>
    <w:rsid w:val="7243AD6F"/>
    <w:rsid w:val="724DD2F2"/>
    <w:rsid w:val="72E74266"/>
    <w:rsid w:val="72F9A461"/>
    <w:rsid w:val="7319F551"/>
    <w:rsid w:val="731E4805"/>
    <w:rsid w:val="732022BB"/>
    <w:rsid w:val="73901456"/>
    <w:rsid w:val="73DD848B"/>
    <w:rsid w:val="74B5C5B2"/>
    <w:rsid w:val="74C0B974"/>
    <w:rsid w:val="74E50373"/>
    <w:rsid w:val="75568A3E"/>
    <w:rsid w:val="759D7803"/>
    <w:rsid w:val="7646DD1C"/>
    <w:rsid w:val="76519613"/>
    <w:rsid w:val="76538E51"/>
    <w:rsid w:val="7680D3D4"/>
    <w:rsid w:val="77AE3C94"/>
    <w:rsid w:val="781CA435"/>
    <w:rsid w:val="78A94E1F"/>
    <w:rsid w:val="78EC4EFF"/>
    <w:rsid w:val="7916C01C"/>
    <w:rsid w:val="79198D98"/>
    <w:rsid w:val="7947F636"/>
    <w:rsid w:val="794DD8CA"/>
    <w:rsid w:val="798936D5"/>
    <w:rsid w:val="79D270EB"/>
    <w:rsid w:val="7B2FFAF8"/>
    <w:rsid w:val="7BE49AF9"/>
    <w:rsid w:val="7BF4B538"/>
    <w:rsid w:val="7C040E67"/>
    <w:rsid w:val="7C53145F"/>
    <w:rsid w:val="7CA37E6E"/>
    <w:rsid w:val="7CCBCB59"/>
    <w:rsid w:val="7DA406A4"/>
    <w:rsid w:val="7E421D92"/>
    <w:rsid w:val="7E568FC2"/>
    <w:rsid w:val="7EE3001C"/>
    <w:rsid w:val="7F561E65"/>
    <w:rsid w:val="7FCFAD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1F41C"/>
  <w15:chartTrackingRefBased/>
  <w15:docId w15:val="{88A4040C-E375-4B9D-B1ED-74AE9E09C9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2.xml" Id="rId9" /><Relationship Type="http://schemas.openxmlformats.org/officeDocument/2006/relationships/hyperlink" Target="https://www.farrer.co.uk/news-and-insights/can-employers-be-vicariously-liable-for-a-rogue-employee/" TargetMode="External" Id="Rd7d260a3eebc47fc" /><Relationship Type="http://schemas.openxmlformats.org/officeDocument/2006/relationships/hyperlink" Target="https://www.nidirect.gov.uk/articles/employees-health-and-safety-responsibilities" TargetMode="External" Id="Ra4ce78942b854bb6" /><Relationship Type="http://schemas.openxmlformats.org/officeDocument/2006/relationships/hyperlink" Target="https://cenheard.com/training/free/foundations/common-law/" TargetMode="External" Id="R7d5430190d624aee" /><Relationship Type="http://schemas.openxmlformats.org/officeDocument/2006/relationships/hyperlink" Target="https://www.lexisnexis.com.hk/__data/assets/pdf_file/0008/318446/Employers-statutory-and-common-law-duties-to-ensure-employees-safety-and-health-at-work-during-the-Novel-Coronavirus-epidemic.pdf" TargetMode="External" Id="R3280b465137c4978" /><Relationship Type="http://schemas.openxmlformats.org/officeDocument/2006/relationships/hyperlink" Target="https://www.hse.gov.uk/workers/employers.htm" TargetMode="External" Id="Rdb24974532514aaa" /><Relationship Type="http://schemas.openxmlformats.org/officeDocument/2006/relationships/hyperlink" Target="https://www.duncanlewis.co.uk/Chefs-Kitchen-Staff-And-Waiters-Injured-At-Work.html" TargetMode="External" Id="R0517d7322edf4f47" /><Relationship Type="http://schemas.openxmlformats.org/officeDocument/2006/relationships/hyperlink" Target="https://www.albion-detection.co.uk/news/fire-safety/fire-safety-negligence/" TargetMode="External" Id="Ra02b6f74a464434b" /><Relationship Type="http://schemas.openxmlformats.org/officeDocument/2006/relationships/hyperlink" Target="https://www.gov.uk/workplace-fire-safety-your-responsibilities" TargetMode="External" Id="Rf5b8f7be9e38428b" /><Relationship Type="http://schemas.openxmlformats.org/officeDocument/2006/relationships/hyperlink" Target="https://www.rsc.org/images/4_liable_tcm18-17646.pdf" TargetMode="External" Id="R2fdb75dfc14e46c1" /><Relationship Type="http://schemas.openxmlformats.org/officeDocument/2006/relationships/hyperlink" Target="https://www.hse.gov.uk/pubns/books/l22.htm" TargetMode="External" Id="R300d251f58984d97" /><Relationship Type="http://schemas.openxmlformats.org/officeDocument/2006/relationships/hyperlink" Target="https://www.gov.uk/employment-status/employee" TargetMode="External" Id="R24692f86f2214946" /><Relationship Type="http://schemas.openxmlformats.org/officeDocument/2006/relationships/hyperlink" Target="https://www.hja.net/expert-comments/blog/medical-negligence/is-clinical-negligence-compensation-taxable-and-will-it-affect-my-benefits/" TargetMode="External" Id="R0a6aa92a836d411b" /><Relationship Type="http://schemas.openxmlformats.org/officeDocument/2006/relationships/hyperlink" Target="https://www.hse.gov.uk/simple-health-safety/law/civil-law.htm" TargetMode="External" Id="R82c4acf6f2774134" /><Relationship Type="http://schemas.openxmlformats.org/officeDocument/2006/relationships/hyperlink" Target="https://uk.practicallaw.thomsonreuters.com/9-504-0826?transitionType=Default&amp;contextData=(sc.Default" TargetMode="External" Id="R0a61a0c5e3384fbe" /><Relationship Type="http://schemas.openxmlformats.org/officeDocument/2006/relationships/hyperlink" Target="https://www.lawyersnjurists.com/article/tort-law-part-7/" TargetMode="External" Id="R53aefc8a1f604351" /><Relationship Type="http://schemas.openxmlformats.org/officeDocument/2006/relationships/hyperlink" Target="https://vlex.co.uk/vid/wilsons-and-clyde-coal-793055365" TargetMode="External" Id="R3bec1c2f4e074c52" /><Relationship Type="http://schemas.openxmlformats.org/officeDocument/2006/relationships/hyperlink" Target="https://professionalnegligenceclaimsolicitors.co.uk/damage-loss-key-tort-law-judgment-anns-merton/" TargetMode="External" Id="Rcdd5c615b60f4f4f" /><Relationship Type="http://schemas.openxmlformats.org/officeDocument/2006/relationships/hyperlink" Target="https://swarb.co.uk/ammah-v-kuehne-nagal-logistics-ltd-ca-22-jan-2009/" TargetMode="External" Id="Ra62a3bc32fe54614" /><Relationship Type="http://schemas.openxmlformats.org/officeDocument/2006/relationships/hyperlink" Target="https://www.legislation.gov.uk/ukpga/1969/37/section/1" TargetMode="External" Id="R7a5fc76d48014c03" /><Relationship Type="http://schemas.openxmlformats.org/officeDocument/2006/relationships/hyperlink" Target="https://www.hse.gov.uk/work-equipment-machinery/puwer.htm" TargetMode="External" Id="Rc2678a4bfc0545ed" /><Relationship Type="http://schemas.openxmlformats.org/officeDocument/2006/relationships/hyperlink" Target="https://www.legislation.gov.uk/uksi/1999/3242/contents/made" TargetMode="External" Id="Re47d1f278d1d4455" /><Relationship Type="http://schemas.openxmlformats.org/officeDocument/2006/relationships/hyperlink" Target="https://www.legislation.gov.uk/ukpga/1974/37/section/2" TargetMode="External" Id="R16b0b3db7785466b" /></Relationship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TM16392902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Kyran Woods (2006771)</dc:creator>
  <keywords/>
  <dc:description/>
  <lastModifiedBy>Kyran Woods (2006771)</lastModifiedBy>
  <revision>10</revision>
  <dcterms:created xsi:type="dcterms:W3CDTF">2023-01-11T15:03:37.6992697Z</dcterms:created>
  <dcterms:modified xsi:type="dcterms:W3CDTF">2023-01-13T16:57:32.6903529Z</dcterms:modified>
</coreProperties>
</file>